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D403F26" w14:textId="77777777" w:rsidR="007E74C0" w:rsidRDefault="00EA0911">
      <w:pPr>
        <w:spacing w:line="240" w:lineRule="auto"/>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 xml:space="preserve">GÊNERO E SEXUALIDADES NA REVISTA INTERAMERICANA DE PSICOLOGIA: REVISÃO SISTEMÁTICA </w:t>
      </w:r>
    </w:p>
    <w:p w14:paraId="34C36CD9" w14:textId="77777777" w:rsidR="007E74C0" w:rsidRDefault="007E74C0">
      <w:pPr>
        <w:spacing w:line="240" w:lineRule="auto"/>
        <w:jc w:val="center"/>
        <w:rPr>
          <w:rFonts w:ascii="Times New Roman" w:eastAsia="Times New Roman" w:hAnsi="Times New Roman" w:cs="Times New Roman"/>
          <w:b/>
          <w:sz w:val="24"/>
          <w:szCs w:val="24"/>
        </w:rPr>
      </w:pPr>
    </w:p>
    <w:p w14:paraId="483384B8" w14:textId="77777777" w:rsidR="007E74C0" w:rsidRDefault="00EA091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14:paraId="7B77500C" w14:textId="77777777" w:rsidR="007E74C0" w:rsidRDefault="007E74C0">
      <w:pPr>
        <w:spacing w:line="240" w:lineRule="auto"/>
        <w:jc w:val="both"/>
        <w:rPr>
          <w:rFonts w:ascii="Times New Roman" w:eastAsia="Times New Roman" w:hAnsi="Times New Roman" w:cs="Times New Roman"/>
          <w:sz w:val="24"/>
          <w:szCs w:val="24"/>
        </w:rPr>
      </w:pPr>
    </w:p>
    <w:p w14:paraId="2B46C7F5"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Esta revisão sistemática sobre sexualidades e gênero na Revista Interamericana de Psicologia cobre 80 artigos das últimas cinco décadas. Pelo método da análise temática, eles foram agrupados em três temas: </w:t>
      </w:r>
      <w:r>
        <w:rPr>
          <w:rFonts w:ascii="Times New Roman" w:eastAsia="Times New Roman" w:hAnsi="Times New Roman" w:cs="Times New Roman"/>
          <w:sz w:val="24"/>
          <w:szCs w:val="24"/>
          <w:highlight w:val="white"/>
        </w:rPr>
        <w:t>O conceito de gênero como eixo estruturante das relações psicossociais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Gênero e sexualidades: olhares sob a perspectiva da saúde; Família, espaço de possibilidades e de (re)produção de relações </w:t>
      </w:r>
      <w:r>
        <w:rPr>
          <w:rFonts w:ascii="Times New Roman" w:eastAsia="Times New Roman" w:hAnsi="Times New Roman" w:cs="Times New Roman"/>
          <w:sz w:val="24"/>
          <w:szCs w:val="24"/>
        </w:rPr>
        <w:t>de gênero</w:t>
      </w:r>
      <w:r>
        <w:rPr>
          <w:rFonts w:ascii="Times New Roman" w:eastAsia="Times New Roman" w:hAnsi="Times New Roman" w:cs="Times New Roman"/>
          <w:sz w:val="24"/>
          <w:szCs w:val="24"/>
          <w:highlight w:val="white"/>
        </w:rPr>
        <w:t xml:space="preserve">. Notamos mais artigos sobre esses Temas após os anos 1990, entre outros resultados analisados </w:t>
      </w:r>
      <w:r>
        <w:rPr>
          <w:rFonts w:ascii="Times New Roman" w:eastAsia="Times New Roman" w:hAnsi="Times New Roman" w:cs="Times New Roman"/>
          <w:sz w:val="24"/>
          <w:szCs w:val="24"/>
        </w:rPr>
        <w:t>a partir dos descritores de busca (mãe, gênero, masculinidade, sexo e sexua)</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Espera-se dessa forma contribuir com reflexões em torno d</w:t>
      </w:r>
      <w:r>
        <w:rPr>
          <w:rFonts w:ascii="Times New Roman" w:eastAsia="Times New Roman" w:hAnsi="Times New Roman" w:cs="Times New Roman"/>
          <w:sz w:val="24"/>
          <w:szCs w:val="24"/>
          <w:highlight w:val="white"/>
        </w:rPr>
        <w:t>a</w:t>
      </w:r>
      <w:r>
        <w:rPr>
          <w:rFonts w:ascii="Times New Roman" w:eastAsia="Times New Roman" w:hAnsi="Times New Roman" w:cs="Times New Roman"/>
          <w:sz w:val="24"/>
          <w:szCs w:val="24"/>
        </w:rPr>
        <w:t xml:space="preserve"> constituição dos conceitos gênero e sexualidades nos campos da Psicologia na América Latina, bem como sobre seus desafios nos dias atuais.</w:t>
      </w:r>
    </w:p>
    <w:p w14:paraId="5571D58C" w14:textId="77777777" w:rsidR="007E74C0" w:rsidRDefault="007E74C0">
      <w:pPr>
        <w:spacing w:line="240" w:lineRule="auto"/>
        <w:ind w:firstLine="720"/>
        <w:jc w:val="both"/>
        <w:rPr>
          <w:rFonts w:ascii="Times New Roman" w:eastAsia="Times New Roman" w:hAnsi="Times New Roman" w:cs="Times New Roman"/>
          <w:sz w:val="24"/>
          <w:szCs w:val="24"/>
        </w:rPr>
      </w:pPr>
    </w:p>
    <w:p w14:paraId="0B1A4A02" w14:textId="77777777" w:rsidR="007E74C0" w:rsidRDefault="00EA091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Palavras-chave: </w:t>
      </w:r>
      <w:r>
        <w:rPr>
          <w:rFonts w:ascii="Times New Roman" w:eastAsia="Times New Roman" w:hAnsi="Times New Roman" w:cs="Times New Roman"/>
          <w:sz w:val="24"/>
          <w:szCs w:val="24"/>
        </w:rPr>
        <w:t>América Latina, Gênero, Psicologia, Revisão, Sexualidades.</w:t>
      </w:r>
    </w:p>
    <w:p w14:paraId="0A95E2A8" w14:textId="77777777" w:rsidR="007E74C0" w:rsidRDefault="007E74C0">
      <w:pPr>
        <w:spacing w:line="240" w:lineRule="auto"/>
        <w:jc w:val="both"/>
        <w:rPr>
          <w:rFonts w:ascii="Times New Roman" w:eastAsia="Times New Roman" w:hAnsi="Times New Roman" w:cs="Times New Roman"/>
          <w:sz w:val="24"/>
          <w:szCs w:val="24"/>
        </w:rPr>
      </w:pPr>
    </w:p>
    <w:p w14:paraId="3324F5CA" w14:textId="77777777" w:rsidR="007E74C0" w:rsidRDefault="00EA091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Resumen</w:t>
      </w:r>
    </w:p>
    <w:p w14:paraId="2BF6070C" w14:textId="77777777" w:rsidR="007E74C0" w:rsidRDefault="007E74C0">
      <w:pPr>
        <w:spacing w:line="240" w:lineRule="auto"/>
        <w:jc w:val="both"/>
        <w:rPr>
          <w:rFonts w:ascii="Times New Roman" w:eastAsia="Times New Roman" w:hAnsi="Times New Roman" w:cs="Times New Roman"/>
          <w:sz w:val="24"/>
          <w:szCs w:val="24"/>
        </w:rPr>
      </w:pPr>
    </w:p>
    <w:p w14:paraId="187927D6"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Esta revisión sistemática de las sexualidades y del género en la Revista Interamericana de Psicología cubre 80 artículos de las cinco últimas décadas. Por el método de análisis temática, fueron agrupados en tres temas: El concepto de género como eje estructurante de las relaciones psicosociales; Género y sexualidades: puntos de vista desde la perspectiva de la salud; Familia, espacio de posibilidades y (re)producción de relaciones de género. Notamos más artículos sobre estos Temas tras la década de 1990, entre otros resultados analizados por los descriptores de búsqueda (madre, género, masculinidad, sexo y sexua). Se espera que contribuya con reflexiones sobre la constitución de los conceptos de género y sexualidad en los campos de la Psicología en América Latina, así como sus desafíos actuales.</w:t>
      </w:r>
    </w:p>
    <w:p w14:paraId="7AF9F35D" w14:textId="77777777" w:rsidR="007E74C0" w:rsidRDefault="007E74C0">
      <w:pPr>
        <w:spacing w:line="240" w:lineRule="auto"/>
        <w:ind w:firstLine="720"/>
        <w:jc w:val="both"/>
        <w:rPr>
          <w:rFonts w:ascii="Times New Roman" w:eastAsia="Times New Roman" w:hAnsi="Times New Roman" w:cs="Times New Roman"/>
          <w:sz w:val="24"/>
          <w:szCs w:val="24"/>
        </w:rPr>
      </w:pPr>
    </w:p>
    <w:p w14:paraId="61FA2095" w14:textId="77777777" w:rsidR="007E74C0" w:rsidRDefault="00EA091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Palabras-clave: </w:t>
      </w:r>
      <w:r>
        <w:rPr>
          <w:rFonts w:ascii="Times New Roman" w:eastAsia="Times New Roman" w:hAnsi="Times New Roman" w:cs="Times New Roman"/>
          <w:sz w:val="24"/>
          <w:szCs w:val="24"/>
        </w:rPr>
        <w:t>América Latina, Género, Psicología, Revisión, Sexualidades.</w:t>
      </w:r>
    </w:p>
    <w:p w14:paraId="53C0E040" w14:textId="77777777" w:rsidR="007E74C0" w:rsidRDefault="007E74C0">
      <w:pPr>
        <w:spacing w:line="240" w:lineRule="auto"/>
        <w:jc w:val="both"/>
        <w:rPr>
          <w:rFonts w:ascii="Times New Roman" w:eastAsia="Times New Roman" w:hAnsi="Times New Roman" w:cs="Times New Roman"/>
          <w:sz w:val="24"/>
          <w:szCs w:val="24"/>
        </w:rPr>
      </w:pPr>
    </w:p>
    <w:p w14:paraId="2967D536" w14:textId="77777777" w:rsidR="007E74C0" w:rsidRDefault="007E74C0">
      <w:pPr>
        <w:spacing w:line="240" w:lineRule="auto"/>
        <w:jc w:val="both"/>
        <w:rPr>
          <w:rFonts w:ascii="Times New Roman" w:eastAsia="Times New Roman" w:hAnsi="Times New Roman" w:cs="Times New Roman"/>
          <w:sz w:val="24"/>
          <w:szCs w:val="24"/>
        </w:rPr>
      </w:pPr>
    </w:p>
    <w:p w14:paraId="0F6B49EB" w14:textId="77777777" w:rsidR="007E74C0" w:rsidRDefault="00EA0911">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 Introdução</w:t>
      </w:r>
    </w:p>
    <w:p w14:paraId="21FF72EC" w14:textId="77777777" w:rsidR="007E74C0" w:rsidRDefault="007E74C0">
      <w:pPr>
        <w:spacing w:line="240" w:lineRule="auto"/>
        <w:ind w:firstLine="700"/>
        <w:jc w:val="both"/>
        <w:rPr>
          <w:rFonts w:ascii="Times New Roman" w:eastAsia="Times New Roman" w:hAnsi="Times New Roman" w:cs="Times New Roman"/>
          <w:sz w:val="24"/>
          <w:szCs w:val="24"/>
          <w:shd w:val="clear" w:color="auto" w:fill="FFF2CC"/>
        </w:rPr>
      </w:pPr>
    </w:p>
    <w:p w14:paraId="5FE88433"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século XX, sobretudo após os anos 1960, inspirados pelos movimentos juvenis, feministas, gays e lésbicos,</w:t>
      </w:r>
      <w:r>
        <w:rPr>
          <w:rFonts w:ascii="Times New Roman" w:eastAsia="Times New Roman" w:hAnsi="Times New Roman" w:cs="Times New Roman"/>
          <w:sz w:val="24"/>
          <w:szCs w:val="24"/>
          <w:highlight w:val="white"/>
        </w:rPr>
        <w:t xml:space="preserve"> estudos acadêmicos e científicos sobre gênero e sexualidades começam a se emancipar das discussões sobre a essencialidade ou a reprodução. As Ciências Humanas e Sociais trouxeram, então, novas críticas e debates em torno das multip</w:t>
      </w:r>
      <w:r>
        <w:rPr>
          <w:rFonts w:ascii="Times New Roman" w:eastAsia="Times New Roman" w:hAnsi="Times New Roman" w:cs="Times New Roman"/>
          <w:sz w:val="24"/>
          <w:szCs w:val="24"/>
        </w:rPr>
        <w:t xml:space="preserve">licidades possíveis da expressão/exercício das sexualidades no novo contexto social </w:t>
      </w:r>
      <w:r>
        <w:rPr>
          <w:rFonts w:ascii="Times New Roman" w:eastAsia="Times New Roman" w:hAnsi="Times New Roman" w:cs="Times New Roman"/>
          <w:sz w:val="24"/>
          <w:szCs w:val="24"/>
          <w:highlight w:val="white"/>
        </w:rPr>
        <w:t>(Paiva, 2008)</w:t>
      </w:r>
      <w:r>
        <w:rPr>
          <w:rFonts w:ascii="Times New Roman" w:eastAsia="Times New Roman" w:hAnsi="Times New Roman" w:cs="Times New Roman"/>
          <w:sz w:val="24"/>
          <w:szCs w:val="24"/>
        </w:rPr>
        <w:t>.</w:t>
      </w:r>
    </w:p>
    <w:p w14:paraId="762488C4"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Nos últimos anos, diversos embates e discussões a respeito dos conceitos de gênero e sexualidades nos campos político, jurídico, acadêmico e social podem ser observados, por exemplo, nos estudos </w:t>
      </w:r>
      <w:r>
        <w:rPr>
          <w:rFonts w:ascii="Times New Roman" w:eastAsia="Times New Roman" w:hAnsi="Times New Roman" w:cs="Times New Roman"/>
          <w:i/>
          <w:sz w:val="24"/>
          <w:szCs w:val="24"/>
        </w:rPr>
        <w:t>queer</w:t>
      </w:r>
      <w:r>
        <w:rPr>
          <w:rFonts w:ascii="Times New Roman" w:eastAsia="Times New Roman" w:hAnsi="Times New Roman" w:cs="Times New Roman"/>
          <w:sz w:val="24"/>
          <w:szCs w:val="24"/>
        </w:rPr>
        <w:t>. Nesse sentido, Butler (2013) problematiza categorias um tanto cristalizadas nos meios acadêmico e social, envolvendo esses conceitos. Em sua obra, a autora critica os pares conceituais homem/mulher e masculino/feminino, que a seu ver reproduziriam a binaridade da norma (cis)heterosexual hegemônica. Para a autora, tais postulações engessam os olhares envolvendo o corpo, o sexo e o desejo em vários níveis de expressão e articulação social. Ademais, pressupostos como o binarismo de gênero e a heteronormatividade atestam sua fragilidade e são postos em xeque em um mundo plural. Além disso, essa categorização expressaria relações de poder em linguagem que, por vezes, adquirem caráter político na identificação compulsória de indivíduos por Estados em termos do sexo biológico.</w:t>
      </w:r>
    </w:p>
    <w:p w14:paraId="729FCB26"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Quanto ao par sexo/gênero (no qual o gênero é culturalmente construído e distinto do sexo, dado como biológico ou naturalmente adquirido), Butler (2013) diz ainda que serviu às teorias feministas até meados de 1980, quando começou a ser questionado se o sexo seria não natural, mas discursivo e cultural como o gênero, para o qual propõe a ideia de efeito, expressão, performance e não mais essência, substância, atributo da pessoa. Essa seria uma forma de subverter a (cis)heteronormatividade, ressignificando esses conceitos para além do binarismo hegemônico vigente sobre os corpos, as sexualidades e os desejos.</w:t>
      </w:r>
    </w:p>
    <w:p w14:paraId="77416C0F"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estudos recentes sobre epistemologias feministas na Psicologia, então, as análises críticas são no geral realizadas sobre as maneiras pelas quais a área aborda e entende gêneros e sexualidades. Dessa maneira, entram em tensão com paradigmas teóricos de ênfase mais positivista, sendo aos poucos incorporadas suas questões epistemológicas e metodológicas nas pesquisas e cada vez mais questionadas suas pretensões de neutralidade, objetividade e desinteresse sob a ótica da “ciência moderna”, que procura “proteger os resultados da pesquisa dos valores sociais dos pesquisadores e das suas culturas” (Nogueira, 2011, p. 11). Nesse contexto, </w:t>
      </w:r>
    </w:p>
    <w:p w14:paraId="23DB7403" w14:textId="77777777" w:rsidR="007E74C0" w:rsidRDefault="00EA0911">
      <w:pPr>
        <w:spacing w:before="240"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perspectiva feminista na psicologia pode contribuir para a compreensão de todos estes processos, tentando elucidar os mecanismos psicológicos pelos quais o gênero exerce o seu controlo. Devem desafiar a tendência da psicologia para aceitar a diferença, demonstrando como as categorias, quer profissionais quer culturais são construídas (Nogueira, 2001, p. 23).</w:t>
      </w:r>
    </w:p>
    <w:p w14:paraId="34FE549B" w14:textId="77777777" w:rsidR="007E74C0" w:rsidRDefault="007E74C0">
      <w:pPr>
        <w:spacing w:line="240" w:lineRule="auto"/>
        <w:ind w:firstLine="720"/>
        <w:jc w:val="both"/>
        <w:rPr>
          <w:rFonts w:ascii="Times New Roman" w:eastAsia="Times New Roman" w:hAnsi="Times New Roman" w:cs="Times New Roman"/>
          <w:sz w:val="24"/>
          <w:szCs w:val="24"/>
        </w:rPr>
      </w:pPr>
    </w:p>
    <w:p w14:paraId="1C009D05"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história da Psicologia, termos e práticas foram sendo implicadas em conceitos mais amplos de saúde que incluíam direitos e deveres jurídicos, de modo que a área desenvolveu técnicas e métodos de atendimentos próprios para lidar com as questões relacionadas à saúde e ao adoecimento da mente expresso no corpo (psicossomático), como medidas de “profilaxia ou prevenção das doenças mentais” (Medeiros, Bernardes &amp; Guareschi, 2005, p. 267).</w:t>
      </w:r>
    </w:p>
    <w:p w14:paraId="5E949312"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produção científica, a partir do final do século XVIII apontou discursos sobre sexualidade pela Medicina e Psiquiatria como uma criação discursivo-institucional, um dispositivo cuja função seria o controle dos corpos e das populações pela normatização das práticas sexuais, sendo delimitada para definir normalidade e anormalidade, legitimando as práticas heterossexuais, reprodutivas e monogâmicas (Foucault, 1986). Em meados do século XX, então inspirados por movimentos juvenis, feministas, gays e lésbicos, os estudos sobre a sexualidade começam a se emancipar das discussões sobre a essencialidade ou a reprodução nas ciências humanas e sociais com análises, estudos e debates sobre as multiplicidades da expressão/exercício das sexualidades nos novos contextos sociais e culturais (Paiva, 2008). </w:t>
      </w:r>
    </w:p>
    <w:p w14:paraId="04DAF39B"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Psicologia, porém, se há, por um lado, um maior reconhecimento das pluralidades e diversidades de práticas sexuais e usos dos corpos; por outro, são persistentes as tentativas de “essencializar e naturalizar as diferenças entre homens e mulheres e reforçar estigmas e estereótipos gendrados” (Andrade &amp; Santos, 2013, p. 19). Em defesa de utilizar o conceito de gênero por profissionais da área como “categoria de estudo e análise profissional”, Andrade e Santos (2013) propõem a estes que questionem os seus “fazeres”, as suas “teorias” e o seu papel, inquirindo: “De que modo temos contribuído para a redução ou o fortalecimento das negligências e discriminações no que se refere à categoria de gênero? Como a Psicologia contribui para reforçar ou quebrar estigmas e estereótipos de gênero?” (</w:t>
      </w:r>
      <w:r>
        <w:rPr>
          <w:rFonts w:ascii="Times New Roman" w:eastAsia="Times New Roman" w:hAnsi="Times New Roman" w:cs="Times New Roman"/>
          <w:i/>
          <w:sz w:val="24"/>
          <w:szCs w:val="24"/>
        </w:rPr>
        <w:t>Op. cit.</w:t>
      </w:r>
      <w:r>
        <w:rPr>
          <w:rFonts w:ascii="Times New Roman" w:eastAsia="Times New Roman" w:hAnsi="Times New Roman" w:cs="Times New Roman"/>
          <w:sz w:val="24"/>
          <w:szCs w:val="24"/>
        </w:rPr>
        <w:t>, p. 28).</w:t>
      </w:r>
    </w:p>
    <w:p w14:paraId="5EC04185"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consonância com a compreensão de que estudos sobre esses temas situam-se em um campo interdisciplinar, há um chamado para a Psicologia refletir acerca de sua produção e seus modos de incorporar essas noções no cotidiano de ensino e de pesquisa (Borges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Diante desse chamado, indagamos em que medida a produção na área tem refletido essas demandas e se a produção de conhecimento está atenta aos aportes teóricos e políticos mais </w:t>
      </w:r>
      <w:r>
        <w:rPr>
          <w:rFonts w:ascii="Times New Roman" w:eastAsia="Times New Roman" w:hAnsi="Times New Roman" w:cs="Times New Roman"/>
          <w:sz w:val="24"/>
          <w:szCs w:val="24"/>
        </w:rPr>
        <w:lastRenderedPageBreak/>
        <w:t>recentes, com foco na América Latina, onde há há atravessamentos históricos, políticos, sociais e econômicos em comum, diante dos quais a Psicologia sempre teve diante de si tanto possibilidades de atuar à disposição do sistema estatal quanto em defesa dos direitos humanos na região (Scarparo, Torres &amp; Ecker, 2014).</w:t>
      </w:r>
    </w:p>
    <w:p w14:paraId="109E7EB6"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Esses atravessamentos decerto tiveram (e têm) impactos nos modos de a Psicologia compreender a realidade e produzir conhecimentos para sua atuação, seja no Brasil (Antunes, 2012), seja nos demais países da região. Assim, acreditamos ser possível traçar hipóteses acerca das abordagens dos temas pesquisados com olhares para as semelhanças históricas entre seus países, como “a proximidade temporal dos movimentos de independência no século XIX, a industrialização tardia, os regimes populistas no século XX e os golpes que instauraram ditaduras” (Hur &amp; Lacerda Júnior, 2017, p. 29), além das redes de cooperação e de resistência diversos estabelecidas entre as sociedades latino-americanas.</w:t>
      </w:r>
    </w:p>
    <w:p w14:paraId="2B6FB51B" w14:textId="77777777" w:rsidR="007E74C0" w:rsidRDefault="00EA0911">
      <w:pPr>
        <w:spacing w:line="240" w:lineRule="auto"/>
        <w:ind w:firstLine="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Nesse sentido, o presente artigo discute parte da produção científica latino-americana sobre esses temas a partir de artigos da Revista Interamericana de Psicologia (</w:t>
      </w:r>
      <w:r>
        <w:rPr>
          <w:rFonts w:ascii="Times New Roman" w:eastAsia="Times New Roman" w:hAnsi="Times New Roman" w:cs="Times New Roman"/>
          <w:i/>
          <w:sz w:val="24"/>
          <w:szCs w:val="24"/>
        </w:rPr>
        <w:t>Interamerican Journal of Psychology - IJP</w:t>
      </w:r>
      <w:r>
        <w:rPr>
          <w:rFonts w:ascii="Times New Roman" w:eastAsia="Times New Roman" w:hAnsi="Times New Roman" w:cs="Times New Roman"/>
          <w:sz w:val="24"/>
          <w:szCs w:val="24"/>
        </w:rPr>
        <w:t>) - doravante, “a Revista” - publicada desde 1967 pela Sociedade Interamericana de  Psicologia (SIP)</w:t>
      </w:r>
      <w:r>
        <w:rPr>
          <w:rFonts w:ascii="Times New Roman" w:eastAsia="Times New Roman" w:hAnsi="Times New Roman" w:cs="Times New Roman"/>
          <w:sz w:val="24"/>
          <w:szCs w:val="24"/>
          <w:highlight w:val="white"/>
        </w:rPr>
        <w:t xml:space="preserve"> e considerada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uma das revistas científicas mais influentes e reconhecidas das </w:t>
      </w:r>
      <w:r>
        <w:rPr>
          <w:rFonts w:ascii="Times New Roman" w:eastAsia="Times New Roman" w:hAnsi="Times New Roman" w:cs="Times New Roman"/>
          <w:sz w:val="24"/>
          <w:szCs w:val="24"/>
        </w:rPr>
        <w:t>Américas</w:t>
      </w:r>
      <w:r>
        <w:rPr>
          <w:rFonts w:ascii="Times New Roman" w:eastAsia="Times New Roman" w:hAnsi="Times New Roman" w:cs="Times New Roman"/>
          <w:sz w:val="24"/>
          <w:szCs w:val="24"/>
          <w:highlight w:val="white"/>
        </w:rPr>
        <w:t xml:space="preserve"> (Polanco, 2016). </w:t>
      </w:r>
      <w:r>
        <w:rPr>
          <w:rFonts w:ascii="Times New Roman" w:eastAsia="Times New Roman" w:hAnsi="Times New Roman" w:cs="Times New Roman"/>
          <w:sz w:val="24"/>
          <w:szCs w:val="24"/>
        </w:rPr>
        <w:t xml:space="preserve">A SIP foi fundada em 1951 no </w:t>
      </w:r>
      <w:r>
        <w:rPr>
          <w:rFonts w:ascii="Times New Roman" w:eastAsia="Times New Roman" w:hAnsi="Times New Roman" w:cs="Times New Roman"/>
          <w:i/>
          <w:sz w:val="24"/>
          <w:szCs w:val="24"/>
        </w:rPr>
        <w:t>IV Congresso Internacional de Saúde Mental</w:t>
      </w:r>
      <w:r>
        <w:rPr>
          <w:rFonts w:ascii="Times New Roman" w:eastAsia="Times New Roman" w:hAnsi="Times New Roman" w:cs="Times New Roman"/>
          <w:sz w:val="24"/>
          <w:szCs w:val="24"/>
        </w:rPr>
        <w:t xml:space="preserve"> (Cidade do México) em prol da integração entre profissionais da área em todo o continente (Angelini, 2012). Seu objetivo inicial era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criar: “. . . uma estrutura institucional para a comunicação entre os países das Américas no campo da Psicologia” (Maluf, 2004, p. 324). </w:t>
      </w:r>
      <w:r>
        <w:rPr>
          <w:rFonts w:ascii="Times New Roman" w:eastAsia="Times New Roman" w:hAnsi="Times New Roman" w:cs="Times New Roman"/>
          <w:sz w:val="24"/>
          <w:szCs w:val="24"/>
          <w:highlight w:val="white"/>
        </w:rPr>
        <w:t>Ao longo de todo esse período:</w:t>
      </w:r>
    </w:p>
    <w:p w14:paraId="77838DFE" w14:textId="77777777" w:rsidR="007E74C0" w:rsidRDefault="007E74C0">
      <w:pPr>
        <w:spacing w:line="240" w:lineRule="auto"/>
        <w:ind w:left="708"/>
        <w:jc w:val="both"/>
        <w:rPr>
          <w:rFonts w:ascii="Times New Roman" w:eastAsia="Times New Roman" w:hAnsi="Times New Roman" w:cs="Times New Roman"/>
          <w:sz w:val="24"/>
          <w:szCs w:val="24"/>
          <w:highlight w:val="white"/>
        </w:rPr>
      </w:pPr>
    </w:p>
    <w:p w14:paraId="0CEB4A87" w14:textId="77777777" w:rsidR="007E74C0" w:rsidRDefault="00EA0911">
      <w:pPr>
        <w:spacing w:line="240" w:lineRule="auto"/>
        <w:ind w:left="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 . a revista tem cumprido sua missão de promover a Psicologia nas Américas, manifestada pela diversidade de sua estrutura editorial; pelos diferentes países representados; pelo alcance e a amplitude dos assuntos publicados; as diferentes línguas em que a pesquisa é publicada; e seu compromisso de disseminar o conhecimento em maneiras que melhoram a promoção da psicologia de diversas perspectivas” (</w:t>
      </w:r>
      <w:r>
        <w:rPr>
          <w:rFonts w:ascii="Times New Roman" w:eastAsia="Times New Roman" w:hAnsi="Times New Roman" w:cs="Times New Roman"/>
          <w:i/>
          <w:sz w:val="24"/>
          <w:szCs w:val="24"/>
          <w:highlight w:val="white"/>
        </w:rPr>
        <w:t>Torres-Fernandez, Polanco, Pereira, Sueli Beria &amp; Zapico, 2017</w:t>
      </w:r>
      <w:r>
        <w:rPr>
          <w:rFonts w:ascii="Times New Roman" w:eastAsia="Times New Roman" w:hAnsi="Times New Roman" w:cs="Times New Roman"/>
          <w:sz w:val="24"/>
          <w:szCs w:val="24"/>
          <w:highlight w:val="white"/>
        </w:rPr>
        <w:t>, 321). (Tradução livre)</w:t>
      </w:r>
    </w:p>
    <w:p w14:paraId="3996DD42" w14:textId="77777777" w:rsidR="007E74C0" w:rsidRDefault="007E74C0">
      <w:pPr>
        <w:spacing w:line="240" w:lineRule="auto"/>
        <w:jc w:val="both"/>
        <w:rPr>
          <w:rFonts w:ascii="Times New Roman" w:eastAsia="Times New Roman" w:hAnsi="Times New Roman" w:cs="Times New Roman"/>
          <w:sz w:val="24"/>
          <w:szCs w:val="24"/>
          <w:highlight w:val="white"/>
        </w:rPr>
      </w:pPr>
    </w:p>
    <w:p w14:paraId="6BB2FA00" w14:textId="77777777" w:rsidR="007E74C0" w:rsidRDefault="00EA0911">
      <w:pPr>
        <w:spacing w:line="240" w:lineRule="auto"/>
        <w:ind w:firstLine="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Dessa forma, acreditamos que a análise facilitará a compreensão das mudanças na produção da área sobre os conceitos em foco, bem como sobre a diversidade dessa produção na América Latina, ao longo da existência da Revista. </w:t>
      </w:r>
    </w:p>
    <w:p w14:paraId="4C2DC7B6" w14:textId="77777777" w:rsidR="007E74C0" w:rsidRDefault="007E74C0">
      <w:pPr>
        <w:spacing w:line="240" w:lineRule="auto"/>
        <w:jc w:val="both"/>
        <w:rPr>
          <w:rFonts w:ascii="Times New Roman" w:eastAsia="Times New Roman" w:hAnsi="Times New Roman" w:cs="Times New Roman"/>
          <w:sz w:val="24"/>
          <w:szCs w:val="24"/>
        </w:rPr>
      </w:pPr>
    </w:p>
    <w:p w14:paraId="135378BF" w14:textId="77777777" w:rsidR="007E74C0" w:rsidRDefault="00EA0911">
      <w:pPr>
        <w:spacing w:line="240" w:lineRule="auto"/>
        <w:jc w:val="both"/>
        <w:rPr>
          <w:rFonts w:ascii="Times New Roman" w:eastAsia="Times New Roman" w:hAnsi="Times New Roman" w:cs="Times New Roman"/>
          <w:b/>
          <w:sz w:val="24"/>
          <w:szCs w:val="24"/>
        </w:rPr>
      </w:pPr>
      <w:commentRangeStart w:id="1"/>
      <w:r>
        <w:rPr>
          <w:rFonts w:ascii="Times New Roman" w:eastAsia="Times New Roman" w:hAnsi="Times New Roman" w:cs="Times New Roman"/>
          <w:b/>
          <w:sz w:val="24"/>
          <w:szCs w:val="24"/>
        </w:rPr>
        <w:t>2 Métodos</w:t>
      </w:r>
      <w:commentRangeEnd w:id="1"/>
      <w:r w:rsidR="008677AC">
        <w:rPr>
          <w:rStyle w:val="CommentReference"/>
        </w:rPr>
        <w:commentReference w:id="1"/>
      </w:r>
    </w:p>
    <w:p w14:paraId="044BF2E2" w14:textId="77777777" w:rsidR="007E74C0" w:rsidRDefault="007E74C0">
      <w:pPr>
        <w:spacing w:line="240" w:lineRule="auto"/>
        <w:ind w:firstLine="720"/>
        <w:jc w:val="both"/>
        <w:rPr>
          <w:rFonts w:ascii="Times New Roman" w:eastAsia="Times New Roman" w:hAnsi="Times New Roman" w:cs="Times New Roman"/>
          <w:sz w:val="24"/>
          <w:szCs w:val="24"/>
        </w:rPr>
      </w:pPr>
    </w:p>
    <w:p w14:paraId="70B1841E"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presente trabalho trata-se de Revisão Sistemática de Literatura (Costa &amp; Zoltowski, 2014), um estudo de natureza quanti-qualitativa, que objetiva analisar os artigos da Revista em foco, disponíveis no seu </w:t>
      </w:r>
      <w:r>
        <w:rPr>
          <w:rFonts w:ascii="Times New Roman" w:eastAsia="Times New Roman" w:hAnsi="Times New Roman" w:cs="Times New Roman"/>
          <w:i/>
          <w:sz w:val="24"/>
          <w:szCs w:val="24"/>
        </w:rPr>
        <w:t>site</w:t>
      </w:r>
      <w:r>
        <w:rPr>
          <w:rFonts w:ascii="Times New Roman" w:eastAsia="Times New Roman" w:hAnsi="Times New Roman" w:cs="Times New Roman"/>
          <w:sz w:val="24"/>
          <w:szCs w:val="24"/>
        </w:rPr>
        <w:t>, utilizando como recorte temporal o período entre o Volume 1 (1967) e o Volume 53, n.º 02 (2019), contabilizando 118 edições.</w:t>
      </w:r>
    </w:p>
    <w:p w14:paraId="65265FB1"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Três edições - Vol. 14, n.º 2 (1980),</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Vol. 22, n.º 1&amp;2 (1988)</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e Vol. 32, n.º 1 (1998) -, porém, estavam indisponíveis nesse </w:t>
      </w:r>
      <w:r>
        <w:rPr>
          <w:rFonts w:ascii="Times New Roman" w:eastAsia="Times New Roman" w:hAnsi="Times New Roman" w:cs="Times New Roman"/>
          <w:i/>
          <w:sz w:val="24"/>
          <w:szCs w:val="24"/>
        </w:rPr>
        <w:t>site</w:t>
      </w:r>
      <w:r>
        <w:rPr>
          <w:rFonts w:ascii="Times New Roman" w:eastAsia="Times New Roman" w:hAnsi="Times New Roman" w:cs="Times New Roman"/>
          <w:sz w:val="24"/>
          <w:szCs w:val="24"/>
        </w:rPr>
        <w:t>. As duas primeiras foram encontradas na Biblioteca do Instituto de Psicologia da Universidade de São Paulo (USP), enquanto</w:t>
      </w:r>
      <w:r>
        <w:rPr>
          <w:rFonts w:ascii="Times New Roman" w:eastAsia="Times New Roman" w:hAnsi="Times New Roman" w:cs="Times New Roman"/>
          <w:sz w:val="24"/>
          <w:szCs w:val="24"/>
          <w:highlight w:val="white"/>
        </w:rPr>
        <w:t xml:space="preserve"> a última possuía para consulta apenas o sumário em outra base de dados,</w:t>
      </w:r>
      <w:r>
        <w:rPr>
          <w:rFonts w:ascii="Times New Roman" w:eastAsia="Times New Roman" w:hAnsi="Times New Roman" w:cs="Times New Roman"/>
          <w:sz w:val="24"/>
          <w:szCs w:val="24"/>
          <w:highlight w:val="white"/>
          <w:vertAlign w:val="superscript"/>
        </w:rPr>
        <w:footnoteReference w:id="3"/>
      </w:r>
      <w:r>
        <w:rPr>
          <w:rFonts w:ascii="Times New Roman" w:eastAsia="Times New Roman" w:hAnsi="Times New Roman" w:cs="Times New Roman"/>
          <w:sz w:val="24"/>
          <w:szCs w:val="24"/>
          <w:highlight w:val="white"/>
        </w:rPr>
        <w:t xml:space="preserve"> sendo excluída desta revisão. </w:t>
      </w:r>
    </w:p>
    <w:p w14:paraId="0C31FF9E" w14:textId="77777777" w:rsidR="007E74C0" w:rsidRDefault="007E74C0">
      <w:pPr>
        <w:spacing w:line="240" w:lineRule="auto"/>
        <w:jc w:val="both"/>
        <w:rPr>
          <w:rFonts w:ascii="Times New Roman" w:eastAsia="Times New Roman" w:hAnsi="Times New Roman" w:cs="Times New Roman"/>
          <w:sz w:val="24"/>
          <w:szCs w:val="24"/>
          <w:highlight w:val="yellow"/>
        </w:rPr>
      </w:pPr>
    </w:p>
    <w:p w14:paraId="7527FC9A" w14:textId="77777777" w:rsidR="007E74C0" w:rsidRDefault="00EA091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Coleta de dados</w:t>
      </w:r>
    </w:p>
    <w:p w14:paraId="1A12A698" w14:textId="77777777" w:rsidR="007E74C0" w:rsidRDefault="007E74C0">
      <w:pPr>
        <w:spacing w:line="240" w:lineRule="auto"/>
        <w:jc w:val="both"/>
        <w:rPr>
          <w:rFonts w:ascii="Times New Roman" w:eastAsia="Times New Roman" w:hAnsi="Times New Roman" w:cs="Times New Roman"/>
          <w:sz w:val="24"/>
          <w:szCs w:val="24"/>
        </w:rPr>
      </w:pPr>
    </w:p>
    <w:p w14:paraId="588DD86E"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Antes d</w:t>
      </w:r>
      <w:r>
        <w:rPr>
          <w:rFonts w:ascii="Times New Roman" w:eastAsia="Times New Roman" w:hAnsi="Times New Roman" w:cs="Times New Roman"/>
          <w:sz w:val="24"/>
          <w:szCs w:val="24"/>
          <w:highlight w:val="white"/>
        </w:rPr>
        <w:t xml:space="preserve">e coletar </w:t>
      </w:r>
      <w:r>
        <w:rPr>
          <w:rFonts w:ascii="Times New Roman" w:eastAsia="Times New Roman" w:hAnsi="Times New Roman" w:cs="Times New Roman"/>
          <w:sz w:val="24"/>
          <w:szCs w:val="24"/>
        </w:rPr>
        <w:t xml:space="preserve">os dados, foi realizada uma leitura preliminar do </w:t>
      </w:r>
      <w:r>
        <w:rPr>
          <w:rFonts w:ascii="Times New Roman" w:eastAsia="Times New Roman" w:hAnsi="Times New Roman" w:cs="Times New Roman"/>
          <w:i/>
          <w:sz w:val="24"/>
          <w:szCs w:val="24"/>
        </w:rPr>
        <w:t xml:space="preserve">corpus </w:t>
      </w:r>
      <w:r>
        <w:rPr>
          <w:rFonts w:ascii="Times New Roman" w:eastAsia="Times New Roman" w:hAnsi="Times New Roman" w:cs="Times New Roman"/>
          <w:sz w:val="24"/>
          <w:szCs w:val="24"/>
        </w:rPr>
        <w:t>(título, resumos e palavras-chaves, se existentes) sob o método indutivo de identificação dos padrões dos dados (</w:t>
      </w:r>
      <w:r>
        <w:rPr>
          <w:rFonts w:ascii="Times New Roman" w:eastAsia="Times New Roman" w:hAnsi="Times New Roman" w:cs="Times New Roman"/>
          <w:i/>
          <w:sz w:val="24"/>
          <w:szCs w:val="24"/>
        </w:rPr>
        <w:t>patterns within data</w:t>
      </w:r>
      <w:r>
        <w:rPr>
          <w:rFonts w:ascii="Times New Roman" w:eastAsia="Times New Roman" w:hAnsi="Times New Roman" w:cs="Times New Roman"/>
          <w:sz w:val="24"/>
          <w:szCs w:val="24"/>
        </w:rPr>
        <w:t xml:space="preserve">) da análise temática (Braun &amp; Clarke, 2006). Nessa leitura, o padrão buscado era a afinidade intuitiva com o grande tema “sexualidade e gênero”. </w:t>
      </w:r>
    </w:p>
    <w:p w14:paraId="54B4CB2D"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Após essa leitura, foram definidos os seguintes termos como descritores: mãe, gênero, masculinidade, sexo e sexua (este último, radical de palavras como homossexual, sexualidade, etc). O</w:t>
      </w:r>
      <w:r>
        <w:rPr>
          <w:rFonts w:ascii="Times New Roman" w:eastAsia="Times New Roman" w:hAnsi="Times New Roman" w:cs="Times New Roman"/>
          <w:sz w:val="24"/>
          <w:szCs w:val="24"/>
          <w:highlight w:val="white"/>
        </w:rPr>
        <w:t>ptamos pela exclusão de artigos que não os co</w:t>
      </w:r>
      <w:r>
        <w:rPr>
          <w:rFonts w:ascii="Times New Roman" w:eastAsia="Times New Roman" w:hAnsi="Times New Roman" w:cs="Times New Roman"/>
          <w:sz w:val="24"/>
          <w:szCs w:val="24"/>
        </w:rPr>
        <w:t>ntinham no título, palavras-chave (após os anos 2000) e/ou resumo, mesmo que dialogassem com o grande tema. Do mesmo modo, foram selecionados apenas artigos, deixando de lado produções como resenhas e comentários.</w:t>
      </w:r>
    </w:p>
    <w:p w14:paraId="36E367AC" w14:textId="77777777" w:rsidR="007E74C0" w:rsidRDefault="007E74C0">
      <w:pPr>
        <w:spacing w:line="240" w:lineRule="auto"/>
        <w:ind w:firstLine="720"/>
        <w:jc w:val="both"/>
        <w:rPr>
          <w:rFonts w:ascii="Times New Roman" w:eastAsia="Times New Roman" w:hAnsi="Times New Roman" w:cs="Times New Roman"/>
          <w:sz w:val="24"/>
          <w:szCs w:val="24"/>
          <w:highlight w:val="white"/>
        </w:rPr>
      </w:pPr>
    </w:p>
    <w:p w14:paraId="4D0D01A8" w14:textId="77777777" w:rsidR="007E74C0" w:rsidRDefault="00EA091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Critérios de inclusão e de exclusão</w:t>
      </w:r>
    </w:p>
    <w:p w14:paraId="07057183" w14:textId="77777777" w:rsidR="007E74C0" w:rsidRDefault="007E74C0">
      <w:pPr>
        <w:spacing w:line="240" w:lineRule="auto"/>
        <w:jc w:val="both"/>
        <w:rPr>
          <w:rFonts w:ascii="Times New Roman" w:eastAsia="Times New Roman" w:hAnsi="Times New Roman" w:cs="Times New Roman"/>
          <w:sz w:val="24"/>
          <w:szCs w:val="24"/>
        </w:rPr>
      </w:pPr>
    </w:p>
    <w:p w14:paraId="76E05C25" w14:textId="77777777" w:rsidR="007E74C0" w:rsidRDefault="00EA091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Definidos os descritores, foi iniciada a revisão sistemática propriamente dita dos 1145 artigos da Revista, desde a primeira edição (1967) até 2019. Nesta etapa, foram estabelecidos os seguintes critérios de inclusão: a) os descritores deveriam aparecer no título, resumo e/ou palavras-chave do artigo; b) os descritores deveriam estar em ao menos um dos idiomas da Revista (Português, Inglês e/ou Espanhol), sendo realizadas buscas nesses três idiomas.</w:t>
      </w:r>
    </w:p>
    <w:p w14:paraId="183BE211"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primeira busca sob esses critérios (Etapa 1) resultou 224 artigos, submetidos a uma segunda busca, nos mesmos descritores, para checar os seguintes critérios de exclusão: a) contexto não se refere à realidade latino-americana; b) descritor caracteriza a amostra, mas não guarda qualquer relação com o tema estudado; c) análise não se refere ao grande tema.</w:t>
      </w:r>
    </w:p>
    <w:p w14:paraId="4C5C6BEF" w14:textId="77777777" w:rsidR="007E74C0" w:rsidRDefault="00EA0911">
      <w:pPr>
        <w:spacing w:line="240" w:lineRule="auto"/>
        <w:ind w:firstLine="720"/>
        <w:jc w:val="both"/>
        <w:rPr>
          <w:rFonts w:ascii="Times New Roman" w:eastAsia="Times New Roman" w:hAnsi="Times New Roman" w:cs="Times New Roman"/>
          <w:sz w:val="24"/>
          <w:szCs w:val="24"/>
          <w:shd w:val="clear" w:color="auto" w:fill="C9DAF8"/>
        </w:rPr>
      </w:pPr>
      <w:r>
        <w:rPr>
          <w:rFonts w:ascii="Times New Roman" w:eastAsia="Times New Roman" w:hAnsi="Times New Roman" w:cs="Times New Roman"/>
          <w:sz w:val="24"/>
          <w:szCs w:val="24"/>
        </w:rPr>
        <w:t>Após essa seleção (Etapa 2), os 80 artigos foram submetidos à codificação (Etapa 3), primeira fase da análise temática (Braun &amp; Clarke, 2006), detalhada na próxima seção.</w:t>
      </w:r>
    </w:p>
    <w:p w14:paraId="10A58DCA" w14:textId="77777777" w:rsidR="007E74C0" w:rsidRDefault="007E74C0">
      <w:pPr>
        <w:spacing w:line="240" w:lineRule="auto"/>
        <w:jc w:val="both"/>
        <w:rPr>
          <w:rFonts w:ascii="Times New Roman" w:eastAsia="Times New Roman" w:hAnsi="Times New Roman" w:cs="Times New Roman"/>
          <w:sz w:val="24"/>
          <w:szCs w:val="24"/>
        </w:rPr>
      </w:pPr>
    </w:p>
    <w:p w14:paraId="3A3D2951" w14:textId="77777777" w:rsidR="007E74C0" w:rsidRDefault="00EA0911">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2.3 Codificação temática </w:t>
      </w:r>
    </w:p>
    <w:p w14:paraId="5766E556" w14:textId="77777777" w:rsidR="007E74C0" w:rsidRDefault="00EA091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178F713" w14:textId="77777777" w:rsidR="007E74C0" w:rsidRDefault="00EA0911">
      <w:pPr>
        <w:spacing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Para a aplicação da codificação temática, cada artigo teve revisto seu título, resumo, palavras-chave e resultado, sendo estabelecidos códigos (ou subtemas) para cada qual. Após a análise dos subtemas, os artigos foram codificados, por afinidade, nos seguintes temas:</w:t>
      </w:r>
    </w:p>
    <w:p w14:paraId="38AB5DC8" w14:textId="77777777" w:rsidR="007E74C0" w:rsidRDefault="00EA0911">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O conceito de gênero como estruturante das relações psicossociais </w:t>
      </w:r>
      <w:r>
        <w:rPr>
          <w:rFonts w:ascii="Times New Roman" w:eastAsia="Times New Roman" w:hAnsi="Times New Roman" w:cs="Times New Roman"/>
          <w:sz w:val="24"/>
          <w:szCs w:val="24"/>
        </w:rPr>
        <w:t>(35 artigos);</w:t>
      </w:r>
    </w:p>
    <w:p w14:paraId="21399F3E" w14:textId="77777777" w:rsidR="007E74C0" w:rsidRDefault="00EA0911">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2</w:t>
      </w:r>
      <w:r>
        <w:rPr>
          <w:rFonts w:ascii="Times New Roman" w:eastAsia="Times New Roman" w:hAnsi="Times New Roman" w:cs="Times New Roman"/>
          <w:sz w:val="24"/>
          <w:szCs w:val="24"/>
          <w:highlight w:val="white"/>
        </w:rPr>
        <w:t>) Gênero e sexualidades: olhares sob a perspectiva da saúde</w:t>
      </w:r>
      <w:r>
        <w:rPr>
          <w:rFonts w:ascii="Times New Roman" w:eastAsia="Times New Roman" w:hAnsi="Times New Roman" w:cs="Times New Roman"/>
          <w:sz w:val="24"/>
          <w:szCs w:val="24"/>
        </w:rPr>
        <w:t xml:space="preserve"> (25 artigos)</w:t>
      </w:r>
      <w:r>
        <w:rPr>
          <w:rFonts w:ascii="Times New Roman" w:eastAsia="Times New Roman" w:hAnsi="Times New Roman" w:cs="Times New Roman"/>
          <w:sz w:val="24"/>
          <w:szCs w:val="24"/>
          <w:highlight w:val="white"/>
        </w:rPr>
        <w:t>;</w:t>
      </w:r>
    </w:p>
    <w:p w14:paraId="3A9EE258" w14:textId="77777777" w:rsidR="007E74C0" w:rsidRDefault="00EA0911">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3</w:t>
      </w:r>
      <w:r>
        <w:rPr>
          <w:rFonts w:ascii="Times New Roman" w:eastAsia="Times New Roman" w:hAnsi="Times New Roman" w:cs="Times New Roman"/>
          <w:sz w:val="24"/>
          <w:szCs w:val="24"/>
          <w:highlight w:val="white"/>
        </w:rPr>
        <w:t xml:space="preserve">) Família, espaço de possibilidades e de (re)produção de relações de gênero </w:t>
      </w:r>
      <w:r>
        <w:rPr>
          <w:rFonts w:ascii="Times New Roman" w:eastAsia="Times New Roman" w:hAnsi="Times New Roman" w:cs="Times New Roman"/>
          <w:sz w:val="24"/>
          <w:szCs w:val="24"/>
        </w:rPr>
        <w:t>(20 artigos).</w:t>
      </w:r>
    </w:p>
    <w:p w14:paraId="7C5E151E" w14:textId="77777777" w:rsidR="007E74C0" w:rsidRDefault="007E74C0">
      <w:pPr>
        <w:spacing w:line="240" w:lineRule="auto"/>
        <w:jc w:val="both"/>
        <w:rPr>
          <w:rFonts w:ascii="Times New Roman" w:eastAsia="Times New Roman" w:hAnsi="Times New Roman" w:cs="Times New Roman"/>
          <w:b/>
          <w:sz w:val="24"/>
          <w:szCs w:val="24"/>
        </w:rPr>
      </w:pPr>
    </w:p>
    <w:p w14:paraId="405D2738"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No primeiro tema, encontramos tópicos tais como </w:t>
      </w:r>
      <w:r>
        <w:rPr>
          <w:rFonts w:ascii="Times New Roman" w:eastAsia="Times New Roman" w:hAnsi="Times New Roman" w:cs="Times New Roman"/>
          <w:sz w:val="24"/>
          <w:szCs w:val="24"/>
          <w:highlight w:val="white"/>
        </w:rPr>
        <w:t xml:space="preserve">diferenças culturais e papéis sociais de gênero (relações psicossociais de gênero, diferenças culturais e sexuais, papéis sexuais), bem como movimentos sociais, identidade sexual, feminilidades, masculinidades, violências e estereótipos de gênero. </w:t>
      </w:r>
      <w:r>
        <w:rPr>
          <w:rFonts w:ascii="Times New Roman" w:eastAsia="Times New Roman" w:hAnsi="Times New Roman" w:cs="Times New Roman"/>
          <w:sz w:val="24"/>
          <w:szCs w:val="24"/>
        </w:rPr>
        <w:t xml:space="preserve">No segundo, foram agrupados </w:t>
      </w:r>
      <w:r>
        <w:rPr>
          <w:rFonts w:ascii="Times New Roman" w:eastAsia="Times New Roman" w:hAnsi="Times New Roman" w:cs="Times New Roman"/>
          <w:sz w:val="24"/>
          <w:szCs w:val="24"/>
          <w:highlight w:val="white"/>
        </w:rPr>
        <w:t>estudos sobre o comportamento sexual, prevenção de enfermidades e HIV/AIDS. No terceiro, com foco na família, os artigos trataram de assuntos como maternidade e paternidade, desenvolvimento infantil, violência doméstica e processo terapêutico familiar.</w:t>
      </w:r>
    </w:p>
    <w:p w14:paraId="50B66AFB" w14:textId="77777777" w:rsidR="007E74C0" w:rsidRDefault="00EA0911">
      <w:pPr>
        <w:spacing w:line="240" w:lineRule="auto"/>
        <w:ind w:firstLine="720"/>
        <w:jc w:val="both"/>
        <w:rPr>
          <w:rFonts w:ascii="Times New Roman" w:eastAsia="Times New Roman" w:hAnsi="Times New Roman" w:cs="Times New Roman"/>
          <w:sz w:val="24"/>
          <w:szCs w:val="24"/>
        </w:rPr>
      </w:pPr>
      <w:r>
        <w:rPr>
          <w:noProof/>
        </w:rPr>
        <w:lastRenderedPageBreak/>
        <w:drawing>
          <wp:anchor distT="0" distB="0" distL="0" distR="0" simplePos="0" relativeHeight="251658240" behindDoc="0" locked="0" layoutInCell="1" hidden="0" allowOverlap="1" wp14:anchorId="14F6A0DA" wp14:editId="548595E6">
            <wp:simplePos x="0" y="0"/>
            <wp:positionH relativeFrom="column">
              <wp:posOffset>0</wp:posOffset>
            </wp:positionH>
            <wp:positionV relativeFrom="paragraph">
              <wp:posOffset>38100</wp:posOffset>
            </wp:positionV>
            <wp:extent cx="4105275" cy="2061075"/>
            <wp:effectExtent l="0" t="0" r="0" b="0"/>
            <wp:wrapSquare wrapText="bothSides" distT="0" distB="0" distL="0" distR="0"/>
            <wp:docPr id="1" name="image1.png" descr="Points scored"/>
            <wp:cNvGraphicFramePr/>
            <a:graphic xmlns:a="http://schemas.openxmlformats.org/drawingml/2006/main">
              <a:graphicData uri="http://schemas.openxmlformats.org/drawingml/2006/picture">
                <pic:pic xmlns:pic="http://schemas.openxmlformats.org/drawingml/2006/picture">
                  <pic:nvPicPr>
                    <pic:cNvPr id="0" name="image1.png" descr="Points scored"/>
                    <pic:cNvPicPr preferRelativeResize="0"/>
                  </pic:nvPicPr>
                  <pic:blipFill>
                    <a:blip r:embed="rId9"/>
                    <a:srcRect t="12394" r="2104"/>
                    <a:stretch>
                      <a:fillRect/>
                    </a:stretch>
                  </pic:blipFill>
                  <pic:spPr>
                    <a:xfrm>
                      <a:off x="0" y="0"/>
                      <a:ext cx="4105275" cy="2061075"/>
                    </a:xfrm>
                    <a:prstGeom prst="rect">
                      <a:avLst/>
                    </a:prstGeom>
                    <a:ln/>
                  </pic:spPr>
                </pic:pic>
              </a:graphicData>
            </a:graphic>
          </wp:anchor>
        </w:drawing>
      </w:r>
    </w:p>
    <w:p w14:paraId="0132FEA5" w14:textId="77777777" w:rsidR="007E74C0" w:rsidRDefault="00EA091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Resultados</w:t>
      </w:r>
    </w:p>
    <w:p w14:paraId="1C5FC328" w14:textId="77777777" w:rsidR="007E74C0" w:rsidRDefault="007E74C0">
      <w:pPr>
        <w:spacing w:line="240" w:lineRule="auto"/>
        <w:jc w:val="both"/>
        <w:rPr>
          <w:rFonts w:ascii="Times New Roman" w:eastAsia="Times New Roman" w:hAnsi="Times New Roman" w:cs="Times New Roman"/>
          <w:sz w:val="24"/>
          <w:szCs w:val="24"/>
          <w:highlight w:val="white"/>
        </w:rPr>
      </w:pPr>
    </w:p>
    <w:p w14:paraId="20CE8663"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Como primeiro achado, a</w:t>
      </w:r>
      <w:r>
        <w:rPr>
          <w:rFonts w:ascii="Times New Roman" w:eastAsia="Times New Roman" w:hAnsi="Times New Roman" w:cs="Times New Roman"/>
          <w:sz w:val="24"/>
          <w:szCs w:val="24"/>
        </w:rPr>
        <w:t xml:space="preserve"> ocorrência dos descritores nos artigos consta do Gráfico 1, no qual </w:t>
      </w:r>
      <w:r>
        <w:rPr>
          <w:rFonts w:ascii="Times New Roman" w:eastAsia="Times New Roman" w:hAnsi="Times New Roman" w:cs="Times New Roman"/>
          <w:sz w:val="24"/>
          <w:szCs w:val="24"/>
          <w:highlight w:val="white"/>
        </w:rPr>
        <w:t xml:space="preserve">observa-se o aumento no número de artigos a partir dos anos 1990 e sua concentração nas duas últimas décadas, sobretudo a de 2000. </w:t>
      </w:r>
    </w:p>
    <w:p w14:paraId="2E06536D" w14:textId="77777777" w:rsidR="007E74C0" w:rsidRDefault="007E74C0">
      <w:pPr>
        <w:spacing w:line="240" w:lineRule="auto"/>
        <w:jc w:val="both"/>
        <w:rPr>
          <w:rFonts w:ascii="Times New Roman" w:eastAsia="Times New Roman" w:hAnsi="Times New Roman" w:cs="Times New Roman"/>
          <w:sz w:val="24"/>
          <w:szCs w:val="24"/>
        </w:rPr>
      </w:pPr>
    </w:p>
    <w:p w14:paraId="43BB5B6B" w14:textId="77777777" w:rsidR="007E74C0" w:rsidRDefault="00EA091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GRÁFICO 1. Distribuição dos descritores por década.</w:t>
      </w:r>
    </w:p>
    <w:p w14:paraId="05AEFFC3" w14:textId="77777777" w:rsidR="007E74C0" w:rsidRDefault="00EA0911">
      <w:pPr>
        <w:spacing w:line="240" w:lineRule="auto"/>
        <w:ind w:firstLine="708"/>
        <w:jc w:val="both"/>
        <w:rPr>
          <w:rFonts w:ascii="Times New Roman" w:eastAsia="Times New Roman" w:hAnsi="Times New Roman" w:cs="Times New Roman"/>
          <w:sz w:val="24"/>
          <w:szCs w:val="24"/>
          <w:highlight w:val="white"/>
        </w:rPr>
      </w:pPr>
      <w:commentRangeStart w:id="2"/>
      <w:r>
        <w:rPr>
          <w:rFonts w:ascii="Times New Roman" w:eastAsia="Times New Roman" w:hAnsi="Times New Roman" w:cs="Times New Roman"/>
          <w:sz w:val="24"/>
          <w:szCs w:val="24"/>
          <w:highlight w:val="white"/>
        </w:rPr>
        <w:t>Ao</w:t>
      </w:r>
      <w:commentRangeEnd w:id="2"/>
      <w:r w:rsidR="008677AC">
        <w:rPr>
          <w:rStyle w:val="CommentReference"/>
        </w:rPr>
        <w:commentReference w:id="2"/>
      </w:r>
      <w:r>
        <w:rPr>
          <w:rFonts w:ascii="Times New Roman" w:eastAsia="Times New Roman" w:hAnsi="Times New Roman" w:cs="Times New Roman"/>
          <w:sz w:val="24"/>
          <w:szCs w:val="24"/>
          <w:highlight w:val="white"/>
        </w:rPr>
        <w:t xml:space="preserve"> discutir sexualidades, notamos que os descritores sexo e sexua foram observados em quase todas as décadas. Utilizado para contemplar diferentes léxicos, sexua teve maior incidência (45 vezes) entre todos os descritores, sobretudo nas duas últimas décadas (43,3% do período). A produção em torno do descritor gênero também foi alta nesse período, em especial na última década (30,4% da produção), com aumento significativo a partir de sua emergência nos anos 1990.</w:t>
      </w:r>
      <w:r>
        <w:rPr>
          <w:noProof/>
        </w:rPr>
        <w:drawing>
          <wp:anchor distT="57150" distB="57150" distL="57150" distR="57150" simplePos="0" relativeHeight="251659264" behindDoc="0" locked="0" layoutInCell="1" hidden="0" allowOverlap="1" wp14:anchorId="23D47611" wp14:editId="28C23807">
            <wp:simplePos x="0" y="0"/>
            <wp:positionH relativeFrom="column">
              <wp:posOffset>1</wp:posOffset>
            </wp:positionH>
            <wp:positionV relativeFrom="paragraph">
              <wp:posOffset>106892</wp:posOffset>
            </wp:positionV>
            <wp:extent cx="3990975" cy="2376458"/>
            <wp:effectExtent l="0" t="0" r="0" b="0"/>
            <wp:wrapSquare wrapText="bothSides" distT="57150" distB="57150" distL="57150" distR="5715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t="11782" b="4634"/>
                    <a:stretch>
                      <a:fillRect/>
                    </a:stretch>
                  </pic:blipFill>
                  <pic:spPr>
                    <a:xfrm>
                      <a:off x="0" y="0"/>
                      <a:ext cx="3990975" cy="2376458"/>
                    </a:xfrm>
                    <a:prstGeom prst="rect">
                      <a:avLst/>
                    </a:prstGeom>
                    <a:ln/>
                  </pic:spPr>
                </pic:pic>
              </a:graphicData>
            </a:graphic>
          </wp:anchor>
        </w:drawing>
      </w:r>
    </w:p>
    <w:p w14:paraId="25969C94" w14:textId="77777777" w:rsidR="007E74C0" w:rsidRDefault="00EA0911">
      <w:pPr>
        <w:spacing w:line="24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 menor incidência, artigos com o descritor masculinidade só emergem na Revista a partir de 1990, estando concentrado nos anos 2000 (57,1%). Como os demais, o descritor mãe verifica um aumento ao fim do século XX, com pico (42,8%) em 2010. Foi o descritor com a segunda menor ocorrência entre todos (12,2%), perdendo apenas para masculinidade. </w:t>
      </w:r>
    </w:p>
    <w:p w14:paraId="1E01B136" w14:textId="77777777" w:rsidR="007E74C0" w:rsidRDefault="00EA0911">
      <w:pPr>
        <w:spacing w:line="24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Note-se que os anos 2000 são responsáveis por 38,2% e a década de 2010 por 40% dos descritores elencados, o que instiga a compreender quais fenômenos presentes nas sociedades latino-americanas provocaram o interesse crescente por tais temas nas duas últimas décadas. No caso da Revista, sua distribuição após a codificação temática segue descrita no Gráfico 2.</w:t>
      </w:r>
    </w:p>
    <w:p w14:paraId="41F8171E" w14:textId="77777777" w:rsidR="007E74C0" w:rsidRDefault="007E74C0">
      <w:pPr>
        <w:spacing w:line="240" w:lineRule="auto"/>
        <w:jc w:val="both"/>
        <w:rPr>
          <w:rFonts w:ascii="Times New Roman" w:eastAsia="Times New Roman" w:hAnsi="Times New Roman" w:cs="Times New Roman"/>
          <w:sz w:val="24"/>
          <w:szCs w:val="24"/>
          <w:highlight w:val="white"/>
        </w:rPr>
      </w:pPr>
    </w:p>
    <w:p w14:paraId="659BC412" w14:textId="77777777" w:rsidR="007E74C0" w:rsidRDefault="00EA0911">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GRÁFICO 2. Codificação temática por década.</w:t>
      </w:r>
    </w:p>
    <w:p w14:paraId="23BDCF24" w14:textId="77777777" w:rsidR="007E74C0" w:rsidRDefault="00EA0911">
      <w:pPr>
        <w:spacing w:line="240" w:lineRule="auto"/>
        <w:jc w:val="both"/>
        <w:rPr>
          <w:rFonts w:ascii="Times New Roman" w:eastAsia="Times New Roman" w:hAnsi="Times New Roman" w:cs="Times New Roman"/>
          <w:sz w:val="24"/>
          <w:szCs w:val="24"/>
          <w:highlight w:val="white"/>
        </w:rPr>
      </w:pPr>
      <w:r>
        <w:rPr>
          <w:noProof/>
        </w:rPr>
        <w:lastRenderedPageBreak/>
        <w:drawing>
          <wp:anchor distT="0" distB="0" distL="0" distR="0" simplePos="0" relativeHeight="251660288" behindDoc="0" locked="0" layoutInCell="1" hidden="0" allowOverlap="1" wp14:anchorId="3DEC33D1" wp14:editId="298CB983">
            <wp:simplePos x="0" y="0"/>
            <wp:positionH relativeFrom="column">
              <wp:posOffset>-114299</wp:posOffset>
            </wp:positionH>
            <wp:positionV relativeFrom="paragraph">
              <wp:posOffset>135467</wp:posOffset>
            </wp:positionV>
            <wp:extent cx="4105275" cy="2021917"/>
            <wp:effectExtent l="0" t="0" r="0" b="0"/>
            <wp:wrapSquare wrapText="bothSides" distT="0" distB="0" distL="0" distR="0"/>
            <wp:docPr id="3" name="image3.png" descr="Points scored"/>
            <wp:cNvGraphicFramePr/>
            <a:graphic xmlns:a="http://schemas.openxmlformats.org/drawingml/2006/main">
              <a:graphicData uri="http://schemas.openxmlformats.org/drawingml/2006/picture">
                <pic:pic xmlns:pic="http://schemas.openxmlformats.org/drawingml/2006/picture">
                  <pic:nvPicPr>
                    <pic:cNvPr id="0" name="image3.png" descr="Points scored"/>
                    <pic:cNvPicPr preferRelativeResize="0"/>
                  </pic:nvPicPr>
                  <pic:blipFill>
                    <a:blip r:embed="rId9"/>
                    <a:srcRect t="13905" r="2104"/>
                    <a:stretch>
                      <a:fillRect/>
                    </a:stretch>
                  </pic:blipFill>
                  <pic:spPr>
                    <a:xfrm>
                      <a:off x="0" y="0"/>
                      <a:ext cx="4105275" cy="2021917"/>
                    </a:xfrm>
                    <a:prstGeom prst="rect">
                      <a:avLst/>
                    </a:prstGeom>
                    <a:ln/>
                  </pic:spPr>
                </pic:pic>
              </a:graphicData>
            </a:graphic>
          </wp:anchor>
        </w:drawing>
      </w:r>
    </w:p>
    <w:p w14:paraId="43C0616F"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Quanto à produtividade por década, não foram localizados artigos nos anos 1960. Foram encontrados apenas cinco artigos nos Temas 1 e 3 entre 1970 e 1980. O Tema 2, mais afim às questões de saúde e sexualidade, emerge a partir dos anos 1990, quando também entram em ascensão questões abordadas nos outros dois temas - notadamente no Tema 3, que explora relações de gênero e família. </w:t>
      </w:r>
    </w:p>
    <w:p w14:paraId="4666B27F"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Nas décadas de 2000 e 2010, quantidade similar de artigos por períodos foi encontrada nos temas I e II, sendo que o Tema I responde por 43,8% dos artigos analisados. No geral, os temas têm observado uma produção crescente, notadamente nos temas II e III, sugerindo tendências que, talvez, possam ser melhor observadas na próxima década.</w:t>
      </w:r>
    </w:p>
    <w:p w14:paraId="6CDA7D70"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Com relação ao gênero dos autores, atribuído a partir do nome social e da consulta eventual às bases curriculares, notamos o interesse nos temas abordados e uma produção acadêmica entre as pesquisadoras, sobretudo a partir dos anos 1990, quando o grande tema recebe aportes importantes dos movimentos feministas, entre outros, como se verá adiante. </w:t>
      </w:r>
    </w:p>
    <w:p w14:paraId="150B2096" w14:textId="77777777" w:rsidR="007E74C0" w:rsidRDefault="007E74C0">
      <w:pPr>
        <w:spacing w:line="240" w:lineRule="auto"/>
        <w:jc w:val="both"/>
        <w:rPr>
          <w:rFonts w:ascii="Times New Roman" w:eastAsia="Times New Roman" w:hAnsi="Times New Roman" w:cs="Times New Roman"/>
          <w:sz w:val="24"/>
          <w:szCs w:val="24"/>
          <w:highlight w:val="white"/>
        </w:rPr>
      </w:pPr>
    </w:p>
    <w:p w14:paraId="66EDC75F" w14:textId="77777777" w:rsidR="007E74C0" w:rsidRDefault="00EA091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Discussão</w:t>
      </w:r>
    </w:p>
    <w:p w14:paraId="4B068025" w14:textId="77777777" w:rsidR="007E74C0" w:rsidRDefault="007E74C0">
      <w:pPr>
        <w:spacing w:line="240" w:lineRule="auto"/>
        <w:ind w:firstLine="720"/>
        <w:jc w:val="both"/>
        <w:rPr>
          <w:rFonts w:ascii="Times New Roman" w:eastAsia="Times New Roman" w:hAnsi="Times New Roman" w:cs="Times New Roman"/>
          <w:strike/>
          <w:sz w:val="24"/>
          <w:szCs w:val="24"/>
        </w:rPr>
      </w:pPr>
    </w:p>
    <w:p w14:paraId="536EF637"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Como visto, há uma maior ocorrência de certos descritores a partir de determinadas décadas. A literatura sobre o tema apresenta algumas hipóteses para a maior ocorrência de gênero </w:t>
      </w:r>
      <w:r>
        <w:rPr>
          <w:rFonts w:ascii="Times New Roman" w:eastAsia="Times New Roman" w:hAnsi="Times New Roman" w:cs="Times New Roman"/>
          <w:sz w:val="24"/>
          <w:szCs w:val="24"/>
          <w:highlight w:val="white"/>
        </w:rPr>
        <w:t>e sexualidades a partir dos anos 1990, por exemplo, nos artigos revistos, relacionadas sobretudo a movimentos feministas no mundo ocidental (Scott, 1995) e à criação de grupos de estudos sobre o tema, no caso do Brasil (Rago, 1998). C</w:t>
      </w:r>
      <w:r>
        <w:rPr>
          <w:rFonts w:ascii="Times New Roman" w:eastAsia="Times New Roman" w:hAnsi="Times New Roman" w:cs="Times New Roman"/>
          <w:sz w:val="24"/>
          <w:szCs w:val="24"/>
        </w:rPr>
        <w:t xml:space="preserve">onsiderando os saberes “psi” inclusos na Revista, comentaremos adiante os artigos sistematizados nos temas </w:t>
      </w:r>
      <w:r>
        <w:rPr>
          <w:rFonts w:ascii="Times New Roman" w:eastAsia="Times New Roman" w:hAnsi="Times New Roman" w:cs="Times New Roman"/>
          <w:sz w:val="24"/>
          <w:szCs w:val="24"/>
          <w:highlight w:val="white"/>
        </w:rPr>
        <w:t>à luz da literatura atual.</w:t>
      </w:r>
    </w:p>
    <w:p w14:paraId="62E86F99" w14:textId="77777777" w:rsidR="007E74C0" w:rsidRDefault="007E74C0">
      <w:pPr>
        <w:spacing w:line="240" w:lineRule="auto"/>
        <w:jc w:val="both"/>
        <w:rPr>
          <w:rFonts w:ascii="Times New Roman" w:eastAsia="Times New Roman" w:hAnsi="Times New Roman" w:cs="Times New Roman"/>
          <w:sz w:val="24"/>
          <w:szCs w:val="24"/>
          <w:highlight w:val="white"/>
        </w:rPr>
      </w:pPr>
    </w:p>
    <w:p w14:paraId="0A0E35B3" w14:textId="77777777" w:rsidR="007E74C0" w:rsidRDefault="00EA0911">
      <w:pPr>
        <w:spacing w:line="240" w:lineRule="auto"/>
        <w:jc w:val="both"/>
        <w:rPr>
          <w:rFonts w:ascii="Times New Roman" w:eastAsia="Times New Roman" w:hAnsi="Times New Roman" w:cs="Times New Roman"/>
          <w:i/>
          <w:sz w:val="24"/>
          <w:szCs w:val="24"/>
          <w:highlight w:val="white"/>
        </w:rPr>
      </w:pPr>
      <w:r>
        <w:rPr>
          <w:rFonts w:ascii="Times New Roman" w:eastAsia="Times New Roman" w:hAnsi="Times New Roman" w:cs="Times New Roman"/>
          <w:b/>
          <w:sz w:val="24"/>
          <w:szCs w:val="24"/>
        </w:rPr>
        <w:t xml:space="preserve">4.1 Tema 1: </w:t>
      </w:r>
      <w:r>
        <w:rPr>
          <w:rFonts w:ascii="Times New Roman" w:eastAsia="Times New Roman" w:hAnsi="Times New Roman" w:cs="Times New Roman"/>
          <w:b/>
          <w:sz w:val="24"/>
          <w:szCs w:val="24"/>
          <w:highlight w:val="white"/>
        </w:rPr>
        <w:t>O conceito de gênero como estruturante das relações psicossociais</w:t>
      </w:r>
    </w:p>
    <w:p w14:paraId="5E2EC3D5" w14:textId="77777777" w:rsidR="007E74C0" w:rsidRDefault="007E74C0">
      <w:pPr>
        <w:spacing w:line="240" w:lineRule="auto"/>
        <w:jc w:val="both"/>
        <w:rPr>
          <w:rFonts w:ascii="Times New Roman" w:eastAsia="Times New Roman" w:hAnsi="Times New Roman" w:cs="Times New Roman"/>
          <w:sz w:val="24"/>
          <w:szCs w:val="24"/>
          <w:highlight w:val="white"/>
        </w:rPr>
      </w:pPr>
    </w:p>
    <w:p w14:paraId="431B97DF"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Este Tema possui o maior número (35) de artigos e perpassa todas as décadas desta revisão, exceto, os anos 1960. Para os propósitos desta revisão, os artigos foram divididos em quatro</w:t>
      </w:r>
      <w:r>
        <w:rPr>
          <w:rFonts w:ascii="Times New Roman" w:eastAsia="Times New Roman" w:hAnsi="Times New Roman" w:cs="Times New Roman"/>
          <w:color w:val="FF0000"/>
          <w:sz w:val="24"/>
          <w:szCs w:val="24"/>
          <w:highlight w:val="white"/>
        </w:rPr>
        <w:t xml:space="preserve"> </w:t>
      </w:r>
      <w:r>
        <w:rPr>
          <w:rFonts w:ascii="Times New Roman" w:eastAsia="Times New Roman" w:hAnsi="Times New Roman" w:cs="Times New Roman"/>
          <w:sz w:val="24"/>
          <w:szCs w:val="24"/>
          <w:highlight w:val="white"/>
        </w:rPr>
        <w:t>subtemas: a) papéis sexuais e de gênero; b) relações e identidades sexuais e de gênero; c) masculinidades, práticas sexuais e de gênero e d) violências e resistências.</w:t>
      </w:r>
    </w:p>
    <w:p w14:paraId="149E2985" w14:textId="77777777" w:rsidR="007E74C0" w:rsidRDefault="007E74C0">
      <w:pPr>
        <w:spacing w:line="240" w:lineRule="auto"/>
        <w:jc w:val="both"/>
        <w:rPr>
          <w:rFonts w:ascii="Times New Roman" w:eastAsia="Times New Roman" w:hAnsi="Times New Roman" w:cs="Times New Roman"/>
          <w:b/>
          <w:sz w:val="24"/>
          <w:szCs w:val="24"/>
          <w:highlight w:val="white"/>
        </w:rPr>
      </w:pPr>
    </w:p>
    <w:p w14:paraId="12AB8F30" w14:textId="77777777" w:rsidR="007E74C0" w:rsidRDefault="00EA0911">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highlight w:val="white"/>
        </w:rPr>
        <w:t>4.1.1 Papéis sexuais e de gênero</w:t>
      </w:r>
      <w:r>
        <w:rPr>
          <w:rFonts w:ascii="Times New Roman" w:eastAsia="Times New Roman" w:hAnsi="Times New Roman" w:cs="Times New Roman"/>
          <w:sz w:val="24"/>
          <w:szCs w:val="24"/>
          <w:highlight w:val="white"/>
        </w:rPr>
        <w:t>. Remontando aos anos 1970, consiste no único subtema do Tema 1 que antecede aos anos 1990. Apesar da variedade de assuntos e métodos, o enfoque sobre “diferenças sexuais” e “papéis sexuais” nos três artigos dos anos 1970 e 1980 levou à primeira parte do seu nome. A emergência posterior dos estudos de gênero como categoria de análise nos anos 1990, então, completa esse subtema com outros onze artigos (Tabela 1).</w:t>
      </w:r>
    </w:p>
    <w:p w14:paraId="5AA0DCEF" w14:textId="77777777" w:rsidR="007E74C0" w:rsidRDefault="007E74C0">
      <w:pPr>
        <w:spacing w:line="240" w:lineRule="auto"/>
        <w:jc w:val="both"/>
        <w:rPr>
          <w:rFonts w:ascii="Times New Roman" w:eastAsia="Times New Roman" w:hAnsi="Times New Roman" w:cs="Times New Roman"/>
          <w:sz w:val="24"/>
          <w:szCs w:val="24"/>
          <w:highlight w:val="white"/>
        </w:rPr>
      </w:pPr>
    </w:p>
    <w:p w14:paraId="68489503" w14:textId="77777777" w:rsidR="007E74C0" w:rsidRDefault="00EA0911">
      <w:pPr>
        <w:jc w:val="both"/>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sz w:val="24"/>
          <w:szCs w:val="24"/>
        </w:rPr>
        <w:t>TABELA 1. Quadro de artigos - Subtema 1 (Tema 1)</w:t>
      </w:r>
    </w:p>
    <w:tbl>
      <w:tblPr>
        <w:tblStyle w:val="a"/>
        <w:tblW w:w="901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600"/>
        <w:gridCol w:w="765"/>
        <w:gridCol w:w="3315"/>
        <w:gridCol w:w="2250"/>
        <w:gridCol w:w="2085"/>
      </w:tblGrid>
      <w:tr w:rsidR="007E74C0" w14:paraId="26F4C240" w14:textId="77777777">
        <w:trPr>
          <w:trHeight w:val="460"/>
        </w:trPr>
        <w:tc>
          <w:tcPr>
            <w:tcW w:w="1365" w:type="dxa"/>
            <w:gridSpan w:val="2"/>
            <w:tcBorders>
              <w:top w:val="single" w:sz="12" w:space="0" w:color="000000"/>
              <w:bottom w:val="single" w:sz="6" w:space="0" w:color="000000"/>
            </w:tcBorders>
          </w:tcPr>
          <w:p w14:paraId="43898C46"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Revista</w:t>
            </w:r>
          </w:p>
        </w:tc>
        <w:tc>
          <w:tcPr>
            <w:tcW w:w="3315" w:type="dxa"/>
            <w:vMerge w:val="restart"/>
            <w:tcBorders>
              <w:top w:val="single" w:sz="12" w:space="0" w:color="000000"/>
              <w:bottom w:val="single" w:sz="8" w:space="0" w:color="000000"/>
            </w:tcBorders>
            <w:vAlign w:val="center"/>
          </w:tcPr>
          <w:p w14:paraId="0ED740C2"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Pessoa(s) </w:t>
            </w:r>
          </w:p>
          <w:p w14:paraId="72DC1875"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autora(s)</w:t>
            </w:r>
          </w:p>
        </w:tc>
        <w:tc>
          <w:tcPr>
            <w:tcW w:w="2250" w:type="dxa"/>
            <w:vMerge w:val="restart"/>
            <w:tcBorders>
              <w:top w:val="single" w:sz="12" w:space="0" w:color="000000"/>
              <w:left w:val="nil"/>
              <w:bottom w:val="single" w:sz="8" w:space="0" w:color="000000"/>
            </w:tcBorders>
            <w:shd w:val="clear" w:color="auto" w:fill="auto"/>
            <w:tcMar>
              <w:top w:w="100" w:type="dxa"/>
              <w:left w:w="100" w:type="dxa"/>
              <w:bottom w:w="100" w:type="dxa"/>
              <w:right w:w="100" w:type="dxa"/>
            </w:tcMar>
            <w:vAlign w:val="center"/>
          </w:tcPr>
          <w:p w14:paraId="00A33360"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Assunto(s)</w:t>
            </w:r>
          </w:p>
          <w:p w14:paraId="0FF68886"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chave</w:t>
            </w:r>
          </w:p>
        </w:tc>
        <w:tc>
          <w:tcPr>
            <w:tcW w:w="2085" w:type="dxa"/>
            <w:vMerge w:val="restart"/>
            <w:tcBorders>
              <w:top w:val="single" w:sz="12" w:space="0" w:color="000000"/>
              <w:left w:val="nil"/>
              <w:bottom w:val="single" w:sz="8" w:space="0" w:color="000000"/>
            </w:tcBorders>
            <w:shd w:val="clear" w:color="auto" w:fill="auto"/>
            <w:tcMar>
              <w:top w:w="100" w:type="dxa"/>
              <w:left w:w="100" w:type="dxa"/>
              <w:bottom w:w="100" w:type="dxa"/>
              <w:right w:w="100" w:type="dxa"/>
            </w:tcMar>
            <w:vAlign w:val="center"/>
          </w:tcPr>
          <w:p w14:paraId="7FE03B51"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País(es)</w:t>
            </w:r>
          </w:p>
          <w:p w14:paraId="5850986F"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participante(s)</w:t>
            </w:r>
          </w:p>
        </w:tc>
      </w:tr>
      <w:tr w:rsidR="007E74C0" w14:paraId="4129DD63" w14:textId="77777777">
        <w:trPr>
          <w:trHeight w:val="460"/>
        </w:trPr>
        <w:tc>
          <w:tcPr>
            <w:tcW w:w="600" w:type="dxa"/>
            <w:tcBorders>
              <w:top w:val="single" w:sz="6" w:space="0" w:color="000000"/>
              <w:bottom w:val="single" w:sz="12" w:space="0" w:color="000000"/>
              <w:right w:val="nil"/>
            </w:tcBorders>
            <w:shd w:val="clear" w:color="auto" w:fill="auto"/>
            <w:tcMar>
              <w:top w:w="100" w:type="dxa"/>
              <w:left w:w="100" w:type="dxa"/>
              <w:bottom w:w="100" w:type="dxa"/>
              <w:right w:w="100" w:type="dxa"/>
            </w:tcMar>
          </w:tcPr>
          <w:p w14:paraId="16CCE89F" w14:textId="77777777" w:rsidR="007E74C0" w:rsidRDefault="00EA0911">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Ano</w:t>
            </w:r>
          </w:p>
        </w:tc>
        <w:tc>
          <w:tcPr>
            <w:tcW w:w="765" w:type="dxa"/>
            <w:tcBorders>
              <w:top w:val="nil"/>
              <w:left w:val="nil"/>
              <w:bottom w:val="single" w:sz="12" w:space="0" w:color="000000"/>
              <w:right w:val="nil"/>
            </w:tcBorders>
            <w:shd w:val="clear" w:color="auto" w:fill="auto"/>
            <w:tcMar>
              <w:top w:w="100" w:type="dxa"/>
              <w:left w:w="100" w:type="dxa"/>
              <w:bottom w:w="100" w:type="dxa"/>
              <w:right w:w="100" w:type="dxa"/>
            </w:tcMar>
          </w:tcPr>
          <w:p w14:paraId="4E04C74B"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 (n)</w:t>
            </w:r>
          </w:p>
        </w:tc>
        <w:tc>
          <w:tcPr>
            <w:tcW w:w="3315" w:type="dxa"/>
            <w:vMerge/>
            <w:tcBorders>
              <w:top w:val="nil"/>
              <w:left w:val="nil"/>
              <w:bottom w:val="single" w:sz="12" w:space="0" w:color="000000"/>
              <w:right w:val="nil"/>
            </w:tcBorders>
            <w:shd w:val="clear" w:color="auto" w:fill="auto"/>
            <w:tcMar>
              <w:top w:w="100" w:type="dxa"/>
              <w:left w:w="100" w:type="dxa"/>
              <w:bottom w:w="100" w:type="dxa"/>
              <w:right w:w="100" w:type="dxa"/>
            </w:tcMar>
            <w:vAlign w:val="center"/>
          </w:tcPr>
          <w:p w14:paraId="285E768B" w14:textId="77777777" w:rsidR="007E74C0" w:rsidRDefault="007E74C0">
            <w:pPr>
              <w:spacing w:line="240" w:lineRule="auto"/>
              <w:jc w:val="center"/>
              <w:rPr>
                <w:rFonts w:ascii="Times New Roman" w:eastAsia="Times New Roman" w:hAnsi="Times New Roman" w:cs="Times New Roman"/>
                <w:sz w:val="20"/>
                <w:szCs w:val="20"/>
              </w:rPr>
            </w:pPr>
          </w:p>
        </w:tc>
        <w:tc>
          <w:tcPr>
            <w:tcW w:w="2250" w:type="dxa"/>
            <w:vMerge/>
            <w:tcBorders>
              <w:top w:val="nil"/>
              <w:left w:val="nil"/>
              <w:bottom w:val="single" w:sz="12" w:space="0" w:color="000000"/>
              <w:right w:val="nil"/>
            </w:tcBorders>
            <w:shd w:val="clear" w:color="auto" w:fill="auto"/>
            <w:tcMar>
              <w:top w:w="100" w:type="dxa"/>
              <w:left w:w="100" w:type="dxa"/>
              <w:bottom w:w="100" w:type="dxa"/>
              <w:right w:w="100" w:type="dxa"/>
            </w:tcMar>
            <w:vAlign w:val="center"/>
          </w:tcPr>
          <w:p w14:paraId="4AF6745C" w14:textId="77777777" w:rsidR="007E74C0" w:rsidRDefault="007E74C0">
            <w:pPr>
              <w:spacing w:line="240" w:lineRule="auto"/>
              <w:jc w:val="center"/>
              <w:rPr>
                <w:rFonts w:ascii="Times New Roman" w:eastAsia="Times New Roman" w:hAnsi="Times New Roman" w:cs="Times New Roman"/>
                <w:sz w:val="20"/>
                <w:szCs w:val="20"/>
              </w:rPr>
            </w:pPr>
          </w:p>
        </w:tc>
        <w:tc>
          <w:tcPr>
            <w:tcW w:w="2085" w:type="dxa"/>
            <w:vMerge/>
            <w:tcBorders>
              <w:top w:val="nil"/>
              <w:left w:val="nil"/>
              <w:bottom w:val="single" w:sz="12" w:space="0" w:color="000000"/>
              <w:right w:val="nil"/>
            </w:tcBorders>
            <w:shd w:val="clear" w:color="auto" w:fill="auto"/>
            <w:tcMar>
              <w:top w:w="100" w:type="dxa"/>
              <w:left w:w="100" w:type="dxa"/>
              <w:bottom w:w="100" w:type="dxa"/>
              <w:right w:w="100" w:type="dxa"/>
            </w:tcMar>
            <w:vAlign w:val="center"/>
          </w:tcPr>
          <w:p w14:paraId="6BDABA4C" w14:textId="77777777" w:rsidR="007E74C0" w:rsidRDefault="007E74C0">
            <w:pPr>
              <w:spacing w:line="240" w:lineRule="auto"/>
              <w:jc w:val="center"/>
              <w:rPr>
                <w:rFonts w:ascii="Times New Roman" w:eastAsia="Times New Roman" w:hAnsi="Times New Roman" w:cs="Times New Roman"/>
                <w:sz w:val="20"/>
                <w:szCs w:val="20"/>
              </w:rPr>
            </w:pPr>
          </w:p>
        </w:tc>
      </w:tr>
      <w:tr w:rsidR="007E74C0" w14:paraId="2523F248" w14:textId="77777777">
        <w:trPr>
          <w:trHeight w:val="198"/>
        </w:trPr>
        <w:tc>
          <w:tcPr>
            <w:tcW w:w="600" w:type="dxa"/>
            <w:tcBorders>
              <w:top w:val="nil"/>
              <w:left w:val="nil"/>
              <w:bottom w:val="nil"/>
              <w:right w:val="nil"/>
            </w:tcBorders>
            <w:shd w:val="clear" w:color="auto" w:fill="auto"/>
            <w:tcMar>
              <w:top w:w="19" w:type="dxa"/>
              <w:left w:w="19" w:type="dxa"/>
              <w:bottom w:w="19" w:type="dxa"/>
              <w:right w:w="19" w:type="dxa"/>
            </w:tcMar>
            <w:vAlign w:val="center"/>
          </w:tcPr>
          <w:p w14:paraId="7E1EE877"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1970</w:t>
            </w:r>
          </w:p>
        </w:tc>
        <w:tc>
          <w:tcPr>
            <w:tcW w:w="765" w:type="dxa"/>
            <w:tcBorders>
              <w:top w:val="nil"/>
              <w:left w:val="nil"/>
              <w:bottom w:val="nil"/>
              <w:right w:val="nil"/>
            </w:tcBorders>
            <w:shd w:val="clear" w:color="auto" w:fill="auto"/>
            <w:tcMar>
              <w:top w:w="19" w:type="dxa"/>
              <w:left w:w="19" w:type="dxa"/>
              <w:bottom w:w="19" w:type="dxa"/>
              <w:right w:w="19" w:type="dxa"/>
            </w:tcMar>
            <w:vAlign w:val="center"/>
          </w:tcPr>
          <w:p w14:paraId="02C924B4"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p>
        </w:tc>
        <w:tc>
          <w:tcPr>
            <w:tcW w:w="3315" w:type="dxa"/>
            <w:tcBorders>
              <w:top w:val="nil"/>
              <w:left w:val="nil"/>
              <w:bottom w:val="nil"/>
              <w:right w:val="nil"/>
            </w:tcBorders>
            <w:shd w:val="clear" w:color="auto" w:fill="auto"/>
            <w:tcMar>
              <w:top w:w="19" w:type="dxa"/>
              <w:left w:w="19" w:type="dxa"/>
              <w:bottom w:w="19" w:type="dxa"/>
              <w:right w:w="19" w:type="dxa"/>
            </w:tcMar>
            <w:vAlign w:val="center"/>
          </w:tcPr>
          <w:p w14:paraId="7991D073"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Mebane &amp; Johnson</w:t>
            </w:r>
          </w:p>
        </w:tc>
        <w:tc>
          <w:tcPr>
            <w:tcW w:w="2250" w:type="dxa"/>
            <w:tcBorders>
              <w:top w:val="nil"/>
              <w:left w:val="nil"/>
              <w:bottom w:val="nil"/>
              <w:right w:val="nil"/>
            </w:tcBorders>
            <w:shd w:val="clear" w:color="auto" w:fill="auto"/>
            <w:tcMar>
              <w:top w:w="19" w:type="dxa"/>
              <w:left w:w="19" w:type="dxa"/>
              <w:bottom w:w="19" w:type="dxa"/>
              <w:right w:w="19" w:type="dxa"/>
            </w:tcMar>
            <w:vAlign w:val="center"/>
          </w:tcPr>
          <w:p w14:paraId="69F6BB6C"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Diferenças sexuais</w:t>
            </w:r>
          </w:p>
        </w:tc>
        <w:tc>
          <w:tcPr>
            <w:tcW w:w="2085" w:type="dxa"/>
            <w:tcBorders>
              <w:top w:val="nil"/>
              <w:left w:val="nil"/>
              <w:bottom w:val="nil"/>
              <w:right w:val="nil"/>
            </w:tcBorders>
            <w:shd w:val="clear" w:color="auto" w:fill="auto"/>
            <w:tcMar>
              <w:top w:w="19" w:type="dxa"/>
              <w:left w:w="19" w:type="dxa"/>
              <w:bottom w:w="19" w:type="dxa"/>
              <w:right w:w="19" w:type="dxa"/>
            </w:tcMar>
            <w:vAlign w:val="center"/>
          </w:tcPr>
          <w:p w14:paraId="39810184" w14:textId="77777777" w:rsidR="007E74C0" w:rsidRDefault="00EA0911">
            <w:pPr>
              <w:spacing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EUA, México</w:t>
            </w:r>
          </w:p>
        </w:tc>
      </w:tr>
      <w:tr w:rsidR="007E74C0" w14:paraId="6AE220AE" w14:textId="77777777">
        <w:trPr>
          <w:trHeight w:val="198"/>
        </w:trPr>
        <w:tc>
          <w:tcPr>
            <w:tcW w:w="600" w:type="dxa"/>
            <w:tcBorders>
              <w:top w:val="nil"/>
              <w:left w:val="nil"/>
              <w:bottom w:val="nil"/>
              <w:right w:val="nil"/>
            </w:tcBorders>
            <w:shd w:val="clear" w:color="auto" w:fill="BFBFBF"/>
            <w:tcMar>
              <w:top w:w="19" w:type="dxa"/>
              <w:left w:w="19" w:type="dxa"/>
              <w:bottom w:w="19" w:type="dxa"/>
              <w:right w:w="19" w:type="dxa"/>
            </w:tcMar>
            <w:vAlign w:val="center"/>
          </w:tcPr>
          <w:p w14:paraId="6F127903"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1977</w:t>
            </w:r>
          </w:p>
        </w:tc>
        <w:tc>
          <w:tcPr>
            <w:tcW w:w="765" w:type="dxa"/>
            <w:tcBorders>
              <w:top w:val="nil"/>
              <w:left w:val="nil"/>
              <w:bottom w:val="nil"/>
              <w:right w:val="nil"/>
            </w:tcBorders>
            <w:shd w:val="clear" w:color="auto" w:fill="BFBFBF"/>
            <w:tcMar>
              <w:top w:w="19" w:type="dxa"/>
              <w:left w:w="19" w:type="dxa"/>
              <w:bottom w:w="19" w:type="dxa"/>
              <w:right w:w="19" w:type="dxa"/>
            </w:tcMar>
            <w:vAlign w:val="center"/>
          </w:tcPr>
          <w:p w14:paraId="32B96585"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11(2)</w:t>
            </w:r>
          </w:p>
        </w:tc>
        <w:tc>
          <w:tcPr>
            <w:tcW w:w="3315" w:type="dxa"/>
            <w:tcBorders>
              <w:top w:val="nil"/>
              <w:left w:val="nil"/>
              <w:bottom w:val="nil"/>
              <w:right w:val="nil"/>
            </w:tcBorders>
            <w:shd w:val="clear" w:color="auto" w:fill="BFBFBF"/>
            <w:tcMar>
              <w:top w:w="19" w:type="dxa"/>
              <w:left w:w="19" w:type="dxa"/>
              <w:bottom w:w="19" w:type="dxa"/>
              <w:right w:w="19" w:type="dxa"/>
            </w:tcMar>
            <w:vAlign w:val="center"/>
          </w:tcPr>
          <w:p w14:paraId="0D787BDB"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Alencar, Alvim &amp; Matias</w:t>
            </w:r>
          </w:p>
        </w:tc>
        <w:tc>
          <w:tcPr>
            <w:tcW w:w="2250" w:type="dxa"/>
            <w:tcBorders>
              <w:top w:val="nil"/>
              <w:left w:val="nil"/>
              <w:bottom w:val="nil"/>
              <w:right w:val="nil"/>
            </w:tcBorders>
            <w:shd w:val="clear" w:color="auto" w:fill="BFBFBF"/>
            <w:tcMar>
              <w:top w:w="19" w:type="dxa"/>
              <w:left w:w="19" w:type="dxa"/>
              <w:bottom w:w="19" w:type="dxa"/>
              <w:right w:w="19" w:type="dxa"/>
            </w:tcMar>
            <w:vAlign w:val="center"/>
          </w:tcPr>
          <w:p w14:paraId="6234408C"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Papéis sexuais</w:t>
            </w:r>
          </w:p>
        </w:tc>
        <w:tc>
          <w:tcPr>
            <w:tcW w:w="2085" w:type="dxa"/>
            <w:tcBorders>
              <w:top w:val="nil"/>
              <w:left w:val="nil"/>
              <w:bottom w:val="nil"/>
              <w:right w:val="nil"/>
            </w:tcBorders>
            <w:shd w:val="clear" w:color="auto" w:fill="BFBFBF"/>
            <w:tcMar>
              <w:top w:w="19" w:type="dxa"/>
              <w:left w:w="19" w:type="dxa"/>
              <w:bottom w:w="19" w:type="dxa"/>
              <w:right w:w="19" w:type="dxa"/>
            </w:tcMar>
            <w:vAlign w:val="center"/>
          </w:tcPr>
          <w:p w14:paraId="099D1959"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Brasil (BRA)</w:t>
            </w:r>
          </w:p>
        </w:tc>
      </w:tr>
      <w:tr w:rsidR="007E74C0" w14:paraId="18C1D172" w14:textId="77777777">
        <w:trPr>
          <w:trHeight w:val="198"/>
        </w:trPr>
        <w:tc>
          <w:tcPr>
            <w:tcW w:w="600" w:type="dxa"/>
            <w:tcBorders>
              <w:top w:val="nil"/>
              <w:left w:val="nil"/>
              <w:bottom w:val="nil"/>
              <w:right w:val="nil"/>
            </w:tcBorders>
            <w:tcMar>
              <w:top w:w="19" w:type="dxa"/>
              <w:left w:w="19" w:type="dxa"/>
              <w:bottom w:w="19" w:type="dxa"/>
              <w:right w:w="19" w:type="dxa"/>
            </w:tcMar>
            <w:vAlign w:val="center"/>
          </w:tcPr>
          <w:p w14:paraId="000C99A4"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1988</w:t>
            </w:r>
          </w:p>
        </w:tc>
        <w:tc>
          <w:tcPr>
            <w:tcW w:w="765" w:type="dxa"/>
            <w:tcBorders>
              <w:top w:val="nil"/>
              <w:left w:val="nil"/>
              <w:bottom w:val="nil"/>
              <w:right w:val="nil"/>
            </w:tcBorders>
            <w:tcMar>
              <w:top w:w="19" w:type="dxa"/>
              <w:left w:w="19" w:type="dxa"/>
              <w:bottom w:w="19" w:type="dxa"/>
              <w:right w:w="19" w:type="dxa"/>
            </w:tcMar>
            <w:vAlign w:val="center"/>
          </w:tcPr>
          <w:p w14:paraId="7E6EE7BD"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22(1&amp;2)</w:t>
            </w:r>
          </w:p>
        </w:tc>
        <w:tc>
          <w:tcPr>
            <w:tcW w:w="3315" w:type="dxa"/>
            <w:tcBorders>
              <w:top w:val="nil"/>
              <w:left w:val="nil"/>
              <w:bottom w:val="nil"/>
              <w:right w:val="nil"/>
            </w:tcBorders>
            <w:tcMar>
              <w:top w:w="19" w:type="dxa"/>
              <w:left w:w="19" w:type="dxa"/>
              <w:bottom w:w="19" w:type="dxa"/>
              <w:right w:w="19" w:type="dxa"/>
            </w:tcMar>
            <w:vAlign w:val="center"/>
          </w:tcPr>
          <w:p w14:paraId="7FBD4295"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Kashak &amp; Sharatt</w:t>
            </w:r>
          </w:p>
        </w:tc>
        <w:tc>
          <w:tcPr>
            <w:tcW w:w="2250" w:type="dxa"/>
            <w:tcBorders>
              <w:top w:val="nil"/>
              <w:left w:val="nil"/>
              <w:bottom w:val="nil"/>
              <w:right w:val="nil"/>
            </w:tcBorders>
            <w:tcMar>
              <w:top w:w="19" w:type="dxa"/>
              <w:left w:w="19" w:type="dxa"/>
              <w:bottom w:w="19" w:type="dxa"/>
              <w:right w:w="19" w:type="dxa"/>
            </w:tcMar>
            <w:vAlign w:val="center"/>
          </w:tcPr>
          <w:p w14:paraId="1AB03E99"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Papéis sexuais</w:t>
            </w:r>
          </w:p>
        </w:tc>
        <w:tc>
          <w:tcPr>
            <w:tcW w:w="2085" w:type="dxa"/>
            <w:tcBorders>
              <w:top w:val="nil"/>
              <w:left w:val="nil"/>
              <w:bottom w:val="nil"/>
              <w:right w:val="nil"/>
            </w:tcBorders>
            <w:tcMar>
              <w:top w:w="19" w:type="dxa"/>
              <w:left w:w="19" w:type="dxa"/>
              <w:bottom w:w="19" w:type="dxa"/>
              <w:right w:w="19" w:type="dxa"/>
            </w:tcMar>
            <w:vAlign w:val="center"/>
          </w:tcPr>
          <w:p w14:paraId="765E3FC8"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Costa Rica</w:t>
            </w:r>
          </w:p>
        </w:tc>
      </w:tr>
      <w:tr w:rsidR="007E74C0" w14:paraId="4E6BF6B9" w14:textId="77777777">
        <w:trPr>
          <w:trHeight w:val="198"/>
        </w:trPr>
        <w:tc>
          <w:tcPr>
            <w:tcW w:w="600" w:type="dxa"/>
            <w:tcBorders>
              <w:top w:val="nil"/>
              <w:left w:val="nil"/>
              <w:bottom w:val="nil"/>
              <w:right w:val="nil"/>
            </w:tcBorders>
            <w:shd w:val="clear" w:color="auto" w:fill="BFBFBF"/>
            <w:tcMar>
              <w:top w:w="19" w:type="dxa"/>
              <w:left w:w="19" w:type="dxa"/>
              <w:bottom w:w="19" w:type="dxa"/>
              <w:right w:w="19" w:type="dxa"/>
            </w:tcMar>
            <w:vAlign w:val="center"/>
          </w:tcPr>
          <w:p w14:paraId="5E8CCA92"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1994</w:t>
            </w:r>
          </w:p>
        </w:tc>
        <w:tc>
          <w:tcPr>
            <w:tcW w:w="765" w:type="dxa"/>
            <w:tcBorders>
              <w:top w:val="nil"/>
              <w:left w:val="nil"/>
              <w:bottom w:val="nil"/>
              <w:right w:val="nil"/>
            </w:tcBorders>
            <w:shd w:val="clear" w:color="auto" w:fill="BFBFBF"/>
            <w:tcMar>
              <w:top w:w="19" w:type="dxa"/>
              <w:left w:w="19" w:type="dxa"/>
              <w:bottom w:w="19" w:type="dxa"/>
              <w:right w:w="19" w:type="dxa"/>
            </w:tcMar>
            <w:vAlign w:val="center"/>
          </w:tcPr>
          <w:p w14:paraId="5A4419CE"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28(2)</w:t>
            </w:r>
          </w:p>
        </w:tc>
        <w:tc>
          <w:tcPr>
            <w:tcW w:w="3315" w:type="dxa"/>
            <w:tcBorders>
              <w:top w:val="nil"/>
              <w:left w:val="nil"/>
              <w:bottom w:val="nil"/>
              <w:right w:val="nil"/>
            </w:tcBorders>
            <w:shd w:val="clear" w:color="auto" w:fill="BFBFBF"/>
            <w:tcMar>
              <w:top w:w="19" w:type="dxa"/>
              <w:left w:w="19" w:type="dxa"/>
              <w:bottom w:w="19" w:type="dxa"/>
              <w:right w:w="19" w:type="dxa"/>
            </w:tcMar>
            <w:vAlign w:val="center"/>
          </w:tcPr>
          <w:p w14:paraId="019EDAB7"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Acuña, Bruner &amp; Avila</w:t>
            </w:r>
          </w:p>
        </w:tc>
        <w:tc>
          <w:tcPr>
            <w:tcW w:w="2250" w:type="dxa"/>
            <w:tcBorders>
              <w:top w:val="nil"/>
              <w:left w:val="nil"/>
              <w:bottom w:val="nil"/>
              <w:right w:val="nil"/>
            </w:tcBorders>
            <w:shd w:val="clear" w:color="auto" w:fill="BFBFBF"/>
            <w:tcMar>
              <w:top w:w="19" w:type="dxa"/>
              <w:left w:w="19" w:type="dxa"/>
              <w:bottom w:w="19" w:type="dxa"/>
              <w:right w:w="19" w:type="dxa"/>
            </w:tcMar>
            <w:vAlign w:val="center"/>
          </w:tcPr>
          <w:p w14:paraId="46396104"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Papéis sexuais</w:t>
            </w:r>
          </w:p>
        </w:tc>
        <w:tc>
          <w:tcPr>
            <w:tcW w:w="2085" w:type="dxa"/>
            <w:tcBorders>
              <w:top w:val="nil"/>
              <w:left w:val="nil"/>
              <w:bottom w:val="nil"/>
              <w:right w:val="nil"/>
            </w:tcBorders>
            <w:shd w:val="clear" w:color="auto" w:fill="BFBFBF"/>
            <w:tcMar>
              <w:top w:w="19" w:type="dxa"/>
              <w:left w:w="19" w:type="dxa"/>
              <w:bottom w:w="19" w:type="dxa"/>
              <w:right w:w="19" w:type="dxa"/>
            </w:tcMar>
            <w:vAlign w:val="center"/>
          </w:tcPr>
          <w:p w14:paraId="224BBBAF"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r w:rsidR="007E74C0" w14:paraId="4EC24C80" w14:textId="77777777">
        <w:trPr>
          <w:trHeight w:val="198"/>
        </w:trPr>
        <w:tc>
          <w:tcPr>
            <w:tcW w:w="600" w:type="dxa"/>
            <w:tcBorders>
              <w:top w:val="nil"/>
              <w:left w:val="nil"/>
              <w:bottom w:val="nil"/>
              <w:right w:val="nil"/>
            </w:tcBorders>
            <w:tcMar>
              <w:top w:w="19" w:type="dxa"/>
              <w:left w:w="19" w:type="dxa"/>
              <w:bottom w:w="19" w:type="dxa"/>
              <w:right w:w="19" w:type="dxa"/>
            </w:tcMar>
            <w:vAlign w:val="center"/>
          </w:tcPr>
          <w:p w14:paraId="1EE5025B"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765" w:type="dxa"/>
            <w:tcBorders>
              <w:top w:val="nil"/>
              <w:left w:val="nil"/>
              <w:bottom w:val="nil"/>
              <w:right w:val="nil"/>
            </w:tcBorders>
            <w:tcMar>
              <w:top w:w="19" w:type="dxa"/>
              <w:left w:w="19" w:type="dxa"/>
              <w:bottom w:w="19" w:type="dxa"/>
              <w:right w:w="19" w:type="dxa"/>
            </w:tcMar>
            <w:vAlign w:val="center"/>
          </w:tcPr>
          <w:p w14:paraId="52982D28"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29(1)</w:t>
            </w:r>
          </w:p>
        </w:tc>
        <w:tc>
          <w:tcPr>
            <w:tcW w:w="3315" w:type="dxa"/>
            <w:tcBorders>
              <w:top w:val="nil"/>
              <w:left w:val="nil"/>
              <w:bottom w:val="nil"/>
              <w:right w:val="nil"/>
            </w:tcBorders>
            <w:tcMar>
              <w:top w:w="19" w:type="dxa"/>
              <w:left w:w="19" w:type="dxa"/>
              <w:bottom w:w="19" w:type="dxa"/>
              <w:right w:w="19" w:type="dxa"/>
            </w:tcMar>
            <w:vAlign w:val="center"/>
          </w:tcPr>
          <w:p w14:paraId="3309380A"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 Souza &amp; Hutz</w:t>
            </w:r>
          </w:p>
        </w:tc>
        <w:tc>
          <w:tcPr>
            <w:tcW w:w="2250" w:type="dxa"/>
            <w:tcBorders>
              <w:top w:val="nil"/>
              <w:left w:val="nil"/>
              <w:bottom w:val="nil"/>
              <w:right w:val="nil"/>
            </w:tcBorders>
            <w:tcMar>
              <w:top w:w="19" w:type="dxa"/>
              <w:left w:w="19" w:type="dxa"/>
              <w:bottom w:w="19" w:type="dxa"/>
              <w:right w:w="19" w:type="dxa"/>
            </w:tcMar>
            <w:vAlign w:val="center"/>
          </w:tcPr>
          <w:p w14:paraId="03B7AFAD"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Papéis sexuais</w:t>
            </w:r>
          </w:p>
        </w:tc>
        <w:tc>
          <w:tcPr>
            <w:tcW w:w="2085" w:type="dxa"/>
            <w:tcBorders>
              <w:top w:val="nil"/>
              <w:left w:val="nil"/>
              <w:bottom w:val="nil"/>
              <w:right w:val="nil"/>
            </w:tcBorders>
            <w:tcMar>
              <w:top w:w="19" w:type="dxa"/>
              <w:left w:w="19" w:type="dxa"/>
              <w:bottom w:w="19" w:type="dxa"/>
              <w:right w:w="19" w:type="dxa"/>
            </w:tcMar>
            <w:vAlign w:val="center"/>
          </w:tcPr>
          <w:p w14:paraId="38DB43BC"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Brasil (BRA)</w:t>
            </w:r>
          </w:p>
        </w:tc>
      </w:tr>
      <w:tr w:rsidR="007E74C0" w14:paraId="53AAEE60" w14:textId="77777777">
        <w:trPr>
          <w:trHeight w:val="198"/>
        </w:trPr>
        <w:tc>
          <w:tcPr>
            <w:tcW w:w="600" w:type="dxa"/>
            <w:tcBorders>
              <w:top w:val="nil"/>
              <w:left w:val="nil"/>
              <w:bottom w:val="nil"/>
              <w:right w:val="nil"/>
            </w:tcBorders>
            <w:shd w:val="clear" w:color="auto" w:fill="BFBFBF"/>
            <w:tcMar>
              <w:top w:w="19" w:type="dxa"/>
              <w:left w:w="19" w:type="dxa"/>
              <w:bottom w:w="19" w:type="dxa"/>
              <w:right w:w="19" w:type="dxa"/>
            </w:tcMar>
            <w:vAlign w:val="center"/>
          </w:tcPr>
          <w:p w14:paraId="0EFDB61A"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1998</w:t>
            </w:r>
          </w:p>
        </w:tc>
        <w:tc>
          <w:tcPr>
            <w:tcW w:w="765" w:type="dxa"/>
            <w:tcBorders>
              <w:top w:val="nil"/>
              <w:left w:val="nil"/>
              <w:bottom w:val="nil"/>
              <w:right w:val="nil"/>
            </w:tcBorders>
            <w:shd w:val="clear" w:color="auto" w:fill="BFBFBF"/>
            <w:tcMar>
              <w:top w:w="19" w:type="dxa"/>
              <w:left w:w="19" w:type="dxa"/>
              <w:bottom w:w="19" w:type="dxa"/>
              <w:right w:w="19" w:type="dxa"/>
            </w:tcMar>
            <w:vAlign w:val="center"/>
          </w:tcPr>
          <w:p w14:paraId="363FB0A1"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32(2)</w:t>
            </w:r>
          </w:p>
        </w:tc>
        <w:tc>
          <w:tcPr>
            <w:tcW w:w="3315" w:type="dxa"/>
            <w:tcBorders>
              <w:top w:val="nil"/>
              <w:left w:val="nil"/>
              <w:bottom w:val="nil"/>
              <w:right w:val="nil"/>
            </w:tcBorders>
            <w:shd w:val="clear" w:color="auto" w:fill="BFBFBF"/>
            <w:tcMar>
              <w:top w:w="19" w:type="dxa"/>
              <w:left w:w="19" w:type="dxa"/>
              <w:bottom w:w="19" w:type="dxa"/>
              <w:right w:w="19" w:type="dxa"/>
            </w:tcMar>
            <w:vAlign w:val="center"/>
          </w:tcPr>
          <w:p w14:paraId="4467D845"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Krippner, Winkler, Rochlen &amp; Yashar</w:t>
            </w:r>
          </w:p>
        </w:tc>
        <w:tc>
          <w:tcPr>
            <w:tcW w:w="2250" w:type="dxa"/>
            <w:tcBorders>
              <w:top w:val="nil"/>
              <w:left w:val="nil"/>
              <w:bottom w:val="nil"/>
              <w:right w:val="nil"/>
            </w:tcBorders>
            <w:shd w:val="clear" w:color="auto" w:fill="BFBFBF"/>
            <w:tcMar>
              <w:top w:w="19" w:type="dxa"/>
              <w:left w:w="19" w:type="dxa"/>
              <w:bottom w:w="19" w:type="dxa"/>
              <w:right w:w="19" w:type="dxa"/>
            </w:tcMar>
            <w:vAlign w:val="center"/>
          </w:tcPr>
          <w:p w14:paraId="5EE0A95A"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Diferenças de gênero</w:t>
            </w:r>
          </w:p>
        </w:tc>
        <w:tc>
          <w:tcPr>
            <w:tcW w:w="2085" w:type="dxa"/>
            <w:tcBorders>
              <w:top w:val="nil"/>
              <w:left w:val="nil"/>
              <w:bottom w:val="nil"/>
              <w:right w:val="nil"/>
            </w:tcBorders>
            <w:shd w:val="clear" w:color="auto" w:fill="BFBFBF"/>
            <w:tcMar>
              <w:top w:w="19" w:type="dxa"/>
              <w:left w:w="19" w:type="dxa"/>
              <w:bottom w:w="19" w:type="dxa"/>
              <w:right w:w="19" w:type="dxa"/>
            </w:tcMar>
            <w:vAlign w:val="center"/>
          </w:tcPr>
          <w:p w14:paraId="6BCDDD2D"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EUA, Argentina</w:t>
            </w:r>
          </w:p>
        </w:tc>
      </w:tr>
      <w:tr w:rsidR="007E74C0" w14:paraId="415ACDEA" w14:textId="77777777">
        <w:trPr>
          <w:trHeight w:val="198"/>
        </w:trPr>
        <w:tc>
          <w:tcPr>
            <w:tcW w:w="600" w:type="dxa"/>
            <w:tcBorders>
              <w:top w:val="nil"/>
              <w:left w:val="nil"/>
              <w:bottom w:val="nil"/>
              <w:right w:val="nil"/>
            </w:tcBorders>
            <w:tcMar>
              <w:top w:w="19" w:type="dxa"/>
              <w:left w:w="19" w:type="dxa"/>
              <w:bottom w:w="19" w:type="dxa"/>
              <w:right w:w="19" w:type="dxa"/>
            </w:tcMar>
            <w:vAlign w:val="center"/>
          </w:tcPr>
          <w:p w14:paraId="5F87A96C"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1999</w:t>
            </w:r>
          </w:p>
        </w:tc>
        <w:tc>
          <w:tcPr>
            <w:tcW w:w="765" w:type="dxa"/>
            <w:tcBorders>
              <w:top w:val="nil"/>
              <w:left w:val="nil"/>
              <w:bottom w:val="nil"/>
              <w:right w:val="nil"/>
            </w:tcBorders>
            <w:tcMar>
              <w:top w:w="19" w:type="dxa"/>
              <w:left w:w="19" w:type="dxa"/>
              <w:bottom w:w="19" w:type="dxa"/>
              <w:right w:w="19" w:type="dxa"/>
            </w:tcMar>
            <w:vAlign w:val="center"/>
          </w:tcPr>
          <w:p w14:paraId="727B7830"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33(1)</w:t>
            </w:r>
          </w:p>
        </w:tc>
        <w:tc>
          <w:tcPr>
            <w:tcW w:w="3315" w:type="dxa"/>
            <w:tcBorders>
              <w:top w:val="nil"/>
              <w:left w:val="nil"/>
              <w:bottom w:val="nil"/>
              <w:right w:val="nil"/>
            </w:tcBorders>
            <w:tcMar>
              <w:top w:w="19" w:type="dxa"/>
              <w:left w:w="19" w:type="dxa"/>
              <w:bottom w:w="19" w:type="dxa"/>
              <w:right w:w="19" w:type="dxa"/>
            </w:tcMar>
            <w:vAlign w:val="center"/>
          </w:tcPr>
          <w:p w14:paraId="05BEAF1E"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Carlo, Roesch &amp; Koller</w:t>
            </w:r>
          </w:p>
        </w:tc>
        <w:tc>
          <w:tcPr>
            <w:tcW w:w="2250" w:type="dxa"/>
            <w:tcBorders>
              <w:top w:val="nil"/>
              <w:left w:val="nil"/>
              <w:bottom w:val="nil"/>
              <w:right w:val="nil"/>
            </w:tcBorders>
            <w:tcMar>
              <w:top w:w="19" w:type="dxa"/>
              <w:left w:w="19" w:type="dxa"/>
              <w:bottom w:w="19" w:type="dxa"/>
              <w:right w:w="19" w:type="dxa"/>
            </w:tcMar>
            <w:vAlign w:val="center"/>
          </w:tcPr>
          <w:p w14:paraId="7F50D81A"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Papéis de gênero</w:t>
            </w:r>
          </w:p>
        </w:tc>
        <w:tc>
          <w:tcPr>
            <w:tcW w:w="2085" w:type="dxa"/>
            <w:tcBorders>
              <w:top w:val="nil"/>
              <w:left w:val="nil"/>
              <w:bottom w:val="nil"/>
              <w:right w:val="nil"/>
            </w:tcBorders>
            <w:tcMar>
              <w:top w:w="19" w:type="dxa"/>
              <w:left w:w="19" w:type="dxa"/>
              <w:bottom w:w="19" w:type="dxa"/>
              <w:right w:w="19" w:type="dxa"/>
            </w:tcMar>
            <w:vAlign w:val="center"/>
          </w:tcPr>
          <w:p w14:paraId="5B7F6537"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Argentina, BRA, EUA</w:t>
            </w:r>
          </w:p>
        </w:tc>
      </w:tr>
      <w:tr w:rsidR="007E74C0" w14:paraId="2F784F68" w14:textId="77777777">
        <w:trPr>
          <w:trHeight w:val="198"/>
        </w:trPr>
        <w:tc>
          <w:tcPr>
            <w:tcW w:w="600" w:type="dxa"/>
            <w:vMerge w:val="restart"/>
            <w:tcBorders>
              <w:top w:val="nil"/>
              <w:left w:val="nil"/>
              <w:bottom w:val="nil"/>
              <w:right w:val="nil"/>
            </w:tcBorders>
            <w:shd w:val="clear" w:color="auto" w:fill="BFBFBF"/>
            <w:tcMar>
              <w:top w:w="19" w:type="dxa"/>
              <w:left w:w="19" w:type="dxa"/>
              <w:bottom w:w="19" w:type="dxa"/>
              <w:right w:w="19" w:type="dxa"/>
            </w:tcMar>
            <w:vAlign w:val="center"/>
          </w:tcPr>
          <w:p w14:paraId="539A692A"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2001</w:t>
            </w:r>
          </w:p>
        </w:tc>
        <w:tc>
          <w:tcPr>
            <w:tcW w:w="765" w:type="dxa"/>
            <w:vMerge w:val="restart"/>
            <w:tcBorders>
              <w:top w:val="nil"/>
              <w:left w:val="nil"/>
              <w:bottom w:val="nil"/>
              <w:right w:val="nil"/>
            </w:tcBorders>
            <w:shd w:val="clear" w:color="auto" w:fill="BFBFBF"/>
            <w:tcMar>
              <w:top w:w="19" w:type="dxa"/>
              <w:left w:w="19" w:type="dxa"/>
              <w:bottom w:w="19" w:type="dxa"/>
              <w:right w:w="19" w:type="dxa"/>
            </w:tcMar>
            <w:vAlign w:val="center"/>
          </w:tcPr>
          <w:p w14:paraId="65C16452"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35(1)</w:t>
            </w:r>
          </w:p>
        </w:tc>
        <w:tc>
          <w:tcPr>
            <w:tcW w:w="3315" w:type="dxa"/>
            <w:tcBorders>
              <w:top w:val="nil"/>
              <w:left w:val="nil"/>
              <w:bottom w:val="nil"/>
              <w:right w:val="nil"/>
            </w:tcBorders>
            <w:shd w:val="clear" w:color="auto" w:fill="BFBFBF"/>
            <w:tcMar>
              <w:top w:w="19" w:type="dxa"/>
              <w:left w:w="19" w:type="dxa"/>
              <w:bottom w:w="19" w:type="dxa"/>
              <w:right w:w="19" w:type="dxa"/>
            </w:tcMar>
            <w:vAlign w:val="center"/>
          </w:tcPr>
          <w:p w14:paraId="4732857D"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Baldwin &amp; De Souza</w:t>
            </w:r>
          </w:p>
        </w:tc>
        <w:tc>
          <w:tcPr>
            <w:tcW w:w="2250" w:type="dxa"/>
            <w:tcBorders>
              <w:top w:val="nil"/>
              <w:left w:val="nil"/>
              <w:bottom w:val="nil"/>
              <w:right w:val="nil"/>
            </w:tcBorders>
            <w:shd w:val="clear" w:color="auto" w:fill="BFBFBF"/>
            <w:tcMar>
              <w:top w:w="19" w:type="dxa"/>
              <w:left w:w="19" w:type="dxa"/>
              <w:bottom w:w="19" w:type="dxa"/>
              <w:right w:w="19" w:type="dxa"/>
            </w:tcMar>
            <w:vAlign w:val="center"/>
          </w:tcPr>
          <w:p w14:paraId="7837F53B"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Papéis de gênero</w:t>
            </w:r>
          </w:p>
        </w:tc>
        <w:tc>
          <w:tcPr>
            <w:tcW w:w="2085" w:type="dxa"/>
            <w:tcBorders>
              <w:top w:val="nil"/>
              <w:left w:val="nil"/>
              <w:bottom w:val="nil"/>
              <w:right w:val="nil"/>
            </w:tcBorders>
            <w:shd w:val="clear" w:color="auto" w:fill="BFBFBF"/>
            <w:tcMar>
              <w:top w:w="19" w:type="dxa"/>
              <w:left w:w="19" w:type="dxa"/>
              <w:bottom w:w="19" w:type="dxa"/>
              <w:right w:w="19" w:type="dxa"/>
            </w:tcMar>
            <w:vAlign w:val="center"/>
          </w:tcPr>
          <w:p w14:paraId="15C7DD0F"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Brasil</w:t>
            </w:r>
          </w:p>
        </w:tc>
      </w:tr>
      <w:tr w:rsidR="007E74C0" w14:paraId="7E759A8C" w14:textId="77777777">
        <w:trPr>
          <w:trHeight w:val="198"/>
        </w:trPr>
        <w:tc>
          <w:tcPr>
            <w:tcW w:w="600" w:type="dxa"/>
            <w:vMerge/>
            <w:tcBorders>
              <w:top w:val="nil"/>
              <w:left w:val="nil"/>
              <w:bottom w:val="nil"/>
              <w:right w:val="nil"/>
            </w:tcBorders>
            <w:shd w:val="clear" w:color="auto" w:fill="BFBFBF"/>
            <w:tcMar>
              <w:top w:w="19" w:type="dxa"/>
              <w:left w:w="19" w:type="dxa"/>
              <w:bottom w:w="19" w:type="dxa"/>
              <w:right w:w="19" w:type="dxa"/>
            </w:tcMar>
            <w:vAlign w:val="center"/>
          </w:tcPr>
          <w:p w14:paraId="358B2325" w14:textId="77777777" w:rsidR="007E74C0" w:rsidRDefault="007E74C0">
            <w:pPr>
              <w:spacing w:line="240" w:lineRule="auto"/>
              <w:jc w:val="both"/>
              <w:rPr>
                <w:rFonts w:ascii="Times New Roman" w:eastAsia="Times New Roman" w:hAnsi="Times New Roman" w:cs="Times New Roman"/>
                <w:sz w:val="20"/>
                <w:szCs w:val="20"/>
              </w:rPr>
            </w:pPr>
          </w:p>
        </w:tc>
        <w:tc>
          <w:tcPr>
            <w:tcW w:w="765" w:type="dxa"/>
            <w:vMerge/>
            <w:tcBorders>
              <w:top w:val="nil"/>
              <w:left w:val="nil"/>
              <w:bottom w:val="nil"/>
              <w:right w:val="nil"/>
            </w:tcBorders>
            <w:shd w:val="clear" w:color="auto" w:fill="BFBFBF"/>
            <w:tcMar>
              <w:top w:w="19" w:type="dxa"/>
              <w:left w:w="19" w:type="dxa"/>
              <w:bottom w:w="19" w:type="dxa"/>
              <w:right w:w="19" w:type="dxa"/>
            </w:tcMar>
            <w:vAlign w:val="center"/>
          </w:tcPr>
          <w:p w14:paraId="35D01E87" w14:textId="77777777" w:rsidR="007E74C0" w:rsidRDefault="007E74C0">
            <w:pPr>
              <w:spacing w:line="240" w:lineRule="auto"/>
              <w:jc w:val="center"/>
              <w:rPr>
                <w:rFonts w:ascii="Times New Roman" w:eastAsia="Times New Roman" w:hAnsi="Times New Roman" w:cs="Times New Roman"/>
                <w:sz w:val="20"/>
                <w:szCs w:val="20"/>
              </w:rPr>
            </w:pPr>
          </w:p>
        </w:tc>
        <w:tc>
          <w:tcPr>
            <w:tcW w:w="3315" w:type="dxa"/>
            <w:tcBorders>
              <w:top w:val="nil"/>
              <w:left w:val="nil"/>
              <w:bottom w:val="nil"/>
              <w:right w:val="nil"/>
            </w:tcBorders>
            <w:shd w:val="clear" w:color="auto" w:fill="BFBFBF"/>
            <w:tcMar>
              <w:top w:w="19" w:type="dxa"/>
              <w:left w:w="19" w:type="dxa"/>
              <w:bottom w:w="19" w:type="dxa"/>
              <w:right w:w="19" w:type="dxa"/>
            </w:tcMar>
            <w:vAlign w:val="center"/>
          </w:tcPr>
          <w:p w14:paraId="0C3003F4"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Acuña &amp; Bruner</w:t>
            </w:r>
          </w:p>
        </w:tc>
        <w:tc>
          <w:tcPr>
            <w:tcW w:w="2250" w:type="dxa"/>
            <w:tcBorders>
              <w:top w:val="nil"/>
              <w:left w:val="nil"/>
              <w:bottom w:val="nil"/>
              <w:right w:val="nil"/>
            </w:tcBorders>
            <w:shd w:val="clear" w:color="auto" w:fill="BFBFBF"/>
            <w:tcMar>
              <w:top w:w="19" w:type="dxa"/>
              <w:left w:w="19" w:type="dxa"/>
              <w:bottom w:w="19" w:type="dxa"/>
              <w:right w:w="19" w:type="dxa"/>
            </w:tcMar>
            <w:vAlign w:val="center"/>
          </w:tcPr>
          <w:p w14:paraId="29145220"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Papéis sexuais</w:t>
            </w:r>
          </w:p>
        </w:tc>
        <w:tc>
          <w:tcPr>
            <w:tcW w:w="2085" w:type="dxa"/>
            <w:tcBorders>
              <w:top w:val="nil"/>
              <w:left w:val="nil"/>
              <w:bottom w:val="nil"/>
              <w:right w:val="nil"/>
            </w:tcBorders>
            <w:shd w:val="clear" w:color="auto" w:fill="BFBFBF"/>
            <w:tcMar>
              <w:top w:w="19" w:type="dxa"/>
              <w:left w:w="19" w:type="dxa"/>
              <w:bottom w:w="19" w:type="dxa"/>
              <w:right w:w="19" w:type="dxa"/>
            </w:tcMar>
            <w:vAlign w:val="center"/>
          </w:tcPr>
          <w:p w14:paraId="0B9F6F18"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r w:rsidR="007E74C0" w14:paraId="70632068" w14:textId="77777777">
        <w:trPr>
          <w:trHeight w:val="198"/>
        </w:trPr>
        <w:tc>
          <w:tcPr>
            <w:tcW w:w="600" w:type="dxa"/>
            <w:tcBorders>
              <w:top w:val="nil"/>
              <w:left w:val="nil"/>
              <w:bottom w:val="single" w:sz="12" w:space="0" w:color="000000"/>
              <w:right w:val="nil"/>
            </w:tcBorders>
            <w:tcMar>
              <w:top w:w="19" w:type="dxa"/>
              <w:left w:w="19" w:type="dxa"/>
              <w:bottom w:w="19" w:type="dxa"/>
              <w:right w:w="19" w:type="dxa"/>
            </w:tcMar>
            <w:vAlign w:val="center"/>
          </w:tcPr>
          <w:p w14:paraId="00B6DADC"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2009</w:t>
            </w:r>
          </w:p>
        </w:tc>
        <w:tc>
          <w:tcPr>
            <w:tcW w:w="765" w:type="dxa"/>
            <w:tcBorders>
              <w:top w:val="nil"/>
              <w:left w:val="nil"/>
              <w:bottom w:val="single" w:sz="12" w:space="0" w:color="000000"/>
              <w:right w:val="nil"/>
            </w:tcBorders>
            <w:tcMar>
              <w:top w:w="19" w:type="dxa"/>
              <w:left w:w="19" w:type="dxa"/>
              <w:bottom w:w="19" w:type="dxa"/>
              <w:right w:w="19" w:type="dxa"/>
            </w:tcMar>
            <w:vAlign w:val="center"/>
          </w:tcPr>
          <w:p w14:paraId="01F6CFEA"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43(3)</w:t>
            </w:r>
          </w:p>
        </w:tc>
        <w:tc>
          <w:tcPr>
            <w:tcW w:w="3315" w:type="dxa"/>
            <w:tcBorders>
              <w:top w:val="nil"/>
              <w:left w:val="nil"/>
              <w:bottom w:val="single" w:sz="12" w:space="0" w:color="000000"/>
              <w:right w:val="nil"/>
            </w:tcBorders>
            <w:tcMar>
              <w:top w:w="19" w:type="dxa"/>
              <w:left w:w="19" w:type="dxa"/>
              <w:bottom w:w="19" w:type="dxa"/>
              <w:right w:w="19" w:type="dxa"/>
            </w:tcMar>
            <w:vAlign w:val="center"/>
          </w:tcPr>
          <w:p w14:paraId="7492FB01"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Cárdenas, González, Calderón &amp; Lay</w:t>
            </w:r>
          </w:p>
        </w:tc>
        <w:tc>
          <w:tcPr>
            <w:tcW w:w="2250" w:type="dxa"/>
            <w:tcBorders>
              <w:top w:val="nil"/>
              <w:left w:val="nil"/>
              <w:bottom w:val="single" w:sz="12" w:space="0" w:color="000000"/>
              <w:right w:val="nil"/>
            </w:tcBorders>
            <w:tcMar>
              <w:top w:w="19" w:type="dxa"/>
              <w:left w:w="19" w:type="dxa"/>
              <w:bottom w:w="19" w:type="dxa"/>
              <w:right w:w="19" w:type="dxa"/>
            </w:tcMar>
            <w:vAlign w:val="center"/>
          </w:tcPr>
          <w:p w14:paraId="45B44724"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Papéis sexuais</w:t>
            </w:r>
          </w:p>
        </w:tc>
        <w:tc>
          <w:tcPr>
            <w:tcW w:w="2085" w:type="dxa"/>
            <w:tcBorders>
              <w:top w:val="nil"/>
              <w:left w:val="nil"/>
              <w:bottom w:val="single" w:sz="12" w:space="0" w:color="000000"/>
              <w:right w:val="nil"/>
            </w:tcBorders>
            <w:tcMar>
              <w:top w:w="19" w:type="dxa"/>
              <w:left w:w="19" w:type="dxa"/>
              <w:bottom w:w="19" w:type="dxa"/>
              <w:right w:w="19" w:type="dxa"/>
            </w:tcMar>
            <w:vAlign w:val="center"/>
          </w:tcPr>
          <w:p w14:paraId="3019FF47"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Chile</w:t>
            </w:r>
          </w:p>
        </w:tc>
      </w:tr>
    </w:tbl>
    <w:p w14:paraId="25DF18EA" w14:textId="77777777" w:rsidR="007E74C0" w:rsidRDefault="007E74C0">
      <w:pPr>
        <w:spacing w:line="240" w:lineRule="auto"/>
        <w:jc w:val="both"/>
        <w:rPr>
          <w:rFonts w:ascii="Times New Roman" w:eastAsia="Times New Roman" w:hAnsi="Times New Roman" w:cs="Times New Roman"/>
          <w:b/>
          <w:sz w:val="24"/>
          <w:szCs w:val="24"/>
          <w:highlight w:val="white"/>
        </w:rPr>
      </w:pPr>
    </w:p>
    <w:p w14:paraId="7ACB8878" w14:textId="77777777" w:rsidR="007E74C0" w:rsidRDefault="00EA091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rPr>
        <w:t>Na década de 1970, apenas crianças participaram nos dois artigos aqui elencados. No primeiro meninos e meninas dos Estados Unidos da América (EUA) e México fizeram parte de um estudo psicométrico comparado das suas habilidades cognitivas (IJP, 1970). No segundo, crianças do Brasil auxiliaram estudo sobre a relação entre sexo, classe, desempenho e atração por brinquedos (IJP, 1977). Na década seguinte, o público-alvo do artigo encontrado muda: desta vez, estudantes da Costa Rica participam de um estudo sobre papéis sexuais nos EUA (IJP, 1988). O termo gênero ainda não aparece nesse artigo.</w:t>
      </w:r>
    </w:p>
    <w:p w14:paraId="6D3F5E06"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década de 1990, então, encontramos mais quatro artigos nesse subtema: um sobre papéis sexuais e sua relação com a classe social no México (IJP, 1994); um inventário de respostas a estímulos sexuais e sua relação com o grau de identificação do participante com certos papéis sexuais e o seu sexo (IJP, 1995); um sobre diferenças de gênero e origem nos sonhos de participantes da Argentina, do Brasil e Estados Unidos (IJP, 1998) e um sobre diferenças e semelhanças no raciocínio moral pró-social de crianças e adolescentes nos EUA e no Brasil quanto à nacionalidade e ao gênero (IJP, 1999). Esses primeiros usos de gênero, por vezes, ocorrem como um sinônimo de sexo, tal como utilizado nas décadas anteriores.</w:t>
      </w:r>
    </w:p>
    <w:p w14:paraId="330704E4"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início deste século, ainda há artigos sobre papéis sexuais, como no estudo comparado entre estereótipos desses papéis no México e nos Estados (IJP, 2001) ou no estudo psicométrico que aplicou inventário acerca desses papéis no Chile (IJP, 2009). Ainda assim, emergem outros fatores, como história, trabalho/economia, religião e outros, como em um ensaio teórico sobre papéis de gênero e sua relação com o “marianismo” no Brasil (IJP, 2001). </w:t>
      </w:r>
    </w:p>
    <w:p w14:paraId="2F536A48"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Acerca do fim parcialmente abrupto desse subtema em meados da década passada, parece cabível a crítica de Connell (1995), para quem os conceitos de papéis sexuais nas Ciências Sociais dificultariam a compreensão das relações de gênero como relações de poder, o que seria, a seu ver: “. . . minimizar a violência, suprimir a questão da coerção, fazendo uma suposição ampla de consentimento” (</w:t>
      </w:r>
      <w:r>
        <w:rPr>
          <w:rFonts w:ascii="Times New Roman" w:eastAsia="Times New Roman" w:hAnsi="Times New Roman" w:cs="Times New Roman"/>
          <w:i/>
          <w:sz w:val="24"/>
          <w:szCs w:val="24"/>
        </w:rPr>
        <w:t>Op. cit</w:t>
      </w:r>
      <w:r>
        <w:rPr>
          <w:rFonts w:ascii="Times New Roman" w:eastAsia="Times New Roman" w:hAnsi="Times New Roman" w:cs="Times New Roman"/>
          <w:sz w:val="24"/>
          <w:szCs w:val="24"/>
        </w:rPr>
        <w:t xml:space="preserve">., p. 27). </w:t>
      </w:r>
    </w:p>
    <w:p w14:paraId="2E2122A0" w14:textId="77777777" w:rsidR="007E74C0" w:rsidRDefault="007E74C0">
      <w:pPr>
        <w:spacing w:line="240" w:lineRule="auto"/>
        <w:jc w:val="both"/>
        <w:rPr>
          <w:rFonts w:ascii="Times New Roman" w:eastAsia="Times New Roman" w:hAnsi="Times New Roman" w:cs="Times New Roman"/>
          <w:sz w:val="24"/>
          <w:szCs w:val="24"/>
        </w:rPr>
      </w:pPr>
    </w:p>
    <w:p w14:paraId="483A1F21" w14:textId="77777777" w:rsidR="007E74C0" w:rsidRDefault="00EA091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highlight w:val="white"/>
        </w:rPr>
        <w:t xml:space="preserve">4.1.2 </w:t>
      </w:r>
      <w:r>
        <w:rPr>
          <w:rFonts w:ascii="Times New Roman" w:eastAsia="Times New Roman" w:hAnsi="Times New Roman" w:cs="Times New Roman"/>
          <w:b/>
          <w:i/>
          <w:sz w:val="24"/>
          <w:szCs w:val="24"/>
        </w:rPr>
        <w:t>Relações e identidades sexuais e de gênero</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Nesse subtema, que emerge a partir de 1990, há artigos sobre relações de gênero, identidades de gênero e sexo, bem como sexismos, aí incluindo atitudes, preconceitos e estereótipos de gênero e sexualidades (Tabela 2).</w:t>
      </w:r>
    </w:p>
    <w:p w14:paraId="78C90801" w14:textId="77777777" w:rsidR="007E74C0" w:rsidRDefault="007E74C0">
      <w:pPr>
        <w:spacing w:line="240" w:lineRule="auto"/>
        <w:jc w:val="both"/>
        <w:rPr>
          <w:rFonts w:ascii="Times New Roman" w:eastAsia="Times New Roman" w:hAnsi="Times New Roman" w:cs="Times New Roman"/>
          <w:sz w:val="24"/>
          <w:szCs w:val="24"/>
        </w:rPr>
      </w:pPr>
    </w:p>
    <w:p w14:paraId="53451875" w14:textId="77777777" w:rsidR="007E74C0" w:rsidRDefault="00EA0911">
      <w:pPr>
        <w:jc w:val="both"/>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sz w:val="24"/>
          <w:szCs w:val="24"/>
        </w:rPr>
        <w:t>TABELA 2. Quadro de artigos - Subtema 2 (Tema 1)</w:t>
      </w:r>
    </w:p>
    <w:tbl>
      <w:tblPr>
        <w:tblStyle w:val="a0"/>
        <w:tblW w:w="904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555"/>
        <w:gridCol w:w="660"/>
        <w:gridCol w:w="4005"/>
        <w:gridCol w:w="2325"/>
        <w:gridCol w:w="1500"/>
      </w:tblGrid>
      <w:tr w:rsidR="007E74C0" w14:paraId="0B226FDB" w14:textId="77777777">
        <w:trPr>
          <w:trHeight w:val="226"/>
        </w:trPr>
        <w:tc>
          <w:tcPr>
            <w:tcW w:w="1215" w:type="dxa"/>
            <w:gridSpan w:val="2"/>
            <w:tcBorders>
              <w:top w:val="single" w:sz="12" w:space="0" w:color="000000"/>
              <w:bottom w:val="single" w:sz="6" w:space="0" w:color="000000"/>
            </w:tcBorders>
          </w:tcPr>
          <w:p w14:paraId="1CC8115B"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Revista</w:t>
            </w:r>
          </w:p>
        </w:tc>
        <w:tc>
          <w:tcPr>
            <w:tcW w:w="4005" w:type="dxa"/>
            <w:vMerge w:val="restart"/>
            <w:tcBorders>
              <w:top w:val="single" w:sz="12" w:space="0" w:color="000000"/>
              <w:bottom w:val="single" w:sz="8" w:space="0" w:color="000000"/>
            </w:tcBorders>
            <w:vAlign w:val="center"/>
          </w:tcPr>
          <w:p w14:paraId="424E8329"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Pessoa(s)</w:t>
            </w:r>
          </w:p>
          <w:p w14:paraId="590A9116"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autora(s)</w:t>
            </w:r>
          </w:p>
        </w:tc>
        <w:tc>
          <w:tcPr>
            <w:tcW w:w="2325" w:type="dxa"/>
            <w:vMerge w:val="restart"/>
            <w:tcBorders>
              <w:top w:val="single" w:sz="12" w:space="0" w:color="000000"/>
              <w:left w:val="nil"/>
              <w:bottom w:val="single" w:sz="8" w:space="0" w:color="000000"/>
            </w:tcBorders>
            <w:shd w:val="clear" w:color="auto" w:fill="auto"/>
            <w:tcMar>
              <w:top w:w="100" w:type="dxa"/>
              <w:left w:w="100" w:type="dxa"/>
              <w:bottom w:w="100" w:type="dxa"/>
              <w:right w:w="100" w:type="dxa"/>
            </w:tcMar>
            <w:vAlign w:val="center"/>
          </w:tcPr>
          <w:p w14:paraId="056CE6FE"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Assunto(s)</w:t>
            </w:r>
          </w:p>
          <w:p w14:paraId="3DE64443"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chave</w:t>
            </w:r>
          </w:p>
        </w:tc>
        <w:tc>
          <w:tcPr>
            <w:tcW w:w="1500" w:type="dxa"/>
            <w:vMerge w:val="restart"/>
            <w:tcBorders>
              <w:top w:val="single" w:sz="12" w:space="0" w:color="000000"/>
              <w:left w:val="nil"/>
              <w:bottom w:val="single" w:sz="8" w:space="0" w:color="000000"/>
            </w:tcBorders>
            <w:shd w:val="clear" w:color="auto" w:fill="auto"/>
            <w:tcMar>
              <w:top w:w="100" w:type="dxa"/>
              <w:left w:w="100" w:type="dxa"/>
              <w:bottom w:w="100" w:type="dxa"/>
              <w:right w:w="100" w:type="dxa"/>
            </w:tcMar>
            <w:vAlign w:val="center"/>
          </w:tcPr>
          <w:p w14:paraId="45D59BB3"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País(es)</w:t>
            </w:r>
          </w:p>
          <w:p w14:paraId="2EC3084E"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participante(s)</w:t>
            </w:r>
          </w:p>
        </w:tc>
      </w:tr>
      <w:tr w:rsidR="007E74C0" w14:paraId="04D279DB" w14:textId="77777777">
        <w:trPr>
          <w:trHeight w:val="226"/>
        </w:trPr>
        <w:tc>
          <w:tcPr>
            <w:tcW w:w="555" w:type="dxa"/>
            <w:tcBorders>
              <w:top w:val="single" w:sz="6" w:space="0" w:color="000000"/>
              <w:bottom w:val="single" w:sz="12" w:space="0" w:color="000000"/>
              <w:right w:val="nil"/>
            </w:tcBorders>
            <w:shd w:val="clear" w:color="auto" w:fill="auto"/>
            <w:tcMar>
              <w:top w:w="100" w:type="dxa"/>
              <w:left w:w="100" w:type="dxa"/>
              <w:bottom w:w="100" w:type="dxa"/>
              <w:right w:w="100" w:type="dxa"/>
            </w:tcMar>
          </w:tcPr>
          <w:p w14:paraId="4329DE07" w14:textId="77777777" w:rsidR="007E74C0" w:rsidRDefault="00EA0911">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Ano</w:t>
            </w:r>
          </w:p>
        </w:tc>
        <w:tc>
          <w:tcPr>
            <w:tcW w:w="660" w:type="dxa"/>
            <w:tcBorders>
              <w:top w:val="nil"/>
              <w:left w:val="nil"/>
              <w:bottom w:val="single" w:sz="12" w:space="0" w:color="000000"/>
              <w:right w:val="nil"/>
            </w:tcBorders>
            <w:shd w:val="clear" w:color="auto" w:fill="auto"/>
            <w:tcMar>
              <w:top w:w="100" w:type="dxa"/>
              <w:left w:w="100" w:type="dxa"/>
              <w:bottom w:w="100" w:type="dxa"/>
              <w:right w:w="100" w:type="dxa"/>
            </w:tcMar>
          </w:tcPr>
          <w:p w14:paraId="38379899"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 (n)</w:t>
            </w:r>
          </w:p>
        </w:tc>
        <w:tc>
          <w:tcPr>
            <w:tcW w:w="4005" w:type="dxa"/>
            <w:vMerge/>
            <w:tcBorders>
              <w:top w:val="nil"/>
              <w:left w:val="nil"/>
              <w:bottom w:val="single" w:sz="12" w:space="0" w:color="000000"/>
              <w:right w:val="nil"/>
            </w:tcBorders>
            <w:shd w:val="clear" w:color="auto" w:fill="auto"/>
            <w:tcMar>
              <w:top w:w="100" w:type="dxa"/>
              <w:left w:w="100" w:type="dxa"/>
              <w:bottom w:w="100" w:type="dxa"/>
              <w:right w:w="100" w:type="dxa"/>
            </w:tcMar>
            <w:vAlign w:val="center"/>
          </w:tcPr>
          <w:p w14:paraId="47E5E831" w14:textId="77777777" w:rsidR="007E74C0" w:rsidRDefault="007E74C0">
            <w:pPr>
              <w:spacing w:line="240" w:lineRule="auto"/>
              <w:jc w:val="center"/>
              <w:rPr>
                <w:rFonts w:ascii="Times New Roman" w:eastAsia="Times New Roman" w:hAnsi="Times New Roman" w:cs="Times New Roman"/>
                <w:sz w:val="20"/>
                <w:szCs w:val="20"/>
              </w:rPr>
            </w:pPr>
          </w:p>
        </w:tc>
        <w:tc>
          <w:tcPr>
            <w:tcW w:w="2325" w:type="dxa"/>
            <w:vMerge/>
            <w:tcBorders>
              <w:top w:val="nil"/>
              <w:left w:val="nil"/>
              <w:bottom w:val="single" w:sz="12" w:space="0" w:color="000000"/>
              <w:right w:val="nil"/>
            </w:tcBorders>
            <w:shd w:val="clear" w:color="auto" w:fill="auto"/>
            <w:tcMar>
              <w:top w:w="100" w:type="dxa"/>
              <w:left w:w="100" w:type="dxa"/>
              <w:bottom w:w="100" w:type="dxa"/>
              <w:right w:w="100" w:type="dxa"/>
            </w:tcMar>
            <w:vAlign w:val="center"/>
          </w:tcPr>
          <w:p w14:paraId="5A098BFF" w14:textId="77777777" w:rsidR="007E74C0" w:rsidRDefault="007E74C0">
            <w:pPr>
              <w:spacing w:line="240" w:lineRule="auto"/>
              <w:jc w:val="center"/>
              <w:rPr>
                <w:rFonts w:ascii="Times New Roman" w:eastAsia="Times New Roman" w:hAnsi="Times New Roman" w:cs="Times New Roman"/>
                <w:sz w:val="20"/>
                <w:szCs w:val="20"/>
              </w:rPr>
            </w:pPr>
          </w:p>
        </w:tc>
        <w:tc>
          <w:tcPr>
            <w:tcW w:w="1500" w:type="dxa"/>
            <w:vMerge/>
            <w:tcBorders>
              <w:top w:val="nil"/>
              <w:left w:val="nil"/>
              <w:bottom w:val="single" w:sz="12" w:space="0" w:color="000000"/>
              <w:right w:val="nil"/>
            </w:tcBorders>
            <w:shd w:val="clear" w:color="auto" w:fill="auto"/>
            <w:tcMar>
              <w:top w:w="100" w:type="dxa"/>
              <w:left w:w="100" w:type="dxa"/>
              <w:bottom w:w="100" w:type="dxa"/>
              <w:right w:w="100" w:type="dxa"/>
            </w:tcMar>
            <w:vAlign w:val="center"/>
          </w:tcPr>
          <w:p w14:paraId="3B4C9A91" w14:textId="77777777" w:rsidR="007E74C0" w:rsidRDefault="007E74C0">
            <w:pPr>
              <w:spacing w:line="240" w:lineRule="auto"/>
              <w:jc w:val="center"/>
              <w:rPr>
                <w:rFonts w:ascii="Times New Roman" w:eastAsia="Times New Roman" w:hAnsi="Times New Roman" w:cs="Times New Roman"/>
                <w:sz w:val="20"/>
                <w:szCs w:val="20"/>
              </w:rPr>
            </w:pPr>
          </w:p>
        </w:tc>
      </w:tr>
      <w:tr w:rsidR="007E74C0" w14:paraId="038E9109" w14:textId="77777777">
        <w:trPr>
          <w:trHeight w:val="198"/>
        </w:trPr>
        <w:tc>
          <w:tcPr>
            <w:tcW w:w="555" w:type="dxa"/>
            <w:tcBorders>
              <w:top w:val="nil"/>
              <w:left w:val="nil"/>
              <w:bottom w:val="nil"/>
              <w:right w:val="nil"/>
            </w:tcBorders>
            <w:shd w:val="clear" w:color="auto" w:fill="auto"/>
            <w:tcMar>
              <w:top w:w="19" w:type="dxa"/>
              <w:left w:w="19" w:type="dxa"/>
              <w:bottom w:w="19" w:type="dxa"/>
              <w:right w:w="19" w:type="dxa"/>
            </w:tcMar>
            <w:vAlign w:val="center"/>
          </w:tcPr>
          <w:p w14:paraId="19997D7C"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1998</w:t>
            </w:r>
          </w:p>
        </w:tc>
        <w:tc>
          <w:tcPr>
            <w:tcW w:w="660" w:type="dxa"/>
            <w:tcBorders>
              <w:top w:val="nil"/>
              <w:left w:val="nil"/>
              <w:bottom w:val="nil"/>
              <w:right w:val="nil"/>
            </w:tcBorders>
            <w:shd w:val="clear" w:color="auto" w:fill="auto"/>
            <w:tcMar>
              <w:top w:w="19" w:type="dxa"/>
              <w:left w:w="19" w:type="dxa"/>
              <w:bottom w:w="19" w:type="dxa"/>
              <w:right w:w="19" w:type="dxa"/>
            </w:tcMar>
            <w:vAlign w:val="center"/>
          </w:tcPr>
          <w:p w14:paraId="306FB6FE"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32(2)</w:t>
            </w:r>
          </w:p>
        </w:tc>
        <w:tc>
          <w:tcPr>
            <w:tcW w:w="4005" w:type="dxa"/>
            <w:tcBorders>
              <w:top w:val="nil"/>
              <w:left w:val="nil"/>
              <w:bottom w:val="nil"/>
              <w:right w:val="nil"/>
            </w:tcBorders>
            <w:shd w:val="clear" w:color="auto" w:fill="auto"/>
            <w:tcMar>
              <w:top w:w="19" w:type="dxa"/>
              <w:left w:w="19" w:type="dxa"/>
              <w:bottom w:w="19" w:type="dxa"/>
              <w:right w:w="19" w:type="dxa"/>
            </w:tcMar>
            <w:vAlign w:val="center"/>
          </w:tcPr>
          <w:p w14:paraId="48CC09E9"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Keating &amp; Kurtz-Costes</w:t>
            </w:r>
          </w:p>
        </w:tc>
        <w:tc>
          <w:tcPr>
            <w:tcW w:w="2325" w:type="dxa"/>
            <w:tcBorders>
              <w:top w:val="nil"/>
              <w:left w:val="nil"/>
              <w:bottom w:val="nil"/>
              <w:right w:val="nil"/>
            </w:tcBorders>
            <w:shd w:val="clear" w:color="auto" w:fill="auto"/>
            <w:tcMar>
              <w:top w:w="19" w:type="dxa"/>
              <w:left w:w="19" w:type="dxa"/>
              <w:bottom w:w="19" w:type="dxa"/>
              <w:right w:w="19" w:type="dxa"/>
            </w:tcMar>
            <w:vAlign w:val="center"/>
          </w:tcPr>
          <w:p w14:paraId="56A50F1A"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Relações de gênero (poder)</w:t>
            </w:r>
          </w:p>
        </w:tc>
        <w:tc>
          <w:tcPr>
            <w:tcW w:w="1500" w:type="dxa"/>
            <w:tcBorders>
              <w:top w:val="nil"/>
              <w:left w:val="nil"/>
              <w:bottom w:val="nil"/>
              <w:right w:val="nil"/>
            </w:tcBorders>
            <w:shd w:val="clear" w:color="auto" w:fill="auto"/>
            <w:tcMar>
              <w:top w:w="19" w:type="dxa"/>
              <w:left w:w="19" w:type="dxa"/>
              <w:bottom w:w="19" w:type="dxa"/>
              <w:right w:w="19" w:type="dxa"/>
            </w:tcMar>
            <w:vAlign w:val="center"/>
          </w:tcPr>
          <w:p w14:paraId="15414206"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Equador</w:t>
            </w:r>
          </w:p>
        </w:tc>
      </w:tr>
      <w:tr w:rsidR="007E74C0" w14:paraId="1F29AE40" w14:textId="77777777">
        <w:trPr>
          <w:trHeight w:val="239"/>
        </w:trPr>
        <w:tc>
          <w:tcPr>
            <w:tcW w:w="555" w:type="dxa"/>
            <w:tcBorders>
              <w:top w:val="nil"/>
              <w:left w:val="nil"/>
              <w:right w:val="nil"/>
            </w:tcBorders>
            <w:shd w:val="clear" w:color="auto" w:fill="BFBFBF"/>
            <w:tcMar>
              <w:top w:w="19" w:type="dxa"/>
              <w:left w:w="19" w:type="dxa"/>
              <w:bottom w:w="19" w:type="dxa"/>
              <w:right w:w="19" w:type="dxa"/>
            </w:tcMar>
            <w:vAlign w:val="center"/>
          </w:tcPr>
          <w:p w14:paraId="0F5ECA3C"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2006</w:t>
            </w:r>
          </w:p>
        </w:tc>
        <w:tc>
          <w:tcPr>
            <w:tcW w:w="660" w:type="dxa"/>
            <w:tcBorders>
              <w:top w:val="nil"/>
              <w:left w:val="nil"/>
              <w:right w:val="nil"/>
            </w:tcBorders>
            <w:shd w:val="clear" w:color="auto" w:fill="BFBFBF"/>
            <w:tcMar>
              <w:top w:w="19" w:type="dxa"/>
              <w:left w:w="19" w:type="dxa"/>
              <w:bottom w:w="19" w:type="dxa"/>
              <w:right w:w="19" w:type="dxa"/>
            </w:tcMar>
            <w:vAlign w:val="center"/>
          </w:tcPr>
          <w:p w14:paraId="4281099B"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40(1)</w:t>
            </w:r>
          </w:p>
        </w:tc>
        <w:tc>
          <w:tcPr>
            <w:tcW w:w="4005" w:type="dxa"/>
            <w:tcBorders>
              <w:top w:val="nil"/>
              <w:left w:val="nil"/>
              <w:right w:val="nil"/>
            </w:tcBorders>
            <w:shd w:val="clear" w:color="auto" w:fill="BFBFBF"/>
            <w:tcMar>
              <w:top w:w="19" w:type="dxa"/>
              <w:left w:w="19" w:type="dxa"/>
              <w:bottom w:w="19" w:type="dxa"/>
              <w:right w:w="19" w:type="dxa"/>
            </w:tcMar>
            <w:vAlign w:val="center"/>
          </w:tcPr>
          <w:p w14:paraId="6B5A66C8"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Toro-Alfonso, Díaz, Andújar-Bello &amp; N.-Rosa</w:t>
            </w:r>
          </w:p>
        </w:tc>
        <w:tc>
          <w:tcPr>
            <w:tcW w:w="2325" w:type="dxa"/>
            <w:tcBorders>
              <w:top w:val="nil"/>
              <w:left w:val="nil"/>
              <w:right w:val="nil"/>
            </w:tcBorders>
            <w:shd w:val="clear" w:color="auto" w:fill="BFBFBF"/>
            <w:tcMar>
              <w:top w:w="19" w:type="dxa"/>
              <w:left w:w="19" w:type="dxa"/>
              <w:bottom w:w="19" w:type="dxa"/>
              <w:right w:w="19" w:type="dxa"/>
            </w:tcMar>
            <w:vAlign w:val="center"/>
          </w:tcPr>
          <w:p w14:paraId="062600F1"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Identidade sexual</w:t>
            </w:r>
          </w:p>
        </w:tc>
        <w:tc>
          <w:tcPr>
            <w:tcW w:w="1500" w:type="dxa"/>
            <w:tcBorders>
              <w:top w:val="nil"/>
              <w:left w:val="nil"/>
              <w:right w:val="nil"/>
            </w:tcBorders>
            <w:shd w:val="clear" w:color="auto" w:fill="BFBFBF"/>
            <w:tcMar>
              <w:top w:w="19" w:type="dxa"/>
              <w:left w:w="19" w:type="dxa"/>
              <w:bottom w:w="19" w:type="dxa"/>
              <w:right w:w="19" w:type="dxa"/>
            </w:tcMar>
            <w:vAlign w:val="center"/>
          </w:tcPr>
          <w:p w14:paraId="7AFEE1CF"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Porto Rico</w:t>
            </w:r>
          </w:p>
        </w:tc>
      </w:tr>
      <w:tr w:rsidR="007E74C0" w14:paraId="745C5091" w14:textId="77777777">
        <w:trPr>
          <w:trHeight w:val="239"/>
        </w:trPr>
        <w:tc>
          <w:tcPr>
            <w:tcW w:w="555" w:type="dxa"/>
            <w:tcBorders>
              <w:top w:val="nil"/>
              <w:left w:val="nil"/>
              <w:right w:val="nil"/>
            </w:tcBorders>
            <w:tcMar>
              <w:top w:w="19" w:type="dxa"/>
              <w:left w:w="19" w:type="dxa"/>
              <w:bottom w:w="19" w:type="dxa"/>
              <w:right w:w="19" w:type="dxa"/>
            </w:tcMar>
            <w:vAlign w:val="center"/>
          </w:tcPr>
          <w:p w14:paraId="1D0E7E08"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2009</w:t>
            </w:r>
          </w:p>
        </w:tc>
        <w:tc>
          <w:tcPr>
            <w:tcW w:w="660" w:type="dxa"/>
            <w:tcBorders>
              <w:top w:val="nil"/>
              <w:left w:val="nil"/>
              <w:right w:val="nil"/>
            </w:tcBorders>
            <w:tcMar>
              <w:top w:w="19" w:type="dxa"/>
              <w:left w:w="19" w:type="dxa"/>
              <w:bottom w:w="19" w:type="dxa"/>
              <w:right w:w="19" w:type="dxa"/>
            </w:tcMar>
            <w:vAlign w:val="center"/>
          </w:tcPr>
          <w:p w14:paraId="5005B5E6"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43(2)</w:t>
            </w:r>
          </w:p>
        </w:tc>
        <w:tc>
          <w:tcPr>
            <w:tcW w:w="4005" w:type="dxa"/>
            <w:tcBorders>
              <w:top w:val="nil"/>
              <w:left w:val="nil"/>
              <w:right w:val="nil"/>
            </w:tcBorders>
            <w:tcMar>
              <w:top w:w="19" w:type="dxa"/>
              <w:left w:w="19" w:type="dxa"/>
              <w:bottom w:w="19" w:type="dxa"/>
              <w:right w:w="19" w:type="dxa"/>
            </w:tcMar>
            <w:vAlign w:val="center"/>
          </w:tcPr>
          <w:p w14:paraId="06200CDA"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Sánchez</w:t>
            </w:r>
          </w:p>
        </w:tc>
        <w:tc>
          <w:tcPr>
            <w:tcW w:w="2325" w:type="dxa"/>
            <w:tcBorders>
              <w:top w:val="nil"/>
              <w:left w:val="nil"/>
              <w:right w:val="nil"/>
            </w:tcBorders>
            <w:tcMar>
              <w:top w:w="19" w:type="dxa"/>
              <w:left w:w="19" w:type="dxa"/>
              <w:bottom w:w="19" w:type="dxa"/>
              <w:right w:w="19" w:type="dxa"/>
            </w:tcMar>
            <w:vAlign w:val="center"/>
          </w:tcPr>
          <w:p w14:paraId="1699C7F0"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Identidade de gênero</w:t>
            </w:r>
          </w:p>
        </w:tc>
        <w:tc>
          <w:tcPr>
            <w:tcW w:w="1500" w:type="dxa"/>
            <w:tcBorders>
              <w:top w:val="nil"/>
              <w:left w:val="nil"/>
              <w:right w:val="nil"/>
            </w:tcBorders>
            <w:tcMar>
              <w:top w:w="19" w:type="dxa"/>
              <w:left w:w="19" w:type="dxa"/>
              <w:bottom w:w="19" w:type="dxa"/>
              <w:right w:w="19" w:type="dxa"/>
            </w:tcMar>
            <w:vAlign w:val="center"/>
          </w:tcPr>
          <w:p w14:paraId="2497F344"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r w:rsidR="007E74C0" w14:paraId="72E2042E" w14:textId="77777777">
        <w:trPr>
          <w:trHeight w:val="239"/>
        </w:trPr>
        <w:tc>
          <w:tcPr>
            <w:tcW w:w="555" w:type="dxa"/>
            <w:tcBorders>
              <w:left w:val="nil"/>
              <w:bottom w:val="nil"/>
              <w:right w:val="nil"/>
            </w:tcBorders>
            <w:shd w:val="clear" w:color="auto" w:fill="BFBFBF"/>
            <w:tcMar>
              <w:top w:w="19" w:type="dxa"/>
              <w:left w:w="19" w:type="dxa"/>
              <w:bottom w:w="19" w:type="dxa"/>
              <w:right w:w="19" w:type="dxa"/>
            </w:tcMar>
            <w:vAlign w:val="center"/>
          </w:tcPr>
          <w:p w14:paraId="148BB4DA"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2011</w:t>
            </w:r>
          </w:p>
        </w:tc>
        <w:tc>
          <w:tcPr>
            <w:tcW w:w="660" w:type="dxa"/>
            <w:tcBorders>
              <w:left w:val="nil"/>
              <w:bottom w:val="nil"/>
              <w:right w:val="nil"/>
            </w:tcBorders>
            <w:shd w:val="clear" w:color="auto" w:fill="BFBFBF"/>
            <w:tcMar>
              <w:top w:w="19" w:type="dxa"/>
              <w:left w:w="19" w:type="dxa"/>
              <w:bottom w:w="19" w:type="dxa"/>
              <w:right w:w="19" w:type="dxa"/>
            </w:tcMar>
            <w:vAlign w:val="center"/>
          </w:tcPr>
          <w:p w14:paraId="4EA5D182"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45(2)</w:t>
            </w:r>
          </w:p>
        </w:tc>
        <w:tc>
          <w:tcPr>
            <w:tcW w:w="4005" w:type="dxa"/>
            <w:tcBorders>
              <w:left w:val="nil"/>
              <w:bottom w:val="nil"/>
              <w:right w:val="nil"/>
            </w:tcBorders>
            <w:shd w:val="clear" w:color="auto" w:fill="BFBFBF"/>
            <w:tcMar>
              <w:top w:w="19" w:type="dxa"/>
              <w:left w:w="19" w:type="dxa"/>
              <w:bottom w:w="19" w:type="dxa"/>
              <w:right w:w="19" w:type="dxa"/>
            </w:tcMar>
            <w:vAlign w:val="center"/>
          </w:tcPr>
          <w:p w14:paraId="4A63388D"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Smith-Castro &amp; Molina-Delgado</w:t>
            </w:r>
          </w:p>
        </w:tc>
        <w:tc>
          <w:tcPr>
            <w:tcW w:w="2325" w:type="dxa"/>
            <w:tcBorders>
              <w:left w:val="nil"/>
              <w:bottom w:val="nil"/>
              <w:right w:val="nil"/>
            </w:tcBorders>
            <w:shd w:val="clear" w:color="auto" w:fill="BFBFBF"/>
            <w:tcMar>
              <w:top w:w="19" w:type="dxa"/>
              <w:left w:w="19" w:type="dxa"/>
              <w:bottom w:w="19" w:type="dxa"/>
              <w:right w:w="19" w:type="dxa"/>
            </w:tcMar>
            <w:vAlign w:val="center"/>
          </w:tcPr>
          <w:p w14:paraId="5B7D4845"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Sexismos (Homofobia)</w:t>
            </w:r>
          </w:p>
        </w:tc>
        <w:tc>
          <w:tcPr>
            <w:tcW w:w="1500" w:type="dxa"/>
            <w:tcBorders>
              <w:left w:val="nil"/>
              <w:bottom w:val="nil"/>
              <w:right w:val="nil"/>
            </w:tcBorders>
            <w:shd w:val="clear" w:color="auto" w:fill="BFBFBF"/>
            <w:tcMar>
              <w:top w:w="19" w:type="dxa"/>
              <w:left w:w="19" w:type="dxa"/>
              <w:bottom w:w="19" w:type="dxa"/>
              <w:right w:w="19" w:type="dxa"/>
            </w:tcMar>
            <w:vAlign w:val="center"/>
          </w:tcPr>
          <w:p w14:paraId="704A711B"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Costa Rica</w:t>
            </w:r>
          </w:p>
        </w:tc>
      </w:tr>
      <w:tr w:rsidR="007E74C0" w14:paraId="214758E1" w14:textId="77777777">
        <w:trPr>
          <w:trHeight w:val="239"/>
        </w:trPr>
        <w:tc>
          <w:tcPr>
            <w:tcW w:w="555" w:type="dxa"/>
            <w:tcBorders>
              <w:left w:val="nil"/>
              <w:bottom w:val="nil"/>
              <w:right w:val="nil"/>
            </w:tcBorders>
            <w:tcMar>
              <w:top w:w="19" w:type="dxa"/>
              <w:left w:w="19" w:type="dxa"/>
              <w:bottom w:w="19" w:type="dxa"/>
              <w:right w:w="19" w:type="dxa"/>
            </w:tcMar>
            <w:vAlign w:val="center"/>
          </w:tcPr>
          <w:p w14:paraId="63C73DCA"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2014</w:t>
            </w:r>
          </w:p>
        </w:tc>
        <w:tc>
          <w:tcPr>
            <w:tcW w:w="660" w:type="dxa"/>
            <w:tcBorders>
              <w:left w:val="nil"/>
              <w:bottom w:val="nil"/>
              <w:right w:val="nil"/>
            </w:tcBorders>
            <w:tcMar>
              <w:top w:w="19" w:type="dxa"/>
              <w:left w:w="19" w:type="dxa"/>
              <w:bottom w:w="19" w:type="dxa"/>
              <w:right w:w="19" w:type="dxa"/>
            </w:tcMar>
            <w:vAlign w:val="center"/>
          </w:tcPr>
          <w:p w14:paraId="6D9A4991"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48(3)</w:t>
            </w:r>
          </w:p>
        </w:tc>
        <w:tc>
          <w:tcPr>
            <w:tcW w:w="4005" w:type="dxa"/>
            <w:tcBorders>
              <w:left w:val="nil"/>
              <w:bottom w:val="nil"/>
              <w:right w:val="nil"/>
            </w:tcBorders>
            <w:tcMar>
              <w:top w:w="19" w:type="dxa"/>
              <w:left w:w="19" w:type="dxa"/>
              <w:bottom w:w="19" w:type="dxa"/>
              <w:right w:w="19" w:type="dxa"/>
            </w:tcMar>
            <w:vAlign w:val="center"/>
          </w:tcPr>
          <w:p w14:paraId="5305420D"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Chaigneau &amp; Rosenbluth</w:t>
            </w:r>
          </w:p>
        </w:tc>
        <w:tc>
          <w:tcPr>
            <w:tcW w:w="2325" w:type="dxa"/>
            <w:tcBorders>
              <w:left w:val="nil"/>
              <w:bottom w:val="nil"/>
              <w:right w:val="nil"/>
            </w:tcBorders>
            <w:tcMar>
              <w:top w:w="19" w:type="dxa"/>
              <w:left w:w="19" w:type="dxa"/>
              <w:bottom w:w="19" w:type="dxa"/>
              <w:right w:w="19" w:type="dxa"/>
            </w:tcMar>
            <w:vAlign w:val="center"/>
          </w:tcPr>
          <w:p w14:paraId="0BC3C8AA"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Sexismos (Misoginia)</w:t>
            </w:r>
          </w:p>
        </w:tc>
        <w:tc>
          <w:tcPr>
            <w:tcW w:w="1500" w:type="dxa"/>
            <w:tcBorders>
              <w:left w:val="nil"/>
              <w:bottom w:val="nil"/>
              <w:right w:val="nil"/>
            </w:tcBorders>
            <w:tcMar>
              <w:top w:w="19" w:type="dxa"/>
              <w:left w:w="19" w:type="dxa"/>
              <w:bottom w:w="19" w:type="dxa"/>
              <w:right w:w="19" w:type="dxa"/>
            </w:tcMar>
            <w:vAlign w:val="center"/>
          </w:tcPr>
          <w:p w14:paraId="70F5D05C"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Chile</w:t>
            </w:r>
          </w:p>
        </w:tc>
      </w:tr>
      <w:tr w:rsidR="007E74C0" w14:paraId="6E538A3B" w14:textId="77777777">
        <w:trPr>
          <w:trHeight w:val="239"/>
        </w:trPr>
        <w:tc>
          <w:tcPr>
            <w:tcW w:w="555" w:type="dxa"/>
            <w:vMerge w:val="restart"/>
            <w:tcBorders>
              <w:left w:val="nil"/>
              <w:bottom w:val="nil"/>
              <w:right w:val="nil"/>
            </w:tcBorders>
            <w:shd w:val="clear" w:color="auto" w:fill="BFBFBF"/>
            <w:tcMar>
              <w:top w:w="19" w:type="dxa"/>
              <w:left w:w="19" w:type="dxa"/>
              <w:bottom w:w="19" w:type="dxa"/>
              <w:right w:w="19" w:type="dxa"/>
            </w:tcMar>
            <w:vAlign w:val="center"/>
          </w:tcPr>
          <w:p w14:paraId="4929622A"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2018</w:t>
            </w:r>
          </w:p>
        </w:tc>
        <w:tc>
          <w:tcPr>
            <w:tcW w:w="660" w:type="dxa"/>
            <w:tcBorders>
              <w:left w:val="nil"/>
              <w:bottom w:val="nil"/>
              <w:right w:val="nil"/>
            </w:tcBorders>
            <w:shd w:val="clear" w:color="auto" w:fill="BFBFBF"/>
            <w:tcMar>
              <w:top w:w="19" w:type="dxa"/>
              <w:left w:w="19" w:type="dxa"/>
              <w:bottom w:w="19" w:type="dxa"/>
              <w:right w:w="19" w:type="dxa"/>
            </w:tcMar>
            <w:vAlign w:val="center"/>
          </w:tcPr>
          <w:p w14:paraId="53A7C876"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52(1)</w:t>
            </w:r>
          </w:p>
        </w:tc>
        <w:tc>
          <w:tcPr>
            <w:tcW w:w="4005" w:type="dxa"/>
            <w:tcBorders>
              <w:left w:val="nil"/>
              <w:bottom w:val="nil"/>
              <w:right w:val="nil"/>
            </w:tcBorders>
            <w:shd w:val="clear" w:color="auto" w:fill="BFBFBF"/>
            <w:tcMar>
              <w:top w:w="19" w:type="dxa"/>
              <w:left w:w="19" w:type="dxa"/>
              <w:bottom w:w="19" w:type="dxa"/>
              <w:right w:w="19" w:type="dxa"/>
            </w:tcMar>
            <w:vAlign w:val="center"/>
          </w:tcPr>
          <w:p w14:paraId="66C24396"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Nava-Reyes, Rojas-Solís, Amador &amp; Quintero</w:t>
            </w:r>
          </w:p>
        </w:tc>
        <w:tc>
          <w:tcPr>
            <w:tcW w:w="2325" w:type="dxa"/>
            <w:tcBorders>
              <w:left w:val="nil"/>
              <w:bottom w:val="nil"/>
              <w:right w:val="nil"/>
            </w:tcBorders>
            <w:shd w:val="clear" w:color="auto" w:fill="BFBFBF"/>
            <w:tcMar>
              <w:top w:w="19" w:type="dxa"/>
              <w:left w:w="19" w:type="dxa"/>
              <w:bottom w:w="19" w:type="dxa"/>
              <w:right w:w="19" w:type="dxa"/>
            </w:tcMar>
            <w:vAlign w:val="center"/>
          </w:tcPr>
          <w:p w14:paraId="45A7C0D6"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Sexismos (Misoginia)</w:t>
            </w:r>
          </w:p>
        </w:tc>
        <w:tc>
          <w:tcPr>
            <w:tcW w:w="1500" w:type="dxa"/>
            <w:tcBorders>
              <w:left w:val="nil"/>
              <w:bottom w:val="nil"/>
              <w:right w:val="nil"/>
            </w:tcBorders>
            <w:shd w:val="clear" w:color="auto" w:fill="BFBFBF"/>
            <w:tcMar>
              <w:top w:w="19" w:type="dxa"/>
              <w:left w:w="19" w:type="dxa"/>
              <w:bottom w:w="19" w:type="dxa"/>
              <w:right w:w="19" w:type="dxa"/>
            </w:tcMar>
            <w:vAlign w:val="center"/>
          </w:tcPr>
          <w:p w14:paraId="4F9DA86F"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r w:rsidR="007E74C0" w14:paraId="43ED8802" w14:textId="77777777">
        <w:trPr>
          <w:trHeight w:val="239"/>
        </w:trPr>
        <w:tc>
          <w:tcPr>
            <w:tcW w:w="555" w:type="dxa"/>
            <w:vMerge/>
            <w:tcBorders>
              <w:left w:val="nil"/>
              <w:bottom w:val="nil"/>
              <w:right w:val="nil"/>
            </w:tcBorders>
            <w:shd w:val="clear" w:color="auto" w:fill="BFBFBF"/>
            <w:tcMar>
              <w:top w:w="19" w:type="dxa"/>
              <w:left w:w="19" w:type="dxa"/>
              <w:bottom w:w="19" w:type="dxa"/>
              <w:right w:w="19" w:type="dxa"/>
            </w:tcMar>
            <w:vAlign w:val="center"/>
          </w:tcPr>
          <w:p w14:paraId="15EAE675" w14:textId="77777777" w:rsidR="007E74C0" w:rsidRDefault="007E74C0">
            <w:pPr>
              <w:spacing w:line="240" w:lineRule="auto"/>
              <w:jc w:val="center"/>
              <w:rPr>
                <w:rFonts w:ascii="Times New Roman" w:eastAsia="Times New Roman" w:hAnsi="Times New Roman" w:cs="Times New Roman"/>
                <w:sz w:val="20"/>
                <w:szCs w:val="20"/>
              </w:rPr>
            </w:pPr>
          </w:p>
        </w:tc>
        <w:tc>
          <w:tcPr>
            <w:tcW w:w="660" w:type="dxa"/>
            <w:tcBorders>
              <w:left w:val="nil"/>
              <w:bottom w:val="nil"/>
              <w:right w:val="nil"/>
            </w:tcBorders>
            <w:shd w:val="clear" w:color="auto" w:fill="BFBFBF"/>
            <w:tcMar>
              <w:top w:w="19" w:type="dxa"/>
              <w:left w:w="19" w:type="dxa"/>
              <w:bottom w:w="19" w:type="dxa"/>
              <w:right w:w="19" w:type="dxa"/>
            </w:tcMar>
            <w:vAlign w:val="center"/>
          </w:tcPr>
          <w:p w14:paraId="6F97D511"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52(2)</w:t>
            </w:r>
          </w:p>
        </w:tc>
        <w:tc>
          <w:tcPr>
            <w:tcW w:w="4005" w:type="dxa"/>
            <w:tcBorders>
              <w:left w:val="nil"/>
              <w:bottom w:val="nil"/>
              <w:right w:val="nil"/>
            </w:tcBorders>
            <w:shd w:val="clear" w:color="auto" w:fill="BFBFBF"/>
            <w:tcMar>
              <w:top w:w="19" w:type="dxa"/>
              <w:left w:w="19" w:type="dxa"/>
              <w:bottom w:w="19" w:type="dxa"/>
              <w:right w:w="19" w:type="dxa"/>
            </w:tcMar>
            <w:vAlign w:val="center"/>
          </w:tcPr>
          <w:p w14:paraId="2ED5E0B7"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Codas</w:t>
            </w:r>
          </w:p>
        </w:tc>
        <w:tc>
          <w:tcPr>
            <w:tcW w:w="2325" w:type="dxa"/>
            <w:tcBorders>
              <w:left w:val="nil"/>
              <w:bottom w:val="nil"/>
              <w:right w:val="nil"/>
            </w:tcBorders>
            <w:shd w:val="clear" w:color="auto" w:fill="BFBFBF"/>
            <w:tcMar>
              <w:top w:w="19" w:type="dxa"/>
              <w:left w:w="19" w:type="dxa"/>
              <w:bottom w:w="19" w:type="dxa"/>
              <w:right w:w="19" w:type="dxa"/>
            </w:tcMar>
            <w:vAlign w:val="center"/>
          </w:tcPr>
          <w:p w14:paraId="5E1AA9EA"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Sexismos (LGBTfobia)</w:t>
            </w:r>
          </w:p>
        </w:tc>
        <w:tc>
          <w:tcPr>
            <w:tcW w:w="1500" w:type="dxa"/>
            <w:tcBorders>
              <w:left w:val="nil"/>
              <w:bottom w:val="nil"/>
              <w:right w:val="nil"/>
            </w:tcBorders>
            <w:shd w:val="clear" w:color="auto" w:fill="BFBFBF"/>
            <w:tcMar>
              <w:top w:w="19" w:type="dxa"/>
              <w:left w:w="19" w:type="dxa"/>
              <w:bottom w:w="19" w:type="dxa"/>
              <w:right w:w="19" w:type="dxa"/>
            </w:tcMar>
            <w:vAlign w:val="center"/>
          </w:tcPr>
          <w:p w14:paraId="3FF56341"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Paraguai</w:t>
            </w:r>
          </w:p>
        </w:tc>
      </w:tr>
      <w:tr w:rsidR="007E74C0" w14:paraId="6B128429" w14:textId="77777777">
        <w:trPr>
          <w:trHeight w:val="239"/>
        </w:trPr>
        <w:tc>
          <w:tcPr>
            <w:tcW w:w="555" w:type="dxa"/>
            <w:tcBorders>
              <w:left w:val="nil"/>
              <w:bottom w:val="single" w:sz="12" w:space="0" w:color="000000"/>
              <w:right w:val="nil"/>
            </w:tcBorders>
            <w:tcMar>
              <w:top w:w="19" w:type="dxa"/>
              <w:left w:w="19" w:type="dxa"/>
              <w:bottom w:w="19" w:type="dxa"/>
              <w:right w:w="19" w:type="dxa"/>
            </w:tcMar>
            <w:vAlign w:val="center"/>
          </w:tcPr>
          <w:p w14:paraId="0A8794F0"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2019</w:t>
            </w:r>
          </w:p>
        </w:tc>
        <w:tc>
          <w:tcPr>
            <w:tcW w:w="660" w:type="dxa"/>
            <w:tcBorders>
              <w:left w:val="nil"/>
              <w:bottom w:val="single" w:sz="12" w:space="0" w:color="000000"/>
              <w:right w:val="nil"/>
            </w:tcBorders>
            <w:tcMar>
              <w:top w:w="19" w:type="dxa"/>
              <w:left w:w="19" w:type="dxa"/>
              <w:bottom w:w="19" w:type="dxa"/>
              <w:right w:w="19" w:type="dxa"/>
            </w:tcMar>
            <w:vAlign w:val="center"/>
          </w:tcPr>
          <w:p w14:paraId="0E69775C"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53(1)</w:t>
            </w:r>
          </w:p>
        </w:tc>
        <w:tc>
          <w:tcPr>
            <w:tcW w:w="4005" w:type="dxa"/>
            <w:tcBorders>
              <w:left w:val="nil"/>
              <w:bottom w:val="single" w:sz="12" w:space="0" w:color="000000"/>
              <w:right w:val="nil"/>
            </w:tcBorders>
            <w:tcMar>
              <w:top w:w="19" w:type="dxa"/>
              <w:left w:w="19" w:type="dxa"/>
              <w:bottom w:w="19" w:type="dxa"/>
              <w:right w:w="19" w:type="dxa"/>
            </w:tcMar>
            <w:vAlign w:val="center"/>
          </w:tcPr>
          <w:p w14:paraId="7F14B26D"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Smith-Castro, Montero-Rojas, Moreira-Mora &amp; Zamora-Araya</w:t>
            </w:r>
          </w:p>
        </w:tc>
        <w:tc>
          <w:tcPr>
            <w:tcW w:w="2325" w:type="dxa"/>
            <w:tcBorders>
              <w:left w:val="nil"/>
              <w:bottom w:val="single" w:sz="12" w:space="0" w:color="000000"/>
              <w:right w:val="nil"/>
            </w:tcBorders>
            <w:tcMar>
              <w:top w:w="19" w:type="dxa"/>
              <w:left w:w="19" w:type="dxa"/>
              <w:bottom w:w="19" w:type="dxa"/>
              <w:right w:w="19" w:type="dxa"/>
            </w:tcMar>
            <w:vAlign w:val="center"/>
          </w:tcPr>
          <w:p w14:paraId="580DEDAB"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Sexismos (Misoginia)</w:t>
            </w:r>
          </w:p>
        </w:tc>
        <w:tc>
          <w:tcPr>
            <w:tcW w:w="1500" w:type="dxa"/>
            <w:tcBorders>
              <w:left w:val="nil"/>
              <w:bottom w:val="single" w:sz="12" w:space="0" w:color="000000"/>
              <w:right w:val="nil"/>
            </w:tcBorders>
            <w:tcMar>
              <w:top w:w="19" w:type="dxa"/>
              <w:left w:w="19" w:type="dxa"/>
              <w:bottom w:w="19" w:type="dxa"/>
              <w:right w:w="19" w:type="dxa"/>
            </w:tcMar>
            <w:vAlign w:val="center"/>
          </w:tcPr>
          <w:p w14:paraId="29638C85"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Costa Rica</w:t>
            </w:r>
          </w:p>
        </w:tc>
      </w:tr>
    </w:tbl>
    <w:p w14:paraId="4064FB6D" w14:textId="77777777" w:rsidR="007E74C0" w:rsidRDefault="007E74C0">
      <w:pPr>
        <w:spacing w:line="240" w:lineRule="auto"/>
        <w:jc w:val="both"/>
        <w:rPr>
          <w:rFonts w:ascii="Times New Roman" w:eastAsia="Times New Roman" w:hAnsi="Times New Roman" w:cs="Times New Roman"/>
          <w:sz w:val="24"/>
          <w:szCs w:val="24"/>
        </w:rPr>
      </w:pPr>
    </w:p>
    <w:p w14:paraId="7D0E590A"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sentido, podemos perceber como, aos poucos, gênero ganha uma conotação mais ampla que no subtema anterior. Assim, destacamos um artigo sobre crenças de mulheres acerca de oportunidades na família, na escola e no trabalho, sendo apontado que o tradicional papel masculino ainda predominaria no Equador (IJP, 1998).</w:t>
      </w:r>
    </w:p>
    <w:p w14:paraId="2A7AC9AC"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Nesse subtema, há ainda artigos sobre identidades sexuais e de gênero. </w:t>
      </w:r>
      <w:r>
        <w:rPr>
          <w:rFonts w:ascii="Times New Roman" w:eastAsia="Times New Roman" w:hAnsi="Times New Roman" w:cs="Times New Roman"/>
          <w:sz w:val="24"/>
          <w:szCs w:val="24"/>
          <w:highlight w:val="white"/>
        </w:rPr>
        <w:t>Importante destacar que há diferentes siglas para designar esses grupos nos artigos, tais como GLS (gays, lésbicas e simpatizantes), GLBT (gays, lésbicas, bissexuais e travestis), entre outras. Embora respeitada na citação indireta, a presente revisão utilizará, por vezes, a sigla LGBTT+ (lésbicas, gays, bissexuais, travestis, transexuais e outros) como termo guarda-chuva de marcadores sociais da diferença adotados em alguns setores da sociedade, embora reconheça o limite à representação de vivências e experiências pessoais representado pelo símbolo +.</w:t>
      </w:r>
    </w:p>
    <w:p w14:paraId="43979AD5"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Na amostra, esse debate </w:t>
      </w:r>
      <w:r>
        <w:rPr>
          <w:rFonts w:ascii="Times New Roman" w:eastAsia="Times New Roman" w:hAnsi="Times New Roman" w:cs="Times New Roman"/>
          <w:sz w:val="24"/>
          <w:szCs w:val="24"/>
        </w:rPr>
        <w:t>emerge com um artigo sobre adolescentes gays e bissexuais em Porto Rico (IJP, 2006) e, adiante, em outro</w:t>
      </w:r>
      <w:r>
        <w:rPr>
          <w:rFonts w:ascii="Times New Roman" w:eastAsia="Times New Roman" w:hAnsi="Times New Roman" w:cs="Times New Roman"/>
          <w:sz w:val="24"/>
          <w:szCs w:val="24"/>
          <w:highlight w:val="white"/>
        </w:rPr>
        <w:t xml:space="preserve"> sobre a construção da identidade de gênero e as descobertas teóricas no contexto cultural mexicano (IJP, 2009). Quanto aos sexismos, foram encontrados trabalhos sobre a homofobia face à união civil, na Costa Rica (IJP, 2011) e face à população LGBTI+ no Paraguai (IJP, 2018). Quanto a</w:t>
      </w:r>
      <w:r>
        <w:rPr>
          <w:rFonts w:ascii="Times New Roman" w:eastAsia="Times New Roman" w:hAnsi="Times New Roman" w:cs="Times New Roman"/>
          <w:sz w:val="24"/>
          <w:szCs w:val="24"/>
        </w:rPr>
        <w:t xml:space="preserve"> estereótipos de gênero e as ideologias sexistas em relação às mulheres, foram objeto de um estudos sobre o mercado de trabalho no Chile (IJP, 2014) e de outro sobre o desempenho das mulheres na Matemática (IJP, 2019).</w:t>
      </w:r>
    </w:p>
    <w:p w14:paraId="2A1BC4EE" w14:textId="77777777" w:rsidR="007E74C0" w:rsidRDefault="007E74C0">
      <w:pPr>
        <w:spacing w:line="240" w:lineRule="auto"/>
        <w:ind w:firstLine="720"/>
        <w:jc w:val="both"/>
        <w:rPr>
          <w:rFonts w:ascii="Times New Roman" w:eastAsia="Times New Roman" w:hAnsi="Times New Roman" w:cs="Times New Roman"/>
          <w:sz w:val="24"/>
          <w:szCs w:val="24"/>
        </w:rPr>
      </w:pPr>
    </w:p>
    <w:p w14:paraId="065EB95A" w14:textId="77777777" w:rsidR="007E74C0" w:rsidRDefault="00EA091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4.1.3 Masculinidades, práticas sexuais e de gênero</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Nesse subtema, há dez artigos elencados a partir dos anos 1990 sobre os assuntos em pauta (Tabela 3).</w:t>
      </w:r>
    </w:p>
    <w:p w14:paraId="7AF971D5" w14:textId="77777777" w:rsidR="007E74C0" w:rsidRDefault="007E74C0">
      <w:pPr>
        <w:jc w:val="both"/>
        <w:rPr>
          <w:rFonts w:ascii="Times New Roman" w:eastAsia="Times New Roman" w:hAnsi="Times New Roman" w:cs="Times New Roman"/>
          <w:sz w:val="24"/>
          <w:szCs w:val="24"/>
        </w:rPr>
      </w:pPr>
    </w:p>
    <w:p w14:paraId="4E90E4CD" w14:textId="77777777" w:rsidR="007E74C0" w:rsidRDefault="00EA0911">
      <w:pPr>
        <w:jc w:val="both"/>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sz w:val="24"/>
          <w:szCs w:val="24"/>
        </w:rPr>
        <w:t>TABELA 3. Quadro de artigos - Subtema 3 (Tema 1)</w:t>
      </w:r>
    </w:p>
    <w:tbl>
      <w:tblPr>
        <w:tblStyle w:val="a1"/>
        <w:tblW w:w="901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555"/>
        <w:gridCol w:w="660"/>
        <w:gridCol w:w="3255"/>
        <w:gridCol w:w="2985"/>
        <w:gridCol w:w="1560"/>
      </w:tblGrid>
      <w:tr w:rsidR="007E74C0" w14:paraId="4B04846D" w14:textId="77777777">
        <w:trPr>
          <w:trHeight w:val="226"/>
        </w:trPr>
        <w:tc>
          <w:tcPr>
            <w:tcW w:w="1215" w:type="dxa"/>
            <w:gridSpan w:val="2"/>
            <w:tcBorders>
              <w:top w:val="single" w:sz="12" w:space="0" w:color="000000"/>
              <w:bottom w:val="single" w:sz="6" w:space="0" w:color="000000"/>
            </w:tcBorders>
          </w:tcPr>
          <w:p w14:paraId="27A66005"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Revista</w:t>
            </w:r>
          </w:p>
        </w:tc>
        <w:tc>
          <w:tcPr>
            <w:tcW w:w="3255" w:type="dxa"/>
            <w:vMerge w:val="restart"/>
            <w:tcBorders>
              <w:top w:val="single" w:sz="12" w:space="0" w:color="000000"/>
              <w:bottom w:val="single" w:sz="8" w:space="0" w:color="000000"/>
            </w:tcBorders>
            <w:vAlign w:val="center"/>
          </w:tcPr>
          <w:p w14:paraId="34BE6799"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Pessoa(s)</w:t>
            </w:r>
          </w:p>
          <w:p w14:paraId="079932E0"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autora(s)</w:t>
            </w:r>
          </w:p>
        </w:tc>
        <w:tc>
          <w:tcPr>
            <w:tcW w:w="2985" w:type="dxa"/>
            <w:vMerge w:val="restart"/>
            <w:tcBorders>
              <w:top w:val="single" w:sz="12" w:space="0" w:color="000000"/>
              <w:left w:val="nil"/>
              <w:bottom w:val="single" w:sz="8" w:space="0" w:color="000000"/>
            </w:tcBorders>
            <w:shd w:val="clear" w:color="auto" w:fill="auto"/>
            <w:tcMar>
              <w:top w:w="100" w:type="dxa"/>
              <w:left w:w="100" w:type="dxa"/>
              <w:bottom w:w="100" w:type="dxa"/>
              <w:right w:w="100" w:type="dxa"/>
            </w:tcMar>
            <w:vAlign w:val="center"/>
          </w:tcPr>
          <w:p w14:paraId="1B416A22"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Assunto(s)</w:t>
            </w:r>
          </w:p>
          <w:p w14:paraId="37915B04"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chave</w:t>
            </w:r>
          </w:p>
        </w:tc>
        <w:tc>
          <w:tcPr>
            <w:tcW w:w="1560" w:type="dxa"/>
            <w:vMerge w:val="restart"/>
            <w:tcBorders>
              <w:top w:val="single" w:sz="12" w:space="0" w:color="000000"/>
              <w:left w:val="nil"/>
              <w:bottom w:val="single" w:sz="8" w:space="0" w:color="000000"/>
            </w:tcBorders>
            <w:shd w:val="clear" w:color="auto" w:fill="auto"/>
            <w:tcMar>
              <w:top w:w="100" w:type="dxa"/>
              <w:left w:w="100" w:type="dxa"/>
              <w:bottom w:w="100" w:type="dxa"/>
              <w:right w:w="100" w:type="dxa"/>
            </w:tcMar>
            <w:vAlign w:val="center"/>
          </w:tcPr>
          <w:p w14:paraId="5E5D78ED"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País(es)</w:t>
            </w:r>
          </w:p>
          <w:p w14:paraId="42F4F915"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participante(s)</w:t>
            </w:r>
          </w:p>
        </w:tc>
      </w:tr>
      <w:tr w:rsidR="007E74C0" w14:paraId="287FC8DE" w14:textId="77777777">
        <w:trPr>
          <w:trHeight w:val="226"/>
        </w:trPr>
        <w:tc>
          <w:tcPr>
            <w:tcW w:w="555" w:type="dxa"/>
            <w:tcBorders>
              <w:top w:val="single" w:sz="6" w:space="0" w:color="000000"/>
              <w:bottom w:val="single" w:sz="12" w:space="0" w:color="000000"/>
              <w:right w:val="nil"/>
            </w:tcBorders>
            <w:shd w:val="clear" w:color="auto" w:fill="auto"/>
            <w:tcMar>
              <w:top w:w="100" w:type="dxa"/>
              <w:left w:w="100" w:type="dxa"/>
              <w:bottom w:w="100" w:type="dxa"/>
              <w:right w:w="100" w:type="dxa"/>
            </w:tcMar>
          </w:tcPr>
          <w:p w14:paraId="075935B9" w14:textId="77777777" w:rsidR="007E74C0" w:rsidRDefault="00EA0911">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Ano</w:t>
            </w:r>
          </w:p>
        </w:tc>
        <w:tc>
          <w:tcPr>
            <w:tcW w:w="660" w:type="dxa"/>
            <w:tcBorders>
              <w:top w:val="nil"/>
              <w:left w:val="nil"/>
              <w:bottom w:val="single" w:sz="12" w:space="0" w:color="000000"/>
              <w:right w:val="nil"/>
            </w:tcBorders>
            <w:shd w:val="clear" w:color="auto" w:fill="auto"/>
            <w:tcMar>
              <w:top w:w="100" w:type="dxa"/>
              <w:left w:w="100" w:type="dxa"/>
              <w:bottom w:w="100" w:type="dxa"/>
              <w:right w:w="100" w:type="dxa"/>
            </w:tcMar>
          </w:tcPr>
          <w:p w14:paraId="046EB1CF"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 (n)</w:t>
            </w:r>
          </w:p>
        </w:tc>
        <w:tc>
          <w:tcPr>
            <w:tcW w:w="3255" w:type="dxa"/>
            <w:vMerge/>
            <w:tcBorders>
              <w:top w:val="nil"/>
              <w:left w:val="nil"/>
              <w:bottom w:val="single" w:sz="12" w:space="0" w:color="000000"/>
              <w:right w:val="nil"/>
            </w:tcBorders>
            <w:shd w:val="clear" w:color="auto" w:fill="auto"/>
            <w:tcMar>
              <w:top w:w="100" w:type="dxa"/>
              <w:left w:w="100" w:type="dxa"/>
              <w:bottom w:w="100" w:type="dxa"/>
              <w:right w:w="100" w:type="dxa"/>
            </w:tcMar>
            <w:vAlign w:val="center"/>
          </w:tcPr>
          <w:p w14:paraId="25A7FD23" w14:textId="77777777" w:rsidR="007E74C0" w:rsidRDefault="007E74C0">
            <w:pPr>
              <w:spacing w:line="240" w:lineRule="auto"/>
              <w:jc w:val="center"/>
              <w:rPr>
                <w:rFonts w:ascii="Times New Roman" w:eastAsia="Times New Roman" w:hAnsi="Times New Roman" w:cs="Times New Roman"/>
                <w:sz w:val="20"/>
                <w:szCs w:val="20"/>
              </w:rPr>
            </w:pPr>
          </w:p>
        </w:tc>
        <w:tc>
          <w:tcPr>
            <w:tcW w:w="2985" w:type="dxa"/>
            <w:vMerge/>
            <w:tcBorders>
              <w:top w:val="nil"/>
              <w:left w:val="nil"/>
              <w:bottom w:val="single" w:sz="12" w:space="0" w:color="000000"/>
              <w:right w:val="nil"/>
            </w:tcBorders>
            <w:shd w:val="clear" w:color="auto" w:fill="auto"/>
            <w:tcMar>
              <w:top w:w="100" w:type="dxa"/>
              <w:left w:w="100" w:type="dxa"/>
              <w:bottom w:w="100" w:type="dxa"/>
              <w:right w:w="100" w:type="dxa"/>
            </w:tcMar>
            <w:vAlign w:val="center"/>
          </w:tcPr>
          <w:p w14:paraId="38A6DE43" w14:textId="77777777" w:rsidR="007E74C0" w:rsidRDefault="007E74C0">
            <w:pPr>
              <w:spacing w:line="240" w:lineRule="auto"/>
              <w:jc w:val="center"/>
              <w:rPr>
                <w:rFonts w:ascii="Times New Roman" w:eastAsia="Times New Roman" w:hAnsi="Times New Roman" w:cs="Times New Roman"/>
                <w:sz w:val="20"/>
                <w:szCs w:val="20"/>
              </w:rPr>
            </w:pPr>
          </w:p>
        </w:tc>
        <w:tc>
          <w:tcPr>
            <w:tcW w:w="1560" w:type="dxa"/>
            <w:vMerge/>
            <w:tcBorders>
              <w:top w:val="nil"/>
              <w:left w:val="nil"/>
              <w:bottom w:val="single" w:sz="12" w:space="0" w:color="000000"/>
              <w:right w:val="nil"/>
            </w:tcBorders>
            <w:shd w:val="clear" w:color="auto" w:fill="auto"/>
            <w:tcMar>
              <w:top w:w="100" w:type="dxa"/>
              <w:left w:w="100" w:type="dxa"/>
              <w:bottom w:w="100" w:type="dxa"/>
              <w:right w:w="100" w:type="dxa"/>
            </w:tcMar>
            <w:vAlign w:val="center"/>
          </w:tcPr>
          <w:p w14:paraId="74A9932B" w14:textId="77777777" w:rsidR="007E74C0" w:rsidRDefault="007E74C0">
            <w:pPr>
              <w:spacing w:line="240" w:lineRule="auto"/>
              <w:jc w:val="center"/>
              <w:rPr>
                <w:rFonts w:ascii="Times New Roman" w:eastAsia="Times New Roman" w:hAnsi="Times New Roman" w:cs="Times New Roman"/>
                <w:sz w:val="20"/>
                <w:szCs w:val="20"/>
              </w:rPr>
            </w:pPr>
          </w:p>
        </w:tc>
      </w:tr>
      <w:tr w:rsidR="007E74C0" w14:paraId="72A249D6" w14:textId="77777777">
        <w:trPr>
          <w:trHeight w:val="198"/>
        </w:trPr>
        <w:tc>
          <w:tcPr>
            <w:tcW w:w="555" w:type="dxa"/>
            <w:tcBorders>
              <w:top w:val="nil"/>
              <w:left w:val="nil"/>
              <w:bottom w:val="nil"/>
              <w:right w:val="nil"/>
            </w:tcBorders>
            <w:shd w:val="clear" w:color="auto" w:fill="auto"/>
            <w:tcMar>
              <w:top w:w="19" w:type="dxa"/>
              <w:left w:w="19" w:type="dxa"/>
              <w:bottom w:w="19" w:type="dxa"/>
              <w:right w:w="19" w:type="dxa"/>
            </w:tcMar>
            <w:vAlign w:val="center"/>
          </w:tcPr>
          <w:p w14:paraId="4949A405"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1992</w:t>
            </w:r>
          </w:p>
        </w:tc>
        <w:tc>
          <w:tcPr>
            <w:tcW w:w="660" w:type="dxa"/>
            <w:tcBorders>
              <w:top w:val="nil"/>
              <w:left w:val="nil"/>
              <w:bottom w:val="nil"/>
              <w:right w:val="nil"/>
            </w:tcBorders>
            <w:shd w:val="clear" w:color="auto" w:fill="auto"/>
            <w:tcMar>
              <w:top w:w="19" w:type="dxa"/>
              <w:left w:w="19" w:type="dxa"/>
              <w:bottom w:w="19" w:type="dxa"/>
              <w:right w:w="19" w:type="dxa"/>
            </w:tcMar>
            <w:vAlign w:val="center"/>
          </w:tcPr>
          <w:p w14:paraId="29263693"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26(1)</w:t>
            </w:r>
          </w:p>
        </w:tc>
        <w:tc>
          <w:tcPr>
            <w:tcW w:w="3255" w:type="dxa"/>
            <w:tcBorders>
              <w:top w:val="nil"/>
              <w:left w:val="nil"/>
              <w:bottom w:val="nil"/>
              <w:right w:val="nil"/>
            </w:tcBorders>
            <w:shd w:val="clear" w:color="auto" w:fill="auto"/>
            <w:tcMar>
              <w:top w:w="19" w:type="dxa"/>
              <w:left w:w="19" w:type="dxa"/>
              <w:bottom w:w="19" w:type="dxa"/>
              <w:right w:w="19" w:type="dxa"/>
            </w:tcMar>
            <w:vAlign w:val="center"/>
          </w:tcPr>
          <w:p w14:paraId="3A086850"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Medina</w:t>
            </w:r>
          </w:p>
        </w:tc>
        <w:tc>
          <w:tcPr>
            <w:tcW w:w="2985" w:type="dxa"/>
            <w:tcBorders>
              <w:top w:val="nil"/>
              <w:left w:val="nil"/>
              <w:bottom w:val="nil"/>
              <w:right w:val="nil"/>
            </w:tcBorders>
            <w:shd w:val="clear" w:color="auto" w:fill="auto"/>
            <w:tcMar>
              <w:top w:w="19" w:type="dxa"/>
              <w:left w:w="19" w:type="dxa"/>
              <w:bottom w:w="19" w:type="dxa"/>
              <w:right w:w="19" w:type="dxa"/>
            </w:tcMar>
            <w:vAlign w:val="center"/>
          </w:tcPr>
          <w:p w14:paraId="6F96A6C4"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Masculinidades, Poder</w:t>
            </w:r>
          </w:p>
        </w:tc>
        <w:tc>
          <w:tcPr>
            <w:tcW w:w="1560" w:type="dxa"/>
            <w:tcBorders>
              <w:top w:val="nil"/>
              <w:left w:val="nil"/>
              <w:bottom w:val="nil"/>
              <w:right w:val="nil"/>
            </w:tcBorders>
            <w:shd w:val="clear" w:color="auto" w:fill="auto"/>
            <w:tcMar>
              <w:top w:w="19" w:type="dxa"/>
              <w:left w:w="19" w:type="dxa"/>
              <w:bottom w:w="19" w:type="dxa"/>
              <w:right w:w="19" w:type="dxa"/>
            </w:tcMar>
            <w:vAlign w:val="center"/>
          </w:tcPr>
          <w:p w14:paraId="0188A804"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Porto Rico</w:t>
            </w:r>
          </w:p>
        </w:tc>
      </w:tr>
      <w:tr w:rsidR="007E74C0" w14:paraId="3BA3FF63" w14:textId="77777777">
        <w:trPr>
          <w:trHeight w:val="239"/>
        </w:trPr>
        <w:tc>
          <w:tcPr>
            <w:tcW w:w="555" w:type="dxa"/>
            <w:tcBorders>
              <w:top w:val="nil"/>
              <w:left w:val="nil"/>
              <w:right w:val="nil"/>
            </w:tcBorders>
            <w:shd w:val="clear" w:color="auto" w:fill="BFBFBF"/>
            <w:tcMar>
              <w:top w:w="19" w:type="dxa"/>
              <w:left w:w="19" w:type="dxa"/>
              <w:bottom w:w="19" w:type="dxa"/>
              <w:right w:w="19" w:type="dxa"/>
            </w:tcMar>
            <w:vAlign w:val="center"/>
          </w:tcPr>
          <w:p w14:paraId="56F79346"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2004</w:t>
            </w:r>
          </w:p>
        </w:tc>
        <w:tc>
          <w:tcPr>
            <w:tcW w:w="660" w:type="dxa"/>
            <w:tcBorders>
              <w:top w:val="nil"/>
              <w:left w:val="nil"/>
              <w:right w:val="nil"/>
            </w:tcBorders>
            <w:shd w:val="clear" w:color="auto" w:fill="BFBFBF"/>
            <w:tcMar>
              <w:top w:w="19" w:type="dxa"/>
              <w:left w:w="19" w:type="dxa"/>
              <w:bottom w:w="19" w:type="dxa"/>
              <w:right w:w="19" w:type="dxa"/>
            </w:tcMar>
            <w:vAlign w:val="center"/>
          </w:tcPr>
          <w:p w14:paraId="72D9C576"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38(2)</w:t>
            </w:r>
          </w:p>
        </w:tc>
        <w:tc>
          <w:tcPr>
            <w:tcW w:w="3255" w:type="dxa"/>
            <w:tcBorders>
              <w:top w:val="nil"/>
              <w:left w:val="nil"/>
              <w:right w:val="nil"/>
            </w:tcBorders>
            <w:shd w:val="clear" w:color="auto" w:fill="BFBFBF"/>
            <w:tcMar>
              <w:top w:w="19" w:type="dxa"/>
              <w:left w:w="19" w:type="dxa"/>
              <w:bottom w:w="19" w:type="dxa"/>
              <w:right w:w="19" w:type="dxa"/>
            </w:tcMar>
            <w:vAlign w:val="center"/>
          </w:tcPr>
          <w:p w14:paraId="27792253"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Diaz-Loving, Sánchez &amp; Aragón</w:t>
            </w:r>
          </w:p>
        </w:tc>
        <w:tc>
          <w:tcPr>
            <w:tcW w:w="2985" w:type="dxa"/>
            <w:tcBorders>
              <w:top w:val="nil"/>
              <w:left w:val="nil"/>
              <w:right w:val="nil"/>
            </w:tcBorders>
            <w:shd w:val="clear" w:color="auto" w:fill="BFBFBF"/>
            <w:tcMar>
              <w:top w:w="19" w:type="dxa"/>
              <w:left w:w="19" w:type="dxa"/>
              <w:bottom w:w="19" w:type="dxa"/>
              <w:right w:w="19" w:type="dxa"/>
            </w:tcMar>
            <w:vAlign w:val="center"/>
          </w:tcPr>
          <w:p w14:paraId="6D2697B3"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Masculinidade, Feminilidade</w:t>
            </w:r>
          </w:p>
        </w:tc>
        <w:tc>
          <w:tcPr>
            <w:tcW w:w="1560" w:type="dxa"/>
            <w:tcBorders>
              <w:top w:val="nil"/>
              <w:left w:val="nil"/>
              <w:right w:val="nil"/>
            </w:tcBorders>
            <w:shd w:val="clear" w:color="auto" w:fill="BFBFBF"/>
            <w:tcMar>
              <w:top w:w="19" w:type="dxa"/>
              <w:left w:w="19" w:type="dxa"/>
              <w:bottom w:w="19" w:type="dxa"/>
              <w:right w:w="19" w:type="dxa"/>
            </w:tcMar>
            <w:vAlign w:val="center"/>
          </w:tcPr>
          <w:p w14:paraId="7C96AE27"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r w:rsidR="007E74C0" w14:paraId="1610C38A" w14:textId="77777777">
        <w:trPr>
          <w:trHeight w:val="239"/>
        </w:trPr>
        <w:tc>
          <w:tcPr>
            <w:tcW w:w="555" w:type="dxa"/>
            <w:vMerge w:val="restart"/>
            <w:tcBorders>
              <w:top w:val="nil"/>
              <w:left w:val="nil"/>
              <w:right w:val="nil"/>
            </w:tcBorders>
            <w:tcMar>
              <w:top w:w="19" w:type="dxa"/>
              <w:left w:w="19" w:type="dxa"/>
              <w:bottom w:w="19" w:type="dxa"/>
              <w:right w:w="19" w:type="dxa"/>
            </w:tcMar>
            <w:vAlign w:val="center"/>
          </w:tcPr>
          <w:p w14:paraId="1D893E20"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2008</w:t>
            </w:r>
          </w:p>
        </w:tc>
        <w:tc>
          <w:tcPr>
            <w:tcW w:w="660" w:type="dxa"/>
            <w:vMerge w:val="restart"/>
            <w:tcBorders>
              <w:top w:val="nil"/>
              <w:left w:val="nil"/>
              <w:right w:val="nil"/>
            </w:tcBorders>
            <w:tcMar>
              <w:top w:w="19" w:type="dxa"/>
              <w:left w:w="19" w:type="dxa"/>
              <w:bottom w:w="19" w:type="dxa"/>
              <w:right w:w="19" w:type="dxa"/>
            </w:tcMar>
            <w:vAlign w:val="center"/>
          </w:tcPr>
          <w:p w14:paraId="35211E34"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42(1)</w:t>
            </w:r>
          </w:p>
        </w:tc>
        <w:tc>
          <w:tcPr>
            <w:tcW w:w="3255" w:type="dxa"/>
            <w:tcBorders>
              <w:top w:val="nil"/>
              <w:left w:val="nil"/>
              <w:right w:val="nil"/>
            </w:tcBorders>
            <w:tcMar>
              <w:top w:w="19" w:type="dxa"/>
              <w:left w:w="19" w:type="dxa"/>
              <w:bottom w:w="19" w:type="dxa"/>
              <w:right w:w="19" w:type="dxa"/>
            </w:tcMar>
            <w:vAlign w:val="center"/>
          </w:tcPr>
          <w:p w14:paraId="52907CCB"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García-Campos</w:t>
            </w:r>
          </w:p>
        </w:tc>
        <w:tc>
          <w:tcPr>
            <w:tcW w:w="2985" w:type="dxa"/>
            <w:tcBorders>
              <w:top w:val="nil"/>
              <w:left w:val="nil"/>
              <w:right w:val="nil"/>
            </w:tcBorders>
            <w:tcMar>
              <w:top w:w="19" w:type="dxa"/>
              <w:left w:w="19" w:type="dxa"/>
              <w:bottom w:w="19" w:type="dxa"/>
              <w:right w:w="19" w:type="dxa"/>
            </w:tcMar>
            <w:vAlign w:val="center"/>
          </w:tcPr>
          <w:p w14:paraId="0C1051AA"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Masculinidades, Papéis sexuais</w:t>
            </w:r>
          </w:p>
        </w:tc>
        <w:tc>
          <w:tcPr>
            <w:tcW w:w="1560" w:type="dxa"/>
            <w:tcBorders>
              <w:top w:val="nil"/>
              <w:left w:val="nil"/>
              <w:right w:val="nil"/>
            </w:tcBorders>
            <w:tcMar>
              <w:top w:w="19" w:type="dxa"/>
              <w:left w:w="19" w:type="dxa"/>
              <w:bottom w:w="19" w:type="dxa"/>
              <w:right w:w="19" w:type="dxa"/>
            </w:tcMar>
            <w:vAlign w:val="center"/>
          </w:tcPr>
          <w:p w14:paraId="69199908"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r w:rsidR="007E74C0" w14:paraId="68A7898F" w14:textId="77777777">
        <w:trPr>
          <w:trHeight w:val="239"/>
        </w:trPr>
        <w:tc>
          <w:tcPr>
            <w:tcW w:w="555" w:type="dxa"/>
            <w:vMerge/>
            <w:tcBorders>
              <w:top w:val="nil"/>
              <w:left w:val="nil"/>
              <w:right w:val="nil"/>
            </w:tcBorders>
            <w:tcMar>
              <w:top w:w="19" w:type="dxa"/>
              <w:left w:w="19" w:type="dxa"/>
              <w:bottom w:w="19" w:type="dxa"/>
              <w:right w:w="19" w:type="dxa"/>
            </w:tcMar>
            <w:vAlign w:val="center"/>
          </w:tcPr>
          <w:p w14:paraId="1C2A53BC" w14:textId="77777777" w:rsidR="007E74C0" w:rsidRDefault="007E74C0">
            <w:pPr>
              <w:spacing w:line="240" w:lineRule="auto"/>
              <w:jc w:val="center"/>
              <w:rPr>
                <w:rFonts w:ascii="Times New Roman" w:eastAsia="Times New Roman" w:hAnsi="Times New Roman" w:cs="Times New Roman"/>
                <w:sz w:val="20"/>
                <w:szCs w:val="20"/>
              </w:rPr>
            </w:pPr>
          </w:p>
        </w:tc>
        <w:tc>
          <w:tcPr>
            <w:tcW w:w="660" w:type="dxa"/>
            <w:vMerge/>
            <w:tcBorders>
              <w:top w:val="nil"/>
              <w:left w:val="nil"/>
              <w:right w:val="nil"/>
            </w:tcBorders>
            <w:tcMar>
              <w:top w:w="19" w:type="dxa"/>
              <w:left w:w="19" w:type="dxa"/>
              <w:bottom w:w="19" w:type="dxa"/>
              <w:right w:w="19" w:type="dxa"/>
            </w:tcMar>
            <w:vAlign w:val="center"/>
          </w:tcPr>
          <w:p w14:paraId="1EDB1B88" w14:textId="77777777" w:rsidR="007E74C0" w:rsidRDefault="007E74C0">
            <w:pPr>
              <w:spacing w:line="240" w:lineRule="auto"/>
              <w:jc w:val="center"/>
              <w:rPr>
                <w:rFonts w:ascii="Times New Roman" w:eastAsia="Times New Roman" w:hAnsi="Times New Roman" w:cs="Times New Roman"/>
                <w:sz w:val="20"/>
                <w:szCs w:val="20"/>
              </w:rPr>
            </w:pPr>
          </w:p>
        </w:tc>
        <w:tc>
          <w:tcPr>
            <w:tcW w:w="3255" w:type="dxa"/>
            <w:tcBorders>
              <w:top w:val="nil"/>
              <w:left w:val="nil"/>
              <w:right w:val="nil"/>
            </w:tcBorders>
            <w:tcMar>
              <w:top w:w="19" w:type="dxa"/>
              <w:left w:w="19" w:type="dxa"/>
              <w:bottom w:w="19" w:type="dxa"/>
              <w:right w:w="19" w:type="dxa"/>
            </w:tcMar>
            <w:vAlign w:val="center"/>
          </w:tcPr>
          <w:p w14:paraId="56BBE7C7"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Cardoso</w:t>
            </w:r>
          </w:p>
        </w:tc>
        <w:tc>
          <w:tcPr>
            <w:tcW w:w="2985" w:type="dxa"/>
            <w:tcBorders>
              <w:top w:val="nil"/>
              <w:left w:val="nil"/>
              <w:right w:val="nil"/>
            </w:tcBorders>
            <w:tcMar>
              <w:top w:w="19" w:type="dxa"/>
              <w:left w:w="19" w:type="dxa"/>
              <w:bottom w:w="19" w:type="dxa"/>
              <w:right w:w="19" w:type="dxa"/>
            </w:tcMar>
            <w:vAlign w:val="center"/>
          </w:tcPr>
          <w:p w14:paraId="01B7A00D"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Orientação sexual, Motricidade</w:t>
            </w:r>
          </w:p>
        </w:tc>
        <w:tc>
          <w:tcPr>
            <w:tcW w:w="1560" w:type="dxa"/>
            <w:tcBorders>
              <w:top w:val="nil"/>
              <w:left w:val="nil"/>
              <w:right w:val="nil"/>
            </w:tcBorders>
            <w:tcMar>
              <w:top w:w="19" w:type="dxa"/>
              <w:left w:w="19" w:type="dxa"/>
              <w:bottom w:w="19" w:type="dxa"/>
              <w:right w:w="19" w:type="dxa"/>
            </w:tcMar>
            <w:vAlign w:val="center"/>
          </w:tcPr>
          <w:p w14:paraId="7C83D5A1"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Brasil</w:t>
            </w:r>
          </w:p>
        </w:tc>
      </w:tr>
      <w:tr w:rsidR="007E74C0" w14:paraId="07AD3215" w14:textId="77777777">
        <w:trPr>
          <w:trHeight w:val="239"/>
        </w:trPr>
        <w:tc>
          <w:tcPr>
            <w:tcW w:w="555" w:type="dxa"/>
            <w:vMerge/>
            <w:tcBorders>
              <w:top w:val="nil"/>
              <w:left w:val="nil"/>
              <w:right w:val="nil"/>
            </w:tcBorders>
            <w:tcMar>
              <w:top w:w="19" w:type="dxa"/>
              <w:left w:w="19" w:type="dxa"/>
              <w:bottom w:w="19" w:type="dxa"/>
              <w:right w:w="19" w:type="dxa"/>
            </w:tcMar>
            <w:vAlign w:val="center"/>
          </w:tcPr>
          <w:p w14:paraId="7E551E78" w14:textId="77777777" w:rsidR="007E74C0" w:rsidRDefault="007E74C0">
            <w:pPr>
              <w:spacing w:line="240" w:lineRule="auto"/>
              <w:jc w:val="center"/>
              <w:rPr>
                <w:rFonts w:ascii="Times New Roman" w:eastAsia="Times New Roman" w:hAnsi="Times New Roman" w:cs="Times New Roman"/>
                <w:sz w:val="20"/>
                <w:szCs w:val="20"/>
              </w:rPr>
            </w:pPr>
          </w:p>
        </w:tc>
        <w:tc>
          <w:tcPr>
            <w:tcW w:w="660" w:type="dxa"/>
            <w:tcBorders>
              <w:top w:val="nil"/>
              <w:left w:val="nil"/>
              <w:right w:val="nil"/>
            </w:tcBorders>
            <w:tcMar>
              <w:top w:w="19" w:type="dxa"/>
              <w:left w:w="19" w:type="dxa"/>
              <w:bottom w:w="19" w:type="dxa"/>
              <w:right w:w="19" w:type="dxa"/>
            </w:tcMar>
            <w:vAlign w:val="center"/>
          </w:tcPr>
          <w:p w14:paraId="227ED489"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42(2)</w:t>
            </w:r>
          </w:p>
        </w:tc>
        <w:tc>
          <w:tcPr>
            <w:tcW w:w="3255" w:type="dxa"/>
            <w:tcBorders>
              <w:top w:val="nil"/>
              <w:left w:val="nil"/>
              <w:right w:val="nil"/>
            </w:tcBorders>
            <w:tcMar>
              <w:top w:w="19" w:type="dxa"/>
              <w:left w:w="19" w:type="dxa"/>
              <w:bottom w:w="19" w:type="dxa"/>
              <w:right w:w="19" w:type="dxa"/>
            </w:tcMar>
            <w:vAlign w:val="center"/>
          </w:tcPr>
          <w:p w14:paraId="76AC57D2"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 La Rubia</w:t>
            </w:r>
          </w:p>
        </w:tc>
        <w:tc>
          <w:tcPr>
            <w:tcW w:w="2985" w:type="dxa"/>
            <w:tcBorders>
              <w:top w:val="nil"/>
              <w:left w:val="nil"/>
              <w:right w:val="nil"/>
            </w:tcBorders>
            <w:tcMar>
              <w:top w:w="19" w:type="dxa"/>
              <w:left w:w="19" w:type="dxa"/>
              <w:bottom w:w="19" w:type="dxa"/>
              <w:right w:w="19" w:type="dxa"/>
            </w:tcMar>
            <w:vAlign w:val="center"/>
          </w:tcPr>
          <w:p w14:paraId="4CB1FB24"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Práticas sexuais (satisfação sexual)</w:t>
            </w:r>
          </w:p>
        </w:tc>
        <w:tc>
          <w:tcPr>
            <w:tcW w:w="1560" w:type="dxa"/>
            <w:tcBorders>
              <w:top w:val="nil"/>
              <w:left w:val="nil"/>
              <w:right w:val="nil"/>
            </w:tcBorders>
            <w:tcMar>
              <w:top w:w="19" w:type="dxa"/>
              <w:left w:w="19" w:type="dxa"/>
              <w:bottom w:w="19" w:type="dxa"/>
              <w:right w:w="19" w:type="dxa"/>
            </w:tcMar>
            <w:vAlign w:val="center"/>
          </w:tcPr>
          <w:p w14:paraId="62FC64A0"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r w:rsidR="007E74C0" w14:paraId="09BF5E1D" w14:textId="77777777">
        <w:trPr>
          <w:trHeight w:val="239"/>
        </w:trPr>
        <w:tc>
          <w:tcPr>
            <w:tcW w:w="555" w:type="dxa"/>
            <w:vMerge w:val="restart"/>
            <w:tcBorders>
              <w:left w:val="nil"/>
              <w:bottom w:val="nil"/>
              <w:right w:val="nil"/>
            </w:tcBorders>
            <w:shd w:val="clear" w:color="auto" w:fill="BFBFBF"/>
            <w:tcMar>
              <w:top w:w="19" w:type="dxa"/>
              <w:left w:w="19" w:type="dxa"/>
              <w:bottom w:w="19" w:type="dxa"/>
              <w:right w:w="19" w:type="dxa"/>
            </w:tcMar>
            <w:vAlign w:val="center"/>
          </w:tcPr>
          <w:p w14:paraId="1A670EF2"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2011</w:t>
            </w:r>
          </w:p>
        </w:tc>
        <w:tc>
          <w:tcPr>
            <w:tcW w:w="660" w:type="dxa"/>
            <w:vMerge w:val="restart"/>
            <w:tcBorders>
              <w:left w:val="nil"/>
              <w:bottom w:val="nil"/>
              <w:right w:val="nil"/>
            </w:tcBorders>
            <w:shd w:val="clear" w:color="auto" w:fill="BFBFBF"/>
            <w:tcMar>
              <w:top w:w="19" w:type="dxa"/>
              <w:left w:w="19" w:type="dxa"/>
              <w:bottom w:w="19" w:type="dxa"/>
              <w:right w:w="19" w:type="dxa"/>
            </w:tcMar>
            <w:vAlign w:val="center"/>
          </w:tcPr>
          <w:p w14:paraId="7EB5200B"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45(1)</w:t>
            </w:r>
          </w:p>
        </w:tc>
        <w:tc>
          <w:tcPr>
            <w:tcW w:w="3255" w:type="dxa"/>
            <w:tcBorders>
              <w:left w:val="nil"/>
              <w:bottom w:val="nil"/>
              <w:right w:val="nil"/>
            </w:tcBorders>
            <w:shd w:val="clear" w:color="auto" w:fill="BFBFBF"/>
            <w:tcMar>
              <w:top w:w="19" w:type="dxa"/>
              <w:left w:w="19" w:type="dxa"/>
              <w:bottom w:w="19" w:type="dxa"/>
              <w:right w:w="19" w:type="dxa"/>
            </w:tcMar>
            <w:vAlign w:val="center"/>
          </w:tcPr>
          <w:p w14:paraId="059B46CD"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Rodríguez &amp; Alfonso</w:t>
            </w:r>
          </w:p>
        </w:tc>
        <w:tc>
          <w:tcPr>
            <w:tcW w:w="2985" w:type="dxa"/>
            <w:tcBorders>
              <w:left w:val="nil"/>
              <w:bottom w:val="nil"/>
              <w:right w:val="nil"/>
            </w:tcBorders>
            <w:shd w:val="clear" w:color="auto" w:fill="BFBFBF"/>
            <w:tcMar>
              <w:top w:w="19" w:type="dxa"/>
              <w:left w:w="19" w:type="dxa"/>
              <w:bottom w:w="19" w:type="dxa"/>
              <w:right w:w="19" w:type="dxa"/>
            </w:tcMar>
            <w:vAlign w:val="center"/>
          </w:tcPr>
          <w:p w14:paraId="30F7E33E"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Sexualidade, Papéis de gênero</w:t>
            </w:r>
          </w:p>
        </w:tc>
        <w:tc>
          <w:tcPr>
            <w:tcW w:w="1560" w:type="dxa"/>
            <w:tcBorders>
              <w:left w:val="nil"/>
              <w:bottom w:val="nil"/>
              <w:right w:val="nil"/>
            </w:tcBorders>
            <w:shd w:val="clear" w:color="auto" w:fill="BFBFBF"/>
            <w:tcMar>
              <w:top w:w="19" w:type="dxa"/>
              <w:left w:w="19" w:type="dxa"/>
              <w:bottom w:w="19" w:type="dxa"/>
              <w:right w:w="19" w:type="dxa"/>
            </w:tcMar>
            <w:vAlign w:val="center"/>
          </w:tcPr>
          <w:p w14:paraId="30D580EA"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Porto Rico</w:t>
            </w:r>
          </w:p>
        </w:tc>
      </w:tr>
      <w:tr w:rsidR="007E74C0" w14:paraId="594A2D2E" w14:textId="77777777">
        <w:trPr>
          <w:trHeight w:val="239"/>
        </w:trPr>
        <w:tc>
          <w:tcPr>
            <w:tcW w:w="555" w:type="dxa"/>
            <w:vMerge/>
            <w:tcBorders>
              <w:left w:val="nil"/>
              <w:bottom w:val="nil"/>
              <w:right w:val="nil"/>
            </w:tcBorders>
            <w:shd w:val="clear" w:color="auto" w:fill="BFBFBF"/>
            <w:tcMar>
              <w:top w:w="19" w:type="dxa"/>
              <w:left w:w="19" w:type="dxa"/>
              <w:bottom w:w="19" w:type="dxa"/>
              <w:right w:w="19" w:type="dxa"/>
            </w:tcMar>
            <w:vAlign w:val="center"/>
          </w:tcPr>
          <w:p w14:paraId="0D8A2E7E" w14:textId="77777777" w:rsidR="007E74C0" w:rsidRDefault="007E74C0">
            <w:pPr>
              <w:spacing w:line="240" w:lineRule="auto"/>
              <w:jc w:val="center"/>
              <w:rPr>
                <w:rFonts w:ascii="Times New Roman" w:eastAsia="Times New Roman" w:hAnsi="Times New Roman" w:cs="Times New Roman"/>
                <w:sz w:val="20"/>
                <w:szCs w:val="20"/>
              </w:rPr>
            </w:pPr>
          </w:p>
        </w:tc>
        <w:tc>
          <w:tcPr>
            <w:tcW w:w="660" w:type="dxa"/>
            <w:vMerge/>
            <w:tcBorders>
              <w:left w:val="nil"/>
              <w:bottom w:val="nil"/>
              <w:right w:val="nil"/>
            </w:tcBorders>
            <w:shd w:val="clear" w:color="auto" w:fill="BFBFBF"/>
            <w:tcMar>
              <w:top w:w="19" w:type="dxa"/>
              <w:left w:w="19" w:type="dxa"/>
              <w:bottom w:w="19" w:type="dxa"/>
              <w:right w:w="19" w:type="dxa"/>
            </w:tcMar>
            <w:vAlign w:val="center"/>
          </w:tcPr>
          <w:p w14:paraId="092654D8" w14:textId="77777777" w:rsidR="007E74C0" w:rsidRDefault="007E74C0">
            <w:pPr>
              <w:spacing w:line="240" w:lineRule="auto"/>
              <w:jc w:val="center"/>
              <w:rPr>
                <w:rFonts w:ascii="Times New Roman" w:eastAsia="Times New Roman" w:hAnsi="Times New Roman" w:cs="Times New Roman"/>
                <w:sz w:val="20"/>
                <w:szCs w:val="20"/>
              </w:rPr>
            </w:pPr>
          </w:p>
        </w:tc>
        <w:tc>
          <w:tcPr>
            <w:tcW w:w="3255" w:type="dxa"/>
            <w:tcBorders>
              <w:left w:val="nil"/>
              <w:bottom w:val="nil"/>
              <w:right w:val="nil"/>
            </w:tcBorders>
            <w:shd w:val="clear" w:color="auto" w:fill="BFBFBF"/>
            <w:tcMar>
              <w:top w:w="19" w:type="dxa"/>
              <w:left w:w="19" w:type="dxa"/>
              <w:bottom w:w="19" w:type="dxa"/>
              <w:right w:w="19" w:type="dxa"/>
            </w:tcMar>
            <w:vAlign w:val="center"/>
          </w:tcPr>
          <w:p w14:paraId="1E91975F"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Rubia</w:t>
            </w:r>
          </w:p>
        </w:tc>
        <w:tc>
          <w:tcPr>
            <w:tcW w:w="2985" w:type="dxa"/>
            <w:tcBorders>
              <w:left w:val="nil"/>
              <w:bottom w:val="nil"/>
              <w:right w:val="nil"/>
            </w:tcBorders>
            <w:shd w:val="clear" w:color="auto" w:fill="BFBFBF"/>
            <w:tcMar>
              <w:top w:w="19" w:type="dxa"/>
              <w:left w:w="19" w:type="dxa"/>
              <w:bottom w:w="19" w:type="dxa"/>
              <w:right w:w="19" w:type="dxa"/>
            </w:tcMar>
            <w:vAlign w:val="center"/>
          </w:tcPr>
          <w:p w14:paraId="5268D421"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Práticas sexuais (masturbação)</w:t>
            </w:r>
          </w:p>
        </w:tc>
        <w:tc>
          <w:tcPr>
            <w:tcW w:w="1560" w:type="dxa"/>
            <w:tcBorders>
              <w:left w:val="nil"/>
              <w:bottom w:val="nil"/>
              <w:right w:val="nil"/>
            </w:tcBorders>
            <w:shd w:val="clear" w:color="auto" w:fill="BFBFBF"/>
            <w:tcMar>
              <w:top w:w="19" w:type="dxa"/>
              <w:left w:w="19" w:type="dxa"/>
              <w:bottom w:w="19" w:type="dxa"/>
              <w:right w:w="19" w:type="dxa"/>
            </w:tcMar>
            <w:vAlign w:val="center"/>
          </w:tcPr>
          <w:p w14:paraId="1A9ECDCF"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r w:rsidR="007E74C0" w14:paraId="7E7268DF" w14:textId="77777777">
        <w:trPr>
          <w:trHeight w:val="239"/>
        </w:trPr>
        <w:tc>
          <w:tcPr>
            <w:tcW w:w="555" w:type="dxa"/>
            <w:vMerge/>
            <w:tcBorders>
              <w:left w:val="nil"/>
              <w:bottom w:val="nil"/>
              <w:right w:val="nil"/>
            </w:tcBorders>
            <w:tcMar>
              <w:top w:w="19" w:type="dxa"/>
              <w:left w:w="19" w:type="dxa"/>
              <w:bottom w:w="19" w:type="dxa"/>
              <w:right w:w="19" w:type="dxa"/>
            </w:tcMar>
            <w:vAlign w:val="center"/>
          </w:tcPr>
          <w:p w14:paraId="0DB41348" w14:textId="77777777" w:rsidR="007E74C0" w:rsidRDefault="007E74C0">
            <w:pPr>
              <w:spacing w:line="240" w:lineRule="auto"/>
              <w:jc w:val="center"/>
              <w:rPr>
                <w:rFonts w:ascii="Times New Roman" w:eastAsia="Times New Roman" w:hAnsi="Times New Roman" w:cs="Times New Roman"/>
                <w:sz w:val="20"/>
                <w:szCs w:val="20"/>
              </w:rPr>
            </w:pPr>
          </w:p>
        </w:tc>
        <w:tc>
          <w:tcPr>
            <w:tcW w:w="660" w:type="dxa"/>
            <w:tcBorders>
              <w:left w:val="nil"/>
              <w:bottom w:val="nil"/>
              <w:right w:val="nil"/>
            </w:tcBorders>
            <w:shd w:val="clear" w:color="auto" w:fill="BFBFBF"/>
            <w:tcMar>
              <w:top w:w="19" w:type="dxa"/>
              <w:left w:w="19" w:type="dxa"/>
              <w:bottom w:w="19" w:type="dxa"/>
              <w:right w:w="19" w:type="dxa"/>
            </w:tcMar>
            <w:vAlign w:val="center"/>
          </w:tcPr>
          <w:p w14:paraId="50547544"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45(2)</w:t>
            </w:r>
          </w:p>
        </w:tc>
        <w:tc>
          <w:tcPr>
            <w:tcW w:w="3255" w:type="dxa"/>
            <w:tcBorders>
              <w:left w:val="nil"/>
              <w:bottom w:val="nil"/>
              <w:right w:val="nil"/>
            </w:tcBorders>
            <w:shd w:val="clear" w:color="auto" w:fill="BFBFBF"/>
            <w:tcMar>
              <w:top w:w="19" w:type="dxa"/>
              <w:left w:w="19" w:type="dxa"/>
              <w:bottom w:w="19" w:type="dxa"/>
              <w:right w:w="19" w:type="dxa"/>
            </w:tcMar>
            <w:vAlign w:val="center"/>
          </w:tcPr>
          <w:p w14:paraId="53238FD0"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Alvarado, Borjas e Ortega</w:t>
            </w:r>
          </w:p>
        </w:tc>
        <w:tc>
          <w:tcPr>
            <w:tcW w:w="2985" w:type="dxa"/>
            <w:tcBorders>
              <w:left w:val="nil"/>
              <w:bottom w:val="nil"/>
              <w:right w:val="nil"/>
            </w:tcBorders>
            <w:shd w:val="clear" w:color="auto" w:fill="BFBFBF"/>
            <w:tcMar>
              <w:top w:w="19" w:type="dxa"/>
              <w:left w:w="19" w:type="dxa"/>
              <w:bottom w:w="19" w:type="dxa"/>
              <w:right w:w="19" w:type="dxa"/>
            </w:tcMar>
            <w:vAlign w:val="center"/>
          </w:tcPr>
          <w:p w14:paraId="1650FDCD"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Práticas sexuais (satisfação sexual)</w:t>
            </w:r>
          </w:p>
        </w:tc>
        <w:tc>
          <w:tcPr>
            <w:tcW w:w="1560" w:type="dxa"/>
            <w:tcBorders>
              <w:left w:val="nil"/>
              <w:bottom w:val="nil"/>
              <w:right w:val="nil"/>
            </w:tcBorders>
            <w:shd w:val="clear" w:color="auto" w:fill="BFBFBF"/>
            <w:tcMar>
              <w:top w:w="19" w:type="dxa"/>
              <w:left w:w="19" w:type="dxa"/>
              <w:bottom w:w="19" w:type="dxa"/>
              <w:right w:w="19" w:type="dxa"/>
            </w:tcMar>
            <w:vAlign w:val="center"/>
          </w:tcPr>
          <w:p w14:paraId="3C254FC7"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r w:rsidR="007E74C0" w14:paraId="777D86A4" w14:textId="77777777">
        <w:trPr>
          <w:trHeight w:val="239"/>
        </w:trPr>
        <w:tc>
          <w:tcPr>
            <w:tcW w:w="555" w:type="dxa"/>
            <w:vMerge/>
            <w:tcBorders>
              <w:left w:val="nil"/>
              <w:bottom w:val="nil"/>
              <w:right w:val="nil"/>
            </w:tcBorders>
            <w:tcMar>
              <w:top w:w="19" w:type="dxa"/>
              <w:left w:w="19" w:type="dxa"/>
              <w:bottom w:w="19" w:type="dxa"/>
              <w:right w:w="19" w:type="dxa"/>
            </w:tcMar>
            <w:vAlign w:val="center"/>
          </w:tcPr>
          <w:p w14:paraId="062E1C37" w14:textId="77777777" w:rsidR="007E74C0" w:rsidRDefault="007E74C0">
            <w:pPr>
              <w:spacing w:line="240" w:lineRule="auto"/>
              <w:jc w:val="center"/>
              <w:rPr>
                <w:rFonts w:ascii="Times New Roman" w:eastAsia="Times New Roman" w:hAnsi="Times New Roman" w:cs="Times New Roman"/>
                <w:sz w:val="20"/>
                <w:szCs w:val="20"/>
              </w:rPr>
            </w:pPr>
          </w:p>
        </w:tc>
        <w:tc>
          <w:tcPr>
            <w:tcW w:w="660" w:type="dxa"/>
            <w:tcBorders>
              <w:left w:val="nil"/>
              <w:bottom w:val="nil"/>
              <w:right w:val="nil"/>
            </w:tcBorders>
            <w:shd w:val="clear" w:color="auto" w:fill="BFBFBF"/>
            <w:tcMar>
              <w:top w:w="19" w:type="dxa"/>
              <w:left w:w="19" w:type="dxa"/>
              <w:bottom w:w="19" w:type="dxa"/>
              <w:right w:w="19" w:type="dxa"/>
            </w:tcMar>
            <w:vAlign w:val="center"/>
          </w:tcPr>
          <w:p w14:paraId="31FD1E5B"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45(3)</w:t>
            </w:r>
          </w:p>
        </w:tc>
        <w:tc>
          <w:tcPr>
            <w:tcW w:w="3255" w:type="dxa"/>
            <w:tcBorders>
              <w:left w:val="nil"/>
              <w:bottom w:val="nil"/>
              <w:right w:val="nil"/>
            </w:tcBorders>
            <w:shd w:val="clear" w:color="auto" w:fill="BFBFBF"/>
            <w:tcMar>
              <w:top w:w="19" w:type="dxa"/>
              <w:left w:w="19" w:type="dxa"/>
              <w:bottom w:w="19" w:type="dxa"/>
              <w:right w:w="19" w:type="dxa"/>
            </w:tcMar>
            <w:vAlign w:val="center"/>
          </w:tcPr>
          <w:p w14:paraId="5682619F"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Rodríguez e Loving</w:t>
            </w:r>
          </w:p>
        </w:tc>
        <w:tc>
          <w:tcPr>
            <w:tcW w:w="2985" w:type="dxa"/>
            <w:tcBorders>
              <w:left w:val="nil"/>
              <w:bottom w:val="nil"/>
              <w:right w:val="nil"/>
            </w:tcBorders>
            <w:shd w:val="clear" w:color="auto" w:fill="BFBFBF"/>
            <w:tcMar>
              <w:top w:w="19" w:type="dxa"/>
              <w:left w:w="19" w:type="dxa"/>
              <w:bottom w:w="19" w:type="dxa"/>
              <w:right w:w="19" w:type="dxa"/>
            </w:tcMar>
            <w:vAlign w:val="center"/>
          </w:tcPr>
          <w:p w14:paraId="62E8056C"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Práticas sexuais (motivação sexual)</w:t>
            </w:r>
          </w:p>
        </w:tc>
        <w:tc>
          <w:tcPr>
            <w:tcW w:w="1560" w:type="dxa"/>
            <w:tcBorders>
              <w:left w:val="nil"/>
              <w:bottom w:val="nil"/>
              <w:right w:val="nil"/>
            </w:tcBorders>
            <w:shd w:val="clear" w:color="auto" w:fill="BFBFBF"/>
            <w:tcMar>
              <w:top w:w="19" w:type="dxa"/>
              <w:left w:w="19" w:type="dxa"/>
              <w:bottom w:w="19" w:type="dxa"/>
              <w:right w:w="19" w:type="dxa"/>
            </w:tcMar>
            <w:vAlign w:val="center"/>
          </w:tcPr>
          <w:p w14:paraId="7A24F951"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r w:rsidR="007E74C0" w14:paraId="6654951E" w14:textId="77777777">
        <w:trPr>
          <w:trHeight w:val="239"/>
        </w:trPr>
        <w:tc>
          <w:tcPr>
            <w:tcW w:w="555" w:type="dxa"/>
            <w:tcBorders>
              <w:left w:val="nil"/>
              <w:bottom w:val="single" w:sz="12" w:space="0" w:color="000000"/>
              <w:right w:val="nil"/>
            </w:tcBorders>
            <w:tcMar>
              <w:top w:w="19" w:type="dxa"/>
              <w:left w:w="19" w:type="dxa"/>
              <w:bottom w:w="19" w:type="dxa"/>
              <w:right w:w="19" w:type="dxa"/>
            </w:tcMar>
            <w:vAlign w:val="center"/>
          </w:tcPr>
          <w:p w14:paraId="25A34946"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2016</w:t>
            </w:r>
          </w:p>
        </w:tc>
        <w:tc>
          <w:tcPr>
            <w:tcW w:w="660" w:type="dxa"/>
            <w:tcBorders>
              <w:left w:val="nil"/>
              <w:bottom w:val="single" w:sz="12" w:space="0" w:color="000000"/>
              <w:right w:val="nil"/>
            </w:tcBorders>
            <w:tcMar>
              <w:top w:w="19" w:type="dxa"/>
              <w:left w:w="19" w:type="dxa"/>
              <w:bottom w:w="19" w:type="dxa"/>
              <w:right w:w="19" w:type="dxa"/>
            </w:tcMar>
            <w:vAlign w:val="center"/>
          </w:tcPr>
          <w:p w14:paraId="043EDA79"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50(2)</w:t>
            </w:r>
          </w:p>
        </w:tc>
        <w:tc>
          <w:tcPr>
            <w:tcW w:w="3255" w:type="dxa"/>
            <w:tcBorders>
              <w:left w:val="nil"/>
              <w:bottom w:val="single" w:sz="12" w:space="0" w:color="000000"/>
              <w:right w:val="nil"/>
            </w:tcBorders>
            <w:tcMar>
              <w:top w:w="19" w:type="dxa"/>
              <w:left w:w="19" w:type="dxa"/>
              <w:bottom w:w="19" w:type="dxa"/>
              <w:right w:w="19" w:type="dxa"/>
            </w:tcMar>
            <w:vAlign w:val="center"/>
          </w:tcPr>
          <w:p w14:paraId="7A5017D7"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Gutiérrez</w:t>
            </w:r>
          </w:p>
        </w:tc>
        <w:tc>
          <w:tcPr>
            <w:tcW w:w="2985" w:type="dxa"/>
            <w:tcBorders>
              <w:left w:val="nil"/>
              <w:bottom w:val="single" w:sz="12" w:space="0" w:color="000000"/>
              <w:right w:val="nil"/>
            </w:tcBorders>
            <w:tcMar>
              <w:top w:w="19" w:type="dxa"/>
              <w:left w:w="19" w:type="dxa"/>
              <w:bottom w:w="19" w:type="dxa"/>
              <w:right w:w="19" w:type="dxa"/>
            </w:tcMar>
            <w:vAlign w:val="center"/>
          </w:tcPr>
          <w:p w14:paraId="6DAF82AC"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Sexualidades, Homens transexuais</w:t>
            </w:r>
          </w:p>
        </w:tc>
        <w:tc>
          <w:tcPr>
            <w:tcW w:w="1560" w:type="dxa"/>
            <w:tcBorders>
              <w:left w:val="nil"/>
              <w:bottom w:val="single" w:sz="12" w:space="0" w:color="000000"/>
              <w:right w:val="nil"/>
            </w:tcBorders>
            <w:tcMar>
              <w:top w:w="19" w:type="dxa"/>
              <w:left w:w="19" w:type="dxa"/>
              <w:bottom w:w="19" w:type="dxa"/>
              <w:right w:w="19" w:type="dxa"/>
            </w:tcMar>
            <w:vAlign w:val="center"/>
          </w:tcPr>
          <w:p w14:paraId="0134EC29"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Chile</w:t>
            </w:r>
          </w:p>
        </w:tc>
      </w:tr>
    </w:tbl>
    <w:p w14:paraId="55E990E4" w14:textId="77777777" w:rsidR="007E74C0" w:rsidRDefault="007E74C0">
      <w:pPr>
        <w:spacing w:line="240" w:lineRule="auto"/>
        <w:jc w:val="both"/>
        <w:rPr>
          <w:rFonts w:ascii="Times New Roman" w:eastAsia="Times New Roman" w:hAnsi="Times New Roman" w:cs="Times New Roman"/>
          <w:sz w:val="24"/>
          <w:szCs w:val="24"/>
        </w:rPr>
      </w:pPr>
    </w:p>
    <w:p w14:paraId="7C685CD5"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Segundo esses dados, portanto, o primeiro assunto deste subtema (masculinidades) surge a partir dos anos 1990 na amostra, com um estudo teórico</w:t>
      </w:r>
      <w:r>
        <w:rPr>
          <w:rFonts w:ascii="Times New Roman" w:eastAsia="Times New Roman" w:hAnsi="Times New Roman" w:cs="Times New Roman"/>
          <w:sz w:val="24"/>
          <w:szCs w:val="24"/>
          <w:highlight w:val="white"/>
        </w:rPr>
        <w:t xml:space="preserve"> preocupado também com o modo com que as relações de gênero envolvem relações de poder nos grupos com homens (IJP, 1992).</w:t>
      </w:r>
      <w:r>
        <w:rPr>
          <w:rFonts w:ascii="Times New Roman" w:eastAsia="Times New Roman" w:hAnsi="Times New Roman" w:cs="Times New Roman"/>
          <w:sz w:val="24"/>
          <w:szCs w:val="24"/>
        </w:rPr>
        <w:t xml:space="preserve"> Esse achado está consoante à literatura, notadamente Medrado e Lyra (2008) e Souza </w:t>
      </w:r>
      <w:r>
        <w:rPr>
          <w:rFonts w:ascii="Times New Roman" w:eastAsia="Times New Roman" w:hAnsi="Times New Roman" w:cs="Times New Roman"/>
          <w:sz w:val="24"/>
          <w:szCs w:val="24"/>
        </w:rPr>
        <w:lastRenderedPageBreak/>
        <w:t>(2009), no que tange ao aumento da produção no período, bem como Medrado e Lyra (2012) quanto à influência dos movimentos feministas e LGBTT+ nessa produção.</w:t>
      </w:r>
    </w:p>
    <w:p w14:paraId="4ABE47B2"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geral, esses estudos sobre masculinidades ainda não se dissociam de todo daqueles sobre papéis sexuais vistos no subtema 1. Assim, no início dos anos 2000, comparece um artigo em busca de instrumento etnopsicologicamente válido dos atributos de masculinidade e feminilidade do povo mexicano (IJP, 2004), além de um estudo da influência de variáveis sociodemográficas na expressão dos papéis sexuais no México (IJP, 2008).</w:t>
      </w:r>
    </w:p>
    <w:p w14:paraId="00D15C4C" w14:textId="77777777" w:rsidR="007E74C0" w:rsidRDefault="00EA0911">
      <w:pPr>
        <w:spacing w:line="24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Quanto às práticas sexuais, </w:t>
      </w:r>
      <w:r>
        <w:rPr>
          <w:rFonts w:ascii="Times New Roman" w:eastAsia="Times New Roman" w:hAnsi="Times New Roman" w:cs="Times New Roman"/>
          <w:sz w:val="24"/>
          <w:szCs w:val="24"/>
          <w:highlight w:val="white"/>
        </w:rPr>
        <w:t>lembramos que a revisão contou os descritores sexo e sexua em praticamente todas as décadas, sobretudo a partir dos anos 2000, como indicam os outros artigos da tabela. O último (IJP, 2016) investigou os sentidos da sexualidade de homens trans para além dos processos patologizantes, sendo pioneiro nessa área no Chile.</w:t>
      </w:r>
    </w:p>
    <w:p w14:paraId="7ACE80E9" w14:textId="77777777" w:rsidR="007E74C0" w:rsidRDefault="007E74C0">
      <w:pPr>
        <w:spacing w:line="240" w:lineRule="auto"/>
        <w:jc w:val="both"/>
        <w:rPr>
          <w:rFonts w:ascii="Times New Roman" w:eastAsia="Times New Roman" w:hAnsi="Times New Roman" w:cs="Times New Roman"/>
          <w:sz w:val="24"/>
          <w:szCs w:val="24"/>
          <w:highlight w:val="white"/>
        </w:rPr>
      </w:pPr>
    </w:p>
    <w:p w14:paraId="5F34586A" w14:textId="77777777" w:rsidR="007E74C0" w:rsidRDefault="00EA0911">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rPr>
        <w:t xml:space="preserve">4.1.4 </w:t>
      </w:r>
      <w:r>
        <w:rPr>
          <w:rFonts w:ascii="Times New Roman" w:eastAsia="Times New Roman" w:hAnsi="Times New Roman" w:cs="Times New Roman"/>
          <w:b/>
          <w:i/>
          <w:sz w:val="24"/>
          <w:szCs w:val="24"/>
          <w:highlight w:val="white"/>
        </w:rPr>
        <w:t>Violências e Resistências</w:t>
      </w:r>
      <w:r>
        <w:rPr>
          <w:rFonts w:ascii="Times New Roman" w:eastAsia="Times New Roman" w:hAnsi="Times New Roman" w:cs="Times New Roman"/>
          <w:sz w:val="24"/>
          <w:szCs w:val="24"/>
          <w:highlight w:val="white"/>
        </w:rPr>
        <w:t>. Existe uma ligação nefasta entre violência e questões de gênero e sexualidades, uma vez que aquela desqualifica as identidades de gênero e de orientação sexual, enquanto lutas por direitos denunciam e questionam padrões heteronormativos (Paula, Porto, &amp; Carvalho, 2019). Relacionados a esses assuntos, os sete artigos desse subtema abordam diferentes grupos sociais em relação a conceitos de violências, relações de gênero e de poder (Saffioti, 2001; Strey, 2004), como listado na Tabela 4.</w:t>
      </w:r>
    </w:p>
    <w:p w14:paraId="7630C3EE" w14:textId="77777777" w:rsidR="007E74C0" w:rsidRDefault="007E74C0">
      <w:pPr>
        <w:spacing w:line="240" w:lineRule="auto"/>
        <w:jc w:val="both"/>
        <w:rPr>
          <w:rFonts w:ascii="Times New Roman" w:eastAsia="Times New Roman" w:hAnsi="Times New Roman" w:cs="Times New Roman"/>
          <w:sz w:val="24"/>
          <w:szCs w:val="24"/>
          <w:highlight w:val="white"/>
        </w:rPr>
      </w:pPr>
    </w:p>
    <w:p w14:paraId="47D9711B" w14:textId="77777777" w:rsidR="007E74C0" w:rsidRDefault="00EA0911">
      <w:pPr>
        <w:jc w:val="both"/>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sz w:val="24"/>
          <w:szCs w:val="24"/>
        </w:rPr>
        <w:t>TABELA 4. Quadro de artigos - Subtema 4 (Tema 1)</w:t>
      </w:r>
    </w:p>
    <w:tbl>
      <w:tblPr>
        <w:tblStyle w:val="a2"/>
        <w:tblW w:w="904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555"/>
        <w:gridCol w:w="660"/>
        <w:gridCol w:w="3825"/>
        <w:gridCol w:w="2445"/>
        <w:gridCol w:w="1560"/>
      </w:tblGrid>
      <w:tr w:rsidR="007E74C0" w14:paraId="6C103EAD" w14:textId="77777777">
        <w:trPr>
          <w:trHeight w:val="460"/>
        </w:trPr>
        <w:tc>
          <w:tcPr>
            <w:tcW w:w="1215" w:type="dxa"/>
            <w:gridSpan w:val="2"/>
            <w:tcBorders>
              <w:top w:val="single" w:sz="12" w:space="0" w:color="000000"/>
              <w:bottom w:val="single" w:sz="6" w:space="0" w:color="000000"/>
            </w:tcBorders>
          </w:tcPr>
          <w:p w14:paraId="7BD4E528"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Revista</w:t>
            </w:r>
          </w:p>
        </w:tc>
        <w:tc>
          <w:tcPr>
            <w:tcW w:w="3825" w:type="dxa"/>
            <w:vMerge w:val="restart"/>
            <w:tcBorders>
              <w:top w:val="single" w:sz="12" w:space="0" w:color="000000"/>
              <w:bottom w:val="single" w:sz="8" w:space="0" w:color="000000"/>
            </w:tcBorders>
            <w:vAlign w:val="center"/>
          </w:tcPr>
          <w:p w14:paraId="31683342"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Pessoa(s)</w:t>
            </w:r>
          </w:p>
          <w:p w14:paraId="05832B0B"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autora(s)</w:t>
            </w:r>
          </w:p>
        </w:tc>
        <w:tc>
          <w:tcPr>
            <w:tcW w:w="2445" w:type="dxa"/>
            <w:vMerge w:val="restart"/>
            <w:tcBorders>
              <w:top w:val="single" w:sz="12" w:space="0" w:color="000000"/>
              <w:left w:val="nil"/>
              <w:bottom w:val="single" w:sz="8" w:space="0" w:color="000000"/>
            </w:tcBorders>
            <w:shd w:val="clear" w:color="auto" w:fill="auto"/>
            <w:tcMar>
              <w:top w:w="100" w:type="dxa"/>
              <w:left w:w="100" w:type="dxa"/>
              <w:bottom w:w="100" w:type="dxa"/>
              <w:right w:w="100" w:type="dxa"/>
            </w:tcMar>
            <w:vAlign w:val="center"/>
          </w:tcPr>
          <w:p w14:paraId="14170417"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Assunto(s)</w:t>
            </w:r>
          </w:p>
          <w:p w14:paraId="52049795"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chave</w:t>
            </w:r>
          </w:p>
        </w:tc>
        <w:tc>
          <w:tcPr>
            <w:tcW w:w="1560" w:type="dxa"/>
            <w:vMerge w:val="restart"/>
            <w:tcBorders>
              <w:top w:val="single" w:sz="12" w:space="0" w:color="000000"/>
              <w:left w:val="nil"/>
              <w:bottom w:val="single" w:sz="8" w:space="0" w:color="000000"/>
            </w:tcBorders>
            <w:shd w:val="clear" w:color="auto" w:fill="auto"/>
            <w:tcMar>
              <w:top w:w="100" w:type="dxa"/>
              <w:left w:w="100" w:type="dxa"/>
              <w:bottom w:w="100" w:type="dxa"/>
              <w:right w:w="100" w:type="dxa"/>
            </w:tcMar>
            <w:vAlign w:val="center"/>
          </w:tcPr>
          <w:p w14:paraId="153815EF"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País(es)</w:t>
            </w:r>
          </w:p>
          <w:p w14:paraId="23AE2D65"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participante(s)</w:t>
            </w:r>
          </w:p>
        </w:tc>
      </w:tr>
      <w:tr w:rsidR="007E74C0" w14:paraId="3179CACA" w14:textId="77777777">
        <w:trPr>
          <w:trHeight w:val="460"/>
        </w:trPr>
        <w:tc>
          <w:tcPr>
            <w:tcW w:w="555" w:type="dxa"/>
            <w:tcBorders>
              <w:top w:val="single" w:sz="6" w:space="0" w:color="000000"/>
              <w:bottom w:val="single" w:sz="12" w:space="0" w:color="000000"/>
              <w:right w:val="nil"/>
            </w:tcBorders>
            <w:shd w:val="clear" w:color="auto" w:fill="auto"/>
            <w:tcMar>
              <w:top w:w="100" w:type="dxa"/>
              <w:left w:w="100" w:type="dxa"/>
              <w:bottom w:w="100" w:type="dxa"/>
              <w:right w:w="100" w:type="dxa"/>
            </w:tcMar>
          </w:tcPr>
          <w:p w14:paraId="46415B86" w14:textId="77777777" w:rsidR="007E74C0" w:rsidRDefault="00EA0911">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Ano</w:t>
            </w:r>
          </w:p>
        </w:tc>
        <w:tc>
          <w:tcPr>
            <w:tcW w:w="660" w:type="dxa"/>
            <w:tcBorders>
              <w:top w:val="nil"/>
              <w:left w:val="nil"/>
              <w:bottom w:val="single" w:sz="12" w:space="0" w:color="000000"/>
              <w:right w:val="nil"/>
            </w:tcBorders>
            <w:shd w:val="clear" w:color="auto" w:fill="auto"/>
            <w:tcMar>
              <w:top w:w="100" w:type="dxa"/>
              <w:left w:w="100" w:type="dxa"/>
              <w:bottom w:w="100" w:type="dxa"/>
              <w:right w:w="100" w:type="dxa"/>
            </w:tcMar>
          </w:tcPr>
          <w:p w14:paraId="5460F414"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 (n)</w:t>
            </w:r>
          </w:p>
        </w:tc>
        <w:tc>
          <w:tcPr>
            <w:tcW w:w="3825" w:type="dxa"/>
            <w:vMerge/>
            <w:tcBorders>
              <w:top w:val="nil"/>
              <w:left w:val="nil"/>
              <w:bottom w:val="single" w:sz="12" w:space="0" w:color="000000"/>
              <w:right w:val="nil"/>
            </w:tcBorders>
            <w:shd w:val="clear" w:color="auto" w:fill="auto"/>
            <w:tcMar>
              <w:top w:w="100" w:type="dxa"/>
              <w:left w:w="100" w:type="dxa"/>
              <w:bottom w:w="100" w:type="dxa"/>
              <w:right w:w="100" w:type="dxa"/>
            </w:tcMar>
            <w:vAlign w:val="center"/>
          </w:tcPr>
          <w:p w14:paraId="26807949" w14:textId="77777777" w:rsidR="007E74C0" w:rsidRDefault="007E74C0">
            <w:pPr>
              <w:spacing w:line="240" w:lineRule="auto"/>
              <w:jc w:val="center"/>
              <w:rPr>
                <w:rFonts w:ascii="Times New Roman" w:eastAsia="Times New Roman" w:hAnsi="Times New Roman" w:cs="Times New Roman"/>
                <w:sz w:val="20"/>
                <w:szCs w:val="20"/>
              </w:rPr>
            </w:pPr>
          </w:p>
        </w:tc>
        <w:tc>
          <w:tcPr>
            <w:tcW w:w="2445" w:type="dxa"/>
            <w:vMerge/>
            <w:tcBorders>
              <w:top w:val="nil"/>
              <w:left w:val="nil"/>
              <w:bottom w:val="single" w:sz="12" w:space="0" w:color="000000"/>
              <w:right w:val="nil"/>
            </w:tcBorders>
            <w:shd w:val="clear" w:color="auto" w:fill="auto"/>
            <w:tcMar>
              <w:top w:w="100" w:type="dxa"/>
              <w:left w:w="100" w:type="dxa"/>
              <w:bottom w:w="100" w:type="dxa"/>
              <w:right w:w="100" w:type="dxa"/>
            </w:tcMar>
            <w:vAlign w:val="center"/>
          </w:tcPr>
          <w:p w14:paraId="29B9AD14" w14:textId="77777777" w:rsidR="007E74C0" w:rsidRDefault="007E74C0">
            <w:pPr>
              <w:spacing w:line="240" w:lineRule="auto"/>
              <w:jc w:val="center"/>
              <w:rPr>
                <w:rFonts w:ascii="Times New Roman" w:eastAsia="Times New Roman" w:hAnsi="Times New Roman" w:cs="Times New Roman"/>
                <w:sz w:val="20"/>
                <w:szCs w:val="20"/>
              </w:rPr>
            </w:pPr>
          </w:p>
        </w:tc>
        <w:tc>
          <w:tcPr>
            <w:tcW w:w="1560" w:type="dxa"/>
            <w:vMerge/>
            <w:tcBorders>
              <w:top w:val="nil"/>
              <w:left w:val="nil"/>
              <w:bottom w:val="single" w:sz="12" w:space="0" w:color="000000"/>
              <w:right w:val="nil"/>
            </w:tcBorders>
            <w:shd w:val="clear" w:color="auto" w:fill="auto"/>
            <w:tcMar>
              <w:top w:w="100" w:type="dxa"/>
              <w:left w:w="100" w:type="dxa"/>
              <w:bottom w:w="100" w:type="dxa"/>
              <w:right w:w="100" w:type="dxa"/>
            </w:tcMar>
            <w:vAlign w:val="center"/>
          </w:tcPr>
          <w:p w14:paraId="53319DA6" w14:textId="77777777" w:rsidR="007E74C0" w:rsidRDefault="007E74C0">
            <w:pPr>
              <w:spacing w:line="240" w:lineRule="auto"/>
              <w:jc w:val="center"/>
              <w:rPr>
                <w:rFonts w:ascii="Times New Roman" w:eastAsia="Times New Roman" w:hAnsi="Times New Roman" w:cs="Times New Roman"/>
                <w:sz w:val="20"/>
                <w:szCs w:val="20"/>
              </w:rPr>
            </w:pPr>
          </w:p>
        </w:tc>
      </w:tr>
      <w:tr w:rsidR="007E74C0" w14:paraId="57C2B69D" w14:textId="77777777">
        <w:trPr>
          <w:trHeight w:val="239"/>
        </w:trPr>
        <w:tc>
          <w:tcPr>
            <w:tcW w:w="555" w:type="dxa"/>
            <w:tcBorders>
              <w:top w:val="nil"/>
              <w:left w:val="nil"/>
              <w:bottom w:val="nil"/>
              <w:right w:val="nil"/>
            </w:tcBorders>
            <w:shd w:val="clear" w:color="auto" w:fill="auto"/>
            <w:tcMar>
              <w:top w:w="19" w:type="dxa"/>
              <w:left w:w="19" w:type="dxa"/>
              <w:bottom w:w="19" w:type="dxa"/>
              <w:right w:w="19" w:type="dxa"/>
            </w:tcMar>
            <w:vAlign w:val="center"/>
          </w:tcPr>
          <w:p w14:paraId="286566EC"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2003</w:t>
            </w:r>
          </w:p>
        </w:tc>
        <w:tc>
          <w:tcPr>
            <w:tcW w:w="660" w:type="dxa"/>
            <w:tcBorders>
              <w:top w:val="nil"/>
              <w:left w:val="nil"/>
              <w:bottom w:val="nil"/>
              <w:right w:val="nil"/>
            </w:tcBorders>
            <w:shd w:val="clear" w:color="auto" w:fill="auto"/>
            <w:tcMar>
              <w:top w:w="19" w:type="dxa"/>
              <w:left w:w="19" w:type="dxa"/>
              <w:bottom w:w="19" w:type="dxa"/>
              <w:right w:w="19" w:type="dxa"/>
            </w:tcMar>
            <w:vAlign w:val="center"/>
          </w:tcPr>
          <w:p w14:paraId="552A46C5"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37(1)</w:t>
            </w:r>
          </w:p>
        </w:tc>
        <w:tc>
          <w:tcPr>
            <w:tcW w:w="3825" w:type="dxa"/>
            <w:tcBorders>
              <w:top w:val="nil"/>
              <w:left w:val="nil"/>
              <w:bottom w:val="nil"/>
              <w:right w:val="nil"/>
            </w:tcBorders>
            <w:shd w:val="clear" w:color="auto" w:fill="auto"/>
            <w:tcMar>
              <w:top w:w="19" w:type="dxa"/>
              <w:left w:w="19" w:type="dxa"/>
              <w:bottom w:w="19" w:type="dxa"/>
              <w:right w:w="19" w:type="dxa"/>
            </w:tcMar>
            <w:vAlign w:val="center"/>
          </w:tcPr>
          <w:p w14:paraId="51E9E801"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Larrañaga &amp; Gutiérrez</w:t>
            </w:r>
          </w:p>
        </w:tc>
        <w:tc>
          <w:tcPr>
            <w:tcW w:w="2445" w:type="dxa"/>
            <w:tcBorders>
              <w:top w:val="nil"/>
              <w:left w:val="nil"/>
              <w:bottom w:val="nil"/>
              <w:right w:val="nil"/>
            </w:tcBorders>
            <w:shd w:val="clear" w:color="auto" w:fill="auto"/>
            <w:tcMar>
              <w:top w:w="19" w:type="dxa"/>
              <w:left w:w="19" w:type="dxa"/>
              <w:bottom w:w="19" w:type="dxa"/>
              <w:right w:w="19" w:type="dxa"/>
            </w:tcMar>
            <w:vAlign w:val="center"/>
          </w:tcPr>
          <w:p w14:paraId="1576528C"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Violências (Abuso infantil)</w:t>
            </w:r>
          </w:p>
        </w:tc>
        <w:tc>
          <w:tcPr>
            <w:tcW w:w="1560" w:type="dxa"/>
            <w:tcBorders>
              <w:top w:val="nil"/>
              <w:left w:val="nil"/>
              <w:bottom w:val="nil"/>
              <w:right w:val="nil"/>
            </w:tcBorders>
            <w:shd w:val="clear" w:color="auto" w:fill="auto"/>
            <w:tcMar>
              <w:top w:w="19" w:type="dxa"/>
              <w:left w:w="19" w:type="dxa"/>
              <w:bottom w:w="19" w:type="dxa"/>
              <w:right w:w="19" w:type="dxa"/>
            </w:tcMar>
            <w:vAlign w:val="center"/>
          </w:tcPr>
          <w:p w14:paraId="774972B6"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Chile</w:t>
            </w:r>
          </w:p>
        </w:tc>
      </w:tr>
      <w:tr w:rsidR="007E74C0" w14:paraId="0AE83023" w14:textId="77777777">
        <w:trPr>
          <w:trHeight w:val="239"/>
        </w:trPr>
        <w:tc>
          <w:tcPr>
            <w:tcW w:w="555" w:type="dxa"/>
            <w:tcBorders>
              <w:top w:val="nil"/>
              <w:left w:val="nil"/>
              <w:bottom w:val="nil"/>
              <w:right w:val="nil"/>
            </w:tcBorders>
            <w:shd w:val="clear" w:color="auto" w:fill="BFBFBF"/>
            <w:tcMar>
              <w:top w:w="19" w:type="dxa"/>
              <w:left w:w="19" w:type="dxa"/>
              <w:bottom w:w="19" w:type="dxa"/>
              <w:right w:w="19" w:type="dxa"/>
            </w:tcMar>
            <w:vAlign w:val="center"/>
          </w:tcPr>
          <w:p w14:paraId="63E480AC"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2004</w:t>
            </w:r>
          </w:p>
        </w:tc>
        <w:tc>
          <w:tcPr>
            <w:tcW w:w="660" w:type="dxa"/>
            <w:tcBorders>
              <w:top w:val="nil"/>
              <w:left w:val="nil"/>
              <w:bottom w:val="nil"/>
              <w:right w:val="nil"/>
            </w:tcBorders>
            <w:shd w:val="clear" w:color="auto" w:fill="BFBFBF"/>
            <w:tcMar>
              <w:top w:w="19" w:type="dxa"/>
              <w:left w:w="19" w:type="dxa"/>
              <w:bottom w:w="19" w:type="dxa"/>
              <w:right w:w="19" w:type="dxa"/>
            </w:tcMar>
            <w:vAlign w:val="center"/>
          </w:tcPr>
          <w:p w14:paraId="502925F1"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38(1)</w:t>
            </w:r>
          </w:p>
        </w:tc>
        <w:tc>
          <w:tcPr>
            <w:tcW w:w="3825" w:type="dxa"/>
            <w:tcBorders>
              <w:top w:val="nil"/>
              <w:left w:val="nil"/>
              <w:bottom w:val="nil"/>
              <w:right w:val="nil"/>
            </w:tcBorders>
            <w:shd w:val="clear" w:color="auto" w:fill="BFBFBF"/>
            <w:tcMar>
              <w:top w:w="19" w:type="dxa"/>
              <w:left w:w="19" w:type="dxa"/>
              <w:bottom w:w="19" w:type="dxa"/>
              <w:right w:w="19" w:type="dxa"/>
            </w:tcMar>
            <w:vAlign w:val="center"/>
          </w:tcPr>
          <w:p w14:paraId="55A17820"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 Souza, Pryor, Ribeiro, Mello e Camino</w:t>
            </w:r>
          </w:p>
        </w:tc>
        <w:tc>
          <w:tcPr>
            <w:tcW w:w="2445" w:type="dxa"/>
            <w:tcBorders>
              <w:top w:val="nil"/>
              <w:left w:val="nil"/>
              <w:bottom w:val="nil"/>
              <w:right w:val="nil"/>
            </w:tcBorders>
            <w:shd w:val="clear" w:color="auto" w:fill="BFBFBF"/>
            <w:tcMar>
              <w:top w:w="19" w:type="dxa"/>
              <w:left w:w="19" w:type="dxa"/>
              <w:bottom w:w="19" w:type="dxa"/>
              <w:right w:w="19" w:type="dxa"/>
            </w:tcMar>
            <w:vAlign w:val="center"/>
          </w:tcPr>
          <w:p w14:paraId="2E8A3AD8"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Violências (Assédio sexual)</w:t>
            </w:r>
          </w:p>
        </w:tc>
        <w:tc>
          <w:tcPr>
            <w:tcW w:w="1560" w:type="dxa"/>
            <w:tcBorders>
              <w:top w:val="nil"/>
              <w:left w:val="nil"/>
              <w:bottom w:val="nil"/>
              <w:right w:val="nil"/>
            </w:tcBorders>
            <w:shd w:val="clear" w:color="auto" w:fill="BFBFBF"/>
            <w:tcMar>
              <w:top w:w="19" w:type="dxa"/>
              <w:left w:w="19" w:type="dxa"/>
              <w:bottom w:w="19" w:type="dxa"/>
              <w:right w:w="19" w:type="dxa"/>
            </w:tcMar>
            <w:vAlign w:val="center"/>
          </w:tcPr>
          <w:p w14:paraId="0800346F"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EUA, Brasil</w:t>
            </w:r>
          </w:p>
        </w:tc>
      </w:tr>
      <w:tr w:rsidR="007E74C0" w14:paraId="4983696A" w14:textId="77777777">
        <w:trPr>
          <w:trHeight w:val="239"/>
        </w:trPr>
        <w:tc>
          <w:tcPr>
            <w:tcW w:w="555" w:type="dxa"/>
            <w:tcBorders>
              <w:top w:val="nil"/>
              <w:left w:val="nil"/>
              <w:bottom w:val="nil"/>
              <w:right w:val="nil"/>
            </w:tcBorders>
            <w:shd w:val="clear" w:color="auto" w:fill="auto"/>
            <w:tcMar>
              <w:top w:w="19" w:type="dxa"/>
              <w:left w:w="19" w:type="dxa"/>
              <w:bottom w:w="19" w:type="dxa"/>
              <w:right w:w="19" w:type="dxa"/>
            </w:tcMar>
            <w:vAlign w:val="center"/>
          </w:tcPr>
          <w:p w14:paraId="088B6FD5"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2007</w:t>
            </w:r>
          </w:p>
        </w:tc>
        <w:tc>
          <w:tcPr>
            <w:tcW w:w="660" w:type="dxa"/>
            <w:tcBorders>
              <w:top w:val="nil"/>
              <w:left w:val="nil"/>
              <w:bottom w:val="nil"/>
              <w:right w:val="nil"/>
            </w:tcBorders>
            <w:shd w:val="clear" w:color="auto" w:fill="auto"/>
            <w:tcMar>
              <w:top w:w="19" w:type="dxa"/>
              <w:left w:w="19" w:type="dxa"/>
              <w:bottom w:w="19" w:type="dxa"/>
              <w:right w:w="19" w:type="dxa"/>
            </w:tcMar>
            <w:vAlign w:val="center"/>
          </w:tcPr>
          <w:p w14:paraId="684DEBEF"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41(3)</w:t>
            </w:r>
          </w:p>
        </w:tc>
        <w:tc>
          <w:tcPr>
            <w:tcW w:w="3825" w:type="dxa"/>
            <w:tcBorders>
              <w:top w:val="nil"/>
              <w:left w:val="nil"/>
              <w:bottom w:val="nil"/>
              <w:right w:val="nil"/>
            </w:tcBorders>
            <w:shd w:val="clear" w:color="auto" w:fill="auto"/>
            <w:tcMar>
              <w:top w:w="19" w:type="dxa"/>
              <w:left w:w="19" w:type="dxa"/>
              <w:bottom w:w="19" w:type="dxa"/>
              <w:right w:w="19" w:type="dxa"/>
            </w:tcMar>
            <w:vAlign w:val="center"/>
          </w:tcPr>
          <w:p w14:paraId="10611A73"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Gianordoli-Nascimento, Trindade &amp; Santos</w:t>
            </w:r>
          </w:p>
        </w:tc>
        <w:tc>
          <w:tcPr>
            <w:tcW w:w="2445" w:type="dxa"/>
            <w:tcBorders>
              <w:top w:val="nil"/>
              <w:left w:val="nil"/>
              <w:bottom w:val="nil"/>
              <w:right w:val="nil"/>
            </w:tcBorders>
            <w:shd w:val="clear" w:color="auto" w:fill="auto"/>
            <w:tcMar>
              <w:top w:w="19" w:type="dxa"/>
              <w:left w:w="19" w:type="dxa"/>
              <w:bottom w:w="19" w:type="dxa"/>
              <w:right w:w="19" w:type="dxa"/>
            </w:tcMar>
            <w:vAlign w:val="center"/>
          </w:tcPr>
          <w:p w14:paraId="78407375"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Resistências (Mulheres)</w:t>
            </w:r>
          </w:p>
        </w:tc>
        <w:tc>
          <w:tcPr>
            <w:tcW w:w="1560" w:type="dxa"/>
            <w:tcBorders>
              <w:top w:val="nil"/>
              <w:left w:val="nil"/>
              <w:bottom w:val="nil"/>
              <w:right w:val="nil"/>
            </w:tcBorders>
            <w:shd w:val="clear" w:color="auto" w:fill="auto"/>
            <w:tcMar>
              <w:top w:w="19" w:type="dxa"/>
              <w:left w:w="19" w:type="dxa"/>
              <w:bottom w:w="19" w:type="dxa"/>
              <w:right w:w="19" w:type="dxa"/>
            </w:tcMar>
            <w:vAlign w:val="center"/>
          </w:tcPr>
          <w:p w14:paraId="5B9A4CDC"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Brasil</w:t>
            </w:r>
          </w:p>
        </w:tc>
      </w:tr>
      <w:tr w:rsidR="007E74C0" w14:paraId="2A72A755" w14:textId="77777777">
        <w:trPr>
          <w:trHeight w:val="239"/>
        </w:trPr>
        <w:tc>
          <w:tcPr>
            <w:tcW w:w="555" w:type="dxa"/>
            <w:tcBorders>
              <w:top w:val="nil"/>
              <w:left w:val="nil"/>
              <w:bottom w:val="nil"/>
              <w:right w:val="nil"/>
            </w:tcBorders>
            <w:shd w:val="clear" w:color="auto" w:fill="BFBFBF"/>
            <w:tcMar>
              <w:top w:w="19" w:type="dxa"/>
              <w:left w:w="19" w:type="dxa"/>
              <w:bottom w:w="19" w:type="dxa"/>
              <w:right w:w="19" w:type="dxa"/>
            </w:tcMar>
            <w:vAlign w:val="center"/>
          </w:tcPr>
          <w:p w14:paraId="516FEB03"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2008</w:t>
            </w:r>
          </w:p>
        </w:tc>
        <w:tc>
          <w:tcPr>
            <w:tcW w:w="660" w:type="dxa"/>
            <w:tcBorders>
              <w:top w:val="nil"/>
              <w:left w:val="nil"/>
              <w:bottom w:val="nil"/>
              <w:right w:val="nil"/>
            </w:tcBorders>
            <w:shd w:val="clear" w:color="auto" w:fill="BFBFBF"/>
            <w:tcMar>
              <w:top w:w="19" w:type="dxa"/>
              <w:left w:w="19" w:type="dxa"/>
              <w:bottom w:w="19" w:type="dxa"/>
              <w:right w:w="19" w:type="dxa"/>
            </w:tcMar>
            <w:vAlign w:val="center"/>
          </w:tcPr>
          <w:p w14:paraId="4D97B452"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42(2)</w:t>
            </w:r>
          </w:p>
        </w:tc>
        <w:tc>
          <w:tcPr>
            <w:tcW w:w="3825" w:type="dxa"/>
            <w:tcBorders>
              <w:top w:val="nil"/>
              <w:left w:val="nil"/>
              <w:bottom w:val="nil"/>
              <w:right w:val="nil"/>
            </w:tcBorders>
            <w:shd w:val="clear" w:color="auto" w:fill="BFBFBF"/>
            <w:tcMar>
              <w:top w:w="19" w:type="dxa"/>
              <w:left w:w="19" w:type="dxa"/>
              <w:bottom w:w="19" w:type="dxa"/>
              <w:right w:w="19" w:type="dxa"/>
            </w:tcMar>
            <w:vAlign w:val="center"/>
          </w:tcPr>
          <w:p w14:paraId="4FED8CA6"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Costa, Machado e Prado</w:t>
            </w:r>
          </w:p>
        </w:tc>
        <w:tc>
          <w:tcPr>
            <w:tcW w:w="2445" w:type="dxa"/>
            <w:tcBorders>
              <w:top w:val="nil"/>
              <w:left w:val="nil"/>
              <w:bottom w:val="nil"/>
              <w:right w:val="nil"/>
            </w:tcBorders>
            <w:shd w:val="clear" w:color="auto" w:fill="BFBFBF"/>
            <w:tcMar>
              <w:top w:w="19" w:type="dxa"/>
              <w:left w:w="19" w:type="dxa"/>
              <w:bottom w:w="19" w:type="dxa"/>
              <w:right w:w="19" w:type="dxa"/>
            </w:tcMar>
            <w:vAlign w:val="center"/>
          </w:tcPr>
          <w:p w14:paraId="6739947E"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Resistências (LGBT+)</w:t>
            </w:r>
          </w:p>
        </w:tc>
        <w:tc>
          <w:tcPr>
            <w:tcW w:w="1560" w:type="dxa"/>
            <w:tcBorders>
              <w:top w:val="nil"/>
              <w:left w:val="nil"/>
              <w:bottom w:val="nil"/>
              <w:right w:val="nil"/>
            </w:tcBorders>
            <w:shd w:val="clear" w:color="auto" w:fill="BFBFBF"/>
            <w:tcMar>
              <w:top w:w="19" w:type="dxa"/>
              <w:left w:w="19" w:type="dxa"/>
              <w:bottom w:w="19" w:type="dxa"/>
              <w:right w:w="19" w:type="dxa"/>
            </w:tcMar>
            <w:vAlign w:val="center"/>
          </w:tcPr>
          <w:p w14:paraId="27029DF6"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Brasil</w:t>
            </w:r>
          </w:p>
        </w:tc>
      </w:tr>
      <w:tr w:rsidR="007E74C0" w14:paraId="05D58A17" w14:textId="77777777">
        <w:trPr>
          <w:trHeight w:val="239"/>
        </w:trPr>
        <w:tc>
          <w:tcPr>
            <w:tcW w:w="555" w:type="dxa"/>
            <w:vMerge w:val="restart"/>
            <w:tcBorders>
              <w:top w:val="nil"/>
              <w:left w:val="nil"/>
              <w:right w:val="nil"/>
            </w:tcBorders>
            <w:tcMar>
              <w:top w:w="19" w:type="dxa"/>
              <w:left w:w="19" w:type="dxa"/>
              <w:bottom w:w="19" w:type="dxa"/>
              <w:right w:w="19" w:type="dxa"/>
            </w:tcMar>
            <w:vAlign w:val="center"/>
          </w:tcPr>
          <w:p w14:paraId="0B8A2DDE"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2010</w:t>
            </w:r>
          </w:p>
        </w:tc>
        <w:tc>
          <w:tcPr>
            <w:tcW w:w="660" w:type="dxa"/>
            <w:tcBorders>
              <w:top w:val="nil"/>
              <w:left w:val="nil"/>
              <w:right w:val="nil"/>
            </w:tcBorders>
            <w:tcMar>
              <w:top w:w="19" w:type="dxa"/>
              <w:left w:w="19" w:type="dxa"/>
              <w:bottom w:w="19" w:type="dxa"/>
              <w:right w:w="19" w:type="dxa"/>
            </w:tcMar>
            <w:vAlign w:val="center"/>
          </w:tcPr>
          <w:p w14:paraId="4F0E43C9"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44(1)</w:t>
            </w:r>
          </w:p>
        </w:tc>
        <w:tc>
          <w:tcPr>
            <w:tcW w:w="3825" w:type="dxa"/>
            <w:tcBorders>
              <w:top w:val="nil"/>
              <w:left w:val="nil"/>
              <w:right w:val="nil"/>
            </w:tcBorders>
            <w:tcMar>
              <w:top w:w="19" w:type="dxa"/>
              <w:left w:w="19" w:type="dxa"/>
              <w:bottom w:w="19" w:type="dxa"/>
              <w:right w:w="19" w:type="dxa"/>
            </w:tcMar>
            <w:vAlign w:val="center"/>
          </w:tcPr>
          <w:p w14:paraId="714B6150"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Sanfelice &amp; De Antoni</w:t>
            </w:r>
          </w:p>
        </w:tc>
        <w:tc>
          <w:tcPr>
            <w:tcW w:w="2445" w:type="dxa"/>
            <w:tcBorders>
              <w:top w:val="nil"/>
              <w:left w:val="nil"/>
              <w:right w:val="nil"/>
            </w:tcBorders>
            <w:tcMar>
              <w:top w:w="19" w:type="dxa"/>
              <w:left w:w="19" w:type="dxa"/>
              <w:bottom w:w="19" w:type="dxa"/>
              <w:right w:w="19" w:type="dxa"/>
            </w:tcMar>
            <w:vAlign w:val="center"/>
          </w:tcPr>
          <w:p w14:paraId="73E13E75"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Violências (Abuso infantil)</w:t>
            </w:r>
          </w:p>
        </w:tc>
        <w:tc>
          <w:tcPr>
            <w:tcW w:w="1560" w:type="dxa"/>
            <w:tcBorders>
              <w:top w:val="nil"/>
              <w:left w:val="nil"/>
              <w:right w:val="nil"/>
            </w:tcBorders>
            <w:tcMar>
              <w:top w:w="19" w:type="dxa"/>
              <w:left w:w="19" w:type="dxa"/>
              <w:bottom w:w="19" w:type="dxa"/>
              <w:right w:w="19" w:type="dxa"/>
            </w:tcMar>
            <w:vAlign w:val="center"/>
          </w:tcPr>
          <w:p w14:paraId="23260D36"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Brasil</w:t>
            </w:r>
          </w:p>
        </w:tc>
      </w:tr>
      <w:tr w:rsidR="007E74C0" w14:paraId="7340CB25" w14:textId="77777777">
        <w:trPr>
          <w:trHeight w:val="239"/>
        </w:trPr>
        <w:tc>
          <w:tcPr>
            <w:tcW w:w="555" w:type="dxa"/>
            <w:vMerge/>
            <w:tcBorders>
              <w:top w:val="nil"/>
              <w:left w:val="nil"/>
              <w:right w:val="nil"/>
            </w:tcBorders>
            <w:tcMar>
              <w:top w:w="19" w:type="dxa"/>
              <w:left w:w="19" w:type="dxa"/>
              <w:bottom w:w="19" w:type="dxa"/>
              <w:right w:w="19" w:type="dxa"/>
            </w:tcMar>
            <w:vAlign w:val="center"/>
          </w:tcPr>
          <w:p w14:paraId="6C1F540B" w14:textId="77777777" w:rsidR="007E74C0" w:rsidRDefault="007E74C0">
            <w:pPr>
              <w:spacing w:line="240" w:lineRule="auto"/>
              <w:jc w:val="center"/>
              <w:rPr>
                <w:rFonts w:ascii="Times New Roman" w:eastAsia="Times New Roman" w:hAnsi="Times New Roman" w:cs="Times New Roman"/>
                <w:sz w:val="20"/>
                <w:szCs w:val="20"/>
              </w:rPr>
            </w:pPr>
          </w:p>
        </w:tc>
        <w:tc>
          <w:tcPr>
            <w:tcW w:w="660" w:type="dxa"/>
            <w:tcBorders>
              <w:top w:val="nil"/>
              <w:left w:val="nil"/>
              <w:right w:val="nil"/>
            </w:tcBorders>
            <w:tcMar>
              <w:top w:w="19" w:type="dxa"/>
              <w:left w:w="19" w:type="dxa"/>
              <w:bottom w:w="19" w:type="dxa"/>
              <w:right w:w="19" w:type="dxa"/>
            </w:tcMar>
            <w:vAlign w:val="center"/>
          </w:tcPr>
          <w:p w14:paraId="08E812F9"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44(2)</w:t>
            </w:r>
          </w:p>
        </w:tc>
        <w:tc>
          <w:tcPr>
            <w:tcW w:w="3825" w:type="dxa"/>
            <w:tcBorders>
              <w:top w:val="nil"/>
              <w:left w:val="nil"/>
              <w:right w:val="nil"/>
            </w:tcBorders>
            <w:tcMar>
              <w:top w:w="19" w:type="dxa"/>
              <w:left w:w="19" w:type="dxa"/>
              <w:bottom w:w="19" w:type="dxa"/>
              <w:right w:w="19" w:type="dxa"/>
            </w:tcMar>
            <w:vAlign w:val="center"/>
          </w:tcPr>
          <w:p w14:paraId="4A2CA05D"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Romero, Pick, Corria &amp; Givaudan</w:t>
            </w:r>
          </w:p>
        </w:tc>
        <w:tc>
          <w:tcPr>
            <w:tcW w:w="2445" w:type="dxa"/>
            <w:tcBorders>
              <w:top w:val="nil"/>
              <w:left w:val="nil"/>
              <w:right w:val="nil"/>
            </w:tcBorders>
            <w:tcMar>
              <w:top w:w="19" w:type="dxa"/>
              <w:left w:w="19" w:type="dxa"/>
              <w:bottom w:w="19" w:type="dxa"/>
              <w:right w:w="19" w:type="dxa"/>
            </w:tcMar>
            <w:vAlign w:val="center"/>
          </w:tcPr>
          <w:p w14:paraId="2D10FBAF"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Violências (Prevenção)</w:t>
            </w:r>
          </w:p>
        </w:tc>
        <w:tc>
          <w:tcPr>
            <w:tcW w:w="1560" w:type="dxa"/>
            <w:tcBorders>
              <w:top w:val="nil"/>
              <w:left w:val="nil"/>
              <w:right w:val="nil"/>
            </w:tcBorders>
            <w:tcMar>
              <w:top w:w="19" w:type="dxa"/>
              <w:left w:w="19" w:type="dxa"/>
              <w:bottom w:w="19" w:type="dxa"/>
              <w:right w:w="19" w:type="dxa"/>
            </w:tcMar>
            <w:vAlign w:val="center"/>
          </w:tcPr>
          <w:p w14:paraId="7F9431A0"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r w:rsidR="007E74C0" w14:paraId="06DE182A" w14:textId="77777777">
        <w:trPr>
          <w:trHeight w:val="239"/>
        </w:trPr>
        <w:tc>
          <w:tcPr>
            <w:tcW w:w="555" w:type="dxa"/>
            <w:tcBorders>
              <w:left w:val="nil"/>
              <w:bottom w:val="single" w:sz="12" w:space="0" w:color="000000"/>
              <w:right w:val="nil"/>
            </w:tcBorders>
            <w:shd w:val="clear" w:color="auto" w:fill="BFBFBF"/>
            <w:tcMar>
              <w:top w:w="19" w:type="dxa"/>
              <w:left w:w="19" w:type="dxa"/>
              <w:bottom w:w="19" w:type="dxa"/>
              <w:right w:w="19" w:type="dxa"/>
            </w:tcMar>
            <w:vAlign w:val="center"/>
          </w:tcPr>
          <w:p w14:paraId="17BE4CBF"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2019</w:t>
            </w:r>
          </w:p>
        </w:tc>
        <w:tc>
          <w:tcPr>
            <w:tcW w:w="660" w:type="dxa"/>
            <w:tcBorders>
              <w:left w:val="nil"/>
              <w:bottom w:val="single" w:sz="12" w:space="0" w:color="000000"/>
              <w:right w:val="nil"/>
            </w:tcBorders>
            <w:shd w:val="clear" w:color="auto" w:fill="BFBFBF"/>
            <w:tcMar>
              <w:top w:w="19" w:type="dxa"/>
              <w:left w:w="19" w:type="dxa"/>
              <w:bottom w:w="19" w:type="dxa"/>
              <w:right w:w="19" w:type="dxa"/>
            </w:tcMar>
            <w:vAlign w:val="center"/>
          </w:tcPr>
          <w:p w14:paraId="7A92EA10"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53(2)</w:t>
            </w:r>
          </w:p>
        </w:tc>
        <w:tc>
          <w:tcPr>
            <w:tcW w:w="3825" w:type="dxa"/>
            <w:tcBorders>
              <w:left w:val="nil"/>
              <w:bottom w:val="single" w:sz="12" w:space="0" w:color="000000"/>
              <w:right w:val="nil"/>
            </w:tcBorders>
            <w:shd w:val="clear" w:color="auto" w:fill="BFBFBF"/>
            <w:tcMar>
              <w:top w:w="19" w:type="dxa"/>
              <w:left w:w="19" w:type="dxa"/>
              <w:bottom w:w="19" w:type="dxa"/>
              <w:right w:w="19" w:type="dxa"/>
            </w:tcMar>
            <w:vAlign w:val="center"/>
          </w:tcPr>
          <w:p w14:paraId="712A6E3B"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Lenta, Longo &amp; Zaldúa</w:t>
            </w:r>
          </w:p>
        </w:tc>
        <w:tc>
          <w:tcPr>
            <w:tcW w:w="2445" w:type="dxa"/>
            <w:tcBorders>
              <w:left w:val="nil"/>
              <w:bottom w:val="single" w:sz="12" w:space="0" w:color="000000"/>
              <w:right w:val="nil"/>
            </w:tcBorders>
            <w:shd w:val="clear" w:color="auto" w:fill="BFBFBF"/>
            <w:tcMar>
              <w:top w:w="19" w:type="dxa"/>
              <w:left w:w="19" w:type="dxa"/>
              <w:bottom w:w="19" w:type="dxa"/>
              <w:right w:w="19" w:type="dxa"/>
            </w:tcMar>
            <w:vAlign w:val="center"/>
          </w:tcPr>
          <w:p w14:paraId="03D3C88B"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Resistências (Mulheres)</w:t>
            </w:r>
          </w:p>
        </w:tc>
        <w:tc>
          <w:tcPr>
            <w:tcW w:w="1560" w:type="dxa"/>
            <w:tcBorders>
              <w:left w:val="nil"/>
              <w:bottom w:val="single" w:sz="12" w:space="0" w:color="000000"/>
              <w:right w:val="nil"/>
            </w:tcBorders>
            <w:shd w:val="clear" w:color="auto" w:fill="BFBFBF"/>
            <w:tcMar>
              <w:top w:w="19" w:type="dxa"/>
              <w:left w:w="19" w:type="dxa"/>
              <w:bottom w:w="19" w:type="dxa"/>
              <w:right w:w="19" w:type="dxa"/>
            </w:tcMar>
            <w:vAlign w:val="center"/>
          </w:tcPr>
          <w:p w14:paraId="6EC140C1"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Argentina</w:t>
            </w:r>
          </w:p>
        </w:tc>
      </w:tr>
    </w:tbl>
    <w:p w14:paraId="1151B40A" w14:textId="77777777" w:rsidR="007E74C0" w:rsidRDefault="007E74C0">
      <w:pPr>
        <w:spacing w:line="240" w:lineRule="auto"/>
        <w:jc w:val="both"/>
        <w:rPr>
          <w:rFonts w:ascii="Times New Roman" w:eastAsia="Times New Roman" w:hAnsi="Times New Roman" w:cs="Times New Roman"/>
          <w:sz w:val="24"/>
          <w:szCs w:val="24"/>
        </w:rPr>
      </w:pPr>
    </w:p>
    <w:p w14:paraId="0674A0A1"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Notamos que poder </w:t>
      </w:r>
      <w:r>
        <w:rPr>
          <w:rFonts w:ascii="Times New Roman" w:eastAsia="Times New Roman" w:hAnsi="Times New Roman" w:cs="Times New Roman"/>
          <w:sz w:val="24"/>
          <w:szCs w:val="24"/>
        </w:rPr>
        <w:t>não é posse, e sim um exercício cujas relações “funcionam como rede de dispositivos ou mecanismos a que nada ou ninguém escapa, a que não existe exterior possível, limites ou fronteiros” (Foucault, 2001, p. xiv). Dessa forma, na imanência dessas relações também seriam produzidos processos de resistência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(Foucault, 2001).</w:t>
      </w:r>
    </w:p>
    <w:p w14:paraId="4342EE6B" w14:textId="77777777" w:rsidR="007E74C0" w:rsidRDefault="00EA0911">
      <w:pPr>
        <w:spacing w:line="24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Acerca das violências, portanto, temos, por exemplo: um artigo sobre o abuso sexual na infância entre universitários chilenos (IJP, 2003); um artigo com estudo de casos múltiplos sobre percepções de abusadores sexuais de criança (privados de liberdade) acerca da própria sexualidade (IJP, 2010); uma pesquisa-ação sobre violências de gênero contra mulheres no trabalho (IJP, 2019). Este último fala também de resistências, uma vez que foi estudada ainda a participação social e as estratégias de enfrentamento a essas violências no trabalho. </w:t>
      </w:r>
    </w:p>
    <w:p w14:paraId="79C165F8" w14:textId="77777777" w:rsidR="007E74C0" w:rsidRDefault="00EA0911">
      <w:pPr>
        <w:spacing w:line="24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Quanto às resistências, ainda dois artigos enfocaram Movimentos sociais e relações de gênero. Do primeiro participaram mulheres da oposição política ao regime militar no Brasil (1964 a 1985) com entrevistas sobre aspectos psicossociais nos processos identitários das suas relações de gênero e militância contra esse regime (IJP, 2007). No segundo, esses aspectos foram investigados enquanto impedimentos e possibilidades para a participação política</w:t>
      </w:r>
      <w:r>
        <w:t xml:space="preserve"> </w:t>
      </w:r>
      <w:r>
        <w:rPr>
          <w:rFonts w:ascii="Times New Roman" w:eastAsia="Times New Roman" w:hAnsi="Times New Roman" w:cs="Times New Roman"/>
          <w:sz w:val="24"/>
          <w:szCs w:val="24"/>
          <w:highlight w:val="white"/>
        </w:rPr>
        <w:t xml:space="preserve">no movimento GLBT de Belo Horizonte, capital do Estado brasileiro Minas Gerais (IJP, 2008). </w:t>
      </w:r>
    </w:p>
    <w:p w14:paraId="0B71D8E7" w14:textId="77777777" w:rsidR="007E74C0" w:rsidRDefault="00EA0911">
      <w:pPr>
        <w:spacing w:line="24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Nesse subtema, enfim, houve uma grande presença de trabalhos sobre a violência de gênero contra crianças, adolescentes e mulheres, mas poucos artigos que escapassem a uma perspectiva heteronormativa e binária da análise, considerando outras formas de violência de gênero. As discussões sobre esses assuntos apareceram ainda em outros Temas.</w:t>
      </w:r>
    </w:p>
    <w:p w14:paraId="299AC87F" w14:textId="77777777" w:rsidR="007E74C0" w:rsidRDefault="007E74C0">
      <w:pPr>
        <w:spacing w:line="240" w:lineRule="auto"/>
        <w:jc w:val="both"/>
        <w:rPr>
          <w:rFonts w:ascii="Times New Roman" w:eastAsia="Times New Roman" w:hAnsi="Times New Roman" w:cs="Times New Roman"/>
          <w:sz w:val="24"/>
          <w:szCs w:val="24"/>
          <w:highlight w:val="white"/>
        </w:rPr>
      </w:pPr>
    </w:p>
    <w:p w14:paraId="320A7AEB" w14:textId="77777777" w:rsidR="007E74C0" w:rsidRDefault="00EA0911">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4.2 Tema 2</w:t>
      </w:r>
      <w:r>
        <w:rPr>
          <w:rFonts w:ascii="Times New Roman" w:eastAsia="Times New Roman" w:hAnsi="Times New Roman" w:cs="Times New Roman"/>
          <w:b/>
          <w:sz w:val="24"/>
          <w:szCs w:val="24"/>
          <w:highlight w:val="white"/>
        </w:rPr>
        <w:t>. Gênero e sexualidades: olhares sob a perspectiva da saúde</w:t>
      </w:r>
    </w:p>
    <w:p w14:paraId="571A477C" w14:textId="77777777" w:rsidR="007E74C0" w:rsidRDefault="007E74C0">
      <w:pPr>
        <w:spacing w:line="240" w:lineRule="auto"/>
        <w:ind w:firstLine="700"/>
        <w:jc w:val="both"/>
        <w:rPr>
          <w:rFonts w:ascii="Times New Roman" w:eastAsia="Times New Roman" w:hAnsi="Times New Roman" w:cs="Times New Roman"/>
          <w:sz w:val="24"/>
          <w:szCs w:val="24"/>
        </w:rPr>
      </w:pPr>
    </w:p>
    <w:p w14:paraId="26355024" w14:textId="77777777" w:rsidR="007E74C0" w:rsidRDefault="00EA0911">
      <w:pPr>
        <w:spacing w:line="240" w:lineRule="auto"/>
        <w:ind w:firstLine="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Gênero e sexualidades são aspectos da vida humana interligados ao conceito de saúde, sujeitos a normas e olhares de diferentes instituições e de diferentes áreas que compõem esse campo de saber, como a psicologia. </w:t>
      </w:r>
      <w:r>
        <w:rPr>
          <w:rFonts w:ascii="Times New Roman" w:eastAsia="Times New Roman" w:hAnsi="Times New Roman" w:cs="Times New Roman"/>
          <w:sz w:val="24"/>
          <w:szCs w:val="24"/>
          <w:highlight w:val="white"/>
        </w:rPr>
        <w:t xml:space="preserve">Para analisar esse tema, utilizamos o conceito de “saúde” da OMS para “saúde sexual” que não apenas o associa a princípios biológicos e fisiológicos, à classificação de doenças e ao tratamento de sintomas, físicos ou mentais. Para a organização, trata-se de </w:t>
      </w:r>
      <w:r>
        <w:rPr>
          <w:rFonts w:ascii="Times New Roman" w:eastAsia="Times New Roman" w:hAnsi="Times New Roman" w:cs="Times New Roman"/>
          <w:sz w:val="24"/>
          <w:szCs w:val="24"/>
        </w:rPr>
        <w:t>“. . . um estado de bem-estar físico, emocional, mental e social em relação à sexualidade; não é apenas a ausência de doença, disfunção ou enfermidade” (OMS, 2006, p. 5).</w:t>
      </w:r>
      <w:r>
        <w:rPr>
          <w:rFonts w:ascii="Times New Roman" w:eastAsia="Times New Roman" w:hAnsi="Times New Roman" w:cs="Times New Roman"/>
          <w:sz w:val="24"/>
          <w:szCs w:val="24"/>
          <w:vertAlign w:val="superscript"/>
        </w:rPr>
        <w:footnoteReference w:id="4"/>
      </w:r>
    </w:p>
    <w:p w14:paraId="665044BA"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Nesse sentido, foram reunidos 25 artigos da Revista para a presente análise, agrupados em dois subtemas: a) Saúde mental, patologização e diagnósticos de gênero; b) Saúde sexual e (não) reprodutiva: produção de saberes e subjetividades.</w:t>
      </w:r>
    </w:p>
    <w:p w14:paraId="306970A2" w14:textId="77777777" w:rsidR="007E74C0" w:rsidRDefault="007E74C0">
      <w:pPr>
        <w:spacing w:line="240" w:lineRule="auto"/>
        <w:jc w:val="both"/>
        <w:rPr>
          <w:rFonts w:ascii="Times New Roman" w:eastAsia="Times New Roman" w:hAnsi="Times New Roman" w:cs="Times New Roman"/>
          <w:sz w:val="24"/>
          <w:szCs w:val="24"/>
          <w:highlight w:val="white"/>
        </w:rPr>
      </w:pPr>
    </w:p>
    <w:p w14:paraId="5812C141" w14:textId="77777777" w:rsidR="007E74C0" w:rsidRDefault="00EA0911">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4.2.1 S</w:t>
      </w:r>
      <w:r>
        <w:rPr>
          <w:rFonts w:ascii="Times New Roman" w:eastAsia="Times New Roman" w:hAnsi="Times New Roman" w:cs="Times New Roman"/>
          <w:b/>
          <w:i/>
          <w:sz w:val="24"/>
          <w:szCs w:val="24"/>
          <w:highlight w:val="white"/>
        </w:rPr>
        <w:t xml:space="preserve">aúde mental, patologização e diagnósticos de gênero. </w:t>
      </w:r>
      <w:r>
        <w:rPr>
          <w:rFonts w:ascii="Times New Roman" w:eastAsia="Times New Roman" w:hAnsi="Times New Roman" w:cs="Times New Roman"/>
          <w:sz w:val="24"/>
          <w:szCs w:val="24"/>
          <w:highlight w:val="white"/>
        </w:rPr>
        <w:t>Esse subtema contemplou sete artigos, nos quais, no geral,  transtornos mentais são avaliados à luz de questões de gênero, e que fatores culturais e sociais são contemplados em algumas análises. Entretanto, é necessária uma crítica com vistas a subverter a lógica dos diagnósticos, ainda persistente nesses saberes.</w:t>
      </w:r>
    </w:p>
    <w:p w14:paraId="628CC29D" w14:textId="77777777" w:rsidR="007E74C0" w:rsidRDefault="007E74C0">
      <w:pPr>
        <w:spacing w:line="240" w:lineRule="auto"/>
        <w:jc w:val="both"/>
        <w:rPr>
          <w:rFonts w:ascii="Times New Roman" w:eastAsia="Times New Roman" w:hAnsi="Times New Roman" w:cs="Times New Roman"/>
          <w:sz w:val="24"/>
          <w:szCs w:val="24"/>
          <w:highlight w:val="white"/>
        </w:rPr>
      </w:pPr>
    </w:p>
    <w:p w14:paraId="4D12DF5F" w14:textId="77777777" w:rsidR="007E74C0" w:rsidRDefault="00EA0911">
      <w:pPr>
        <w:jc w:val="both"/>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sz w:val="24"/>
          <w:szCs w:val="24"/>
        </w:rPr>
        <w:t>TABELA 5. Quadro de artigos - Subtema 1 (Tema 2)</w:t>
      </w:r>
    </w:p>
    <w:tbl>
      <w:tblPr>
        <w:tblStyle w:val="a3"/>
        <w:tblW w:w="891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555"/>
        <w:gridCol w:w="660"/>
        <w:gridCol w:w="3810"/>
        <w:gridCol w:w="2400"/>
        <w:gridCol w:w="1485"/>
      </w:tblGrid>
      <w:tr w:rsidR="007E74C0" w14:paraId="19C61AF4" w14:textId="77777777">
        <w:trPr>
          <w:trHeight w:val="460"/>
        </w:trPr>
        <w:tc>
          <w:tcPr>
            <w:tcW w:w="1215" w:type="dxa"/>
            <w:gridSpan w:val="2"/>
            <w:tcBorders>
              <w:top w:val="single" w:sz="12" w:space="0" w:color="000000"/>
              <w:bottom w:val="single" w:sz="6" w:space="0" w:color="000000"/>
            </w:tcBorders>
          </w:tcPr>
          <w:p w14:paraId="68100D49"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Revista</w:t>
            </w:r>
          </w:p>
        </w:tc>
        <w:tc>
          <w:tcPr>
            <w:tcW w:w="3810" w:type="dxa"/>
            <w:vMerge w:val="restart"/>
            <w:tcBorders>
              <w:top w:val="single" w:sz="12" w:space="0" w:color="000000"/>
              <w:bottom w:val="single" w:sz="12" w:space="0" w:color="000000"/>
            </w:tcBorders>
            <w:vAlign w:val="center"/>
          </w:tcPr>
          <w:p w14:paraId="4ADA9830"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Pessoa(s)</w:t>
            </w:r>
          </w:p>
          <w:p w14:paraId="3F0D4E24"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autora(s)</w:t>
            </w:r>
          </w:p>
        </w:tc>
        <w:tc>
          <w:tcPr>
            <w:tcW w:w="2400" w:type="dxa"/>
            <w:vMerge w:val="restart"/>
            <w:tcBorders>
              <w:top w:val="single" w:sz="12" w:space="0" w:color="000000"/>
              <w:bottom w:val="single" w:sz="12" w:space="0" w:color="000000"/>
            </w:tcBorders>
            <w:shd w:val="clear" w:color="auto" w:fill="auto"/>
            <w:tcMar>
              <w:top w:w="100" w:type="dxa"/>
              <w:left w:w="100" w:type="dxa"/>
              <w:bottom w:w="100" w:type="dxa"/>
              <w:right w:w="100" w:type="dxa"/>
            </w:tcMar>
            <w:vAlign w:val="center"/>
          </w:tcPr>
          <w:p w14:paraId="7C7B99B6"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Assunto(s)</w:t>
            </w:r>
          </w:p>
          <w:p w14:paraId="2CC4C4C5"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chave</w:t>
            </w:r>
          </w:p>
        </w:tc>
        <w:tc>
          <w:tcPr>
            <w:tcW w:w="1485" w:type="dxa"/>
            <w:vMerge w:val="restart"/>
            <w:tcBorders>
              <w:top w:val="single" w:sz="12" w:space="0" w:color="000000"/>
              <w:bottom w:val="single" w:sz="12" w:space="0" w:color="000000"/>
            </w:tcBorders>
            <w:shd w:val="clear" w:color="auto" w:fill="auto"/>
            <w:tcMar>
              <w:top w:w="100" w:type="dxa"/>
              <w:left w:w="100" w:type="dxa"/>
              <w:bottom w:w="100" w:type="dxa"/>
              <w:right w:w="100" w:type="dxa"/>
            </w:tcMar>
            <w:vAlign w:val="center"/>
          </w:tcPr>
          <w:p w14:paraId="13BD718A"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País(es)</w:t>
            </w:r>
          </w:p>
          <w:p w14:paraId="65B988E8"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participante(s)</w:t>
            </w:r>
          </w:p>
        </w:tc>
      </w:tr>
      <w:tr w:rsidR="007E74C0" w14:paraId="1FC67C37" w14:textId="77777777">
        <w:trPr>
          <w:trHeight w:val="460"/>
        </w:trPr>
        <w:tc>
          <w:tcPr>
            <w:tcW w:w="555" w:type="dxa"/>
            <w:tcBorders>
              <w:top w:val="single" w:sz="6" w:space="0" w:color="000000"/>
              <w:bottom w:val="single" w:sz="12" w:space="0" w:color="000000"/>
            </w:tcBorders>
            <w:shd w:val="clear" w:color="auto" w:fill="auto"/>
            <w:tcMar>
              <w:top w:w="100" w:type="dxa"/>
              <w:left w:w="100" w:type="dxa"/>
              <w:bottom w:w="100" w:type="dxa"/>
              <w:right w:w="100" w:type="dxa"/>
            </w:tcMar>
          </w:tcPr>
          <w:p w14:paraId="6004C0FB" w14:textId="77777777" w:rsidR="007E74C0" w:rsidRDefault="00EA0911">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Ano</w:t>
            </w:r>
          </w:p>
        </w:tc>
        <w:tc>
          <w:tcPr>
            <w:tcW w:w="660" w:type="dxa"/>
            <w:tcBorders>
              <w:top w:val="single" w:sz="6" w:space="0" w:color="000000"/>
              <w:bottom w:val="single" w:sz="12" w:space="0" w:color="000000"/>
            </w:tcBorders>
            <w:shd w:val="clear" w:color="auto" w:fill="auto"/>
            <w:tcMar>
              <w:top w:w="100" w:type="dxa"/>
              <w:left w:w="100" w:type="dxa"/>
              <w:bottom w:w="100" w:type="dxa"/>
              <w:right w:w="100" w:type="dxa"/>
            </w:tcMar>
          </w:tcPr>
          <w:p w14:paraId="316C3BD2"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 (n)</w:t>
            </w:r>
          </w:p>
        </w:tc>
        <w:tc>
          <w:tcPr>
            <w:tcW w:w="3810" w:type="dxa"/>
            <w:vMerge/>
            <w:tcBorders>
              <w:top w:val="single" w:sz="12" w:space="0" w:color="000000"/>
              <w:bottom w:val="single" w:sz="12" w:space="0" w:color="000000"/>
            </w:tcBorders>
            <w:vAlign w:val="center"/>
          </w:tcPr>
          <w:p w14:paraId="203FAA94" w14:textId="77777777" w:rsidR="007E74C0" w:rsidRDefault="007E74C0">
            <w:pPr>
              <w:widowControl w:val="0"/>
              <w:rPr>
                <w:rFonts w:ascii="Times New Roman" w:eastAsia="Times New Roman" w:hAnsi="Times New Roman" w:cs="Times New Roman"/>
                <w:sz w:val="20"/>
                <w:szCs w:val="20"/>
              </w:rPr>
            </w:pPr>
          </w:p>
        </w:tc>
        <w:tc>
          <w:tcPr>
            <w:tcW w:w="2400" w:type="dxa"/>
            <w:vMerge/>
            <w:tcBorders>
              <w:top w:val="single" w:sz="12" w:space="0" w:color="000000"/>
              <w:bottom w:val="single" w:sz="12" w:space="0" w:color="000000"/>
            </w:tcBorders>
            <w:shd w:val="clear" w:color="auto" w:fill="auto"/>
            <w:tcMar>
              <w:top w:w="100" w:type="dxa"/>
              <w:left w:w="100" w:type="dxa"/>
              <w:bottom w:w="100" w:type="dxa"/>
              <w:right w:w="100" w:type="dxa"/>
            </w:tcMar>
            <w:vAlign w:val="center"/>
          </w:tcPr>
          <w:p w14:paraId="457FA796" w14:textId="77777777" w:rsidR="007E74C0" w:rsidRDefault="007E74C0">
            <w:pPr>
              <w:widowControl w:val="0"/>
              <w:rPr>
                <w:rFonts w:ascii="Times New Roman" w:eastAsia="Times New Roman" w:hAnsi="Times New Roman" w:cs="Times New Roman"/>
                <w:sz w:val="20"/>
                <w:szCs w:val="20"/>
              </w:rPr>
            </w:pPr>
          </w:p>
        </w:tc>
        <w:tc>
          <w:tcPr>
            <w:tcW w:w="1485" w:type="dxa"/>
            <w:vMerge/>
            <w:tcBorders>
              <w:top w:val="single" w:sz="12" w:space="0" w:color="000000"/>
              <w:bottom w:val="single" w:sz="12" w:space="0" w:color="000000"/>
            </w:tcBorders>
            <w:shd w:val="clear" w:color="auto" w:fill="auto"/>
            <w:tcMar>
              <w:top w:w="100" w:type="dxa"/>
              <w:left w:w="100" w:type="dxa"/>
              <w:bottom w:w="100" w:type="dxa"/>
              <w:right w:w="100" w:type="dxa"/>
            </w:tcMar>
            <w:vAlign w:val="center"/>
          </w:tcPr>
          <w:p w14:paraId="4D4D0BB2" w14:textId="77777777" w:rsidR="007E74C0" w:rsidRDefault="007E74C0">
            <w:pPr>
              <w:widowControl w:val="0"/>
              <w:rPr>
                <w:rFonts w:ascii="Times New Roman" w:eastAsia="Times New Roman" w:hAnsi="Times New Roman" w:cs="Times New Roman"/>
                <w:sz w:val="20"/>
                <w:szCs w:val="20"/>
              </w:rPr>
            </w:pPr>
          </w:p>
        </w:tc>
      </w:tr>
      <w:tr w:rsidR="007E74C0" w14:paraId="1CA6CEB1" w14:textId="77777777">
        <w:trPr>
          <w:trHeight w:val="239"/>
        </w:trPr>
        <w:tc>
          <w:tcPr>
            <w:tcW w:w="555" w:type="dxa"/>
            <w:tcBorders>
              <w:top w:val="single" w:sz="12" w:space="0" w:color="000000"/>
              <w:left w:val="single" w:sz="7" w:space="0" w:color="FFFFFF"/>
              <w:bottom w:val="single" w:sz="7" w:space="0" w:color="FFFFFF"/>
              <w:right w:val="single" w:sz="7" w:space="0" w:color="FFFFFF"/>
            </w:tcBorders>
            <w:tcMar>
              <w:top w:w="40" w:type="dxa"/>
              <w:left w:w="40" w:type="dxa"/>
              <w:bottom w:w="40" w:type="dxa"/>
              <w:right w:w="40" w:type="dxa"/>
            </w:tcMar>
            <w:vAlign w:val="center"/>
          </w:tcPr>
          <w:p w14:paraId="1C980793" w14:textId="77777777" w:rsidR="007E74C0" w:rsidRDefault="00EA0911">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2008</w:t>
            </w:r>
          </w:p>
        </w:tc>
        <w:tc>
          <w:tcPr>
            <w:tcW w:w="660" w:type="dxa"/>
            <w:tcBorders>
              <w:top w:val="single" w:sz="12" w:space="0" w:color="000000"/>
              <w:left w:val="single" w:sz="7" w:space="0" w:color="FFFFFF"/>
              <w:bottom w:val="single" w:sz="7" w:space="0" w:color="FFFFFF"/>
              <w:right w:val="single" w:sz="7" w:space="0" w:color="FFFFFF"/>
            </w:tcBorders>
            <w:tcMar>
              <w:top w:w="40" w:type="dxa"/>
              <w:left w:w="40" w:type="dxa"/>
              <w:bottom w:w="40" w:type="dxa"/>
              <w:right w:w="40" w:type="dxa"/>
            </w:tcMar>
            <w:vAlign w:val="center"/>
          </w:tcPr>
          <w:p w14:paraId="0F6751B8" w14:textId="77777777" w:rsidR="007E74C0" w:rsidRDefault="00EA0911">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42(3)</w:t>
            </w:r>
          </w:p>
        </w:tc>
        <w:tc>
          <w:tcPr>
            <w:tcW w:w="3810" w:type="dxa"/>
            <w:tcBorders>
              <w:top w:val="single" w:sz="12" w:space="0" w:color="000000"/>
              <w:left w:val="single" w:sz="7" w:space="0" w:color="FFFFFF"/>
              <w:bottom w:val="single" w:sz="7" w:space="0" w:color="FFFFFF"/>
              <w:right w:val="single" w:sz="7" w:space="0" w:color="FFFFFF"/>
            </w:tcBorders>
            <w:tcMar>
              <w:top w:w="40" w:type="dxa"/>
              <w:left w:w="40" w:type="dxa"/>
              <w:bottom w:w="40" w:type="dxa"/>
              <w:right w:w="40" w:type="dxa"/>
            </w:tcMar>
            <w:vAlign w:val="center"/>
          </w:tcPr>
          <w:p w14:paraId="09B6C5FB" w14:textId="77777777" w:rsidR="007E74C0" w:rsidRDefault="00EA0911">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Borges e Dell’Aglio</w:t>
            </w:r>
          </w:p>
        </w:tc>
        <w:tc>
          <w:tcPr>
            <w:tcW w:w="2400" w:type="dxa"/>
            <w:tcBorders>
              <w:top w:val="single" w:sz="12" w:space="0" w:color="000000"/>
              <w:left w:val="single" w:sz="7" w:space="0" w:color="FFFFFF"/>
              <w:bottom w:val="nil"/>
              <w:right w:val="nil"/>
            </w:tcBorders>
            <w:tcMar>
              <w:top w:w="19" w:type="dxa"/>
              <w:left w:w="19" w:type="dxa"/>
              <w:bottom w:w="19" w:type="dxa"/>
              <w:right w:w="19" w:type="dxa"/>
            </w:tcMar>
            <w:vAlign w:val="center"/>
          </w:tcPr>
          <w:p w14:paraId="43D5E242"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Abuso sexual infantil (indicadores de risco)</w:t>
            </w:r>
          </w:p>
        </w:tc>
        <w:tc>
          <w:tcPr>
            <w:tcW w:w="1485" w:type="dxa"/>
            <w:tcBorders>
              <w:top w:val="single" w:sz="12" w:space="0" w:color="000000"/>
              <w:left w:val="nil"/>
              <w:bottom w:val="nil"/>
              <w:right w:val="nil"/>
            </w:tcBorders>
            <w:tcMar>
              <w:top w:w="19" w:type="dxa"/>
              <w:left w:w="19" w:type="dxa"/>
              <w:bottom w:w="19" w:type="dxa"/>
              <w:right w:w="19" w:type="dxa"/>
            </w:tcMar>
            <w:vAlign w:val="center"/>
          </w:tcPr>
          <w:p w14:paraId="7F55E107"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Brasil</w:t>
            </w:r>
          </w:p>
        </w:tc>
      </w:tr>
      <w:tr w:rsidR="007E74C0" w14:paraId="0402B901" w14:textId="77777777">
        <w:trPr>
          <w:trHeight w:val="239"/>
        </w:trPr>
        <w:tc>
          <w:tcPr>
            <w:tcW w:w="555" w:type="dxa"/>
            <w:tcBorders>
              <w:top w:val="single" w:sz="7" w:space="0" w:color="FFFFFF"/>
              <w:left w:val="single" w:sz="7" w:space="0" w:color="FFFFFF"/>
              <w:bottom w:val="single" w:sz="7" w:space="0" w:color="FFFFFF"/>
              <w:right w:val="single" w:sz="7" w:space="0" w:color="FFFFFF"/>
            </w:tcBorders>
            <w:shd w:val="clear" w:color="auto" w:fill="CCCCCC"/>
            <w:tcMar>
              <w:top w:w="40" w:type="dxa"/>
              <w:left w:w="40" w:type="dxa"/>
              <w:bottom w:w="40" w:type="dxa"/>
              <w:right w:w="40" w:type="dxa"/>
            </w:tcMar>
            <w:vAlign w:val="center"/>
          </w:tcPr>
          <w:p w14:paraId="46542D99" w14:textId="77777777" w:rsidR="007E74C0" w:rsidRDefault="00EA0911">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2009</w:t>
            </w:r>
          </w:p>
        </w:tc>
        <w:tc>
          <w:tcPr>
            <w:tcW w:w="660" w:type="dxa"/>
            <w:tcBorders>
              <w:top w:val="single" w:sz="7" w:space="0" w:color="FFFFFF"/>
              <w:left w:val="single" w:sz="7" w:space="0" w:color="FFFFFF"/>
              <w:bottom w:val="single" w:sz="7" w:space="0" w:color="FFFFFF"/>
              <w:right w:val="single" w:sz="7" w:space="0" w:color="FFFFFF"/>
            </w:tcBorders>
            <w:shd w:val="clear" w:color="auto" w:fill="CCCCCC"/>
            <w:tcMar>
              <w:top w:w="40" w:type="dxa"/>
              <w:left w:w="40" w:type="dxa"/>
              <w:bottom w:w="40" w:type="dxa"/>
              <w:right w:w="40" w:type="dxa"/>
            </w:tcMar>
            <w:vAlign w:val="center"/>
          </w:tcPr>
          <w:p w14:paraId="2666237F" w14:textId="77777777" w:rsidR="007E74C0" w:rsidRDefault="00EA0911">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43(1)</w:t>
            </w:r>
          </w:p>
        </w:tc>
        <w:tc>
          <w:tcPr>
            <w:tcW w:w="3810" w:type="dxa"/>
            <w:tcBorders>
              <w:top w:val="single" w:sz="7" w:space="0" w:color="FFFFFF"/>
              <w:left w:val="single" w:sz="7" w:space="0" w:color="FFFFFF"/>
              <w:bottom w:val="single" w:sz="7" w:space="0" w:color="FFFFFF"/>
              <w:right w:val="single" w:sz="7" w:space="0" w:color="FFFFFF"/>
            </w:tcBorders>
            <w:shd w:val="clear" w:color="auto" w:fill="CCCCCC"/>
            <w:tcMar>
              <w:top w:w="40" w:type="dxa"/>
              <w:left w:w="40" w:type="dxa"/>
              <w:bottom w:w="40" w:type="dxa"/>
              <w:right w:w="40" w:type="dxa"/>
            </w:tcMar>
            <w:vAlign w:val="center"/>
          </w:tcPr>
          <w:p w14:paraId="376C7B9B" w14:textId="77777777" w:rsidR="007E74C0" w:rsidRDefault="00EA0911">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Narvaz e Oliveira</w:t>
            </w:r>
          </w:p>
        </w:tc>
        <w:tc>
          <w:tcPr>
            <w:tcW w:w="2400" w:type="dxa"/>
            <w:tcBorders>
              <w:top w:val="nil"/>
              <w:left w:val="single" w:sz="7" w:space="0" w:color="FFFFFF"/>
              <w:bottom w:val="nil"/>
              <w:right w:val="nil"/>
            </w:tcBorders>
            <w:shd w:val="clear" w:color="auto" w:fill="CCCCCC"/>
            <w:tcMar>
              <w:top w:w="19" w:type="dxa"/>
              <w:left w:w="19" w:type="dxa"/>
              <w:bottom w:w="19" w:type="dxa"/>
              <w:right w:w="19" w:type="dxa"/>
            </w:tcMar>
            <w:vAlign w:val="center"/>
          </w:tcPr>
          <w:p w14:paraId="57CEB330"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Abuso sexual (transtornos alimentares)</w:t>
            </w:r>
          </w:p>
        </w:tc>
        <w:tc>
          <w:tcPr>
            <w:tcW w:w="1485" w:type="dxa"/>
            <w:tcBorders>
              <w:top w:val="nil"/>
              <w:left w:val="nil"/>
              <w:right w:val="nil"/>
            </w:tcBorders>
            <w:shd w:val="clear" w:color="auto" w:fill="CCCCCC"/>
            <w:tcMar>
              <w:top w:w="19" w:type="dxa"/>
              <w:left w:w="19" w:type="dxa"/>
              <w:bottom w:w="19" w:type="dxa"/>
              <w:right w:w="19" w:type="dxa"/>
            </w:tcMar>
            <w:vAlign w:val="center"/>
          </w:tcPr>
          <w:p w14:paraId="2FBD1606"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Brasil</w:t>
            </w:r>
          </w:p>
        </w:tc>
      </w:tr>
      <w:tr w:rsidR="007E74C0" w14:paraId="4F3EFCCB" w14:textId="77777777">
        <w:trPr>
          <w:trHeight w:val="280"/>
        </w:trPr>
        <w:tc>
          <w:tcPr>
            <w:tcW w:w="555" w:type="dxa"/>
            <w:vMerge w:val="restart"/>
            <w:tcBorders>
              <w:top w:val="single" w:sz="7" w:space="0" w:color="FFFFFF"/>
              <w:left w:val="single" w:sz="7" w:space="0" w:color="FFFFFF"/>
              <w:bottom w:val="single" w:sz="7" w:space="0" w:color="FFFFFF"/>
              <w:right w:val="single" w:sz="7" w:space="0" w:color="FFFFFF"/>
            </w:tcBorders>
            <w:tcMar>
              <w:top w:w="40" w:type="dxa"/>
              <w:left w:w="40" w:type="dxa"/>
              <w:bottom w:w="40" w:type="dxa"/>
              <w:right w:w="40" w:type="dxa"/>
            </w:tcMar>
            <w:vAlign w:val="center"/>
          </w:tcPr>
          <w:p w14:paraId="77800026" w14:textId="77777777" w:rsidR="007E74C0" w:rsidRDefault="00EA0911">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2010</w:t>
            </w:r>
          </w:p>
        </w:tc>
        <w:tc>
          <w:tcPr>
            <w:tcW w:w="660" w:type="dxa"/>
            <w:vMerge w:val="restart"/>
            <w:tcBorders>
              <w:top w:val="single" w:sz="7" w:space="0" w:color="FFFFFF"/>
              <w:left w:val="single" w:sz="7" w:space="0" w:color="FFFFFF"/>
              <w:bottom w:val="single" w:sz="7" w:space="0" w:color="FFFFFF"/>
              <w:right w:val="single" w:sz="7" w:space="0" w:color="FFFFFF"/>
            </w:tcBorders>
            <w:tcMar>
              <w:top w:w="40" w:type="dxa"/>
              <w:left w:w="40" w:type="dxa"/>
              <w:bottom w:w="40" w:type="dxa"/>
              <w:right w:w="40" w:type="dxa"/>
            </w:tcMar>
            <w:vAlign w:val="center"/>
          </w:tcPr>
          <w:p w14:paraId="0492B921" w14:textId="77777777" w:rsidR="007E74C0" w:rsidRDefault="00EA0911">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44(2)</w:t>
            </w:r>
          </w:p>
        </w:tc>
        <w:tc>
          <w:tcPr>
            <w:tcW w:w="3810" w:type="dxa"/>
            <w:tcBorders>
              <w:top w:val="single" w:sz="7" w:space="0" w:color="FFFFFF"/>
              <w:left w:val="single" w:sz="7" w:space="0" w:color="FFFFFF"/>
              <w:bottom w:val="single" w:sz="7" w:space="0" w:color="FFFFFF"/>
              <w:right w:val="single" w:sz="7" w:space="0" w:color="FFFFFF"/>
            </w:tcBorders>
            <w:tcMar>
              <w:top w:w="40" w:type="dxa"/>
              <w:left w:w="40" w:type="dxa"/>
              <w:bottom w:w="40" w:type="dxa"/>
              <w:right w:w="40" w:type="dxa"/>
            </w:tcMar>
            <w:vAlign w:val="center"/>
          </w:tcPr>
          <w:p w14:paraId="0BD4DC44" w14:textId="77777777" w:rsidR="007E74C0" w:rsidRDefault="00EA0911">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Toro-Alfonso, Nieves e Borreo</w:t>
            </w:r>
          </w:p>
        </w:tc>
        <w:tc>
          <w:tcPr>
            <w:tcW w:w="2400" w:type="dxa"/>
            <w:tcBorders>
              <w:top w:val="nil"/>
              <w:left w:val="single" w:sz="7" w:space="0" w:color="FFFFFF"/>
              <w:bottom w:val="nil"/>
              <w:right w:val="nil"/>
            </w:tcBorders>
            <w:tcMar>
              <w:top w:w="19" w:type="dxa"/>
              <w:left w:w="19" w:type="dxa"/>
              <w:bottom w:w="19" w:type="dxa"/>
              <w:right w:w="19" w:type="dxa"/>
            </w:tcMar>
            <w:vAlign w:val="center"/>
          </w:tcPr>
          <w:p w14:paraId="0012D5CD"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Transtornos alimentares (masculinidades)</w:t>
            </w:r>
          </w:p>
        </w:tc>
        <w:tc>
          <w:tcPr>
            <w:tcW w:w="1485" w:type="dxa"/>
            <w:tcBorders>
              <w:top w:val="nil"/>
              <w:left w:val="nil"/>
              <w:right w:val="nil"/>
            </w:tcBorders>
            <w:tcMar>
              <w:top w:w="19" w:type="dxa"/>
              <w:left w:w="19" w:type="dxa"/>
              <w:bottom w:w="19" w:type="dxa"/>
              <w:right w:w="19" w:type="dxa"/>
            </w:tcMar>
            <w:vAlign w:val="center"/>
          </w:tcPr>
          <w:p w14:paraId="6DA0DCAE" w14:textId="77777777" w:rsidR="007E74C0" w:rsidRDefault="00EA0911">
            <w:pPr>
              <w:spacing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Porto Rico</w:t>
            </w:r>
          </w:p>
        </w:tc>
      </w:tr>
      <w:tr w:rsidR="007E74C0" w14:paraId="783BEAF9" w14:textId="77777777">
        <w:trPr>
          <w:trHeight w:val="280"/>
        </w:trPr>
        <w:tc>
          <w:tcPr>
            <w:tcW w:w="555" w:type="dxa"/>
            <w:vMerge/>
            <w:tcBorders>
              <w:top w:val="single" w:sz="7" w:space="0" w:color="FFFFFF"/>
              <w:left w:val="single" w:sz="7" w:space="0" w:color="FFFFFF"/>
              <w:bottom w:val="single" w:sz="7" w:space="0" w:color="FFFFFF"/>
              <w:right w:val="single" w:sz="7" w:space="0" w:color="FFFFFF"/>
            </w:tcBorders>
            <w:tcMar>
              <w:top w:w="40" w:type="dxa"/>
              <w:left w:w="40" w:type="dxa"/>
              <w:bottom w:w="40" w:type="dxa"/>
              <w:right w:w="40" w:type="dxa"/>
            </w:tcMar>
            <w:vAlign w:val="center"/>
          </w:tcPr>
          <w:p w14:paraId="3E74C97E" w14:textId="77777777" w:rsidR="007E74C0" w:rsidRDefault="007E74C0">
            <w:pPr>
              <w:widowControl w:val="0"/>
              <w:spacing w:line="240" w:lineRule="auto"/>
              <w:rPr>
                <w:rFonts w:ascii="Times New Roman" w:eastAsia="Times New Roman" w:hAnsi="Times New Roman" w:cs="Times New Roman"/>
                <w:sz w:val="20"/>
                <w:szCs w:val="20"/>
              </w:rPr>
            </w:pPr>
          </w:p>
        </w:tc>
        <w:tc>
          <w:tcPr>
            <w:tcW w:w="660" w:type="dxa"/>
            <w:vMerge/>
            <w:tcBorders>
              <w:top w:val="single" w:sz="7" w:space="0" w:color="FFFFFF"/>
              <w:left w:val="single" w:sz="7" w:space="0" w:color="FFFFFF"/>
              <w:bottom w:val="single" w:sz="7" w:space="0" w:color="FFFFFF"/>
              <w:right w:val="single" w:sz="7" w:space="0" w:color="FFFFFF"/>
            </w:tcBorders>
            <w:tcMar>
              <w:top w:w="40" w:type="dxa"/>
              <w:left w:w="40" w:type="dxa"/>
              <w:bottom w:w="40" w:type="dxa"/>
              <w:right w:w="40" w:type="dxa"/>
            </w:tcMar>
            <w:vAlign w:val="center"/>
          </w:tcPr>
          <w:p w14:paraId="2162C722" w14:textId="77777777" w:rsidR="007E74C0" w:rsidRDefault="007E74C0">
            <w:pPr>
              <w:widowControl w:val="0"/>
              <w:spacing w:line="240" w:lineRule="auto"/>
              <w:jc w:val="center"/>
              <w:rPr>
                <w:rFonts w:ascii="Times New Roman" w:eastAsia="Times New Roman" w:hAnsi="Times New Roman" w:cs="Times New Roman"/>
                <w:sz w:val="20"/>
                <w:szCs w:val="20"/>
              </w:rPr>
            </w:pPr>
          </w:p>
        </w:tc>
        <w:tc>
          <w:tcPr>
            <w:tcW w:w="3810" w:type="dxa"/>
            <w:tcBorders>
              <w:top w:val="single" w:sz="7" w:space="0" w:color="FFFFFF"/>
              <w:left w:val="single" w:sz="7" w:space="0" w:color="FFFFFF"/>
              <w:bottom w:val="single" w:sz="7" w:space="0" w:color="FFFFFF"/>
              <w:right w:val="single" w:sz="7" w:space="0" w:color="FFFFFF"/>
            </w:tcBorders>
            <w:tcMar>
              <w:top w:w="40" w:type="dxa"/>
              <w:left w:w="40" w:type="dxa"/>
              <w:bottom w:w="40" w:type="dxa"/>
              <w:right w:w="40" w:type="dxa"/>
            </w:tcMar>
            <w:vAlign w:val="center"/>
          </w:tcPr>
          <w:p w14:paraId="657E2D74" w14:textId="77777777" w:rsidR="007E74C0" w:rsidRDefault="00EA0911">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 la Rubia</w:t>
            </w:r>
          </w:p>
        </w:tc>
        <w:tc>
          <w:tcPr>
            <w:tcW w:w="2400" w:type="dxa"/>
            <w:tcBorders>
              <w:top w:val="nil"/>
              <w:left w:val="single" w:sz="7" w:space="0" w:color="FFFFFF"/>
              <w:bottom w:val="nil"/>
              <w:right w:val="nil"/>
            </w:tcBorders>
            <w:tcMar>
              <w:top w:w="19" w:type="dxa"/>
              <w:left w:w="19" w:type="dxa"/>
              <w:bottom w:w="19" w:type="dxa"/>
              <w:right w:w="19" w:type="dxa"/>
            </w:tcMar>
            <w:vAlign w:val="center"/>
          </w:tcPr>
          <w:p w14:paraId="34A2ADA2"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Abuso sexual (fantasias)</w:t>
            </w:r>
          </w:p>
        </w:tc>
        <w:tc>
          <w:tcPr>
            <w:tcW w:w="1485" w:type="dxa"/>
            <w:tcBorders>
              <w:top w:val="nil"/>
              <w:left w:val="nil"/>
              <w:right w:val="nil"/>
            </w:tcBorders>
            <w:tcMar>
              <w:top w:w="19" w:type="dxa"/>
              <w:left w:w="19" w:type="dxa"/>
              <w:bottom w:w="19" w:type="dxa"/>
              <w:right w:w="19" w:type="dxa"/>
            </w:tcMar>
            <w:vAlign w:val="center"/>
          </w:tcPr>
          <w:p w14:paraId="5FEBE84E" w14:textId="77777777" w:rsidR="007E74C0" w:rsidRDefault="00EA0911">
            <w:pPr>
              <w:spacing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México</w:t>
            </w:r>
          </w:p>
        </w:tc>
      </w:tr>
      <w:tr w:rsidR="007E74C0" w14:paraId="3C456949" w14:textId="77777777">
        <w:trPr>
          <w:trHeight w:val="239"/>
        </w:trPr>
        <w:tc>
          <w:tcPr>
            <w:tcW w:w="555" w:type="dxa"/>
            <w:tcBorders>
              <w:top w:val="single" w:sz="7" w:space="0" w:color="FFFFFF"/>
              <w:left w:val="single" w:sz="7" w:space="0" w:color="FFFFFF"/>
              <w:bottom w:val="single" w:sz="7" w:space="0" w:color="FFFFFF"/>
              <w:right w:val="single" w:sz="7" w:space="0" w:color="FFFFFF"/>
            </w:tcBorders>
            <w:shd w:val="clear" w:color="auto" w:fill="BFBFBF"/>
            <w:tcMar>
              <w:top w:w="40" w:type="dxa"/>
              <w:left w:w="40" w:type="dxa"/>
              <w:bottom w:w="40" w:type="dxa"/>
              <w:right w:w="40" w:type="dxa"/>
            </w:tcMar>
            <w:vAlign w:val="center"/>
          </w:tcPr>
          <w:p w14:paraId="2DB24F37" w14:textId="77777777" w:rsidR="007E74C0" w:rsidRDefault="00EA0911">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2013</w:t>
            </w:r>
          </w:p>
        </w:tc>
        <w:tc>
          <w:tcPr>
            <w:tcW w:w="660" w:type="dxa"/>
            <w:tcBorders>
              <w:top w:val="single" w:sz="7" w:space="0" w:color="FFFFFF"/>
              <w:left w:val="single" w:sz="7" w:space="0" w:color="FFFFFF"/>
              <w:bottom w:val="single" w:sz="7" w:space="0" w:color="FFFFFF"/>
              <w:right w:val="single" w:sz="7" w:space="0" w:color="FFFFFF"/>
            </w:tcBorders>
            <w:shd w:val="clear" w:color="auto" w:fill="BFBFBF"/>
            <w:tcMar>
              <w:top w:w="40" w:type="dxa"/>
              <w:left w:w="40" w:type="dxa"/>
              <w:bottom w:w="40" w:type="dxa"/>
              <w:right w:w="40" w:type="dxa"/>
            </w:tcMar>
            <w:vAlign w:val="center"/>
          </w:tcPr>
          <w:p w14:paraId="2C95B518" w14:textId="77777777" w:rsidR="007E74C0" w:rsidRDefault="00EA0911">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47(1)</w:t>
            </w:r>
          </w:p>
        </w:tc>
        <w:tc>
          <w:tcPr>
            <w:tcW w:w="3810" w:type="dxa"/>
            <w:tcBorders>
              <w:top w:val="single" w:sz="7" w:space="0" w:color="FFFFFF"/>
              <w:left w:val="single" w:sz="7" w:space="0" w:color="FFFFFF"/>
              <w:bottom w:val="single" w:sz="7" w:space="0" w:color="FFFFFF"/>
              <w:right w:val="single" w:sz="7" w:space="0" w:color="FFFFFF"/>
            </w:tcBorders>
            <w:shd w:val="clear" w:color="auto" w:fill="BFBFBF"/>
            <w:tcMar>
              <w:top w:w="40" w:type="dxa"/>
              <w:left w:w="40" w:type="dxa"/>
              <w:bottom w:w="40" w:type="dxa"/>
              <w:right w:w="40" w:type="dxa"/>
            </w:tcMar>
            <w:vAlign w:val="center"/>
          </w:tcPr>
          <w:p w14:paraId="06511178" w14:textId="77777777" w:rsidR="007E74C0" w:rsidRDefault="00EA0911">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Raffaelli, Andrade,  Poppe, Sanchez-Armass, Vidal e Garcia</w:t>
            </w:r>
          </w:p>
        </w:tc>
        <w:tc>
          <w:tcPr>
            <w:tcW w:w="2400" w:type="dxa"/>
            <w:tcBorders>
              <w:top w:val="nil"/>
              <w:left w:val="single" w:sz="7" w:space="0" w:color="FFFFFF"/>
              <w:bottom w:val="nil"/>
              <w:right w:val="nil"/>
            </w:tcBorders>
            <w:shd w:val="clear" w:color="auto" w:fill="BFBFBF"/>
            <w:tcMar>
              <w:top w:w="19" w:type="dxa"/>
              <w:left w:w="19" w:type="dxa"/>
              <w:bottom w:w="19" w:type="dxa"/>
              <w:right w:w="19" w:type="dxa"/>
            </w:tcMar>
            <w:vAlign w:val="center"/>
          </w:tcPr>
          <w:p w14:paraId="6F17E176"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Depressão e gênero</w:t>
            </w:r>
          </w:p>
        </w:tc>
        <w:tc>
          <w:tcPr>
            <w:tcW w:w="1485" w:type="dxa"/>
            <w:tcBorders>
              <w:left w:val="nil"/>
              <w:bottom w:val="nil"/>
              <w:right w:val="nil"/>
            </w:tcBorders>
            <w:shd w:val="clear" w:color="auto" w:fill="BFBFBF"/>
            <w:tcMar>
              <w:top w:w="19" w:type="dxa"/>
              <w:left w:w="19" w:type="dxa"/>
              <w:bottom w:w="19" w:type="dxa"/>
              <w:right w:w="19" w:type="dxa"/>
            </w:tcMar>
            <w:vAlign w:val="center"/>
          </w:tcPr>
          <w:p w14:paraId="023166E7"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r w:rsidR="007E74C0" w14:paraId="6129C3DA" w14:textId="77777777">
        <w:trPr>
          <w:trHeight w:val="239"/>
        </w:trPr>
        <w:tc>
          <w:tcPr>
            <w:tcW w:w="555" w:type="dxa"/>
            <w:tcBorders>
              <w:top w:val="single" w:sz="7" w:space="0" w:color="FFFFFF"/>
              <w:left w:val="single" w:sz="7" w:space="0" w:color="FFFFFF"/>
              <w:bottom w:val="single" w:sz="7" w:space="0" w:color="FFFFFF"/>
              <w:right w:val="single" w:sz="7" w:space="0" w:color="FFFFFF"/>
            </w:tcBorders>
            <w:tcMar>
              <w:top w:w="40" w:type="dxa"/>
              <w:left w:w="40" w:type="dxa"/>
              <w:bottom w:w="40" w:type="dxa"/>
              <w:right w:w="40" w:type="dxa"/>
            </w:tcMar>
            <w:vAlign w:val="center"/>
          </w:tcPr>
          <w:p w14:paraId="4DE4E64B" w14:textId="77777777" w:rsidR="007E74C0" w:rsidRDefault="00EA0911">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2015</w:t>
            </w:r>
          </w:p>
        </w:tc>
        <w:tc>
          <w:tcPr>
            <w:tcW w:w="660" w:type="dxa"/>
            <w:tcBorders>
              <w:top w:val="single" w:sz="7" w:space="0" w:color="FFFFFF"/>
              <w:left w:val="single" w:sz="7" w:space="0" w:color="FFFFFF"/>
              <w:bottom w:val="single" w:sz="7" w:space="0" w:color="FFFFFF"/>
              <w:right w:val="single" w:sz="7" w:space="0" w:color="FFFFFF"/>
            </w:tcBorders>
            <w:tcMar>
              <w:top w:w="40" w:type="dxa"/>
              <w:left w:w="40" w:type="dxa"/>
              <w:bottom w:w="40" w:type="dxa"/>
              <w:right w:w="40" w:type="dxa"/>
            </w:tcMar>
            <w:vAlign w:val="center"/>
          </w:tcPr>
          <w:p w14:paraId="6163B4BE" w14:textId="77777777" w:rsidR="007E74C0" w:rsidRDefault="00EA0911">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49(2)</w:t>
            </w:r>
          </w:p>
        </w:tc>
        <w:tc>
          <w:tcPr>
            <w:tcW w:w="3810" w:type="dxa"/>
            <w:tcBorders>
              <w:top w:val="single" w:sz="7" w:space="0" w:color="FFFFFF"/>
              <w:left w:val="single" w:sz="7" w:space="0" w:color="FFFFFF"/>
              <w:bottom w:val="single" w:sz="7" w:space="0" w:color="FFFFFF"/>
              <w:right w:val="single" w:sz="7" w:space="0" w:color="FFFFFF"/>
            </w:tcBorders>
            <w:tcMar>
              <w:top w:w="40" w:type="dxa"/>
              <w:left w:w="40" w:type="dxa"/>
              <w:bottom w:w="40" w:type="dxa"/>
              <w:right w:w="40" w:type="dxa"/>
            </w:tcMar>
            <w:vAlign w:val="center"/>
          </w:tcPr>
          <w:p w14:paraId="4919D3A2" w14:textId="77777777" w:rsidR="007E74C0" w:rsidRDefault="00EA0911">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Vuyk</w:t>
            </w:r>
          </w:p>
        </w:tc>
        <w:tc>
          <w:tcPr>
            <w:tcW w:w="2400" w:type="dxa"/>
            <w:tcBorders>
              <w:top w:val="nil"/>
              <w:left w:val="single" w:sz="7" w:space="0" w:color="FFFFFF"/>
              <w:bottom w:val="nil"/>
              <w:right w:val="nil"/>
            </w:tcBorders>
            <w:tcMar>
              <w:top w:w="19" w:type="dxa"/>
              <w:left w:w="19" w:type="dxa"/>
              <w:bottom w:w="19" w:type="dxa"/>
              <w:right w:w="19" w:type="dxa"/>
            </w:tcMar>
            <w:vAlign w:val="center"/>
          </w:tcPr>
          <w:p w14:paraId="7ED8DC4B"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Depressão e gênero</w:t>
            </w:r>
          </w:p>
        </w:tc>
        <w:tc>
          <w:tcPr>
            <w:tcW w:w="1485" w:type="dxa"/>
            <w:tcBorders>
              <w:left w:val="nil"/>
              <w:bottom w:val="nil"/>
              <w:right w:val="nil"/>
            </w:tcBorders>
            <w:tcMar>
              <w:top w:w="19" w:type="dxa"/>
              <w:left w:w="19" w:type="dxa"/>
              <w:bottom w:w="19" w:type="dxa"/>
              <w:right w:w="19" w:type="dxa"/>
            </w:tcMar>
            <w:vAlign w:val="center"/>
          </w:tcPr>
          <w:p w14:paraId="60881F68"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Paraguai</w:t>
            </w:r>
          </w:p>
        </w:tc>
      </w:tr>
      <w:tr w:rsidR="007E74C0" w14:paraId="1F492D2C" w14:textId="77777777">
        <w:trPr>
          <w:trHeight w:val="239"/>
        </w:trPr>
        <w:tc>
          <w:tcPr>
            <w:tcW w:w="555" w:type="dxa"/>
            <w:tcBorders>
              <w:top w:val="single" w:sz="7" w:space="0" w:color="FFFFFF"/>
              <w:left w:val="single" w:sz="7" w:space="0" w:color="FFFFFF"/>
              <w:bottom w:val="single" w:sz="12" w:space="0" w:color="000000"/>
              <w:right w:val="single" w:sz="7" w:space="0" w:color="FFFFFF"/>
            </w:tcBorders>
            <w:shd w:val="clear" w:color="auto" w:fill="BFBFBF"/>
            <w:tcMar>
              <w:top w:w="40" w:type="dxa"/>
              <w:left w:w="40" w:type="dxa"/>
              <w:bottom w:w="40" w:type="dxa"/>
              <w:right w:w="40" w:type="dxa"/>
            </w:tcMar>
            <w:vAlign w:val="center"/>
          </w:tcPr>
          <w:p w14:paraId="1A4B71B1" w14:textId="77777777" w:rsidR="007E74C0" w:rsidRDefault="00EA0911">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2017</w:t>
            </w:r>
          </w:p>
        </w:tc>
        <w:tc>
          <w:tcPr>
            <w:tcW w:w="660" w:type="dxa"/>
            <w:tcBorders>
              <w:top w:val="single" w:sz="7" w:space="0" w:color="FFFFFF"/>
              <w:left w:val="single" w:sz="7" w:space="0" w:color="FFFFFF"/>
              <w:bottom w:val="single" w:sz="12" w:space="0" w:color="000000"/>
              <w:right w:val="single" w:sz="7" w:space="0" w:color="FFFFFF"/>
            </w:tcBorders>
            <w:shd w:val="clear" w:color="auto" w:fill="BFBFBF"/>
            <w:tcMar>
              <w:top w:w="40" w:type="dxa"/>
              <w:left w:w="40" w:type="dxa"/>
              <w:bottom w:w="40" w:type="dxa"/>
              <w:right w:w="40" w:type="dxa"/>
            </w:tcMar>
            <w:vAlign w:val="center"/>
          </w:tcPr>
          <w:p w14:paraId="5B555191" w14:textId="77777777" w:rsidR="007E74C0" w:rsidRDefault="00EA0911">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51(3)</w:t>
            </w:r>
          </w:p>
        </w:tc>
        <w:tc>
          <w:tcPr>
            <w:tcW w:w="3810" w:type="dxa"/>
            <w:tcBorders>
              <w:top w:val="single" w:sz="7" w:space="0" w:color="FFFFFF"/>
              <w:left w:val="single" w:sz="7" w:space="0" w:color="FFFFFF"/>
              <w:bottom w:val="single" w:sz="12" w:space="0" w:color="000000"/>
              <w:right w:val="single" w:sz="7" w:space="0" w:color="FFFFFF"/>
            </w:tcBorders>
            <w:shd w:val="clear" w:color="auto" w:fill="BFBFBF"/>
            <w:tcMar>
              <w:top w:w="40" w:type="dxa"/>
              <w:left w:w="40" w:type="dxa"/>
              <w:bottom w:w="40" w:type="dxa"/>
              <w:right w:w="40" w:type="dxa"/>
            </w:tcMar>
            <w:vAlign w:val="center"/>
          </w:tcPr>
          <w:p w14:paraId="7326FF57"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Cruz, Ortiz, Hernández-Martínez  e Sánchez</w:t>
            </w:r>
          </w:p>
        </w:tc>
        <w:tc>
          <w:tcPr>
            <w:tcW w:w="2400" w:type="dxa"/>
            <w:tcBorders>
              <w:top w:val="nil"/>
              <w:left w:val="single" w:sz="7" w:space="0" w:color="FFFFFF"/>
              <w:bottom w:val="single" w:sz="12" w:space="0" w:color="000000"/>
              <w:right w:val="nil"/>
            </w:tcBorders>
            <w:shd w:val="clear" w:color="auto" w:fill="BFBFBF"/>
            <w:tcMar>
              <w:top w:w="19" w:type="dxa"/>
              <w:left w:w="19" w:type="dxa"/>
              <w:bottom w:w="19" w:type="dxa"/>
              <w:right w:w="19" w:type="dxa"/>
            </w:tcMar>
            <w:vAlign w:val="center"/>
          </w:tcPr>
          <w:p w14:paraId="3A1E9A60"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Depressão e gênero</w:t>
            </w:r>
          </w:p>
        </w:tc>
        <w:tc>
          <w:tcPr>
            <w:tcW w:w="1485" w:type="dxa"/>
            <w:tcBorders>
              <w:left w:val="nil"/>
              <w:bottom w:val="single" w:sz="12" w:space="0" w:color="000000"/>
              <w:right w:val="nil"/>
            </w:tcBorders>
            <w:shd w:val="clear" w:color="auto" w:fill="BFBFBF"/>
            <w:tcMar>
              <w:top w:w="19" w:type="dxa"/>
              <w:left w:w="19" w:type="dxa"/>
              <w:bottom w:w="19" w:type="dxa"/>
              <w:right w:w="19" w:type="dxa"/>
            </w:tcMar>
            <w:vAlign w:val="center"/>
          </w:tcPr>
          <w:p w14:paraId="431532C3"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bl>
    <w:p w14:paraId="5556ABA7" w14:textId="77777777" w:rsidR="007E74C0" w:rsidRDefault="007E74C0">
      <w:pPr>
        <w:spacing w:line="240" w:lineRule="auto"/>
        <w:ind w:firstLine="720"/>
        <w:jc w:val="both"/>
        <w:rPr>
          <w:rFonts w:ascii="Times New Roman" w:eastAsia="Times New Roman" w:hAnsi="Times New Roman" w:cs="Times New Roman"/>
          <w:sz w:val="24"/>
          <w:szCs w:val="24"/>
          <w:highlight w:val="white"/>
        </w:rPr>
      </w:pPr>
    </w:p>
    <w:p w14:paraId="7904081F"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Na literatura, temos a hipótese de que a expressão do adoecer em determinados corpos pode resultar de produções sociais, culturais e morais diversas, inclusive dos “fenômenos psicológicos” (</w:t>
      </w:r>
      <w:r>
        <w:rPr>
          <w:rFonts w:ascii="Times New Roman" w:eastAsia="Times New Roman" w:hAnsi="Times New Roman" w:cs="Times New Roman"/>
          <w:sz w:val="24"/>
          <w:szCs w:val="24"/>
        </w:rPr>
        <w:t>Medeiros, Bernardes &amp; Guareschi</w:t>
      </w:r>
      <w:r>
        <w:rPr>
          <w:rFonts w:ascii="Times New Roman" w:eastAsia="Times New Roman" w:hAnsi="Times New Roman" w:cs="Times New Roman"/>
          <w:sz w:val="24"/>
          <w:szCs w:val="24"/>
          <w:highlight w:val="white"/>
        </w:rPr>
        <w:t xml:space="preserve">, 2005, p. 268), que tanto concernem a psicologia e o espaço da saúde em geral. Nesse subtema, os artigos selecionados abordam </w:t>
      </w:r>
      <w:r>
        <w:rPr>
          <w:rFonts w:ascii="Times New Roman" w:eastAsia="Times New Roman" w:hAnsi="Times New Roman" w:cs="Times New Roman"/>
          <w:sz w:val="24"/>
          <w:szCs w:val="24"/>
          <w:highlight w:val="white"/>
        </w:rPr>
        <w:lastRenderedPageBreak/>
        <w:t xml:space="preserve">diversas “doenças mentais”, tema sobre o qual deve-se cuidar para não reincidir, através da medicalização, em novas formas de controle social dos fenômenos humanos existenciais, ou seja; não apenas neurofisiológicos (Campos &amp; Zanello, 2016; Zanello &amp; Bukowitz, 2011). </w:t>
      </w:r>
    </w:p>
    <w:p w14:paraId="2AB88107"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Nesse sentido, surgem, na amostra, dois artigos sobre abuso sexual infantil no Brasil. O primeiro afirma que esse abuso impacta no desenvolvimento infantil e acarreta sintomas emocionais e comportamentais colaterais em meninas,</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tais como o Transtorno de Estresse Pós-Traumático (IJP, 2008). O segundo, por uma revisão de literatura, conclui que esse abuso seria um fator de risco para transtornos alimentares, notando que a correlação destes com o gênero seria multifatorial, envolvendo questões estéticas e sociais (IJP, 2009).</w:t>
      </w:r>
    </w:p>
    <w:p w14:paraId="033AB573" w14:textId="77777777" w:rsidR="007E74C0" w:rsidRDefault="00EA0911">
      <w:pPr>
        <w:spacing w:line="240" w:lineRule="auto"/>
        <w:ind w:firstLine="700"/>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Posto que os achados desses artigos reiteram a maior ocorrência da depressão entre mulheres, destacamos que esta diferente forma de adoecer possui vínculo com as relações de poder instituídas nos corpos, de modo que  “. . . seus comportamentos e sentimentos deveriam ser compreendidos mais como respostas plausíveis, quando contextualizados, do que como sintomas psiquiátricos” (Campos &amp; Zanello, 2016, p. 113). O saber psiquiátrico acaba, por vezes, a considerar o sintoma e o diagnóstico das experiências vividas e sentidas como se fossem inerentes, neste caso, ao ser mulher, e não uma produção normativa nos seus corpos à margem da representatividade social e econômica (Campos &amp; Zanello, 2016; Zanello &amp; Bukowitz, 2011)</w:t>
      </w:r>
    </w:p>
    <w:p w14:paraId="7E4FB053"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Em seguida, emerge outra pesquisa sobre transtornos alimentares; desta vez, com foco nos corpos masculinos em Porto Rico (IJP, 2010). Considerando a masculinidade hegemônica resultante de relações de poder que servem ao patriarcado, esse estudo vê o sofrimento desses corpos refletido no aumento desses transtornos, sobretudo entre homossexuais, para os quais as cobranças sociais por certo tipo físico seriam um fator adicional de risco.</w:t>
      </w:r>
    </w:p>
    <w:p w14:paraId="522C5F28"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Novamente sobre abusos sexuais, um estudo realizado no México, embora não tenha encontrado correlação estatisticamente significativa entre esses abusos e as fantasias sexuais, indica que seus conteúdos relativos à promiscuidade, sadomasoquismo e homossexualidade seriam maiores em vítimas femininas de abuso sexual (IJP, 2010). Lembramos, entretanto, que esses dados carecem de maior contextualização antes de serem afirmados como indícios de propensão a doenças mentais, que compõem um campo</w:t>
      </w:r>
      <w:r>
        <w:rPr>
          <w:rFonts w:ascii="Times New Roman" w:eastAsia="Times New Roman" w:hAnsi="Times New Roman" w:cs="Times New Roman"/>
          <w:sz w:val="24"/>
          <w:szCs w:val="24"/>
          <w:highlight w:val="white"/>
        </w:rPr>
        <w:t xml:space="preserve"> produzido e não descoberto na saúde, com significativo caráter de controle social e moral (Foucault, 1982).</w:t>
      </w:r>
    </w:p>
    <w:p w14:paraId="0B4B6DCE"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Quanto à depressão, artigo sobre estudantes superdotados no Paraguai não identificou distinção na percepção de perfeccionismo, que seria alto para ambos os gêneros, mas sim no escore de depressão, maior entre meninas (IJP, 2015). Com público mais amplo, dois estudos feitos no México coadunam com achados segundo os quais mulheres teriam duas vezes mais quadro depressivo do que homens, identificando diferentes preditores para essas ocorrências (bebidas alcoólicas para homens; pensamento ruminativo e o tabagismo para mulheres) e fazendo referências a fatores sociais e culturais e a necessidade de se compreender o processo de socialização por gênero nas análises (IJP, 2013; IJP, 2017). </w:t>
      </w:r>
    </w:p>
    <w:p w14:paraId="67C03D5E" w14:textId="77777777" w:rsidR="007E74C0" w:rsidRDefault="00EA0911">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b/>
        <w:t>As diferenças com que mulheres e homens</w:t>
      </w:r>
      <w:r>
        <w:rPr>
          <w:rFonts w:ascii="Times New Roman" w:eastAsia="Times New Roman" w:hAnsi="Times New Roman" w:cs="Times New Roman"/>
          <w:sz w:val="24"/>
          <w:szCs w:val="24"/>
        </w:rPr>
        <w:t xml:space="preserve"> experienciam a existência subjetiva e sofrimentos são, certo modo, investigadas na Revista. No geral, contudo, essas diferenças costumam ser </w:t>
      </w:r>
      <w:r>
        <w:rPr>
          <w:rFonts w:ascii="Times New Roman" w:eastAsia="Times New Roman" w:hAnsi="Times New Roman" w:cs="Times New Roman"/>
          <w:sz w:val="24"/>
          <w:szCs w:val="24"/>
          <w:highlight w:val="white"/>
        </w:rPr>
        <w:t>invisibilizadas no processo diagnóstico</w:t>
      </w:r>
      <w:r>
        <w:rPr>
          <w:rFonts w:ascii="Times New Roman" w:eastAsia="Times New Roman" w:hAnsi="Times New Roman" w:cs="Times New Roman"/>
          <w:sz w:val="24"/>
          <w:szCs w:val="24"/>
        </w:rPr>
        <w:t xml:space="preserve"> e na prática clínica cotidiana (Campos &amp; Zanello, 2016; </w:t>
      </w:r>
      <w:r>
        <w:rPr>
          <w:rFonts w:ascii="Times New Roman" w:eastAsia="Times New Roman" w:hAnsi="Times New Roman" w:cs="Times New Roman"/>
          <w:sz w:val="24"/>
          <w:szCs w:val="24"/>
          <w:highlight w:val="white"/>
        </w:rPr>
        <w:t xml:space="preserve">Souza, 2012; </w:t>
      </w:r>
      <w:r>
        <w:rPr>
          <w:rFonts w:ascii="Times New Roman" w:eastAsia="Times New Roman" w:hAnsi="Times New Roman" w:cs="Times New Roman"/>
          <w:sz w:val="24"/>
          <w:szCs w:val="24"/>
        </w:rPr>
        <w:t xml:space="preserve">Zanello &amp; Bukowitz, 2011). </w:t>
      </w:r>
      <w:r>
        <w:rPr>
          <w:rFonts w:ascii="Times New Roman" w:eastAsia="Times New Roman" w:hAnsi="Times New Roman" w:cs="Times New Roman"/>
          <w:sz w:val="24"/>
          <w:szCs w:val="24"/>
          <w:highlight w:val="white"/>
        </w:rPr>
        <w:t>Além das marcas da invisibilidade histórica e marginal dos corpos femininos, denunciadas por movimentos feministas e LGBTT+, são corpos historicamente sujeitos a violências, assim como corpos não-normativos, sendo esta outra faceta de controle e manutenção do poder masculino em sociedades patriarcais e heteronormativas (Gomes, Murta, Facchini &amp; Meneghel, 2018).</w:t>
      </w:r>
    </w:p>
    <w:p w14:paraId="54FF2E91"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falta de uma compreensão mais ampla da saúde pode colaborar para a construção de um normal e um desvio/patológico na saúde como padrões que, todavia, são engendrados por aspectos sociais e culturais e que, por conseguinte, podem se alterar no tempo (Souza, 2012; Zanello &amp; Bukowitz, 2011). Pensar o sofrimento psíquico nos impele a extrapolar o viés do </w:t>
      </w:r>
      <w:r>
        <w:rPr>
          <w:rFonts w:ascii="Times New Roman" w:eastAsia="Times New Roman" w:hAnsi="Times New Roman" w:cs="Times New Roman"/>
          <w:sz w:val="24"/>
          <w:szCs w:val="24"/>
          <w:highlight w:val="white"/>
        </w:rPr>
        <w:lastRenderedPageBreak/>
        <w:t>discurso biomédico e exige reflexões com foco nos fatores sócio-político-econômico-culturais que nos constituem, como as relações de gênero, como se verá no próximo subtema.</w:t>
      </w:r>
    </w:p>
    <w:p w14:paraId="5CAA4E56" w14:textId="77777777" w:rsidR="007E74C0" w:rsidRDefault="007E74C0">
      <w:pPr>
        <w:spacing w:line="240" w:lineRule="auto"/>
        <w:ind w:firstLine="720"/>
        <w:jc w:val="both"/>
        <w:rPr>
          <w:rFonts w:ascii="Times New Roman" w:eastAsia="Times New Roman" w:hAnsi="Times New Roman" w:cs="Times New Roman"/>
          <w:sz w:val="24"/>
          <w:szCs w:val="24"/>
          <w:highlight w:val="white"/>
        </w:rPr>
      </w:pPr>
    </w:p>
    <w:p w14:paraId="0C8C1508" w14:textId="77777777" w:rsidR="007E74C0" w:rsidRDefault="00EA0911">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highlight w:val="white"/>
        </w:rPr>
        <w:t xml:space="preserve">4.2.2 Saúde sexual e (não) reprodutiva: produção de saberes e subjetividades. </w:t>
      </w:r>
      <w:r>
        <w:rPr>
          <w:rFonts w:ascii="Times New Roman" w:eastAsia="Times New Roman" w:hAnsi="Times New Roman" w:cs="Times New Roman"/>
          <w:sz w:val="24"/>
          <w:szCs w:val="24"/>
          <w:highlight w:val="white"/>
        </w:rPr>
        <w:t>A partir da epidemia de HIV/AIDS nos anos 1980, houve um salto na produção em Saúde relativa a esse vírus em específico, como se infere, por exemplo, da Tabela 5.</w:t>
      </w:r>
    </w:p>
    <w:p w14:paraId="750F9AEF" w14:textId="77777777" w:rsidR="007E74C0" w:rsidRDefault="007E74C0">
      <w:pPr>
        <w:spacing w:line="240" w:lineRule="auto"/>
        <w:jc w:val="both"/>
        <w:rPr>
          <w:rFonts w:ascii="Times New Roman" w:eastAsia="Times New Roman" w:hAnsi="Times New Roman" w:cs="Times New Roman"/>
          <w:color w:val="1C4587"/>
          <w:sz w:val="24"/>
          <w:szCs w:val="24"/>
          <w:highlight w:val="white"/>
        </w:rPr>
      </w:pPr>
    </w:p>
    <w:p w14:paraId="72B7CA84" w14:textId="77777777" w:rsidR="007E74C0" w:rsidRDefault="00EA0911">
      <w:pPr>
        <w:jc w:val="both"/>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sz w:val="24"/>
          <w:szCs w:val="24"/>
        </w:rPr>
        <w:t>TABELA 5. Quadro de artigos - Subtema 2 (Tema 2)</w:t>
      </w:r>
    </w:p>
    <w:tbl>
      <w:tblPr>
        <w:tblStyle w:val="a4"/>
        <w:tblW w:w="9135" w:type="dxa"/>
        <w:tblInd w:w="-100" w:type="dxa"/>
        <w:tblLayout w:type="fixed"/>
        <w:tblLook w:val="0600" w:firstRow="0" w:lastRow="0" w:firstColumn="0" w:lastColumn="0" w:noHBand="1" w:noVBand="1"/>
      </w:tblPr>
      <w:tblGrid>
        <w:gridCol w:w="555"/>
        <w:gridCol w:w="660"/>
        <w:gridCol w:w="3135"/>
        <w:gridCol w:w="3225"/>
        <w:gridCol w:w="1560"/>
      </w:tblGrid>
      <w:tr w:rsidR="007E74C0" w14:paraId="1453D4F8" w14:textId="77777777">
        <w:trPr>
          <w:trHeight w:val="460"/>
        </w:trPr>
        <w:tc>
          <w:tcPr>
            <w:tcW w:w="1215" w:type="dxa"/>
            <w:gridSpan w:val="2"/>
            <w:tcBorders>
              <w:top w:val="single" w:sz="12" w:space="0" w:color="000000"/>
              <w:bottom w:val="single" w:sz="6" w:space="0" w:color="000000"/>
            </w:tcBorders>
          </w:tcPr>
          <w:p w14:paraId="0FE1285C"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Revista</w:t>
            </w:r>
          </w:p>
        </w:tc>
        <w:tc>
          <w:tcPr>
            <w:tcW w:w="3135" w:type="dxa"/>
            <w:vMerge w:val="restart"/>
            <w:tcBorders>
              <w:top w:val="single" w:sz="12" w:space="0" w:color="000000"/>
              <w:bottom w:val="nil"/>
            </w:tcBorders>
            <w:vAlign w:val="center"/>
          </w:tcPr>
          <w:p w14:paraId="4BD61562"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Pessoa(s)</w:t>
            </w:r>
          </w:p>
          <w:p w14:paraId="6EFF20C6"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autora(s)</w:t>
            </w:r>
          </w:p>
        </w:tc>
        <w:tc>
          <w:tcPr>
            <w:tcW w:w="3225" w:type="dxa"/>
            <w:vMerge w:val="restart"/>
            <w:tcBorders>
              <w:top w:val="single" w:sz="12" w:space="0" w:color="000000"/>
              <w:left w:val="nil"/>
              <w:bottom w:val="nil"/>
            </w:tcBorders>
            <w:shd w:val="clear" w:color="auto" w:fill="auto"/>
            <w:tcMar>
              <w:top w:w="100" w:type="dxa"/>
              <w:left w:w="100" w:type="dxa"/>
              <w:bottom w:w="100" w:type="dxa"/>
              <w:right w:w="100" w:type="dxa"/>
            </w:tcMar>
            <w:vAlign w:val="center"/>
          </w:tcPr>
          <w:p w14:paraId="4C993368"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Assunto(s)</w:t>
            </w:r>
          </w:p>
          <w:p w14:paraId="2C55F0C7"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chave</w:t>
            </w:r>
          </w:p>
        </w:tc>
        <w:tc>
          <w:tcPr>
            <w:tcW w:w="1560" w:type="dxa"/>
            <w:vMerge w:val="restart"/>
            <w:tcBorders>
              <w:top w:val="single" w:sz="12" w:space="0" w:color="000000"/>
              <w:left w:val="nil"/>
              <w:bottom w:val="nil"/>
            </w:tcBorders>
            <w:shd w:val="clear" w:color="auto" w:fill="auto"/>
            <w:tcMar>
              <w:top w:w="100" w:type="dxa"/>
              <w:left w:w="100" w:type="dxa"/>
              <w:bottom w:w="100" w:type="dxa"/>
              <w:right w:w="100" w:type="dxa"/>
            </w:tcMar>
            <w:vAlign w:val="center"/>
          </w:tcPr>
          <w:p w14:paraId="7802CD85"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País(es)</w:t>
            </w:r>
          </w:p>
          <w:p w14:paraId="1E934F3F"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participante(s)</w:t>
            </w:r>
          </w:p>
        </w:tc>
      </w:tr>
      <w:tr w:rsidR="007E74C0" w14:paraId="6703EBA9" w14:textId="77777777">
        <w:trPr>
          <w:trHeight w:val="460"/>
        </w:trPr>
        <w:tc>
          <w:tcPr>
            <w:tcW w:w="555" w:type="dxa"/>
            <w:tcBorders>
              <w:top w:val="single" w:sz="6" w:space="0" w:color="000000"/>
              <w:bottom w:val="single" w:sz="12" w:space="0" w:color="000000"/>
              <w:right w:val="nil"/>
            </w:tcBorders>
            <w:shd w:val="clear" w:color="auto" w:fill="auto"/>
            <w:tcMar>
              <w:top w:w="100" w:type="dxa"/>
              <w:left w:w="100" w:type="dxa"/>
              <w:bottom w:w="100" w:type="dxa"/>
              <w:right w:w="100" w:type="dxa"/>
            </w:tcMar>
          </w:tcPr>
          <w:p w14:paraId="6F1DE098" w14:textId="77777777" w:rsidR="007E74C0" w:rsidRDefault="00EA0911">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Ano</w:t>
            </w:r>
          </w:p>
        </w:tc>
        <w:tc>
          <w:tcPr>
            <w:tcW w:w="660" w:type="dxa"/>
            <w:tcBorders>
              <w:top w:val="single" w:sz="6" w:space="0" w:color="000000"/>
              <w:left w:val="nil"/>
              <w:bottom w:val="single" w:sz="12" w:space="0" w:color="000000"/>
              <w:right w:val="nil"/>
            </w:tcBorders>
            <w:shd w:val="clear" w:color="auto" w:fill="auto"/>
            <w:tcMar>
              <w:top w:w="100" w:type="dxa"/>
              <w:left w:w="100" w:type="dxa"/>
              <w:bottom w:w="100" w:type="dxa"/>
              <w:right w:w="100" w:type="dxa"/>
            </w:tcMar>
          </w:tcPr>
          <w:p w14:paraId="683E1164"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 (n)</w:t>
            </w:r>
          </w:p>
        </w:tc>
        <w:tc>
          <w:tcPr>
            <w:tcW w:w="3135" w:type="dxa"/>
            <w:vMerge/>
            <w:tcBorders>
              <w:top w:val="nil"/>
              <w:bottom w:val="single" w:sz="12" w:space="0" w:color="000000"/>
            </w:tcBorders>
            <w:vAlign w:val="center"/>
          </w:tcPr>
          <w:p w14:paraId="302E1201" w14:textId="77777777" w:rsidR="007E74C0" w:rsidRDefault="007E74C0">
            <w:pPr>
              <w:widowControl w:val="0"/>
              <w:rPr>
                <w:rFonts w:ascii="Times New Roman" w:eastAsia="Times New Roman" w:hAnsi="Times New Roman" w:cs="Times New Roman"/>
                <w:sz w:val="20"/>
                <w:szCs w:val="20"/>
              </w:rPr>
            </w:pPr>
          </w:p>
        </w:tc>
        <w:tc>
          <w:tcPr>
            <w:tcW w:w="3225" w:type="dxa"/>
            <w:vMerge/>
            <w:tcBorders>
              <w:top w:val="nil"/>
              <w:left w:val="nil"/>
              <w:bottom w:val="single" w:sz="12" w:space="0" w:color="000000"/>
            </w:tcBorders>
            <w:shd w:val="clear" w:color="auto" w:fill="auto"/>
            <w:tcMar>
              <w:top w:w="100" w:type="dxa"/>
              <w:left w:w="100" w:type="dxa"/>
              <w:bottom w:w="100" w:type="dxa"/>
              <w:right w:w="100" w:type="dxa"/>
            </w:tcMar>
            <w:vAlign w:val="center"/>
          </w:tcPr>
          <w:p w14:paraId="727580AF" w14:textId="77777777" w:rsidR="007E74C0" w:rsidRDefault="007E74C0">
            <w:pPr>
              <w:widowControl w:val="0"/>
              <w:rPr>
                <w:rFonts w:ascii="Times New Roman" w:eastAsia="Times New Roman" w:hAnsi="Times New Roman" w:cs="Times New Roman"/>
                <w:sz w:val="20"/>
                <w:szCs w:val="20"/>
              </w:rPr>
            </w:pPr>
          </w:p>
        </w:tc>
        <w:tc>
          <w:tcPr>
            <w:tcW w:w="1560" w:type="dxa"/>
            <w:vMerge/>
            <w:tcBorders>
              <w:top w:val="nil"/>
              <w:left w:val="nil"/>
              <w:bottom w:val="single" w:sz="12" w:space="0" w:color="000000"/>
            </w:tcBorders>
            <w:shd w:val="clear" w:color="auto" w:fill="auto"/>
            <w:tcMar>
              <w:top w:w="100" w:type="dxa"/>
              <w:left w:w="100" w:type="dxa"/>
              <w:bottom w:w="100" w:type="dxa"/>
              <w:right w:w="100" w:type="dxa"/>
            </w:tcMar>
            <w:vAlign w:val="center"/>
          </w:tcPr>
          <w:p w14:paraId="20D6AEFD" w14:textId="77777777" w:rsidR="007E74C0" w:rsidRDefault="007E74C0">
            <w:pPr>
              <w:widowControl w:val="0"/>
              <w:rPr>
                <w:rFonts w:ascii="Times New Roman" w:eastAsia="Times New Roman" w:hAnsi="Times New Roman" w:cs="Times New Roman"/>
                <w:sz w:val="20"/>
                <w:szCs w:val="20"/>
              </w:rPr>
            </w:pPr>
          </w:p>
        </w:tc>
      </w:tr>
      <w:tr w:rsidR="007E74C0" w14:paraId="53A54EF5" w14:textId="77777777">
        <w:trPr>
          <w:trHeight w:val="239"/>
        </w:trPr>
        <w:tc>
          <w:tcPr>
            <w:tcW w:w="555" w:type="dxa"/>
            <w:tcBorders>
              <w:top w:val="single" w:sz="12" w:space="0" w:color="000000"/>
              <w:left w:val="nil"/>
              <w:bottom w:val="nil"/>
              <w:right w:val="nil"/>
            </w:tcBorders>
            <w:tcMar>
              <w:top w:w="40" w:type="dxa"/>
              <w:left w:w="40" w:type="dxa"/>
              <w:bottom w:w="40" w:type="dxa"/>
              <w:right w:w="40" w:type="dxa"/>
            </w:tcMar>
            <w:vAlign w:val="center"/>
          </w:tcPr>
          <w:p w14:paraId="1C74A4BD"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1990</w:t>
            </w:r>
          </w:p>
        </w:tc>
        <w:tc>
          <w:tcPr>
            <w:tcW w:w="660" w:type="dxa"/>
            <w:tcBorders>
              <w:top w:val="single" w:sz="12" w:space="0" w:color="000000"/>
              <w:left w:val="nil"/>
              <w:bottom w:val="nil"/>
              <w:right w:val="nil"/>
            </w:tcBorders>
            <w:tcMar>
              <w:top w:w="40" w:type="dxa"/>
              <w:left w:w="40" w:type="dxa"/>
              <w:bottom w:w="40" w:type="dxa"/>
              <w:right w:w="40" w:type="dxa"/>
            </w:tcMar>
            <w:vAlign w:val="center"/>
          </w:tcPr>
          <w:p w14:paraId="41E0A12E"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24(1)</w:t>
            </w:r>
          </w:p>
        </w:tc>
        <w:tc>
          <w:tcPr>
            <w:tcW w:w="3135" w:type="dxa"/>
            <w:tcBorders>
              <w:top w:val="single" w:sz="12" w:space="0" w:color="000000"/>
              <w:left w:val="nil"/>
              <w:bottom w:val="nil"/>
              <w:right w:val="nil"/>
            </w:tcBorders>
            <w:tcMar>
              <w:top w:w="40" w:type="dxa"/>
              <w:left w:w="40" w:type="dxa"/>
              <w:bottom w:w="40" w:type="dxa"/>
              <w:right w:w="40" w:type="dxa"/>
            </w:tcMar>
            <w:vAlign w:val="center"/>
          </w:tcPr>
          <w:p w14:paraId="6194363A"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Fishbein</w:t>
            </w:r>
          </w:p>
        </w:tc>
        <w:tc>
          <w:tcPr>
            <w:tcW w:w="3225" w:type="dxa"/>
            <w:tcBorders>
              <w:top w:val="single" w:sz="12" w:space="0" w:color="000000"/>
              <w:left w:val="nil"/>
              <w:bottom w:val="nil"/>
              <w:right w:val="nil"/>
            </w:tcBorders>
            <w:tcMar>
              <w:top w:w="19" w:type="dxa"/>
              <w:left w:w="19" w:type="dxa"/>
              <w:bottom w:w="19" w:type="dxa"/>
              <w:right w:w="19" w:type="dxa"/>
            </w:tcMar>
            <w:vAlign w:val="center"/>
          </w:tcPr>
          <w:p w14:paraId="0DF14B14"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AIDS (teoria comportamental)</w:t>
            </w:r>
          </w:p>
        </w:tc>
        <w:tc>
          <w:tcPr>
            <w:tcW w:w="1560" w:type="dxa"/>
            <w:tcBorders>
              <w:top w:val="single" w:sz="12" w:space="0" w:color="000000"/>
              <w:left w:val="nil"/>
              <w:bottom w:val="nil"/>
              <w:right w:val="nil"/>
            </w:tcBorders>
            <w:tcMar>
              <w:top w:w="19" w:type="dxa"/>
              <w:left w:w="19" w:type="dxa"/>
              <w:bottom w:w="19" w:type="dxa"/>
              <w:right w:w="19" w:type="dxa"/>
            </w:tcMar>
            <w:vAlign w:val="center"/>
          </w:tcPr>
          <w:p w14:paraId="7CDA0957"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México, EUA</w:t>
            </w:r>
          </w:p>
        </w:tc>
      </w:tr>
      <w:tr w:rsidR="007E74C0" w14:paraId="4B1AADAD" w14:textId="77777777">
        <w:trPr>
          <w:trHeight w:val="239"/>
        </w:trPr>
        <w:tc>
          <w:tcPr>
            <w:tcW w:w="555" w:type="dxa"/>
            <w:tcBorders>
              <w:top w:val="nil"/>
              <w:left w:val="nil"/>
              <w:bottom w:val="nil"/>
              <w:right w:val="nil"/>
            </w:tcBorders>
            <w:shd w:val="clear" w:color="auto" w:fill="BFBFBF"/>
            <w:tcMar>
              <w:top w:w="40" w:type="dxa"/>
              <w:left w:w="40" w:type="dxa"/>
              <w:bottom w:w="40" w:type="dxa"/>
              <w:right w:w="40" w:type="dxa"/>
            </w:tcMar>
            <w:vAlign w:val="center"/>
          </w:tcPr>
          <w:p w14:paraId="07D2ECB1"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660" w:type="dxa"/>
            <w:tcBorders>
              <w:top w:val="nil"/>
              <w:left w:val="nil"/>
              <w:bottom w:val="nil"/>
              <w:right w:val="nil"/>
            </w:tcBorders>
            <w:shd w:val="clear" w:color="auto" w:fill="BFBFBF"/>
            <w:tcMar>
              <w:top w:w="40" w:type="dxa"/>
              <w:left w:w="40" w:type="dxa"/>
              <w:bottom w:w="40" w:type="dxa"/>
              <w:right w:w="40" w:type="dxa"/>
            </w:tcMar>
            <w:vAlign w:val="center"/>
          </w:tcPr>
          <w:p w14:paraId="41CEF40E"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29(2)</w:t>
            </w:r>
          </w:p>
        </w:tc>
        <w:tc>
          <w:tcPr>
            <w:tcW w:w="3135" w:type="dxa"/>
            <w:tcBorders>
              <w:top w:val="nil"/>
              <w:left w:val="nil"/>
              <w:bottom w:val="nil"/>
              <w:right w:val="nil"/>
            </w:tcBorders>
            <w:shd w:val="clear" w:color="auto" w:fill="BFBFBF"/>
            <w:tcMar>
              <w:top w:w="40" w:type="dxa"/>
              <w:left w:w="40" w:type="dxa"/>
              <w:bottom w:w="40" w:type="dxa"/>
              <w:right w:w="40" w:type="dxa"/>
            </w:tcMar>
            <w:vAlign w:val="center"/>
          </w:tcPr>
          <w:p w14:paraId="3B7587F1"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Diaz-Loving e Martinez</w:t>
            </w:r>
          </w:p>
        </w:tc>
        <w:tc>
          <w:tcPr>
            <w:tcW w:w="3225" w:type="dxa"/>
            <w:tcBorders>
              <w:top w:val="nil"/>
              <w:left w:val="nil"/>
              <w:right w:val="nil"/>
            </w:tcBorders>
            <w:shd w:val="clear" w:color="auto" w:fill="BFBFBF"/>
            <w:tcMar>
              <w:top w:w="19" w:type="dxa"/>
              <w:left w:w="19" w:type="dxa"/>
              <w:bottom w:w="19" w:type="dxa"/>
              <w:right w:w="19" w:type="dxa"/>
            </w:tcMar>
            <w:vAlign w:val="center"/>
          </w:tcPr>
          <w:p w14:paraId="26ECEDA3"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AIDS (grupos de risco)</w:t>
            </w:r>
          </w:p>
        </w:tc>
        <w:tc>
          <w:tcPr>
            <w:tcW w:w="1560" w:type="dxa"/>
            <w:tcBorders>
              <w:top w:val="nil"/>
              <w:left w:val="nil"/>
              <w:right w:val="nil"/>
            </w:tcBorders>
            <w:shd w:val="clear" w:color="auto" w:fill="BFBFBF"/>
            <w:tcMar>
              <w:top w:w="19" w:type="dxa"/>
              <w:left w:w="19" w:type="dxa"/>
              <w:bottom w:w="19" w:type="dxa"/>
              <w:right w:w="19" w:type="dxa"/>
            </w:tcMar>
            <w:vAlign w:val="center"/>
          </w:tcPr>
          <w:p w14:paraId="6A654BD2"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r w:rsidR="007E74C0" w14:paraId="65A36934" w14:textId="77777777">
        <w:trPr>
          <w:trHeight w:val="239"/>
        </w:trPr>
        <w:tc>
          <w:tcPr>
            <w:tcW w:w="555" w:type="dxa"/>
            <w:tcBorders>
              <w:top w:val="nil"/>
              <w:left w:val="nil"/>
              <w:bottom w:val="nil"/>
              <w:right w:val="nil"/>
            </w:tcBorders>
            <w:tcMar>
              <w:top w:w="40" w:type="dxa"/>
              <w:left w:w="40" w:type="dxa"/>
              <w:bottom w:w="40" w:type="dxa"/>
              <w:right w:w="40" w:type="dxa"/>
            </w:tcMar>
            <w:vAlign w:val="center"/>
          </w:tcPr>
          <w:p w14:paraId="59859F63"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1997</w:t>
            </w:r>
          </w:p>
        </w:tc>
        <w:tc>
          <w:tcPr>
            <w:tcW w:w="660" w:type="dxa"/>
            <w:tcBorders>
              <w:top w:val="nil"/>
              <w:left w:val="nil"/>
              <w:bottom w:val="nil"/>
              <w:right w:val="nil"/>
            </w:tcBorders>
            <w:tcMar>
              <w:top w:w="40" w:type="dxa"/>
              <w:left w:w="40" w:type="dxa"/>
              <w:bottom w:w="40" w:type="dxa"/>
              <w:right w:w="40" w:type="dxa"/>
            </w:tcMar>
            <w:vAlign w:val="center"/>
          </w:tcPr>
          <w:p w14:paraId="76407520"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31(1)</w:t>
            </w:r>
          </w:p>
        </w:tc>
        <w:tc>
          <w:tcPr>
            <w:tcW w:w="3135" w:type="dxa"/>
            <w:tcBorders>
              <w:top w:val="nil"/>
              <w:left w:val="nil"/>
              <w:bottom w:val="nil"/>
              <w:right w:val="nil"/>
            </w:tcBorders>
            <w:tcMar>
              <w:top w:w="40" w:type="dxa"/>
              <w:left w:w="40" w:type="dxa"/>
              <w:bottom w:w="40" w:type="dxa"/>
              <w:right w:w="40" w:type="dxa"/>
            </w:tcMar>
            <w:vAlign w:val="center"/>
          </w:tcPr>
          <w:p w14:paraId="21DA3680"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Organista, Organista, Alba G. e Morán</w:t>
            </w:r>
          </w:p>
        </w:tc>
        <w:tc>
          <w:tcPr>
            <w:tcW w:w="3225" w:type="dxa"/>
            <w:tcBorders>
              <w:top w:val="nil"/>
              <w:left w:val="nil"/>
              <w:right w:val="nil"/>
            </w:tcBorders>
            <w:tcMar>
              <w:top w:w="19" w:type="dxa"/>
              <w:left w:w="19" w:type="dxa"/>
              <w:bottom w:w="19" w:type="dxa"/>
              <w:right w:w="19" w:type="dxa"/>
            </w:tcMar>
            <w:vAlign w:val="center"/>
          </w:tcPr>
          <w:p w14:paraId="4B69994D"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AIDS (prevenção)</w:t>
            </w:r>
          </w:p>
        </w:tc>
        <w:tc>
          <w:tcPr>
            <w:tcW w:w="1560" w:type="dxa"/>
            <w:tcBorders>
              <w:top w:val="nil"/>
              <w:left w:val="nil"/>
              <w:right w:val="nil"/>
            </w:tcBorders>
            <w:tcMar>
              <w:top w:w="19" w:type="dxa"/>
              <w:left w:w="19" w:type="dxa"/>
              <w:bottom w:w="19" w:type="dxa"/>
              <w:right w:w="19" w:type="dxa"/>
            </w:tcMar>
            <w:vAlign w:val="center"/>
          </w:tcPr>
          <w:p w14:paraId="2D2AFFC8"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México, EUA</w:t>
            </w:r>
          </w:p>
        </w:tc>
      </w:tr>
      <w:tr w:rsidR="007E74C0" w14:paraId="4DF09877" w14:textId="77777777">
        <w:trPr>
          <w:trHeight w:val="239"/>
        </w:trPr>
        <w:tc>
          <w:tcPr>
            <w:tcW w:w="555" w:type="dxa"/>
            <w:tcBorders>
              <w:top w:val="nil"/>
              <w:left w:val="nil"/>
              <w:bottom w:val="nil"/>
              <w:right w:val="nil"/>
            </w:tcBorders>
            <w:shd w:val="clear" w:color="auto" w:fill="BFBFBF"/>
            <w:tcMar>
              <w:top w:w="40" w:type="dxa"/>
              <w:left w:w="40" w:type="dxa"/>
              <w:bottom w:w="40" w:type="dxa"/>
              <w:right w:w="40" w:type="dxa"/>
            </w:tcMar>
            <w:vAlign w:val="center"/>
          </w:tcPr>
          <w:p w14:paraId="4907F005"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2000</w:t>
            </w:r>
          </w:p>
        </w:tc>
        <w:tc>
          <w:tcPr>
            <w:tcW w:w="660" w:type="dxa"/>
            <w:tcBorders>
              <w:top w:val="nil"/>
              <w:left w:val="nil"/>
              <w:bottom w:val="nil"/>
              <w:right w:val="nil"/>
            </w:tcBorders>
            <w:shd w:val="clear" w:color="auto" w:fill="BFBFBF"/>
            <w:tcMar>
              <w:top w:w="40" w:type="dxa"/>
              <w:left w:w="40" w:type="dxa"/>
              <w:bottom w:w="40" w:type="dxa"/>
              <w:right w:w="40" w:type="dxa"/>
            </w:tcMar>
            <w:vAlign w:val="center"/>
          </w:tcPr>
          <w:p w14:paraId="508FBA85"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34(1)</w:t>
            </w:r>
          </w:p>
        </w:tc>
        <w:tc>
          <w:tcPr>
            <w:tcW w:w="3135" w:type="dxa"/>
            <w:tcBorders>
              <w:top w:val="nil"/>
              <w:left w:val="nil"/>
              <w:bottom w:val="nil"/>
              <w:right w:val="nil"/>
            </w:tcBorders>
            <w:shd w:val="clear" w:color="auto" w:fill="BFBFBF"/>
            <w:tcMar>
              <w:top w:w="40" w:type="dxa"/>
              <w:left w:w="40" w:type="dxa"/>
              <w:bottom w:w="40" w:type="dxa"/>
              <w:right w:w="40" w:type="dxa"/>
            </w:tcMar>
            <w:vAlign w:val="center"/>
          </w:tcPr>
          <w:p w14:paraId="34F35DD4"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Toro-Alfonso</w:t>
            </w:r>
          </w:p>
        </w:tc>
        <w:tc>
          <w:tcPr>
            <w:tcW w:w="3225" w:type="dxa"/>
            <w:tcBorders>
              <w:top w:val="nil"/>
              <w:left w:val="nil"/>
              <w:right w:val="nil"/>
            </w:tcBorders>
            <w:shd w:val="clear" w:color="auto" w:fill="BFBFBF"/>
            <w:tcMar>
              <w:top w:w="19" w:type="dxa"/>
              <w:left w:w="19" w:type="dxa"/>
              <w:bottom w:w="19" w:type="dxa"/>
              <w:right w:w="19" w:type="dxa"/>
            </w:tcMar>
            <w:vAlign w:val="center"/>
          </w:tcPr>
          <w:p w14:paraId="77635BDD"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AIDS (prevenção, homossexualidade)</w:t>
            </w:r>
          </w:p>
        </w:tc>
        <w:tc>
          <w:tcPr>
            <w:tcW w:w="1560" w:type="dxa"/>
            <w:tcBorders>
              <w:top w:val="nil"/>
              <w:left w:val="nil"/>
              <w:right w:val="nil"/>
            </w:tcBorders>
            <w:shd w:val="clear" w:color="auto" w:fill="BFBFBF"/>
            <w:tcMar>
              <w:top w:w="19" w:type="dxa"/>
              <w:left w:w="19" w:type="dxa"/>
              <w:bottom w:w="19" w:type="dxa"/>
              <w:right w:w="19" w:type="dxa"/>
            </w:tcMar>
            <w:vAlign w:val="center"/>
          </w:tcPr>
          <w:p w14:paraId="39C822EC"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Porto Rico</w:t>
            </w:r>
          </w:p>
        </w:tc>
      </w:tr>
      <w:tr w:rsidR="007E74C0" w14:paraId="3F6CBDD0" w14:textId="77777777">
        <w:trPr>
          <w:trHeight w:val="280"/>
        </w:trPr>
        <w:tc>
          <w:tcPr>
            <w:tcW w:w="555" w:type="dxa"/>
            <w:vMerge w:val="restart"/>
            <w:tcBorders>
              <w:top w:val="nil"/>
              <w:left w:val="nil"/>
              <w:bottom w:val="nil"/>
              <w:right w:val="nil"/>
            </w:tcBorders>
            <w:tcMar>
              <w:top w:w="40" w:type="dxa"/>
              <w:left w:w="40" w:type="dxa"/>
              <w:bottom w:w="40" w:type="dxa"/>
              <w:right w:w="40" w:type="dxa"/>
            </w:tcMar>
            <w:vAlign w:val="center"/>
          </w:tcPr>
          <w:p w14:paraId="2215FA2E"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2001</w:t>
            </w:r>
          </w:p>
        </w:tc>
        <w:tc>
          <w:tcPr>
            <w:tcW w:w="660" w:type="dxa"/>
            <w:vMerge w:val="restart"/>
            <w:tcBorders>
              <w:top w:val="nil"/>
              <w:left w:val="nil"/>
              <w:bottom w:val="nil"/>
              <w:right w:val="nil"/>
            </w:tcBorders>
            <w:tcMar>
              <w:top w:w="40" w:type="dxa"/>
              <w:left w:w="40" w:type="dxa"/>
              <w:bottom w:w="40" w:type="dxa"/>
              <w:right w:w="40" w:type="dxa"/>
            </w:tcMar>
            <w:vAlign w:val="center"/>
          </w:tcPr>
          <w:p w14:paraId="402B6E3C"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35(2)</w:t>
            </w:r>
          </w:p>
        </w:tc>
        <w:tc>
          <w:tcPr>
            <w:tcW w:w="3135" w:type="dxa"/>
            <w:tcBorders>
              <w:top w:val="nil"/>
              <w:left w:val="nil"/>
              <w:bottom w:val="nil"/>
              <w:right w:val="nil"/>
            </w:tcBorders>
            <w:tcMar>
              <w:top w:w="40" w:type="dxa"/>
              <w:left w:w="40" w:type="dxa"/>
              <w:bottom w:w="40" w:type="dxa"/>
              <w:right w:w="40" w:type="dxa"/>
            </w:tcMar>
            <w:vAlign w:val="center"/>
          </w:tcPr>
          <w:p w14:paraId="5D30BE20"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Ayala e Díaz</w:t>
            </w:r>
          </w:p>
        </w:tc>
        <w:tc>
          <w:tcPr>
            <w:tcW w:w="3225" w:type="dxa"/>
            <w:tcBorders>
              <w:left w:val="nil"/>
              <w:bottom w:val="nil"/>
              <w:right w:val="nil"/>
            </w:tcBorders>
            <w:tcMar>
              <w:top w:w="19" w:type="dxa"/>
              <w:left w:w="19" w:type="dxa"/>
              <w:bottom w:w="19" w:type="dxa"/>
              <w:right w:w="19" w:type="dxa"/>
            </w:tcMar>
            <w:vAlign w:val="center"/>
          </w:tcPr>
          <w:p w14:paraId="31FAB2A9"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AIDS (preconceito, homossexualidade)</w:t>
            </w:r>
          </w:p>
        </w:tc>
        <w:tc>
          <w:tcPr>
            <w:tcW w:w="1560" w:type="dxa"/>
            <w:tcBorders>
              <w:left w:val="nil"/>
              <w:bottom w:val="nil"/>
              <w:right w:val="nil"/>
            </w:tcBorders>
            <w:tcMar>
              <w:top w:w="19" w:type="dxa"/>
              <w:left w:w="19" w:type="dxa"/>
              <w:bottom w:w="19" w:type="dxa"/>
              <w:right w:w="19" w:type="dxa"/>
            </w:tcMar>
            <w:vAlign w:val="center"/>
          </w:tcPr>
          <w:p w14:paraId="79A4B97C"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r w:rsidR="007E74C0" w14:paraId="4DF871C3" w14:textId="77777777">
        <w:trPr>
          <w:trHeight w:val="280"/>
        </w:trPr>
        <w:tc>
          <w:tcPr>
            <w:tcW w:w="555" w:type="dxa"/>
            <w:vMerge/>
            <w:tcBorders>
              <w:top w:val="nil"/>
              <w:left w:val="nil"/>
              <w:bottom w:val="nil"/>
              <w:right w:val="nil"/>
            </w:tcBorders>
            <w:tcMar>
              <w:top w:w="40" w:type="dxa"/>
              <w:left w:w="40" w:type="dxa"/>
              <w:bottom w:w="40" w:type="dxa"/>
              <w:right w:w="40" w:type="dxa"/>
            </w:tcMar>
            <w:vAlign w:val="center"/>
          </w:tcPr>
          <w:p w14:paraId="49BAA077" w14:textId="77777777" w:rsidR="007E74C0" w:rsidRDefault="007E74C0">
            <w:pPr>
              <w:widowControl w:val="0"/>
              <w:spacing w:line="240" w:lineRule="auto"/>
              <w:jc w:val="center"/>
              <w:rPr>
                <w:rFonts w:ascii="Times New Roman" w:eastAsia="Times New Roman" w:hAnsi="Times New Roman" w:cs="Times New Roman"/>
                <w:sz w:val="20"/>
                <w:szCs w:val="20"/>
              </w:rPr>
            </w:pPr>
          </w:p>
        </w:tc>
        <w:tc>
          <w:tcPr>
            <w:tcW w:w="660" w:type="dxa"/>
            <w:vMerge/>
            <w:tcBorders>
              <w:top w:val="nil"/>
              <w:left w:val="nil"/>
              <w:bottom w:val="nil"/>
              <w:right w:val="nil"/>
            </w:tcBorders>
            <w:tcMar>
              <w:top w:w="40" w:type="dxa"/>
              <w:left w:w="40" w:type="dxa"/>
              <w:bottom w:w="40" w:type="dxa"/>
              <w:right w:w="40" w:type="dxa"/>
            </w:tcMar>
            <w:vAlign w:val="center"/>
          </w:tcPr>
          <w:p w14:paraId="17AACF26" w14:textId="77777777" w:rsidR="007E74C0" w:rsidRDefault="007E74C0">
            <w:pPr>
              <w:widowControl w:val="0"/>
              <w:spacing w:line="240" w:lineRule="auto"/>
              <w:jc w:val="center"/>
              <w:rPr>
                <w:rFonts w:ascii="Times New Roman" w:eastAsia="Times New Roman" w:hAnsi="Times New Roman" w:cs="Times New Roman"/>
                <w:sz w:val="20"/>
                <w:szCs w:val="20"/>
              </w:rPr>
            </w:pPr>
          </w:p>
        </w:tc>
        <w:tc>
          <w:tcPr>
            <w:tcW w:w="3135" w:type="dxa"/>
            <w:tcBorders>
              <w:top w:val="nil"/>
              <w:left w:val="nil"/>
              <w:bottom w:val="nil"/>
              <w:right w:val="nil"/>
            </w:tcBorders>
            <w:tcMar>
              <w:top w:w="40" w:type="dxa"/>
              <w:left w:w="40" w:type="dxa"/>
              <w:bottom w:w="40" w:type="dxa"/>
              <w:right w:w="40" w:type="dxa"/>
            </w:tcMar>
            <w:vAlign w:val="center"/>
          </w:tcPr>
          <w:p w14:paraId="0ED99716"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León</w:t>
            </w:r>
          </w:p>
        </w:tc>
        <w:tc>
          <w:tcPr>
            <w:tcW w:w="3225" w:type="dxa"/>
            <w:tcBorders>
              <w:left w:val="nil"/>
              <w:bottom w:val="nil"/>
              <w:right w:val="nil"/>
            </w:tcBorders>
            <w:tcMar>
              <w:top w:w="19" w:type="dxa"/>
              <w:left w:w="19" w:type="dxa"/>
              <w:bottom w:w="19" w:type="dxa"/>
              <w:right w:w="19" w:type="dxa"/>
            </w:tcMar>
            <w:vAlign w:val="center"/>
          </w:tcPr>
          <w:p w14:paraId="4C85D5E6"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AIDS (prevenção, políticas)</w:t>
            </w:r>
          </w:p>
        </w:tc>
        <w:tc>
          <w:tcPr>
            <w:tcW w:w="1560" w:type="dxa"/>
            <w:tcBorders>
              <w:left w:val="nil"/>
              <w:bottom w:val="nil"/>
              <w:right w:val="nil"/>
            </w:tcBorders>
            <w:tcMar>
              <w:top w:w="19" w:type="dxa"/>
              <w:left w:w="19" w:type="dxa"/>
              <w:bottom w:w="19" w:type="dxa"/>
              <w:right w:w="19" w:type="dxa"/>
            </w:tcMar>
            <w:vAlign w:val="center"/>
          </w:tcPr>
          <w:p w14:paraId="456BA728"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Porto Rico, EUA</w:t>
            </w:r>
          </w:p>
        </w:tc>
      </w:tr>
      <w:tr w:rsidR="007E74C0" w14:paraId="2C23A83A" w14:textId="77777777">
        <w:trPr>
          <w:trHeight w:val="280"/>
        </w:trPr>
        <w:tc>
          <w:tcPr>
            <w:tcW w:w="555" w:type="dxa"/>
            <w:vMerge w:val="restart"/>
            <w:tcBorders>
              <w:top w:val="nil"/>
              <w:left w:val="nil"/>
              <w:bottom w:val="nil"/>
              <w:right w:val="nil"/>
            </w:tcBorders>
            <w:shd w:val="clear" w:color="auto" w:fill="BFBFBF"/>
            <w:tcMar>
              <w:top w:w="40" w:type="dxa"/>
              <w:left w:w="40" w:type="dxa"/>
              <w:bottom w:w="40" w:type="dxa"/>
              <w:right w:w="40" w:type="dxa"/>
            </w:tcMar>
            <w:vAlign w:val="center"/>
          </w:tcPr>
          <w:p w14:paraId="4F312393"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2007</w:t>
            </w:r>
          </w:p>
        </w:tc>
        <w:tc>
          <w:tcPr>
            <w:tcW w:w="660" w:type="dxa"/>
            <w:vMerge w:val="restart"/>
            <w:tcBorders>
              <w:top w:val="nil"/>
              <w:left w:val="nil"/>
              <w:bottom w:val="nil"/>
              <w:right w:val="nil"/>
            </w:tcBorders>
            <w:shd w:val="clear" w:color="auto" w:fill="BFBFBF"/>
            <w:tcMar>
              <w:top w:w="40" w:type="dxa"/>
              <w:left w:w="40" w:type="dxa"/>
              <w:bottom w:w="40" w:type="dxa"/>
              <w:right w:w="40" w:type="dxa"/>
            </w:tcMar>
            <w:vAlign w:val="center"/>
          </w:tcPr>
          <w:p w14:paraId="2B2EA129"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41(1)</w:t>
            </w:r>
          </w:p>
        </w:tc>
        <w:tc>
          <w:tcPr>
            <w:tcW w:w="3135" w:type="dxa"/>
            <w:tcBorders>
              <w:top w:val="nil"/>
              <w:left w:val="nil"/>
              <w:bottom w:val="nil"/>
              <w:right w:val="nil"/>
            </w:tcBorders>
            <w:shd w:val="clear" w:color="auto" w:fill="BFBFBF"/>
            <w:tcMar>
              <w:top w:w="40" w:type="dxa"/>
              <w:left w:w="40" w:type="dxa"/>
              <w:bottom w:w="40" w:type="dxa"/>
              <w:right w:w="40" w:type="dxa"/>
            </w:tcMar>
            <w:vAlign w:val="center"/>
          </w:tcPr>
          <w:p w14:paraId="36E964CE"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Pecheny, Manzelli e Jones</w:t>
            </w:r>
          </w:p>
        </w:tc>
        <w:tc>
          <w:tcPr>
            <w:tcW w:w="3225" w:type="dxa"/>
            <w:tcBorders>
              <w:top w:val="nil"/>
              <w:left w:val="nil"/>
              <w:right w:val="nil"/>
            </w:tcBorders>
            <w:shd w:val="clear" w:color="auto" w:fill="BFBFBF"/>
            <w:tcMar>
              <w:top w:w="19" w:type="dxa"/>
              <w:left w:w="19" w:type="dxa"/>
              <w:bottom w:w="19" w:type="dxa"/>
              <w:right w:w="19" w:type="dxa"/>
            </w:tcMar>
            <w:vAlign w:val="center"/>
          </w:tcPr>
          <w:p w14:paraId="32CD148B"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AIDS (discriminação)</w:t>
            </w:r>
          </w:p>
        </w:tc>
        <w:tc>
          <w:tcPr>
            <w:tcW w:w="1560" w:type="dxa"/>
            <w:tcBorders>
              <w:left w:val="nil"/>
              <w:bottom w:val="nil"/>
              <w:right w:val="nil"/>
            </w:tcBorders>
            <w:shd w:val="clear" w:color="auto" w:fill="BFBFBF"/>
            <w:tcMar>
              <w:top w:w="19" w:type="dxa"/>
              <w:left w:w="19" w:type="dxa"/>
              <w:bottom w:w="19" w:type="dxa"/>
              <w:right w:w="19" w:type="dxa"/>
            </w:tcMar>
            <w:vAlign w:val="center"/>
          </w:tcPr>
          <w:p w14:paraId="0099ECF2"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Argentina</w:t>
            </w:r>
          </w:p>
        </w:tc>
      </w:tr>
      <w:tr w:rsidR="007E74C0" w14:paraId="664EAB21" w14:textId="77777777">
        <w:trPr>
          <w:trHeight w:val="280"/>
        </w:trPr>
        <w:tc>
          <w:tcPr>
            <w:tcW w:w="555" w:type="dxa"/>
            <w:vMerge/>
            <w:tcBorders>
              <w:top w:val="nil"/>
              <w:left w:val="nil"/>
              <w:bottom w:val="nil"/>
              <w:right w:val="nil"/>
            </w:tcBorders>
            <w:shd w:val="clear" w:color="auto" w:fill="BFBFBF"/>
            <w:tcMar>
              <w:top w:w="40" w:type="dxa"/>
              <w:left w:w="40" w:type="dxa"/>
              <w:bottom w:w="40" w:type="dxa"/>
              <w:right w:w="40" w:type="dxa"/>
            </w:tcMar>
            <w:vAlign w:val="center"/>
          </w:tcPr>
          <w:p w14:paraId="6EF98845" w14:textId="77777777" w:rsidR="007E74C0" w:rsidRDefault="007E74C0">
            <w:pPr>
              <w:widowControl w:val="0"/>
              <w:spacing w:line="240" w:lineRule="auto"/>
              <w:jc w:val="center"/>
              <w:rPr>
                <w:rFonts w:ascii="Times New Roman" w:eastAsia="Times New Roman" w:hAnsi="Times New Roman" w:cs="Times New Roman"/>
                <w:sz w:val="20"/>
                <w:szCs w:val="20"/>
              </w:rPr>
            </w:pPr>
          </w:p>
        </w:tc>
        <w:tc>
          <w:tcPr>
            <w:tcW w:w="660" w:type="dxa"/>
            <w:vMerge/>
            <w:tcBorders>
              <w:top w:val="nil"/>
              <w:left w:val="nil"/>
              <w:bottom w:val="nil"/>
              <w:right w:val="nil"/>
            </w:tcBorders>
            <w:shd w:val="clear" w:color="auto" w:fill="BFBFBF"/>
            <w:tcMar>
              <w:top w:w="40" w:type="dxa"/>
              <w:left w:w="40" w:type="dxa"/>
              <w:bottom w:w="40" w:type="dxa"/>
              <w:right w:w="40" w:type="dxa"/>
            </w:tcMar>
            <w:vAlign w:val="center"/>
          </w:tcPr>
          <w:p w14:paraId="75EDA42E" w14:textId="77777777" w:rsidR="007E74C0" w:rsidRDefault="007E74C0">
            <w:pPr>
              <w:widowControl w:val="0"/>
              <w:spacing w:line="240" w:lineRule="auto"/>
              <w:jc w:val="center"/>
              <w:rPr>
                <w:rFonts w:ascii="Times New Roman" w:eastAsia="Times New Roman" w:hAnsi="Times New Roman" w:cs="Times New Roman"/>
                <w:sz w:val="20"/>
                <w:szCs w:val="20"/>
              </w:rPr>
            </w:pPr>
          </w:p>
        </w:tc>
        <w:tc>
          <w:tcPr>
            <w:tcW w:w="3135" w:type="dxa"/>
            <w:tcBorders>
              <w:top w:val="nil"/>
              <w:left w:val="nil"/>
              <w:bottom w:val="nil"/>
              <w:right w:val="nil"/>
            </w:tcBorders>
            <w:shd w:val="clear" w:color="auto" w:fill="BFBFBF"/>
            <w:tcMar>
              <w:top w:w="40" w:type="dxa"/>
              <w:left w:w="40" w:type="dxa"/>
              <w:bottom w:w="40" w:type="dxa"/>
              <w:right w:w="40" w:type="dxa"/>
            </w:tcMar>
            <w:vAlign w:val="center"/>
          </w:tcPr>
          <w:p w14:paraId="38C06A87"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Arregui</w:t>
            </w:r>
          </w:p>
        </w:tc>
        <w:tc>
          <w:tcPr>
            <w:tcW w:w="3225" w:type="dxa"/>
            <w:tcBorders>
              <w:left w:val="nil"/>
              <w:bottom w:val="nil"/>
              <w:right w:val="nil"/>
            </w:tcBorders>
            <w:shd w:val="clear" w:color="auto" w:fill="BFBFBF"/>
            <w:tcMar>
              <w:top w:w="19" w:type="dxa"/>
              <w:left w:w="19" w:type="dxa"/>
              <w:bottom w:w="19" w:type="dxa"/>
              <w:right w:w="19" w:type="dxa"/>
            </w:tcMar>
            <w:vAlign w:val="center"/>
          </w:tcPr>
          <w:p w14:paraId="48C39396"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AIDS (discriminação)</w:t>
            </w:r>
          </w:p>
        </w:tc>
        <w:tc>
          <w:tcPr>
            <w:tcW w:w="1560" w:type="dxa"/>
            <w:tcBorders>
              <w:left w:val="nil"/>
              <w:bottom w:val="nil"/>
              <w:right w:val="nil"/>
            </w:tcBorders>
            <w:shd w:val="clear" w:color="auto" w:fill="BFBFBF"/>
            <w:tcMar>
              <w:top w:w="19" w:type="dxa"/>
              <w:left w:w="19" w:type="dxa"/>
              <w:bottom w:w="19" w:type="dxa"/>
              <w:right w:w="19" w:type="dxa"/>
            </w:tcMar>
            <w:vAlign w:val="center"/>
          </w:tcPr>
          <w:p w14:paraId="1201B378"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Rep. Dominicana</w:t>
            </w:r>
          </w:p>
        </w:tc>
      </w:tr>
      <w:tr w:rsidR="007E74C0" w14:paraId="5E4229A7" w14:textId="77777777">
        <w:trPr>
          <w:trHeight w:val="280"/>
        </w:trPr>
        <w:tc>
          <w:tcPr>
            <w:tcW w:w="555" w:type="dxa"/>
            <w:vMerge/>
            <w:tcBorders>
              <w:top w:val="nil"/>
              <w:left w:val="nil"/>
              <w:bottom w:val="nil"/>
              <w:right w:val="nil"/>
            </w:tcBorders>
            <w:shd w:val="clear" w:color="auto" w:fill="BFBFBF"/>
            <w:tcMar>
              <w:top w:w="40" w:type="dxa"/>
              <w:left w:w="40" w:type="dxa"/>
              <w:bottom w:w="40" w:type="dxa"/>
              <w:right w:w="40" w:type="dxa"/>
            </w:tcMar>
            <w:vAlign w:val="center"/>
          </w:tcPr>
          <w:p w14:paraId="7307F517" w14:textId="77777777" w:rsidR="007E74C0" w:rsidRDefault="007E74C0">
            <w:pPr>
              <w:widowControl w:val="0"/>
              <w:spacing w:line="240" w:lineRule="auto"/>
              <w:jc w:val="center"/>
              <w:rPr>
                <w:rFonts w:ascii="Times New Roman" w:eastAsia="Times New Roman" w:hAnsi="Times New Roman" w:cs="Times New Roman"/>
                <w:sz w:val="20"/>
                <w:szCs w:val="20"/>
              </w:rPr>
            </w:pPr>
          </w:p>
        </w:tc>
        <w:tc>
          <w:tcPr>
            <w:tcW w:w="660" w:type="dxa"/>
            <w:tcBorders>
              <w:top w:val="nil"/>
              <w:left w:val="nil"/>
              <w:bottom w:val="nil"/>
              <w:right w:val="nil"/>
            </w:tcBorders>
            <w:shd w:val="clear" w:color="auto" w:fill="BFBFBF"/>
            <w:tcMar>
              <w:top w:w="40" w:type="dxa"/>
              <w:left w:w="40" w:type="dxa"/>
              <w:bottom w:w="40" w:type="dxa"/>
              <w:right w:w="40" w:type="dxa"/>
            </w:tcMar>
            <w:vAlign w:val="center"/>
          </w:tcPr>
          <w:p w14:paraId="135266F9"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41(2)</w:t>
            </w:r>
          </w:p>
        </w:tc>
        <w:tc>
          <w:tcPr>
            <w:tcW w:w="3135" w:type="dxa"/>
            <w:tcBorders>
              <w:top w:val="nil"/>
              <w:left w:val="nil"/>
              <w:bottom w:val="nil"/>
              <w:right w:val="nil"/>
            </w:tcBorders>
            <w:shd w:val="clear" w:color="auto" w:fill="BFBFBF"/>
            <w:tcMar>
              <w:top w:w="40" w:type="dxa"/>
              <w:left w:w="40" w:type="dxa"/>
              <w:bottom w:w="40" w:type="dxa"/>
              <w:right w:w="40" w:type="dxa"/>
            </w:tcMar>
            <w:vAlign w:val="center"/>
          </w:tcPr>
          <w:p w14:paraId="5B451C6C"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Câmara, Sarriera e Carlotto</w:t>
            </w:r>
          </w:p>
        </w:tc>
        <w:tc>
          <w:tcPr>
            <w:tcW w:w="3225" w:type="dxa"/>
            <w:tcBorders>
              <w:top w:val="nil"/>
              <w:left w:val="nil"/>
              <w:right w:val="nil"/>
            </w:tcBorders>
            <w:shd w:val="clear" w:color="auto" w:fill="BFBFBF"/>
            <w:tcMar>
              <w:top w:w="19" w:type="dxa"/>
              <w:left w:w="19" w:type="dxa"/>
              <w:bottom w:w="19" w:type="dxa"/>
              <w:right w:w="19" w:type="dxa"/>
            </w:tcMar>
            <w:vAlign w:val="center"/>
          </w:tcPr>
          <w:p w14:paraId="05603D65"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AIDS (conduta de risco)</w:t>
            </w:r>
          </w:p>
        </w:tc>
        <w:tc>
          <w:tcPr>
            <w:tcW w:w="1560" w:type="dxa"/>
            <w:tcBorders>
              <w:left w:val="nil"/>
              <w:bottom w:val="nil"/>
              <w:right w:val="nil"/>
            </w:tcBorders>
            <w:shd w:val="clear" w:color="auto" w:fill="BFBFBF"/>
            <w:tcMar>
              <w:top w:w="19" w:type="dxa"/>
              <w:left w:w="19" w:type="dxa"/>
              <w:bottom w:w="19" w:type="dxa"/>
              <w:right w:w="19" w:type="dxa"/>
            </w:tcMar>
            <w:vAlign w:val="center"/>
          </w:tcPr>
          <w:p w14:paraId="581FFD38"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Brasil</w:t>
            </w:r>
          </w:p>
        </w:tc>
      </w:tr>
      <w:tr w:rsidR="007E74C0" w14:paraId="4D36D102" w14:textId="77777777">
        <w:trPr>
          <w:trHeight w:val="239"/>
        </w:trPr>
        <w:tc>
          <w:tcPr>
            <w:tcW w:w="555" w:type="dxa"/>
            <w:tcBorders>
              <w:top w:val="nil"/>
              <w:left w:val="nil"/>
              <w:bottom w:val="nil"/>
              <w:right w:val="nil"/>
            </w:tcBorders>
            <w:tcMar>
              <w:top w:w="40" w:type="dxa"/>
              <w:left w:w="40" w:type="dxa"/>
              <w:bottom w:w="40" w:type="dxa"/>
              <w:right w:w="40" w:type="dxa"/>
            </w:tcMar>
            <w:vAlign w:val="center"/>
          </w:tcPr>
          <w:p w14:paraId="2B44E37B"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2008</w:t>
            </w:r>
          </w:p>
        </w:tc>
        <w:tc>
          <w:tcPr>
            <w:tcW w:w="660" w:type="dxa"/>
            <w:tcBorders>
              <w:top w:val="nil"/>
              <w:left w:val="nil"/>
              <w:bottom w:val="nil"/>
              <w:right w:val="nil"/>
            </w:tcBorders>
            <w:tcMar>
              <w:top w:w="40" w:type="dxa"/>
              <w:left w:w="40" w:type="dxa"/>
              <w:bottom w:w="40" w:type="dxa"/>
              <w:right w:w="40" w:type="dxa"/>
            </w:tcMar>
            <w:vAlign w:val="center"/>
          </w:tcPr>
          <w:p w14:paraId="0CD7AA2C"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42(3)</w:t>
            </w:r>
          </w:p>
        </w:tc>
        <w:tc>
          <w:tcPr>
            <w:tcW w:w="3135" w:type="dxa"/>
            <w:tcBorders>
              <w:top w:val="nil"/>
              <w:left w:val="nil"/>
              <w:bottom w:val="nil"/>
              <w:right w:val="nil"/>
            </w:tcBorders>
            <w:tcMar>
              <w:top w:w="40" w:type="dxa"/>
              <w:left w:w="40" w:type="dxa"/>
              <w:bottom w:w="40" w:type="dxa"/>
              <w:right w:w="40" w:type="dxa"/>
            </w:tcMar>
            <w:vAlign w:val="center"/>
          </w:tcPr>
          <w:p w14:paraId="48A80E36"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Torres e Faria</w:t>
            </w:r>
          </w:p>
        </w:tc>
        <w:tc>
          <w:tcPr>
            <w:tcW w:w="3225" w:type="dxa"/>
            <w:tcBorders>
              <w:top w:val="nil"/>
              <w:left w:val="nil"/>
              <w:right w:val="nil"/>
            </w:tcBorders>
            <w:tcMar>
              <w:top w:w="19" w:type="dxa"/>
              <w:left w:w="19" w:type="dxa"/>
              <w:bottom w:w="19" w:type="dxa"/>
              <w:right w:w="19" w:type="dxa"/>
            </w:tcMar>
            <w:vAlign w:val="center"/>
          </w:tcPr>
          <w:p w14:paraId="7235F83E"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AIDS (homossexualidade)</w:t>
            </w:r>
          </w:p>
        </w:tc>
        <w:tc>
          <w:tcPr>
            <w:tcW w:w="1560" w:type="dxa"/>
            <w:tcBorders>
              <w:left w:val="nil"/>
              <w:bottom w:val="nil"/>
              <w:right w:val="nil"/>
            </w:tcBorders>
            <w:tcMar>
              <w:top w:w="19" w:type="dxa"/>
              <w:left w:w="19" w:type="dxa"/>
              <w:bottom w:w="19" w:type="dxa"/>
              <w:right w:w="19" w:type="dxa"/>
            </w:tcMar>
            <w:vAlign w:val="center"/>
          </w:tcPr>
          <w:p w14:paraId="1B815F6E"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Brasil</w:t>
            </w:r>
          </w:p>
        </w:tc>
      </w:tr>
      <w:tr w:rsidR="007E74C0" w14:paraId="4467B434" w14:textId="77777777">
        <w:trPr>
          <w:trHeight w:val="239"/>
        </w:trPr>
        <w:tc>
          <w:tcPr>
            <w:tcW w:w="555" w:type="dxa"/>
            <w:tcBorders>
              <w:top w:val="nil"/>
              <w:left w:val="nil"/>
              <w:bottom w:val="nil"/>
              <w:right w:val="nil"/>
            </w:tcBorders>
            <w:shd w:val="clear" w:color="auto" w:fill="BFBFBF"/>
            <w:tcMar>
              <w:top w:w="40" w:type="dxa"/>
              <w:left w:w="40" w:type="dxa"/>
              <w:bottom w:w="40" w:type="dxa"/>
              <w:right w:w="40" w:type="dxa"/>
            </w:tcMar>
            <w:vAlign w:val="center"/>
          </w:tcPr>
          <w:p w14:paraId="4AFD0F98"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2009</w:t>
            </w:r>
          </w:p>
        </w:tc>
        <w:tc>
          <w:tcPr>
            <w:tcW w:w="660" w:type="dxa"/>
            <w:tcBorders>
              <w:top w:val="nil"/>
              <w:left w:val="nil"/>
              <w:bottom w:val="nil"/>
              <w:right w:val="nil"/>
            </w:tcBorders>
            <w:shd w:val="clear" w:color="auto" w:fill="BFBFBF"/>
            <w:tcMar>
              <w:top w:w="40" w:type="dxa"/>
              <w:left w:w="40" w:type="dxa"/>
              <w:bottom w:w="40" w:type="dxa"/>
              <w:right w:w="40" w:type="dxa"/>
            </w:tcMar>
            <w:vAlign w:val="center"/>
          </w:tcPr>
          <w:p w14:paraId="694C1A33"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43(2)</w:t>
            </w:r>
          </w:p>
        </w:tc>
        <w:tc>
          <w:tcPr>
            <w:tcW w:w="3135" w:type="dxa"/>
            <w:tcBorders>
              <w:top w:val="nil"/>
              <w:left w:val="nil"/>
              <w:bottom w:val="nil"/>
              <w:right w:val="nil"/>
            </w:tcBorders>
            <w:shd w:val="clear" w:color="auto" w:fill="BFBFBF"/>
            <w:tcMar>
              <w:top w:w="40" w:type="dxa"/>
              <w:left w:w="40" w:type="dxa"/>
              <w:bottom w:w="40" w:type="dxa"/>
              <w:right w:w="40" w:type="dxa"/>
            </w:tcMar>
            <w:vAlign w:val="center"/>
          </w:tcPr>
          <w:p w14:paraId="27960A85"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Pérez-Jiménez, Santiago-Rivas e Serrano-García</w:t>
            </w:r>
          </w:p>
        </w:tc>
        <w:tc>
          <w:tcPr>
            <w:tcW w:w="3225" w:type="dxa"/>
            <w:tcBorders>
              <w:left w:val="nil"/>
              <w:bottom w:val="nil"/>
              <w:right w:val="nil"/>
            </w:tcBorders>
            <w:shd w:val="clear" w:color="auto" w:fill="BFBFBF"/>
            <w:tcMar>
              <w:top w:w="19" w:type="dxa"/>
              <w:left w:w="19" w:type="dxa"/>
              <w:bottom w:w="19" w:type="dxa"/>
              <w:right w:w="19" w:type="dxa"/>
            </w:tcMar>
            <w:vAlign w:val="center"/>
          </w:tcPr>
          <w:p w14:paraId="421E4AB0"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DSTs (prevenção, heterosexualidade)</w:t>
            </w:r>
          </w:p>
        </w:tc>
        <w:tc>
          <w:tcPr>
            <w:tcW w:w="1560" w:type="dxa"/>
            <w:tcBorders>
              <w:left w:val="nil"/>
              <w:bottom w:val="nil"/>
              <w:right w:val="nil"/>
            </w:tcBorders>
            <w:shd w:val="clear" w:color="auto" w:fill="BFBFBF"/>
            <w:tcMar>
              <w:top w:w="19" w:type="dxa"/>
              <w:left w:w="19" w:type="dxa"/>
              <w:bottom w:w="19" w:type="dxa"/>
              <w:right w:w="19" w:type="dxa"/>
            </w:tcMar>
            <w:vAlign w:val="center"/>
          </w:tcPr>
          <w:p w14:paraId="1F240886"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Porto Rico</w:t>
            </w:r>
          </w:p>
        </w:tc>
      </w:tr>
      <w:tr w:rsidR="007E74C0" w14:paraId="743F246F" w14:textId="77777777">
        <w:trPr>
          <w:trHeight w:val="280"/>
        </w:trPr>
        <w:tc>
          <w:tcPr>
            <w:tcW w:w="555" w:type="dxa"/>
            <w:vMerge w:val="restart"/>
            <w:tcBorders>
              <w:top w:val="nil"/>
              <w:left w:val="nil"/>
              <w:bottom w:val="nil"/>
              <w:right w:val="nil"/>
            </w:tcBorders>
            <w:tcMar>
              <w:top w:w="40" w:type="dxa"/>
              <w:left w:w="40" w:type="dxa"/>
              <w:bottom w:w="40" w:type="dxa"/>
              <w:right w:w="40" w:type="dxa"/>
            </w:tcMar>
            <w:vAlign w:val="center"/>
          </w:tcPr>
          <w:p w14:paraId="5978F938"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2010</w:t>
            </w:r>
          </w:p>
        </w:tc>
        <w:tc>
          <w:tcPr>
            <w:tcW w:w="660" w:type="dxa"/>
            <w:vMerge w:val="restart"/>
            <w:tcBorders>
              <w:top w:val="nil"/>
              <w:left w:val="nil"/>
              <w:bottom w:val="nil"/>
              <w:right w:val="nil"/>
            </w:tcBorders>
            <w:tcMar>
              <w:top w:w="40" w:type="dxa"/>
              <w:left w:w="40" w:type="dxa"/>
              <w:bottom w:w="40" w:type="dxa"/>
              <w:right w:w="40" w:type="dxa"/>
            </w:tcMar>
            <w:vAlign w:val="center"/>
          </w:tcPr>
          <w:p w14:paraId="10FDBA61"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44(1)</w:t>
            </w:r>
          </w:p>
        </w:tc>
        <w:tc>
          <w:tcPr>
            <w:tcW w:w="3135" w:type="dxa"/>
            <w:tcBorders>
              <w:top w:val="nil"/>
              <w:left w:val="nil"/>
              <w:bottom w:val="nil"/>
              <w:right w:val="nil"/>
            </w:tcBorders>
            <w:tcMar>
              <w:top w:w="40" w:type="dxa"/>
              <w:left w:w="40" w:type="dxa"/>
              <w:bottom w:w="40" w:type="dxa"/>
              <w:right w:w="40" w:type="dxa"/>
            </w:tcMar>
            <w:vAlign w:val="center"/>
          </w:tcPr>
          <w:p w14:paraId="70E3D754"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Hernández-Hernández e Perez-Jimenez</w:t>
            </w:r>
          </w:p>
        </w:tc>
        <w:tc>
          <w:tcPr>
            <w:tcW w:w="3225" w:type="dxa"/>
            <w:tcBorders>
              <w:left w:val="nil"/>
              <w:bottom w:val="nil"/>
              <w:right w:val="nil"/>
            </w:tcBorders>
            <w:tcMar>
              <w:top w:w="19" w:type="dxa"/>
              <w:left w:w="19" w:type="dxa"/>
              <w:bottom w:w="19" w:type="dxa"/>
              <w:right w:w="19" w:type="dxa"/>
            </w:tcMar>
            <w:vAlign w:val="center"/>
          </w:tcPr>
          <w:p w14:paraId="6FC8A547"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AIDS (heterossexualidade)</w:t>
            </w:r>
          </w:p>
        </w:tc>
        <w:tc>
          <w:tcPr>
            <w:tcW w:w="1560" w:type="dxa"/>
            <w:tcBorders>
              <w:left w:val="nil"/>
              <w:bottom w:val="nil"/>
              <w:right w:val="nil"/>
            </w:tcBorders>
            <w:tcMar>
              <w:top w:w="19" w:type="dxa"/>
              <w:left w:w="19" w:type="dxa"/>
              <w:bottom w:w="19" w:type="dxa"/>
              <w:right w:w="19" w:type="dxa"/>
            </w:tcMar>
            <w:vAlign w:val="center"/>
          </w:tcPr>
          <w:p w14:paraId="7F79870E"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Porto Rico</w:t>
            </w:r>
          </w:p>
        </w:tc>
      </w:tr>
      <w:tr w:rsidR="007E74C0" w14:paraId="6B1C4E0E" w14:textId="77777777">
        <w:trPr>
          <w:trHeight w:val="280"/>
        </w:trPr>
        <w:tc>
          <w:tcPr>
            <w:tcW w:w="555" w:type="dxa"/>
            <w:vMerge/>
            <w:tcBorders>
              <w:top w:val="nil"/>
              <w:left w:val="nil"/>
              <w:bottom w:val="nil"/>
              <w:right w:val="nil"/>
            </w:tcBorders>
            <w:tcMar>
              <w:top w:w="40" w:type="dxa"/>
              <w:left w:w="40" w:type="dxa"/>
              <w:bottom w:w="40" w:type="dxa"/>
              <w:right w:w="40" w:type="dxa"/>
            </w:tcMar>
            <w:vAlign w:val="center"/>
          </w:tcPr>
          <w:p w14:paraId="3565BC5F" w14:textId="77777777" w:rsidR="007E74C0" w:rsidRDefault="007E74C0">
            <w:pPr>
              <w:widowControl w:val="0"/>
              <w:spacing w:line="240" w:lineRule="auto"/>
              <w:jc w:val="center"/>
              <w:rPr>
                <w:rFonts w:ascii="Times New Roman" w:eastAsia="Times New Roman" w:hAnsi="Times New Roman" w:cs="Times New Roman"/>
                <w:sz w:val="20"/>
                <w:szCs w:val="20"/>
              </w:rPr>
            </w:pPr>
          </w:p>
        </w:tc>
        <w:tc>
          <w:tcPr>
            <w:tcW w:w="660" w:type="dxa"/>
            <w:vMerge/>
            <w:tcBorders>
              <w:top w:val="nil"/>
              <w:left w:val="nil"/>
              <w:bottom w:val="nil"/>
              <w:right w:val="nil"/>
            </w:tcBorders>
            <w:tcMar>
              <w:top w:w="40" w:type="dxa"/>
              <w:left w:w="40" w:type="dxa"/>
              <w:bottom w:w="40" w:type="dxa"/>
              <w:right w:w="40" w:type="dxa"/>
            </w:tcMar>
            <w:vAlign w:val="center"/>
          </w:tcPr>
          <w:p w14:paraId="1AF860B4" w14:textId="77777777" w:rsidR="007E74C0" w:rsidRDefault="007E74C0">
            <w:pPr>
              <w:widowControl w:val="0"/>
              <w:spacing w:line="240" w:lineRule="auto"/>
              <w:jc w:val="center"/>
              <w:rPr>
                <w:rFonts w:ascii="Times New Roman" w:eastAsia="Times New Roman" w:hAnsi="Times New Roman" w:cs="Times New Roman"/>
                <w:sz w:val="20"/>
                <w:szCs w:val="20"/>
              </w:rPr>
            </w:pPr>
          </w:p>
        </w:tc>
        <w:tc>
          <w:tcPr>
            <w:tcW w:w="3135" w:type="dxa"/>
            <w:tcBorders>
              <w:top w:val="nil"/>
              <w:left w:val="nil"/>
              <w:bottom w:val="nil"/>
              <w:right w:val="nil"/>
            </w:tcBorders>
            <w:tcMar>
              <w:top w:w="40" w:type="dxa"/>
              <w:left w:w="40" w:type="dxa"/>
              <w:bottom w:w="40" w:type="dxa"/>
              <w:right w:w="40" w:type="dxa"/>
            </w:tcMar>
            <w:vAlign w:val="center"/>
          </w:tcPr>
          <w:p w14:paraId="45A2AB36"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Haack, Silva, Prati e Boeckel</w:t>
            </w:r>
          </w:p>
        </w:tc>
        <w:tc>
          <w:tcPr>
            <w:tcW w:w="3225" w:type="dxa"/>
            <w:tcBorders>
              <w:left w:val="nil"/>
              <w:bottom w:val="nil"/>
              <w:right w:val="nil"/>
            </w:tcBorders>
            <w:tcMar>
              <w:top w:w="19" w:type="dxa"/>
              <w:left w:w="19" w:type="dxa"/>
              <w:bottom w:w="19" w:type="dxa"/>
              <w:right w:w="19" w:type="dxa"/>
            </w:tcMar>
            <w:vAlign w:val="center"/>
          </w:tcPr>
          <w:p w14:paraId="0C8F1DF2"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DST/AIDS (adolescência, prevenção)</w:t>
            </w:r>
          </w:p>
        </w:tc>
        <w:tc>
          <w:tcPr>
            <w:tcW w:w="1560" w:type="dxa"/>
            <w:tcBorders>
              <w:left w:val="nil"/>
              <w:bottom w:val="nil"/>
              <w:right w:val="nil"/>
            </w:tcBorders>
            <w:tcMar>
              <w:top w:w="19" w:type="dxa"/>
              <w:left w:w="19" w:type="dxa"/>
              <w:bottom w:w="19" w:type="dxa"/>
              <w:right w:w="19" w:type="dxa"/>
            </w:tcMar>
            <w:vAlign w:val="center"/>
          </w:tcPr>
          <w:p w14:paraId="697C92E5"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Brasil</w:t>
            </w:r>
          </w:p>
        </w:tc>
      </w:tr>
      <w:tr w:rsidR="007E74C0" w14:paraId="0EE5699E" w14:textId="77777777">
        <w:trPr>
          <w:trHeight w:val="280"/>
        </w:trPr>
        <w:tc>
          <w:tcPr>
            <w:tcW w:w="555" w:type="dxa"/>
            <w:vMerge/>
            <w:tcBorders>
              <w:top w:val="nil"/>
              <w:left w:val="nil"/>
              <w:bottom w:val="nil"/>
              <w:right w:val="nil"/>
            </w:tcBorders>
            <w:tcMar>
              <w:top w:w="40" w:type="dxa"/>
              <w:left w:w="40" w:type="dxa"/>
              <w:bottom w:w="40" w:type="dxa"/>
              <w:right w:w="40" w:type="dxa"/>
            </w:tcMar>
            <w:vAlign w:val="center"/>
          </w:tcPr>
          <w:p w14:paraId="37EB5A62" w14:textId="77777777" w:rsidR="007E74C0" w:rsidRDefault="007E74C0">
            <w:pPr>
              <w:widowControl w:val="0"/>
              <w:spacing w:line="240" w:lineRule="auto"/>
              <w:jc w:val="center"/>
              <w:rPr>
                <w:rFonts w:ascii="Times New Roman" w:eastAsia="Times New Roman" w:hAnsi="Times New Roman" w:cs="Times New Roman"/>
                <w:sz w:val="20"/>
                <w:szCs w:val="20"/>
              </w:rPr>
            </w:pPr>
          </w:p>
        </w:tc>
        <w:tc>
          <w:tcPr>
            <w:tcW w:w="660" w:type="dxa"/>
            <w:tcBorders>
              <w:top w:val="nil"/>
              <w:left w:val="nil"/>
              <w:bottom w:val="nil"/>
              <w:right w:val="nil"/>
            </w:tcBorders>
            <w:tcMar>
              <w:top w:w="40" w:type="dxa"/>
              <w:left w:w="40" w:type="dxa"/>
              <w:bottom w:w="40" w:type="dxa"/>
              <w:right w:w="40" w:type="dxa"/>
            </w:tcMar>
            <w:vAlign w:val="center"/>
          </w:tcPr>
          <w:p w14:paraId="5AF73FA3"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44(2)</w:t>
            </w:r>
          </w:p>
        </w:tc>
        <w:tc>
          <w:tcPr>
            <w:tcW w:w="3135" w:type="dxa"/>
            <w:tcBorders>
              <w:top w:val="nil"/>
              <w:left w:val="nil"/>
              <w:bottom w:val="nil"/>
              <w:right w:val="nil"/>
            </w:tcBorders>
            <w:tcMar>
              <w:top w:w="40" w:type="dxa"/>
              <w:left w:w="40" w:type="dxa"/>
              <w:bottom w:w="40" w:type="dxa"/>
              <w:right w:w="40" w:type="dxa"/>
            </w:tcMar>
            <w:vAlign w:val="center"/>
          </w:tcPr>
          <w:p w14:paraId="5A51287B"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Cerqueira-Santos, Calvetti, Rocha, Moura, Barbosa e Hermel</w:t>
            </w:r>
          </w:p>
        </w:tc>
        <w:tc>
          <w:tcPr>
            <w:tcW w:w="3225" w:type="dxa"/>
            <w:tcBorders>
              <w:top w:val="nil"/>
              <w:left w:val="nil"/>
              <w:right w:val="nil"/>
            </w:tcBorders>
            <w:tcMar>
              <w:top w:w="19" w:type="dxa"/>
              <w:left w:w="19" w:type="dxa"/>
              <w:bottom w:w="19" w:type="dxa"/>
              <w:right w:w="19" w:type="dxa"/>
            </w:tcMar>
            <w:vAlign w:val="center"/>
          </w:tcPr>
          <w:p w14:paraId="768ACF78"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AIDS (LGBTfobia, tratamento)</w:t>
            </w:r>
          </w:p>
        </w:tc>
        <w:tc>
          <w:tcPr>
            <w:tcW w:w="1560" w:type="dxa"/>
            <w:tcBorders>
              <w:left w:val="nil"/>
              <w:bottom w:val="nil"/>
              <w:right w:val="nil"/>
            </w:tcBorders>
            <w:tcMar>
              <w:top w:w="19" w:type="dxa"/>
              <w:left w:w="19" w:type="dxa"/>
              <w:bottom w:w="19" w:type="dxa"/>
              <w:right w:w="19" w:type="dxa"/>
            </w:tcMar>
            <w:vAlign w:val="center"/>
          </w:tcPr>
          <w:p w14:paraId="46463829"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Brasil</w:t>
            </w:r>
          </w:p>
        </w:tc>
      </w:tr>
      <w:tr w:rsidR="007E74C0" w14:paraId="7ECA67AD" w14:textId="77777777">
        <w:trPr>
          <w:trHeight w:val="239"/>
        </w:trPr>
        <w:tc>
          <w:tcPr>
            <w:tcW w:w="555" w:type="dxa"/>
            <w:tcBorders>
              <w:top w:val="nil"/>
              <w:left w:val="nil"/>
              <w:bottom w:val="nil"/>
              <w:right w:val="nil"/>
            </w:tcBorders>
            <w:shd w:val="clear" w:color="auto" w:fill="BFBFBF"/>
            <w:tcMar>
              <w:top w:w="40" w:type="dxa"/>
              <w:left w:w="40" w:type="dxa"/>
              <w:bottom w:w="40" w:type="dxa"/>
              <w:right w:w="40" w:type="dxa"/>
            </w:tcMar>
            <w:vAlign w:val="center"/>
          </w:tcPr>
          <w:p w14:paraId="12119B62"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2012</w:t>
            </w:r>
          </w:p>
        </w:tc>
        <w:tc>
          <w:tcPr>
            <w:tcW w:w="660" w:type="dxa"/>
            <w:tcBorders>
              <w:top w:val="nil"/>
              <w:left w:val="nil"/>
              <w:bottom w:val="nil"/>
              <w:right w:val="nil"/>
            </w:tcBorders>
            <w:shd w:val="clear" w:color="auto" w:fill="BFBFBF"/>
            <w:tcMar>
              <w:top w:w="40" w:type="dxa"/>
              <w:left w:w="40" w:type="dxa"/>
              <w:bottom w:w="40" w:type="dxa"/>
              <w:right w:w="40" w:type="dxa"/>
            </w:tcMar>
            <w:vAlign w:val="center"/>
          </w:tcPr>
          <w:p w14:paraId="4882AEEE"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46(3)</w:t>
            </w:r>
          </w:p>
        </w:tc>
        <w:tc>
          <w:tcPr>
            <w:tcW w:w="3135" w:type="dxa"/>
            <w:tcBorders>
              <w:top w:val="nil"/>
              <w:left w:val="nil"/>
              <w:bottom w:val="nil"/>
              <w:right w:val="nil"/>
            </w:tcBorders>
            <w:shd w:val="clear" w:color="auto" w:fill="BFBFBF"/>
            <w:tcMar>
              <w:top w:w="40" w:type="dxa"/>
              <w:left w:w="40" w:type="dxa"/>
              <w:bottom w:w="40" w:type="dxa"/>
              <w:right w:w="40" w:type="dxa"/>
            </w:tcMar>
            <w:vAlign w:val="center"/>
          </w:tcPr>
          <w:p w14:paraId="587DC05E"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Vázquez-Rivera, Nazario-Serrano e Sayers-Montalvo</w:t>
            </w:r>
          </w:p>
        </w:tc>
        <w:tc>
          <w:tcPr>
            <w:tcW w:w="3225" w:type="dxa"/>
            <w:tcBorders>
              <w:top w:val="nil"/>
              <w:left w:val="nil"/>
              <w:right w:val="nil"/>
            </w:tcBorders>
            <w:shd w:val="clear" w:color="auto" w:fill="BFBFBF"/>
            <w:tcMar>
              <w:top w:w="19" w:type="dxa"/>
              <w:left w:w="19" w:type="dxa"/>
              <w:bottom w:w="19" w:type="dxa"/>
              <w:right w:w="19" w:type="dxa"/>
            </w:tcMar>
            <w:vAlign w:val="center"/>
          </w:tcPr>
          <w:p w14:paraId="6B49C32B"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AIDS (LGBT, atendimento clínico)</w:t>
            </w:r>
          </w:p>
        </w:tc>
        <w:tc>
          <w:tcPr>
            <w:tcW w:w="1560" w:type="dxa"/>
            <w:tcBorders>
              <w:left w:val="nil"/>
              <w:bottom w:val="nil"/>
              <w:right w:val="nil"/>
            </w:tcBorders>
            <w:shd w:val="clear" w:color="auto" w:fill="BFBFBF"/>
            <w:tcMar>
              <w:top w:w="19" w:type="dxa"/>
              <w:left w:w="19" w:type="dxa"/>
              <w:bottom w:w="19" w:type="dxa"/>
              <w:right w:w="19" w:type="dxa"/>
            </w:tcMar>
            <w:vAlign w:val="center"/>
          </w:tcPr>
          <w:p w14:paraId="07D12D7A"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Porto Rico</w:t>
            </w:r>
          </w:p>
        </w:tc>
      </w:tr>
      <w:tr w:rsidR="007E74C0" w14:paraId="4625E5D4" w14:textId="77777777">
        <w:trPr>
          <w:trHeight w:val="239"/>
        </w:trPr>
        <w:tc>
          <w:tcPr>
            <w:tcW w:w="555" w:type="dxa"/>
            <w:tcBorders>
              <w:top w:val="nil"/>
              <w:left w:val="nil"/>
              <w:bottom w:val="nil"/>
              <w:right w:val="nil"/>
            </w:tcBorders>
            <w:tcMar>
              <w:top w:w="40" w:type="dxa"/>
              <w:left w:w="40" w:type="dxa"/>
              <w:bottom w:w="40" w:type="dxa"/>
              <w:right w:w="40" w:type="dxa"/>
            </w:tcMar>
            <w:vAlign w:val="center"/>
          </w:tcPr>
          <w:p w14:paraId="35F84731"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2016</w:t>
            </w:r>
          </w:p>
        </w:tc>
        <w:tc>
          <w:tcPr>
            <w:tcW w:w="660" w:type="dxa"/>
            <w:tcBorders>
              <w:top w:val="nil"/>
              <w:left w:val="nil"/>
              <w:bottom w:val="nil"/>
              <w:right w:val="nil"/>
            </w:tcBorders>
            <w:tcMar>
              <w:top w:w="40" w:type="dxa"/>
              <w:left w:w="40" w:type="dxa"/>
              <w:bottom w:w="40" w:type="dxa"/>
              <w:right w:w="40" w:type="dxa"/>
            </w:tcMar>
            <w:vAlign w:val="center"/>
          </w:tcPr>
          <w:p w14:paraId="10CFF9A5"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50(2)</w:t>
            </w:r>
          </w:p>
        </w:tc>
        <w:tc>
          <w:tcPr>
            <w:tcW w:w="3135" w:type="dxa"/>
            <w:tcBorders>
              <w:top w:val="nil"/>
              <w:left w:val="nil"/>
              <w:bottom w:val="nil"/>
              <w:right w:val="nil"/>
            </w:tcBorders>
            <w:tcMar>
              <w:top w:w="40" w:type="dxa"/>
              <w:left w:w="40" w:type="dxa"/>
              <w:bottom w:w="40" w:type="dxa"/>
              <w:right w:w="40" w:type="dxa"/>
            </w:tcMar>
            <w:vAlign w:val="center"/>
          </w:tcPr>
          <w:p w14:paraId="15A8F66D"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Cueto e Leon</w:t>
            </w:r>
          </w:p>
        </w:tc>
        <w:tc>
          <w:tcPr>
            <w:tcW w:w="3225" w:type="dxa"/>
            <w:tcBorders>
              <w:top w:val="nil"/>
              <w:left w:val="nil"/>
              <w:right w:val="nil"/>
            </w:tcBorders>
            <w:tcMar>
              <w:top w:w="19" w:type="dxa"/>
              <w:left w:w="19" w:type="dxa"/>
              <w:bottom w:w="19" w:type="dxa"/>
              <w:right w:w="19" w:type="dxa"/>
            </w:tcMar>
            <w:vAlign w:val="center"/>
          </w:tcPr>
          <w:p w14:paraId="0E027204"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AIDS (comportamento, adolescência)</w:t>
            </w:r>
          </w:p>
        </w:tc>
        <w:tc>
          <w:tcPr>
            <w:tcW w:w="1560" w:type="dxa"/>
            <w:tcBorders>
              <w:left w:val="nil"/>
              <w:bottom w:val="nil"/>
              <w:right w:val="nil"/>
            </w:tcBorders>
            <w:tcMar>
              <w:top w:w="19" w:type="dxa"/>
              <w:left w:w="19" w:type="dxa"/>
              <w:bottom w:w="19" w:type="dxa"/>
              <w:right w:w="19" w:type="dxa"/>
            </w:tcMar>
            <w:vAlign w:val="center"/>
          </w:tcPr>
          <w:p w14:paraId="0EDCC2B2"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Peru</w:t>
            </w:r>
          </w:p>
        </w:tc>
      </w:tr>
      <w:tr w:rsidR="007E74C0" w14:paraId="4C1BADDB" w14:textId="77777777">
        <w:trPr>
          <w:trHeight w:val="239"/>
        </w:trPr>
        <w:tc>
          <w:tcPr>
            <w:tcW w:w="555" w:type="dxa"/>
            <w:tcBorders>
              <w:top w:val="nil"/>
              <w:left w:val="nil"/>
              <w:bottom w:val="nil"/>
              <w:right w:val="nil"/>
            </w:tcBorders>
            <w:shd w:val="clear" w:color="auto" w:fill="BFBFBF"/>
            <w:tcMar>
              <w:top w:w="40" w:type="dxa"/>
              <w:left w:w="40" w:type="dxa"/>
              <w:bottom w:w="40" w:type="dxa"/>
              <w:right w:w="40" w:type="dxa"/>
            </w:tcMar>
            <w:vAlign w:val="center"/>
          </w:tcPr>
          <w:p w14:paraId="36EED493"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2017</w:t>
            </w:r>
          </w:p>
        </w:tc>
        <w:tc>
          <w:tcPr>
            <w:tcW w:w="660" w:type="dxa"/>
            <w:tcBorders>
              <w:top w:val="nil"/>
              <w:left w:val="nil"/>
              <w:bottom w:val="nil"/>
              <w:right w:val="nil"/>
            </w:tcBorders>
            <w:shd w:val="clear" w:color="auto" w:fill="BFBFBF"/>
            <w:tcMar>
              <w:top w:w="40" w:type="dxa"/>
              <w:left w:w="40" w:type="dxa"/>
              <w:bottom w:w="40" w:type="dxa"/>
              <w:right w:w="40" w:type="dxa"/>
            </w:tcMar>
            <w:vAlign w:val="center"/>
          </w:tcPr>
          <w:p w14:paraId="035DEE16"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51(2)</w:t>
            </w:r>
          </w:p>
        </w:tc>
        <w:tc>
          <w:tcPr>
            <w:tcW w:w="3135" w:type="dxa"/>
            <w:tcBorders>
              <w:top w:val="nil"/>
              <w:left w:val="nil"/>
              <w:bottom w:val="nil"/>
              <w:right w:val="nil"/>
            </w:tcBorders>
            <w:shd w:val="clear" w:color="auto" w:fill="BFBFBF"/>
            <w:tcMar>
              <w:top w:w="40" w:type="dxa"/>
              <w:left w:w="40" w:type="dxa"/>
              <w:bottom w:w="40" w:type="dxa"/>
              <w:right w:w="40" w:type="dxa"/>
            </w:tcMar>
            <w:vAlign w:val="center"/>
          </w:tcPr>
          <w:p w14:paraId="45837DEF"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Robles e Espinel</w:t>
            </w:r>
          </w:p>
        </w:tc>
        <w:tc>
          <w:tcPr>
            <w:tcW w:w="3225" w:type="dxa"/>
            <w:tcBorders>
              <w:top w:val="nil"/>
              <w:left w:val="nil"/>
              <w:right w:val="nil"/>
            </w:tcBorders>
            <w:shd w:val="clear" w:color="auto" w:fill="BFBFBF"/>
            <w:tcMar>
              <w:top w:w="19" w:type="dxa"/>
              <w:left w:w="19" w:type="dxa"/>
              <w:bottom w:w="19" w:type="dxa"/>
              <w:right w:w="19" w:type="dxa"/>
            </w:tcMar>
            <w:vAlign w:val="center"/>
          </w:tcPr>
          <w:p w14:paraId="60831FA6"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AIDS (comportamento, adolescência)</w:t>
            </w:r>
          </w:p>
        </w:tc>
        <w:tc>
          <w:tcPr>
            <w:tcW w:w="1560" w:type="dxa"/>
            <w:tcBorders>
              <w:left w:val="nil"/>
              <w:bottom w:val="nil"/>
              <w:right w:val="nil"/>
            </w:tcBorders>
            <w:shd w:val="clear" w:color="auto" w:fill="BFBFBF"/>
            <w:tcMar>
              <w:top w:w="19" w:type="dxa"/>
              <w:left w:w="19" w:type="dxa"/>
              <w:bottom w:w="19" w:type="dxa"/>
              <w:right w:w="19" w:type="dxa"/>
            </w:tcMar>
            <w:vAlign w:val="center"/>
          </w:tcPr>
          <w:p w14:paraId="21621DBD"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Equador</w:t>
            </w:r>
          </w:p>
        </w:tc>
      </w:tr>
      <w:tr w:rsidR="007E74C0" w14:paraId="5F3B31FD" w14:textId="77777777">
        <w:trPr>
          <w:trHeight w:val="239"/>
        </w:trPr>
        <w:tc>
          <w:tcPr>
            <w:tcW w:w="555" w:type="dxa"/>
            <w:tcBorders>
              <w:top w:val="nil"/>
              <w:left w:val="nil"/>
              <w:bottom w:val="single" w:sz="12" w:space="0" w:color="000000"/>
              <w:right w:val="nil"/>
            </w:tcBorders>
            <w:tcMar>
              <w:top w:w="40" w:type="dxa"/>
              <w:left w:w="40" w:type="dxa"/>
              <w:bottom w:w="40" w:type="dxa"/>
              <w:right w:w="40" w:type="dxa"/>
            </w:tcMar>
            <w:vAlign w:val="center"/>
          </w:tcPr>
          <w:p w14:paraId="5CE98E5D"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2018</w:t>
            </w:r>
          </w:p>
        </w:tc>
        <w:tc>
          <w:tcPr>
            <w:tcW w:w="660" w:type="dxa"/>
            <w:tcBorders>
              <w:top w:val="nil"/>
              <w:left w:val="nil"/>
              <w:bottom w:val="single" w:sz="12" w:space="0" w:color="000000"/>
              <w:right w:val="nil"/>
            </w:tcBorders>
            <w:tcMar>
              <w:top w:w="40" w:type="dxa"/>
              <w:left w:w="40" w:type="dxa"/>
              <w:bottom w:w="40" w:type="dxa"/>
              <w:right w:w="40" w:type="dxa"/>
            </w:tcMar>
            <w:vAlign w:val="center"/>
          </w:tcPr>
          <w:p w14:paraId="07075D88"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52(3)</w:t>
            </w:r>
          </w:p>
        </w:tc>
        <w:tc>
          <w:tcPr>
            <w:tcW w:w="3135" w:type="dxa"/>
            <w:tcBorders>
              <w:top w:val="nil"/>
              <w:left w:val="nil"/>
              <w:bottom w:val="single" w:sz="12" w:space="0" w:color="000000"/>
              <w:right w:val="nil"/>
            </w:tcBorders>
            <w:tcMar>
              <w:top w:w="40" w:type="dxa"/>
              <w:left w:w="40" w:type="dxa"/>
              <w:bottom w:w="40" w:type="dxa"/>
              <w:right w:w="40" w:type="dxa"/>
            </w:tcMar>
            <w:vAlign w:val="center"/>
          </w:tcPr>
          <w:p w14:paraId="409BD26B"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Fonte-Boa, Queiroz, Santos e Pereira</w:t>
            </w:r>
          </w:p>
        </w:tc>
        <w:tc>
          <w:tcPr>
            <w:tcW w:w="3225" w:type="dxa"/>
            <w:tcBorders>
              <w:left w:val="nil"/>
              <w:bottom w:val="single" w:sz="12" w:space="0" w:color="000000"/>
              <w:right w:val="nil"/>
            </w:tcBorders>
            <w:tcMar>
              <w:top w:w="19" w:type="dxa"/>
              <w:left w:w="19" w:type="dxa"/>
              <w:bottom w:w="19" w:type="dxa"/>
              <w:right w:w="19" w:type="dxa"/>
            </w:tcMar>
            <w:vAlign w:val="center"/>
          </w:tcPr>
          <w:p w14:paraId="34E42C90"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AIDS (relacionamento, cuidado)</w:t>
            </w:r>
          </w:p>
        </w:tc>
        <w:tc>
          <w:tcPr>
            <w:tcW w:w="1560" w:type="dxa"/>
            <w:tcBorders>
              <w:left w:val="nil"/>
              <w:bottom w:val="single" w:sz="12" w:space="0" w:color="000000"/>
              <w:right w:val="nil"/>
            </w:tcBorders>
            <w:tcMar>
              <w:top w:w="19" w:type="dxa"/>
              <w:left w:w="19" w:type="dxa"/>
              <w:bottom w:w="19" w:type="dxa"/>
              <w:right w:w="19" w:type="dxa"/>
            </w:tcMar>
            <w:vAlign w:val="center"/>
          </w:tcPr>
          <w:p w14:paraId="308E540D"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Brasil</w:t>
            </w:r>
          </w:p>
        </w:tc>
      </w:tr>
    </w:tbl>
    <w:p w14:paraId="7CF9AABF" w14:textId="77777777" w:rsidR="007E74C0" w:rsidRDefault="007E74C0">
      <w:pPr>
        <w:spacing w:line="240" w:lineRule="auto"/>
        <w:jc w:val="both"/>
        <w:rPr>
          <w:rFonts w:ascii="Times New Roman" w:eastAsia="Times New Roman" w:hAnsi="Times New Roman" w:cs="Times New Roman"/>
          <w:color w:val="1C4587"/>
          <w:sz w:val="24"/>
          <w:szCs w:val="24"/>
          <w:highlight w:val="white"/>
        </w:rPr>
      </w:pPr>
    </w:p>
    <w:p w14:paraId="11185A8D"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Nos anos 1990, surge uma primeira publicação sobre esse tema na Revista (IJP, 1990). Cinco anos se passam antes que outro artigo seja publicado sobre o mesmo tema na amostra. Mais alguns estudos, com foco na prevenção, foram publicados nessa década (IJP, 1997).</w:t>
      </w:r>
    </w:p>
    <w:p w14:paraId="6E567BC2"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Na década seguinte, a Revista publica uma edição especial composta por oito artigos, uma pesquisa estudantil e uma resenha voltados sobre a temática da AIDS (IJP, 2001, vol. 35 n° 2). Dois desses trabalhos passaram nos critérios desta revisão: um com a comunidade latina e </w:t>
      </w:r>
      <w:r>
        <w:rPr>
          <w:rFonts w:ascii="Times New Roman" w:eastAsia="Times New Roman" w:hAnsi="Times New Roman" w:cs="Times New Roman"/>
          <w:i/>
          <w:sz w:val="24"/>
          <w:szCs w:val="24"/>
          <w:highlight w:val="white"/>
        </w:rPr>
        <w:t xml:space="preserve">gay </w:t>
      </w:r>
      <w:r>
        <w:rPr>
          <w:rFonts w:ascii="Times New Roman" w:eastAsia="Times New Roman" w:hAnsi="Times New Roman" w:cs="Times New Roman"/>
          <w:sz w:val="24"/>
          <w:szCs w:val="24"/>
          <w:highlight w:val="white"/>
        </w:rPr>
        <w:t xml:space="preserve">e o outro com mulheres de Porto Rico, ambos os grupos radicados nos EUA (IJP, 2001) </w:t>
      </w:r>
      <w:r>
        <w:rPr>
          <w:rFonts w:ascii="Times New Roman" w:eastAsia="Times New Roman" w:hAnsi="Times New Roman" w:cs="Times New Roman"/>
          <w:sz w:val="24"/>
          <w:szCs w:val="24"/>
          <w:highlight w:val="white"/>
        </w:rPr>
        <w:lastRenderedPageBreak/>
        <w:t>e considerados “de risco”. Preconceito e estigma contra soropositivos (mulheres, LGBTT+ e imigrantes, em especial) também foram relatados em artigos da Revista (IJP, 2007; IJP, 2008).</w:t>
      </w:r>
    </w:p>
    <w:p w14:paraId="06D6A596"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Nesse sentido, Negreiros, Gomes, Colaço e Ximenes (2018) pontuam que as análises à época consideravam que a categoria risco se referia a questões de ordem sexual, enquanto “vulnerabilidade” corresponderia a “práticas desviantes” e certos tipos de violência (</w:t>
      </w:r>
      <w:r>
        <w:rPr>
          <w:rFonts w:ascii="Times New Roman" w:eastAsia="Times New Roman" w:hAnsi="Times New Roman" w:cs="Times New Roman"/>
          <w:i/>
          <w:sz w:val="24"/>
          <w:szCs w:val="24"/>
        </w:rPr>
        <w:t>Op. cit.</w:t>
      </w:r>
      <w:r>
        <w:rPr>
          <w:rFonts w:ascii="Times New Roman" w:eastAsia="Times New Roman" w:hAnsi="Times New Roman" w:cs="Times New Roman"/>
          <w:sz w:val="24"/>
          <w:szCs w:val="24"/>
        </w:rPr>
        <w:t>, p. 28). Seu estudo, para além de alertar para os limites dessas correlações, adverte que tais categorias não representam a totalidade e abrangên</w:t>
      </w:r>
      <w:r>
        <w:rPr>
          <w:rFonts w:ascii="Times New Roman" w:eastAsia="Times New Roman" w:hAnsi="Times New Roman" w:cs="Times New Roman"/>
          <w:sz w:val="24"/>
          <w:szCs w:val="24"/>
          <w:highlight w:val="white"/>
        </w:rPr>
        <w:t>cia das diversas categorias sociais, como “jovens”, em seus respectivos contextos (</w:t>
      </w:r>
      <w:r>
        <w:rPr>
          <w:rFonts w:ascii="Times New Roman" w:eastAsia="Times New Roman" w:hAnsi="Times New Roman" w:cs="Times New Roman"/>
          <w:sz w:val="24"/>
          <w:szCs w:val="24"/>
        </w:rPr>
        <w:t>Negreiros, Gomes, Colaço &amp; Ximenes, 2018)</w:t>
      </w:r>
      <w:r>
        <w:rPr>
          <w:rFonts w:ascii="Times New Roman" w:eastAsia="Times New Roman" w:hAnsi="Times New Roman" w:cs="Times New Roman"/>
          <w:sz w:val="24"/>
          <w:szCs w:val="24"/>
          <w:highlight w:val="white"/>
        </w:rPr>
        <w:t>.</w:t>
      </w:r>
    </w:p>
    <w:p w14:paraId="739B1261"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Quase dez anos após a edição especial, novos estudos da Revista olham, então, menos para as pessoas soropositivas e mais para o papel das políticas públicas de saúde e o impacto negativo da intervenção de profissionais de saúde na vida dessas pessoas, em especial grupos minoritários como mulheres, LGBTT+ e imigrantes. Foram destacados, ainda, o preconceito, o estigma, a marginalização e a exposição a vulnerabilidades diversas dessas pessoas. </w:t>
      </w:r>
    </w:p>
    <w:p w14:paraId="1F1CF77F"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Os resultados dessas pesquisas, no geral mistos, indicam que em alguns países, as políticas implementadas teriam exacerbado o preconceito e a discriminação dos indivíduos, grupos e comunidades com o espectro da epidemia (IJP, 2010; IJP, 2012). Muitos desses estudos já indicavam a necessidade de garantir espaços de tratamento humanizado e sigilo, além de uma melhor formação para os profissionais de saúde lidarem com esse público. </w:t>
      </w:r>
    </w:p>
    <w:p w14:paraId="354F781D"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Quanto à comunidade LGBTT+, essas políticas deveriam garantir ainda serviços de acompanhamento e prevenção com foco nas especificidades de suas práticas sexuais, que </w:t>
      </w:r>
      <w:r>
        <w:rPr>
          <w:rFonts w:ascii="Times New Roman" w:eastAsia="Times New Roman" w:hAnsi="Times New Roman" w:cs="Times New Roman"/>
          <w:sz w:val="24"/>
          <w:szCs w:val="24"/>
        </w:rPr>
        <w:t>fogem ao padrão cisheteronormativo da saúde (no geral, estabelecido para fins reprodutivos), e instigam usos dos poderes biomédicos em “espaços absolutamente outros” (Foucault, 2009, p. 20-21). A</w:t>
      </w:r>
      <w:r>
        <w:rPr>
          <w:rFonts w:ascii="Times New Roman" w:eastAsia="Times New Roman" w:hAnsi="Times New Roman" w:cs="Times New Roman"/>
          <w:sz w:val="24"/>
          <w:szCs w:val="24"/>
          <w:highlight w:val="white"/>
        </w:rPr>
        <w:t xml:space="preserve"> cada país/território, portanto, caberia pensar estratégias e programas acolhedores, contínuos e com aporte material e financeiro para implantar apoio, intervenção e orientação em saúde, principalmente na área de sexualidades, que considere as especificidades sociais, culturais e políticas de cada comunidade, bem como suas subjetividades, em que comparecem múltiplos fatores não-totalizáveis ou centralizáveis no indivíduo (Guattari &amp; Rolnik, 1996).</w:t>
      </w:r>
    </w:p>
    <w:p w14:paraId="44BFB41F"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Acerca da replicação de programas, muitas vezes importados, que não consideram as especificidades locais, observamos apenas que podem não atingir positivamente a população latino-americana e suas múltiplas realidades. No geral, poderá ser necessário, além desses programas, que se adotem políticas de valorização da saúde sexual, integral e (re)produtiva dessas pessoas, incorporando aspectos socioeconômicos, culturais e subjetivos locais, o que poderá ser alcançado ainda com a colaboração e participação ativa dos próprios profissionais das diversas áreas da Saúde.</w:t>
      </w:r>
    </w:p>
    <w:p w14:paraId="096DDCF6"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Pelos artigos elencados, notamos que muitas dessas políticas já estão sendo buscadas </w:t>
      </w:r>
      <w:r>
        <w:rPr>
          <w:rFonts w:ascii="Times New Roman" w:eastAsia="Times New Roman" w:hAnsi="Times New Roman" w:cs="Times New Roman"/>
          <w:sz w:val="24"/>
          <w:szCs w:val="24"/>
        </w:rPr>
        <w:t>nesses próprios países, com maior ou menor “clareza conceitual” (Alquati Bisol &amp; Tapia, 2012), acerca de risco e vulnerabilidade, entre outros conceitos. No entanto, notamos com pesar a escassez da expressão saúde sexual adotada pela OMS nos artigos da amostra. No próximo Tema, serão revistos estudos que abordam a instituição “família” nas sociedades latino-americanas atuais, e veremos muitas questões já levantadas anteriormente.</w:t>
      </w:r>
    </w:p>
    <w:p w14:paraId="56C278B9" w14:textId="77777777" w:rsidR="007E74C0" w:rsidRDefault="00EA0911">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4.3 Tema 3: “Família, instituição de (re)produção de rel</w:t>
      </w:r>
      <w:r>
        <w:rPr>
          <w:rFonts w:ascii="Times New Roman" w:eastAsia="Times New Roman" w:hAnsi="Times New Roman" w:cs="Times New Roman"/>
          <w:b/>
          <w:sz w:val="24"/>
          <w:szCs w:val="24"/>
        </w:rPr>
        <w:t xml:space="preserve">ações de gênero” </w:t>
      </w:r>
    </w:p>
    <w:p w14:paraId="7D9E2340"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presente, partimos do entendimento de família como uma instituição social, espaço </w:t>
      </w:r>
      <w:r>
        <w:rPr>
          <w:rFonts w:ascii="Times New Roman" w:eastAsia="Times New Roman" w:hAnsi="Times New Roman" w:cs="Times New Roman"/>
          <w:sz w:val="24"/>
          <w:szCs w:val="24"/>
          <w:highlight w:val="white"/>
        </w:rPr>
        <w:t>privilegiado de produção de subjetividades, necessário para manutenção e organização das sociedades no geral. Nos últimos anos, vem passando por constantes alterações, observáveis nas relações sociais, cujos modelos estão interligados a con</w:t>
      </w:r>
      <w:r>
        <w:rPr>
          <w:rFonts w:ascii="Times New Roman" w:eastAsia="Times New Roman" w:hAnsi="Times New Roman" w:cs="Times New Roman"/>
          <w:sz w:val="24"/>
          <w:szCs w:val="24"/>
        </w:rPr>
        <w:t xml:space="preserve">textos específicos e norteados por princípios sociais, culturais, políticos e econômicos (Coutinho &amp; Menandro, 2009; Lindinger, 2014; Roudinesco, 2003). Compreendemos que mudanças são gradativas e que o rompimento histórico, cultural e estrutural ocorre de modo concomitante às forças de manutenção do </w:t>
      </w:r>
      <w:r>
        <w:rPr>
          <w:rFonts w:ascii="Times New Roman" w:eastAsia="Times New Roman" w:hAnsi="Times New Roman" w:cs="Times New Roman"/>
          <w:i/>
          <w:sz w:val="24"/>
          <w:szCs w:val="24"/>
        </w:rPr>
        <w:t xml:space="preserve">status </w:t>
      </w:r>
      <w:r>
        <w:rPr>
          <w:rFonts w:ascii="Times New Roman" w:eastAsia="Times New Roman" w:hAnsi="Times New Roman" w:cs="Times New Roman"/>
          <w:i/>
          <w:sz w:val="24"/>
          <w:szCs w:val="24"/>
        </w:rPr>
        <w:lastRenderedPageBreak/>
        <w:t>quo</w:t>
      </w:r>
      <w:r>
        <w:rPr>
          <w:rFonts w:ascii="Times New Roman" w:eastAsia="Times New Roman" w:hAnsi="Times New Roman" w:cs="Times New Roman"/>
          <w:sz w:val="24"/>
          <w:szCs w:val="24"/>
        </w:rPr>
        <w:t xml:space="preserve">, dinâmica a que o saber </w:t>
      </w:r>
      <w:r>
        <w:rPr>
          <w:rFonts w:ascii="Times New Roman" w:eastAsia="Times New Roman" w:hAnsi="Times New Roman" w:cs="Times New Roman"/>
          <w:i/>
          <w:sz w:val="24"/>
          <w:szCs w:val="24"/>
        </w:rPr>
        <w:t xml:space="preserve">psi </w:t>
      </w:r>
      <w:r>
        <w:rPr>
          <w:rFonts w:ascii="Times New Roman" w:eastAsia="Times New Roman" w:hAnsi="Times New Roman" w:cs="Times New Roman"/>
          <w:sz w:val="24"/>
          <w:szCs w:val="24"/>
        </w:rPr>
        <w:t>precisa estar atento para não ser mais um espaço de reprodução de falas hegemônicas e excludentes.</w:t>
      </w:r>
    </w:p>
    <w:p w14:paraId="36BB4A7B"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etimologia de família (do latim, </w:t>
      </w:r>
      <w:r>
        <w:rPr>
          <w:rFonts w:ascii="Times New Roman" w:eastAsia="Times New Roman" w:hAnsi="Times New Roman" w:cs="Times New Roman"/>
          <w:i/>
          <w:sz w:val="24"/>
          <w:szCs w:val="24"/>
        </w:rPr>
        <w:t>famulus</w:t>
      </w:r>
      <w:r>
        <w:rPr>
          <w:rFonts w:ascii="Times New Roman" w:eastAsia="Times New Roman" w:hAnsi="Times New Roman" w:cs="Times New Roman"/>
          <w:sz w:val="24"/>
          <w:szCs w:val="24"/>
        </w:rPr>
        <w:t xml:space="preserve">, ou ‘escravo doméstico’) remete à relação de poder patriarcal, ainda muito arraigada nas sociedades ocidentais, bem como à relação com a religião, particularmente na América Latina, onde </w:t>
      </w:r>
      <w:r>
        <w:rPr>
          <w:rFonts w:ascii="Times New Roman" w:eastAsia="Times New Roman" w:hAnsi="Times New Roman" w:cs="Times New Roman"/>
          <w:sz w:val="24"/>
          <w:szCs w:val="24"/>
          <w:highlight w:val="white"/>
        </w:rPr>
        <w:t xml:space="preserve">por muito tempo teve a formalização e constituição embasadas pelo casamento religioso, </w:t>
      </w:r>
      <w:r>
        <w:rPr>
          <w:rFonts w:ascii="Times New Roman" w:eastAsia="Times New Roman" w:hAnsi="Times New Roman" w:cs="Times New Roman"/>
          <w:sz w:val="24"/>
          <w:szCs w:val="24"/>
        </w:rPr>
        <w:t xml:space="preserve">sendo que essas marcas ainda norteiam este espaço de interação (Zilles, 2002). </w:t>
      </w:r>
      <w:r>
        <w:rPr>
          <w:rFonts w:ascii="Times New Roman" w:eastAsia="Times New Roman" w:hAnsi="Times New Roman" w:cs="Times New Roman"/>
          <w:sz w:val="24"/>
          <w:szCs w:val="24"/>
          <w:highlight w:val="white"/>
        </w:rPr>
        <w:t>Com as resistências jurídicos-sociais do século XIX pela laicização de Estados e pelo casamento civil, a família foi paulatinamente se adequando às realidades das vidas das pessoas, sendo então compreendida a partir da multiplicidade de possibilidades de arranjos, formais ou não, ao lado das conquistas recentes que fogem à concepção heteronormativa nas origens desta instituição soci</w:t>
      </w:r>
      <w:r>
        <w:rPr>
          <w:rFonts w:ascii="Times New Roman" w:eastAsia="Times New Roman" w:hAnsi="Times New Roman" w:cs="Times New Roman"/>
          <w:sz w:val="24"/>
          <w:szCs w:val="24"/>
        </w:rPr>
        <w:t>al (Oliven, 2019).</w:t>
      </w:r>
    </w:p>
    <w:p w14:paraId="4A2530D1"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fim, no século XX, Silva (2016) aponta que as questões de gênero e sexualidades foram objeto de vigilância na ditadura civil-militar brasileira e que “homens e mulheres que não se enquadravam na posição de gênero dominante foram censurados, vigiados, denunciados e punidos moralmente por expressarem uma feminilidade e masculinidade considerada subversiva” (p. 78). Assim como o estudo das famílias demonstrava ser um viés de produção de conhecimento para fins na manutenção da estrutura político-social-ideológica da época, a repressão desses regimes ditatoriais na América Latina certamente impactou na produção científica de então, seja pela censura dos debates, seja pela perseguição à produção dos saberes relativos a essas temáticas que escapavam aos modos hegemônicos da repressão. Nesse sentido, por vezes, em nome das subjetividades dominantes: </w:t>
      </w:r>
    </w:p>
    <w:p w14:paraId="0FCE9D7E" w14:textId="77777777" w:rsidR="007E74C0" w:rsidRDefault="00EA0911">
      <w:pPr>
        <w:shd w:val="clear" w:color="auto" w:fill="FFFFFF"/>
        <w:spacing w:before="240" w:line="240"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liberdade sexual, o controle de natalidade, ‘a dissolução’ dos casamentos, a instituição do divórcio, ‘o sexo sem freios’, a emancipação intelectual, profissional e sexual da mulher, o ‘crepúsculo do macho’, a socialização dos serviços domésticos necessitam ser disciplinados, normatizados. É em cima de tais questões que o especialista ‘psi’ entra e detém seu monopólio, …, com sua providencial neutralidade, simplesmente ‘verifica o desejo do seu cliente’. ‘A família torna-se consumidora ávida de tudo o que pode ajudá-la a ‘realizar-se’. (Coimbra, 1995, p. 36-37) </w:t>
      </w:r>
    </w:p>
    <w:p w14:paraId="047C9CE8" w14:textId="77777777" w:rsidR="007E74C0" w:rsidRDefault="007E74C0">
      <w:pPr>
        <w:spacing w:line="240" w:lineRule="auto"/>
        <w:ind w:firstLine="720"/>
        <w:jc w:val="both"/>
        <w:rPr>
          <w:rFonts w:ascii="Times New Roman" w:eastAsia="Times New Roman" w:hAnsi="Times New Roman" w:cs="Times New Roman"/>
          <w:sz w:val="24"/>
          <w:szCs w:val="24"/>
        </w:rPr>
      </w:pPr>
    </w:p>
    <w:p w14:paraId="3B9C1140"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seguir, neste Tema, estão reunidos estudos das relações instituídas nas estruturas familiares. Nesses vinte artigos da Revista, o foco na família tradicional ainda predomina</w:t>
      </w:r>
      <w:r>
        <w:rPr>
          <w:rFonts w:ascii="Times New Roman" w:eastAsia="Times New Roman" w:hAnsi="Times New Roman" w:cs="Times New Roman"/>
          <w:sz w:val="24"/>
          <w:szCs w:val="24"/>
          <w:highlight w:val="white"/>
        </w:rPr>
        <w:t xml:space="preserve">, no que poderemos identificar, tendo por base as discussões aqui trazidas, formas de controle dos corpos por usos apenas dos conceitos de gênero e sexualidades legitimados por discursos científicos. Notamos que o estudo dessa instituição pela Psicologia trouxe para si um espaço de saber </w:t>
      </w:r>
      <w:r>
        <w:rPr>
          <w:rFonts w:ascii="Times New Roman" w:eastAsia="Times New Roman" w:hAnsi="Times New Roman" w:cs="Times New Roman"/>
          <w:sz w:val="24"/>
          <w:szCs w:val="24"/>
        </w:rPr>
        <w:t xml:space="preserve">que, por vezes, colaborou com o </w:t>
      </w:r>
      <w:r>
        <w:rPr>
          <w:rFonts w:ascii="Times New Roman" w:eastAsia="Times New Roman" w:hAnsi="Times New Roman" w:cs="Times New Roman"/>
          <w:i/>
          <w:sz w:val="24"/>
          <w:szCs w:val="24"/>
        </w:rPr>
        <w:t>status quo</w:t>
      </w:r>
      <w:r>
        <w:rPr>
          <w:rFonts w:ascii="Times New Roman" w:eastAsia="Times New Roman" w:hAnsi="Times New Roman" w:cs="Times New Roman"/>
          <w:sz w:val="24"/>
          <w:szCs w:val="24"/>
        </w:rPr>
        <w:t xml:space="preserve"> de cada época (Silva, 2016).</w:t>
      </w:r>
    </w:p>
    <w:p w14:paraId="6D4E9B17" w14:textId="77777777" w:rsidR="007E74C0" w:rsidRDefault="007E74C0">
      <w:pPr>
        <w:spacing w:line="240" w:lineRule="auto"/>
        <w:jc w:val="both"/>
        <w:rPr>
          <w:rFonts w:ascii="Times New Roman" w:eastAsia="Times New Roman" w:hAnsi="Times New Roman" w:cs="Times New Roman"/>
          <w:sz w:val="24"/>
          <w:szCs w:val="24"/>
          <w:highlight w:val="white"/>
        </w:rPr>
      </w:pPr>
    </w:p>
    <w:p w14:paraId="7BA0AF32" w14:textId="77777777" w:rsidR="007E74C0" w:rsidRDefault="00EA0911">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highlight w:val="white"/>
        </w:rPr>
        <w:t xml:space="preserve">4.3.1 Representações sociais de família. </w:t>
      </w:r>
      <w:r>
        <w:rPr>
          <w:rFonts w:ascii="Times New Roman" w:eastAsia="Times New Roman" w:hAnsi="Times New Roman" w:cs="Times New Roman"/>
          <w:sz w:val="24"/>
          <w:szCs w:val="24"/>
          <w:highlight w:val="white"/>
        </w:rPr>
        <w:t>Esse subtema agrupa sete estudos que discorreram, entre outros, sobre papéis de gênero e sexualidades no âmbito das famílias (Tabela 6).</w:t>
      </w:r>
    </w:p>
    <w:p w14:paraId="5E6E1C74" w14:textId="77777777" w:rsidR="007E74C0" w:rsidRDefault="007E74C0">
      <w:pPr>
        <w:spacing w:line="240" w:lineRule="auto"/>
        <w:jc w:val="both"/>
        <w:rPr>
          <w:rFonts w:ascii="Times New Roman" w:eastAsia="Times New Roman" w:hAnsi="Times New Roman" w:cs="Times New Roman"/>
          <w:sz w:val="24"/>
          <w:szCs w:val="24"/>
          <w:highlight w:val="white"/>
        </w:rPr>
      </w:pPr>
    </w:p>
    <w:p w14:paraId="414681C1" w14:textId="77777777" w:rsidR="007E74C0" w:rsidRDefault="00EA0911">
      <w:pPr>
        <w:jc w:val="both"/>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sz w:val="24"/>
          <w:szCs w:val="24"/>
        </w:rPr>
        <w:t>TABELA 6. Quadro de artigos - Subtema 1 (Tema 3)</w:t>
      </w:r>
    </w:p>
    <w:tbl>
      <w:tblPr>
        <w:tblStyle w:val="a5"/>
        <w:tblW w:w="9150" w:type="dxa"/>
        <w:tblInd w:w="-100" w:type="dxa"/>
        <w:tblLayout w:type="fixed"/>
        <w:tblLook w:val="0600" w:firstRow="0" w:lastRow="0" w:firstColumn="0" w:lastColumn="0" w:noHBand="1" w:noVBand="1"/>
      </w:tblPr>
      <w:tblGrid>
        <w:gridCol w:w="555"/>
        <w:gridCol w:w="660"/>
        <w:gridCol w:w="3330"/>
        <w:gridCol w:w="3105"/>
        <w:gridCol w:w="1500"/>
      </w:tblGrid>
      <w:tr w:rsidR="007E74C0" w14:paraId="2B25BBBC" w14:textId="77777777">
        <w:trPr>
          <w:trHeight w:val="460"/>
        </w:trPr>
        <w:tc>
          <w:tcPr>
            <w:tcW w:w="1215" w:type="dxa"/>
            <w:gridSpan w:val="2"/>
            <w:tcBorders>
              <w:top w:val="single" w:sz="12" w:space="0" w:color="000000"/>
              <w:bottom w:val="single" w:sz="6" w:space="0" w:color="000000"/>
            </w:tcBorders>
          </w:tcPr>
          <w:p w14:paraId="48ECAD5E"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Revista</w:t>
            </w:r>
          </w:p>
        </w:tc>
        <w:tc>
          <w:tcPr>
            <w:tcW w:w="3330" w:type="dxa"/>
            <w:vMerge w:val="restart"/>
            <w:tcBorders>
              <w:top w:val="single" w:sz="12" w:space="0" w:color="000000"/>
              <w:bottom w:val="nil"/>
            </w:tcBorders>
            <w:vAlign w:val="center"/>
          </w:tcPr>
          <w:p w14:paraId="3AC3CA56"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Pessoa(s)</w:t>
            </w:r>
          </w:p>
          <w:p w14:paraId="04362142"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autora(s)</w:t>
            </w:r>
          </w:p>
        </w:tc>
        <w:tc>
          <w:tcPr>
            <w:tcW w:w="3105" w:type="dxa"/>
            <w:vMerge w:val="restart"/>
            <w:tcBorders>
              <w:top w:val="single" w:sz="12" w:space="0" w:color="000000"/>
              <w:left w:val="nil"/>
              <w:bottom w:val="nil"/>
            </w:tcBorders>
            <w:shd w:val="clear" w:color="auto" w:fill="auto"/>
            <w:tcMar>
              <w:top w:w="100" w:type="dxa"/>
              <w:left w:w="100" w:type="dxa"/>
              <w:bottom w:w="100" w:type="dxa"/>
              <w:right w:w="100" w:type="dxa"/>
            </w:tcMar>
            <w:vAlign w:val="center"/>
          </w:tcPr>
          <w:p w14:paraId="2BA6968D"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Conceito(s)</w:t>
            </w:r>
          </w:p>
          <w:p w14:paraId="30EA7431"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chave</w:t>
            </w:r>
          </w:p>
        </w:tc>
        <w:tc>
          <w:tcPr>
            <w:tcW w:w="1500" w:type="dxa"/>
            <w:vMerge w:val="restart"/>
            <w:tcBorders>
              <w:top w:val="single" w:sz="12" w:space="0" w:color="000000"/>
              <w:left w:val="nil"/>
              <w:bottom w:val="nil"/>
            </w:tcBorders>
            <w:shd w:val="clear" w:color="auto" w:fill="auto"/>
            <w:tcMar>
              <w:top w:w="100" w:type="dxa"/>
              <w:left w:w="100" w:type="dxa"/>
              <w:bottom w:w="100" w:type="dxa"/>
              <w:right w:w="100" w:type="dxa"/>
            </w:tcMar>
            <w:vAlign w:val="center"/>
          </w:tcPr>
          <w:p w14:paraId="2D7854E4"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País(es)</w:t>
            </w:r>
          </w:p>
          <w:p w14:paraId="7C5D878A"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participante(s)</w:t>
            </w:r>
          </w:p>
        </w:tc>
      </w:tr>
      <w:tr w:rsidR="007E74C0" w14:paraId="05C4497F" w14:textId="77777777">
        <w:trPr>
          <w:trHeight w:val="460"/>
        </w:trPr>
        <w:tc>
          <w:tcPr>
            <w:tcW w:w="555" w:type="dxa"/>
            <w:tcBorders>
              <w:top w:val="single" w:sz="6" w:space="0" w:color="000000"/>
              <w:bottom w:val="single" w:sz="12" w:space="0" w:color="000000"/>
              <w:right w:val="nil"/>
            </w:tcBorders>
            <w:shd w:val="clear" w:color="auto" w:fill="auto"/>
            <w:tcMar>
              <w:top w:w="100" w:type="dxa"/>
              <w:left w:w="100" w:type="dxa"/>
              <w:bottom w:w="100" w:type="dxa"/>
              <w:right w:w="100" w:type="dxa"/>
            </w:tcMar>
          </w:tcPr>
          <w:p w14:paraId="619FE5D9" w14:textId="77777777" w:rsidR="007E74C0" w:rsidRDefault="00EA0911">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Ano</w:t>
            </w:r>
          </w:p>
        </w:tc>
        <w:tc>
          <w:tcPr>
            <w:tcW w:w="660" w:type="dxa"/>
            <w:tcBorders>
              <w:top w:val="single" w:sz="6" w:space="0" w:color="000000"/>
              <w:left w:val="nil"/>
              <w:bottom w:val="single" w:sz="12" w:space="0" w:color="000000"/>
              <w:right w:val="nil"/>
            </w:tcBorders>
            <w:shd w:val="clear" w:color="auto" w:fill="auto"/>
            <w:tcMar>
              <w:top w:w="100" w:type="dxa"/>
              <w:left w:w="100" w:type="dxa"/>
              <w:bottom w:w="100" w:type="dxa"/>
              <w:right w:w="100" w:type="dxa"/>
            </w:tcMar>
          </w:tcPr>
          <w:p w14:paraId="4E41ABC5"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 (n)</w:t>
            </w:r>
          </w:p>
        </w:tc>
        <w:tc>
          <w:tcPr>
            <w:tcW w:w="3330" w:type="dxa"/>
            <w:vMerge/>
            <w:tcBorders>
              <w:top w:val="nil"/>
              <w:bottom w:val="single" w:sz="12" w:space="0" w:color="000000"/>
            </w:tcBorders>
            <w:vAlign w:val="center"/>
          </w:tcPr>
          <w:p w14:paraId="48677AA9" w14:textId="77777777" w:rsidR="007E74C0" w:rsidRDefault="007E74C0">
            <w:pPr>
              <w:widowControl w:val="0"/>
              <w:rPr>
                <w:rFonts w:ascii="Times New Roman" w:eastAsia="Times New Roman" w:hAnsi="Times New Roman" w:cs="Times New Roman"/>
                <w:sz w:val="20"/>
                <w:szCs w:val="20"/>
              </w:rPr>
            </w:pPr>
          </w:p>
        </w:tc>
        <w:tc>
          <w:tcPr>
            <w:tcW w:w="3105" w:type="dxa"/>
            <w:vMerge/>
            <w:tcBorders>
              <w:top w:val="nil"/>
              <w:left w:val="nil"/>
              <w:bottom w:val="single" w:sz="12" w:space="0" w:color="000000"/>
            </w:tcBorders>
            <w:shd w:val="clear" w:color="auto" w:fill="auto"/>
            <w:tcMar>
              <w:top w:w="100" w:type="dxa"/>
              <w:left w:w="100" w:type="dxa"/>
              <w:bottom w:w="100" w:type="dxa"/>
              <w:right w:w="100" w:type="dxa"/>
            </w:tcMar>
            <w:vAlign w:val="center"/>
          </w:tcPr>
          <w:p w14:paraId="44D973EB" w14:textId="77777777" w:rsidR="007E74C0" w:rsidRDefault="007E74C0">
            <w:pPr>
              <w:widowControl w:val="0"/>
              <w:rPr>
                <w:rFonts w:ascii="Times New Roman" w:eastAsia="Times New Roman" w:hAnsi="Times New Roman" w:cs="Times New Roman"/>
                <w:sz w:val="20"/>
                <w:szCs w:val="20"/>
              </w:rPr>
            </w:pPr>
          </w:p>
        </w:tc>
        <w:tc>
          <w:tcPr>
            <w:tcW w:w="1500" w:type="dxa"/>
            <w:vMerge/>
            <w:tcBorders>
              <w:top w:val="nil"/>
              <w:left w:val="nil"/>
              <w:bottom w:val="single" w:sz="12" w:space="0" w:color="000000"/>
            </w:tcBorders>
            <w:shd w:val="clear" w:color="auto" w:fill="auto"/>
            <w:tcMar>
              <w:top w:w="100" w:type="dxa"/>
              <w:left w:w="100" w:type="dxa"/>
              <w:bottom w:w="100" w:type="dxa"/>
              <w:right w:w="100" w:type="dxa"/>
            </w:tcMar>
            <w:vAlign w:val="center"/>
          </w:tcPr>
          <w:p w14:paraId="6540E5FF" w14:textId="77777777" w:rsidR="007E74C0" w:rsidRDefault="007E74C0">
            <w:pPr>
              <w:widowControl w:val="0"/>
              <w:rPr>
                <w:rFonts w:ascii="Times New Roman" w:eastAsia="Times New Roman" w:hAnsi="Times New Roman" w:cs="Times New Roman"/>
                <w:sz w:val="20"/>
                <w:szCs w:val="20"/>
              </w:rPr>
            </w:pPr>
          </w:p>
        </w:tc>
      </w:tr>
      <w:tr w:rsidR="007E74C0" w14:paraId="5F3EDDC3" w14:textId="77777777">
        <w:trPr>
          <w:trHeight w:val="239"/>
        </w:trPr>
        <w:tc>
          <w:tcPr>
            <w:tcW w:w="555" w:type="dxa"/>
            <w:tcBorders>
              <w:top w:val="single" w:sz="12" w:space="0" w:color="000000"/>
              <w:left w:val="nil"/>
              <w:bottom w:val="nil"/>
              <w:right w:val="nil"/>
            </w:tcBorders>
            <w:tcMar>
              <w:top w:w="40" w:type="dxa"/>
              <w:left w:w="40" w:type="dxa"/>
              <w:bottom w:w="40" w:type="dxa"/>
              <w:right w:w="40" w:type="dxa"/>
            </w:tcMar>
            <w:vAlign w:val="center"/>
          </w:tcPr>
          <w:p w14:paraId="56444927"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2006</w:t>
            </w:r>
          </w:p>
        </w:tc>
        <w:tc>
          <w:tcPr>
            <w:tcW w:w="660" w:type="dxa"/>
            <w:tcBorders>
              <w:top w:val="single" w:sz="12" w:space="0" w:color="000000"/>
              <w:left w:val="nil"/>
              <w:bottom w:val="nil"/>
              <w:right w:val="nil"/>
            </w:tcBorders>
            <w:tcMar>
              <w:top w:w="40" w:type="dxa"/>
              <w:left w:w="40" w:type="dxa"/>
              <w:bottom w:w="40" w:type="dxa"/>
              <w:right w:w="40" w:type="dxa"/>
            </w:tcMar>
            <w:vAlign w:val="center"/>
          </w:tcPr>
          <w:p w14:paraId="14B749F8"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40(3)</w:t>
            </w:r>
          </w:p>
        </w:tc>
        <w:tc>
          <w:tcPr>
            <w:tcW w:w="3330" w:type="dxa"/>
            <w:tcBorders>
              <w:top w:val="single" w:sz="12" w:space="0" w:color="000000"/>
              <w:left w:val="nil"/>
              <w:bottom w:val="nil"/>
              <w:right w:val="nil"/>
            </w:tcBorders>
            <w:tcMar>
              <w:top w:w="40" w:type="dxa"/>
              <w:left w:w="40" w:type="dxa"/>
              <w:bottom w:w="40" w:type="dxa"/>
              <w:right w:w="40" w:type="dxa"/>
            </w:tcMar>
            <w:vAlign w:val="center"/>
          </w:tcPr>
          <w:p w14:paraId="569D58AE"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Toneli, Lodetti, Lucca, Gomes e Araújo</w:t>
            </w:r>
          </w:p>
        </w:tc>
        <w:tc>
          <w:tcPr>
            <w:tcW w:w="3105" w:type="dxa"/>
            <w:tcBorders>
              <w:top w:val="single" w:sz="12" w:space="0" w:color="000000"/>
              <w:left w:val="nil"/>
              <w:bottom w:val="nil"/>
              <w:right w:val="nil"/>
            </w:tcBorders>
            <w:tcMar>
              <w:top w:w="40" w:type="dxa"/>
              <w:left w:w="40" w:type="dxa"/>
              <w:bottom w:w="40" w:type="dxa"/>
              <w:right w:w="40" w:type="dxa"/>
            </w:tcMar>
            <w:vAlign w:val="center"/>
          </w:tcPr>
          <w:p w14:paraId="6D5FDDC8"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Família (paternidade,  gênero)</w:t>
            </w:r>
          </w:p>
        </w:tc>
        <w:tc>
          <w:tcPr>
            <w:tcW w:w="1500" w:type="dxa"/>
            <w:tcBorders>
              <w:top w:val="single" w:sz="12" w:space="0" w:color="000000"/>
              <w:left w:val="nil"/>
              <w:bottom w:val="nil"/>
              <w:right w:val="nil"/>
            </w:tcBorders>
            <w:tcMar>
              <w:top w:w="40" w:type="dxa"/>
              <w:left w:w="40" w:type="dxa"/>
              <w:bottom w:w="40" w:type="dxa"/>
              <w:right w:w="40" w:type="dxa"/>
            </w:tcMar>
            <w:vAlign w:val="center"/>
          </w:tcPr>
          <w:p w14:paraId="11CC21F1"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Brasil</w:t>
            </w:r>
          </w:p>
        </w:tc>
      </w:tr>
      <w:tr w:rsidR="007E74C0" w14:paraId="1503775E" w14:textId="77777777">
        <w:trPr>
          <w:trHeight w:val="280"/>
        </w:trPr>
        <w:tc>
          <w:tcPr>
            <w:tcW w:w="555" w:type="dxa"/>
            <w:vMerge w:val="restart"/>
            <w:tcBorders>
              <w:top w:val="nil"/>
              <w:left w:val="nil"/>
              <w:bottom w:val="nil"/>
              <w:right w:val="nil"/>
            </w:tcBorders>
            <w:shd w:val="clear" w:color="auto" w:fill="BFBFBF"/>
            <w:tcMar>
              <w:top w:w="40" w:type="dxa"/>
              <w:left w:w="40" w:type="dxa"/>
              <w:bottom w:w="40" w:type="dxa"/>
              <w:right w:w="40" w:type="dxa"/>
            </w:tcMar>
            <w:vAlign w:val="center"/>
          </w:tcPr>
          <w:p w14:paraId="09CE590F"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2007</w:t>
            </w:r>
          </w:p>
        </w:tc>
        <w:tc>
          <w:tcPr>
            <w:tcW w:w="660" w:type="dxa"/>
            <w:tcBorders>
              <w:top w:val="nil"/>
              <w:left w:val="nil"/>
              <w:bottom w:val="nil"/>
              <w:right w:val="nil"/>
            </w:tcBorders>
            <w:shd w:val="clear" w:color="auto" w:fill="BFBFBF"/>
            <w:tcMar>
              <w:top w:w="40" w:type="dxa"/>
              <w:left w:w="40" w:type="dxa"/>
              <w:bottom w:w="40" w:type="dxa"/>
              <w:right w:w="40" w:type="dxa"/>
            </w:tcMar>
            <w:vAlign w:val="center"/>
          </w:tcPr>
          <w:p w14:paraId="4C3B5869"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41(2)</w:t>
            </w:r>
          </w:p>
        </w:tc>
        <w:tc>
          <w:tcPr>
            <w:tcW w:w="3330" w:type="dxa"/>
            <w:tcBorders>
              <w:top w:val="nil"/>
              <w:left w:val="nil"/>
              <w:bottom w:val="nil"/>
              <w:right w:val="nil"/>
            </w:tcBorders>
            <w:shd w:val="clear" w:color="auto" w:fill="BFBFBF"/>
            <w:tcMar>
              <w:top w:w="40" w:type="dxa"/>
              <w:left w:w="40" w:type="dxa"/>
              <w:bottom w:w="40" w:type="dxa"/>
              <w:right w:w="40" w:type="dxa"/>
            </w:tcMar>
            <w:vAlign w:val="center"/>
          </w:tcPr>
          <w:p w14:paraId="1BBB8452"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Aizpurúa, Jablonski e Féres-Carneiro</w:t>
            </w:r>
          </w:p>
        </w:tc>
        <w:tc>
          <w:tcPr>
            <w:tcW w:w="3105" w:type="dxa"/>
            <w:tcBorders>
              <w:top w:val="nil"/>
              <w:left w:val="nil"/>
              <w:bottom w:val="nil"/>
              <w:right w:val="nil"/>
            </w:tcBorders>
            <w:shd w:val="clear" w:color="auto" w:fill="BFBFBF"/>
            <w:tcMar>
              <w:top w:w="40" w:type="dxa"/>
              <w:left w:w="40" w:type="dxa"/>
              <w:bottom w:w="40" w:type="dxa"/>
              <w:right w:w="40" w:type="dxa"/>
            </w:tcMar>
            <w:vAlign w:val="center"/>
          </w:tcPr>
          <w:p w14:paraId="03CFFEE8"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Família (processo histórico)</w:t>
            </w:r>
          </w:p>
        </w:tc>
        <w:tc>
          <w:tcPr>
            <w:tcW w:w="1500" w:type="dxa"/>
            <w:tcBorders>
              <w:top w:val="nil"/>
              <w:left w:val="nil"/>
              <w:bottom w:val="nil"/>
              <w:right w:val="nil"/>
            </w:tcBorders>
            <w:shd w:val="clear" w:color="auto" w:fill="BFBFBF"/>
            <w:tcMar>
              <w:top w:w="40" w:type="dxa"/>
              <w:left w:w="40" w:type="dxa"/>
              <w:bottom w:w="40" w:type="dxa"/>
              <w:right w:w="40" w:type="dxa"/>
            </w:tcMar>
            <w:vAlign w:val="center"/>
          </w:tcPr>
          <w:p w14:paraId="5D72B7D6"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Brasil, Argentina</w:t>
            </w:r>
          </w:p>
        </w:tc>
      </w:tr>
      <w:tr w:rsidR="007E74C0" w14:paraId="36123F65" w14:textId="77777777">
        <w:trPr>
          <w:trHeight w:val="280"/>
        </w:trPr>
        <w:tc>
          <w:tcPr>
            <w:tcW w:w="555" w:type="dxa"/>
            <w:vMerge/>
            <w:tcBorders>
              <w:top w:val="nil"/>
              <w:left w:val="nil"/>
              <w:bottom w:val="nil"/>
              <w:right w:val="nil"/>
            </w:tcBorders>
            <w:shd w:val="clear" w:color="auto" w:fill="BFBFBF"/>
            <w:tcMar>
              <w:top w:w="40" w:type="dxa"/>
              <w:left w:w="40" w:type="dxa"/>
              <w:bottom w:w="40" w:type="dxa"/>
              <w:right w:w="40" w:type="dxa"/>
            </w:tcMar>
            <w:vAlign w:val="center"/>
          </w:tcPr>
          <w:p w14:paraId="410716D5" w14:textId="77777777" w:rsidR="007E74C0" w:rsidRDefault="007E74C0">
            <w:pPr>
              <w:widowControl w:val="0"/>
              <w:spacing w:line="240" w:lineRule="auto"/>
              <w:rPr>
                <w:rFonts w:ascii="Times New Roman" w:eastAsia="Times New Roman" w:hAnsi="Times New Roman" w:cs="Times New Roman"/>
                <w:sz w:val="20"/>
                <w:szCs w:val="20"/>
              </w:rPr>
            </w:pPr>
          </w:p>
        </w:tc>
        <w:tc>
          <w:tcPr>
            <w:tcW w:w="660" w:type="dxa"/>
            <w:tcBorders>
              <w:top w:val="nil"/>
              <w:left w:val="nil"/>
              <w:bottom w:val="nil"/>
              <w:right w:val="nil"/>
            </w:tcBorders>
            <w:shd w:val="clear" w:color="auto" w:fill="BFBFBF"/>
            <w:tcMar>
              <w:top w:w="40" w:type="dxa"/>
              <w:left w:w="40" w:type="dxa"/>
              <w:bottom w:w="40" w:type="dxa"/>
              <w:right w:w="40" w:type="dxa"/>
            </w:tcMar>
            <w:vAlign w:val="center"/>
          </w:tcPr>
          <w:p w14:paraId="4803C05F"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41(3)</w:t>
            </w:r>
          </w:p>
        </w:tc>
        <w:tc>
          <w:tcPr>
            <w:tcW w:w="3330" w:type="dxa"/>
            <w:tcBorders>
              <w:top w:val="nil"/>
              <w:left w:val="nil"/>
              <w:bottom w:val="nil"/>
              <w:right w:val="nil"/>
            </w:tcBorders>
            <w:shd w:val="clear" w:color="auto" w:fill="BFBFBF"/>
            <w:tcMar>
              <w:top w:w="40" w:type="dxa"/>
              <w:left w:w="40" w:type="dxa"/>
              <w:bottom w:w="40" w:type="dxa"/>
              <w:right w:w="40" w:type="dxa"/>
            </w:tcMar>
            <w:vAlign w:val="center"/>
          </w:tcPr>
          <w:p w14:paraId="52F7D1EE"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Medina, López-Fuentes, Valdez e Jiménez</w:t>
            </w:r>
          </w:p>
        </w:tc>
        <w:tc>
          <w:tcPr>
            <w:tcW w:w="3105" w:type="dxa"/>
            <w:tcBorders>
              <w:top w:val="nil"/>
              <w:left w:val="nil"/>
              <w:bottom w:val="nil"/>
              <w:right w:val="nil"/>
            </w:tcBorders>
            <w:shd w:val="clear" w:color="auto" w:fill="BFBFBF"/>
            <w:tcMar>
              <w:top w:w="40" w:type="dxa"/>
              <w:left w:w="40" w:type="dxa"/>
              <w:bottom w:w="40" w:type="dxa"/>
              <w:right w:w="40" w:type="dxa"/>
            </w:tcMar>
            <w:vAlign w:val="center"/>
          </w:tcPr>
          <w:p w14:paraId="083D7400"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Família (escolha do par e estereótipo de gênero)</w:t>
            </w:r>
          </w:p>
        </w:tc>
        <w:tc>
          <w:tcPr>
            <w:tcW w:w="1500" w:type="dxa"/>
            <w:tcBorders>
              <w:top w:val="nil"/>
              <w:left w:val="nil"/>
              <w:bottom w:val="nil"/>
              <w:right w:val="nil"/>
            </w:tcBorders>
            <w:shd w:val="clear" w:color="auto" w:fill="BFBFBF"/>
            <w:tcMar>
              <w:top w:w="40" w:type="dxa"/>
              <w:left w:w="40" w:type="dxa"/>
              <w:bottom w:w="40" w:type="dxa"/>
              <w:right w:w="40" w:type="dxa"/>
            </w:tcMar>
            <w:vAlign w:val="center"/>
          </w:tcPr>
          <w:p w14:paraId="3897E3FD"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r w:rsidR="007E74C0" w14:paraId="1B699EDA" w14:textId="77777777">
        <w:trPr>
          <w:trHeight w:val="239"/>
        </w:trPr>
        <w:tc>
          <w:tcPr>
            <w:tcW w:w="555" w:type="dxa"/>
            <w:tcBorders>
              <w:top w:val="nil"/>
              <w:left w:val="nil"/>
              <w:bottom w:val="nil"/>
              <w:right w:val="nil"/>
            </w:tcBorders>
            <w:tcMar>
              <w:top w:w="40" w:type="dxa"/>
              <w:left w:w="40" w:type="dxa"/>
              <w:bottom w:w="40" w:type="dxa"/>
              <w:right w:w="40" w:type="dxa"/>
            </w:tcMar>
            <w:vAlign w:val="center"/>
          </w:tcPr>
          <w:p w14:paraId="7516E167"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2008</w:t>
            </w:r>
          </w:p>
        </w:tc>
        <w:tc>
          <w:tcPr>
            <w:tcW w:w="660" w:type="dxa"/>
            <w:tcBorders>
              <w:top w:val="nil"/>
              <w:left w:val="nil"/>
              <w:bottom w:val="nil"/>
              <w:right w:val="nil"/>
            </w:tcBorders>
            <w:tcMar>
              <w:top w:w="40" w:type="dxa"/>
              <w:left w:w="40" w:type="dxa"/>
              <w:bottom w:w="40" w:type="dxa"/>
              <w:right w:w="40" w:type="dxa"/>
            </w:tcMar>
            <w:vAlign w:val="center"/>
          </w:tcPr>
          <w:p w14:paraId="09D212D9"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42(1)</w:t>
            </w:r>
          </w:p>
        </w:tc>
        <w:tc>
          <w:tcPr>
            <w:tcW w:w="3330" w:type="dxa"/>
            <w:tcBorders>
              <w:top w:val="nil"/>
              <w:left w:val="nil"/>
              <w:bottom w:val="nil"/>
              <w:right w:val="nil"/>
            </w:tcBorders>
            <w:tcMar>
              <w:top w:w="40" w:type="dxa"/>
              <w:left w:w="40" w:type="dxa"/>
              <w:bottom w:w="40" w:type="dxa"/>
              <w:right w:w="40" w:type="dxa"/>
            </w:tcMar>
            <w:vAlign w:val="center"/>
          </w:tcPr>
          <w:p w14:paraId="5B29CDFF"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Hennigen e Guareschi</w:t>
            </w:r>
          </w:p>
        </w:tc>
        <w:tc>
          <w:tcPr>
            <w:tcW w:w="3105" w:type="dxa"/>
            <w:tcBorders>
              <w:top w:val="nil"/>
              <w:left w:val="nil"/>
              <w:bottom w:val="nil"/>
              <w:right w:val="nil"/>
            </w:tcBorders>
            <w:tcMar>
              <w:top w:w="40" w:type="dxa"/>
              <w:left w:w="40" w:type="dxa"/>
              <w:bottom w:w="40" w:type="dxa"/>
              <w:right w:w="40" w:type="dxa"/>
            </w:tcMar>
            <w:vAlign w:val="center"/>
          </w:tcPr>
          <w:p w14:paraId="6DD08E32"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Família (estereótipo, parentalidade)</w:t>
            </w:r>
          </w:p>
        </w:tc>
        <w:tc>
          <w:tcPr>
            <w:tcW w:w="1500" w:type="dxa"/>
            <w:tcBorders>
              <w:top w:val="nil"/>
              <w:left w:val="nil"/>
              <w:bottom w:val="nil"/>
              <w:right w:val="nil"/>
            </w:tcBorders>
            <w:tcMar>
              <w:top w:w="40" w:type="dxa"/>
              <w:left w:w="40" w:type="dxa"/>
              <w:bottom w:w="40" w:type="dxa"/>
              <w:right w:w="40" w:type="dxa"/>
            </w:tcMar>
            <w:vAlign w:val="center"/>
          </w:tcPr>
          <w:p w14:paraId="74EBF6D7"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Brasil</w:t>
            </w:r>
          </w:p>
        </w:tc>
      </w:tr>
      <w:tr w:rsidR="007E74C0" w14:paraId="45F1BA7A" w14:textId="77777777">
        <w:trPr>
          <w:trHeight w:val="239"/>
        </w:trPr>
        <w:tc>
          <w:tcPr>
            <w:tcW w:w="555" w:type="dxa"/>
            <w:tcBorders>
              <w:top w:val="nil"/>
              <w:left w:val="nil"/>
              <w:bottom w:val="nil"/>
              <w:right w:val="nil"/>
            </w:tcBorders>
            <w:shd w:val="clear" w:color="auto" w:fill="BFBFBF"/>
            <w:tcMar>
              <w:top w:w="40" w:type="dxa"/>
              <w:left w:w="40" w:type="dxa"/>
              <w:bottom w:w="40" w:type="dxa"/>
              <w:right w:w="40" w:type="dxa"/>
            </w:tcMar>
            <w:vAlign w:val="center"/>
          </w:tcPr>
          <w:p w14:paraId="3DFFD7B4"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2009</w:t>
            </w:r>
          </w:p>
        </w:tc>
        <w:tc>
          <w:tcPr>
            <w:tcW w:w="660" w:type="dxa"/>
            <w:tcBorders>
              <w:top w:val="nil"/>
              <w:left w:val="nil"/>
              <w:bottom w:val="nil"/>
              <w:right w:val="nil"/>
            </w:tcBorders>
            <w:shd w:val="clear" w:color="auto" w:fill="BFBFBF"/>
            <w:tcMar>
              <w:top w:w="40" w:type="dxa"/>
              <w:left w:w="40" w:type="dxa"/>
              <w:bottom w:w="40" w:type="dxa"/>
              <w:right w:w="40" w:type="dxa"/>
            </w:tcMar>
            <w:vAlign w:val="center"/>
          </w:tcPr>
          <w:p w14:paraId="1B02EB4F"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43(1)</w:t>
            </w:r>
          </w:p>
        </w:tc>
        <w:tc>
          <w:tcPr>
            <w:tcW w:w="3330" w:type="dxa"/>
            <w:tcBorders>
              <w:top w:val="nil"/>
              <w:left w:val="nil"/>
              <w:bottom w:val="nil"/>
              <w:right w:val="nil"/>
            </w:tcBorders>
            <w:shd w:val="clear" w:color="auto" w:fill="BFBFBF"/>
            <w:tcMar>
              <w:top w:w="40" w:type="dxa"/>
              <w:left w:w="40" w:type="dxa"/>
              <w:bottom w:w="40" w:type="dxa"/>
              <w:right w:w="40" w:type="dxa"/>
            </w:tcMar>
            <w:vAlign w:val="center"/>
          </w:tcPr>
          <w:p w14:paraId="5A0A0426"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Toro e Padilla-Díaz</w:t>
            </w:r>
          </w:p>
        </w:tc>
        <w:tc>
          <w:tcPr>
            <w:tcW w:w="3105" w:type="dxa"/>
            <w:tcBorders>
              <w:top w:val="nil"/>
              <w:left w:val="nil"/>
              <w:bottom w:val="nil"/>
              <w:right w:val="nil"/>
            </w:tcBorders>
            <w:shd w:val="clear" w:color="auto" w:fill="BFBFBF"/>
            <w:tcMar>
              <w:top w:w="40" w:type="dxa"/>
              <w:left w:w="40" w:type="dxa"/>
              <w:bottom w:w="40" w:type="dxa"/>
              <w:right w:w="40" w:type="dxa"/>
            </w:tcMar>
            <w:vAlign w:val="center"/>
          </w:tcPr>
          <w:p w14:paraId="4D4E0676"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Família (práticas de equidade)</w:t>
            </w:r>
          </w:p>
        </w:tc>
        <w:tc>
          <w:tcPr>
            <w:tcW w:w="1500" w:type="dxa"/>
            <w:tcBorders>
              <w:top w:val="nil"/>
              <w:left w:val="nil"/>
              <w:bottom w:val="nil"/>
              <w:right w:val="nil"/>
            </w:tcBorders>
            <w:shd w:val="clear" w:color="auto" w:fill="BFBFBF"/>
            <w:tcMar>
              <w:top w:w="40" w:type="dxa"/>
              <w:left w:w="40" w:type="dxa"/>
              <w:bottom w:w="40" w:type="dxa"/>
              <w:right w:w="40" w:type="dxa"/>
            </w:tcMar>
            <w:vAlign w:val="center"/>
          </w:tcPr>
          <w:p w14:paraId="455AC2D8"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Porto Rico</w:t>
            </w:r>
          </w:p>
        </w:tc>
      </w:tr>
      <w:tr w:rsidR="007E74C0" w14:paraId="70F6CF80" w14:textId="77777777">
        <w:trPr>
          <w:trHeight w:val="239"/>
        </w:trPr>
        <w:tc>
          <w:tcPr>
            <w:tcW w:w="555" w:type="dxa"/>
            <w:tcBorders>
              <w:top w:val="nil"/>
              <w:left w:val="nil"/>
              <w:bottom w:val="nil"/>
              <w:right w:val="nil"/>
            </w:tcBorders>
            <w:tcMar>
              <w:top w:w="40" w:type="dxa"/>
              <w:left w:w="40" w:type="dxa"/>
              <w:bottom w:w="40" w:type="dxa"/>
              <w:right w:w="40" w:type="dxa"/>
            </w:tcMar>
            <w:vAlign w:val="center"/>
          </w:tcPr>
          <w:p w14:paraId="658BA446"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2010</w:t>
            </w:r>
          </w:p>
        </w:tc>
        <w:tc>
          <w:tcPr>
            <w:tcW w:w="660" w:type="dxa"/>
            <w:tcBorders>
              <w:top w:val="nil"/>
              <w:left w:val="nil"/>
              <w:bottom w:val="nil"/>
              <w:right w:val="nil"/>
            </w:tcBorders>
            <w:tcMar>
              <w:top w:w="40" w:type="dxa"/>
              <w:left w:w="40" w:type="dxa"/>
              <w:bottom w:w="40" w:type="dxa"/>
              <w:right w:w="40" w:type="dxa"/>
            </w:tcMar>
            <w:vAlign w:val="center"/>
          </w:tcPr>
          <w:p w14:paraId="3929F5FC"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44(1)</w:t>
            </w:r>
          </w:p>
        </w:tc>
        <w:tc>
          <w:tcPr>
            <w:tcW w:w="3330" w:type="dxa"/>
            <w:tcBorders>
              <w:top w:val="nil"/>
              <w:left w:val="nil"/>
              <w:bottom w:val="nil"/>
              <w:right w:val="nil"/>
            </w:tcBorders>
            <w:tcMar>
              <w:top w:w="40" w:type="dxa"/>
              <w:left w:w="40" w:type="dxa"/>
              <w:bottom w:w="40" w:type="dxa"/>
              <w:right w:w="40" w:type="dxa"/>
            </w:tcMar>
            <w:vAlign w:val="center"/>
          </w:tcPr>
          <w:p w14:paraId="19CE953F"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Díaz-Marroquín, Rodríguez-Ortega e Flores-Angeles</w:t>
            </w:r>
          </w:p>
        </w:tc>
        <w:tc>
          <w:tcPr>
            <w:tcW w:w="3105" w:type="dxa"/>
            <w:tcBorders>
              <w:top w:val="nil"/>
              <w:left w:val="nil"/>
              <w:bottom w:val="nil"/>
              <w:right w:val="nil"/>
            </w:tcBorders>
            <w:tcMar>
              <w:top w:w="40" w:type="dxa"/>
              <w:left w:w="40" w:type="dxa"/>
              <w:bottom w:w="40" w:type="dxa"/>
              <w:right w:w="40" w:type="dxa"/>
            </w:tcMar>
            <w:vAlign w:val="center"/>
          </w:tcPr>
          <w:p w14:paraId="25405D6B"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Terapia familiar (gênero, poder)</w:t>
            </w:r>
          </w:p>
          <w:p w14:paraId="314C88F2" w14:textId="77777777" w:rsidR="007E74C0" w:rsidRDefault="007E74C0">
            <w:pPr>
              <w:widowControl w:val="0"/>
              <w:rPr>
                <w:rFonts w:ascii="Times New Roman" w:eastAsia="Times New Roman" w:hAnsi="Times New Roman" w:cs="Times New Roman"/>
                <w:sz w:val="20"/>
                <w:szCs w:val="20"/>
              </w:rPr>
            </w:pPr>
          </w:p>
        </w:tc>
        <w:tc>
          <w:tcPr>
            <w:tcW w:w="1500" w:type="dxa"/>
            <w:tcBorders>
              <w:top w:val="nil"/>
              <w:left w:val="nil"/>
              <w:bottom w:val="nil"/>
              <w:right w:val="nil"/>
            </w:tcBorders>
            <w:tcMar>
              <w:top w:w="40" w:type="dxa"/>
              <w:left w:w="40" w:type="dxa"/>
              <w:bottom w:w="40" w:type="dxa"/>
              <w:right w:w="40" w:type="dxa"/>
            </w:tcMar>
            <w:vAlign w:val="center"/>
          </w:tcPr>
          <w:p w14:paraId="602E72CB"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r w:rsidR="007E74C0" w14:paraId="3409E6C6" w14:textId="77777777">
        <w:trPr>
          <w:trHeight w:val="239"/>
        </w:trPr>
        <w:tc>
          <w:tcPr>
            <w:tcW w:w="555" w:type="dxa"/>
            <w:tcBorders>
              <w:top w:val="nil"/>
              <w:left w:val="nil"/>
              <w:bottom w:val="single" w:sz="12" w:space="0" w:color="000000"/>
              <w:right w:val="nil"/>
            </w:tcBorders>
            <w:shd w:val="clear" w:color="auto" w:fill="BFBFBF"/>
            <w:tcMar>
              <w:top w:w="40" w:type="dxa"/>
              <w:left w:w="40" w:type="dxa"/>
              <w:bottom w:w="40" w:type="dxa"/>
              <w:right w:w="40" w:type="dxa"/>
            </w:tcMar>
            <w:vAlign w:val="center"/>
          </w:tcPr>
          <w:p w14:paraId="47836812"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2012</w:t>
            </w:r>
          </w:p>
        </w:tc>
        <w:tc>
          <w:tcPr>
            <w:tcW w:w="660" w:type="dxa"/>
            <w:tcBorders>
              <w:top w:val="nil"/>
              <w:left w:val="nil"/>
              <w:bottom w:val="single" w:sz="12" w:space="0" w:color="000000"/>
              <w:right w:val="nil"/>
            </w:tcBorders>
            <w:shd w:val="clear" w:color="auto" w:fill="BFBFBF"/>
            <w:tcMar>
              <w:top w:w="40" w:type="dxa"/>
              <w:left w:w="40" w:type="dxa"/>
              <w:bottom w:w="40" w:type="dxa"/>
              <w:right w:w="40" w:type="dxa"/>
            </w:tcMar>
            <w:vAlign w:val="center"/>
          </w:tcPr>
          <w:p w14:paraId="173C5D13"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46(2)</w:t>
            </w:r>
          </w:p>
        </w:tc>
        <w:tc>
          <w:tcPr>
            <w:tcW w:w="3330" w:type="dxa"/>
            <w:tcBorders>
              <w:top w:val="nil"/>
              <w:left w:val="nil"/>
              <w:bottom w:val="single" w:sz="12" w:space="0" w:color="000000"/>
              <w:right w:val="nil"/>
            </w:tcBorders>
            <w:shd w:val="clear" w:color="auto" w:fill="BFBFBF"/>
            <w:tcMar>
              <w:top w:w="40" w:type="dxa"/>
              <w:left w:w="40" w:type="dxa"/>
              <w:bottom w:w="40" w:type="dxa"/>
              <w:right w:w="40" w:type="dxa"/>
            </w:tcMar>
            <w:vAlign w:val="center"/>
          </w:tcPr>
          <w:p w14:paraId="01CB4FEA"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Levandowski; Barth, Munhós, Rödde e Wendland</w:t>
            </w:r>
          </w:p>
        </w:tc>
        <w:tc>
          <w:tcPr>
            <w:tcW w:w="3105" w:type="dxa"/>
            <w:tcBorders>
              <w:top w:val="nil"/>
              <w:left w:val="nil"/>
              <w:bottom w:val="single" w:sz="12" w:space="0" w:color="000000"/>
              <w:right w:val="nil"/>
            </w:tcBorders>
            <w:shd w:val="clear" w:color="auto" w:fill="BFBFBF"/>
            <w:tcMar>
              <w:top w:w="40" w:type="dxa"/>
              <w:left w:w="40" w:type="dxa"/>
              <w:bottom w:w="40" w:type="dxa"/>
              <w:right w:w="40" w:type="dxa"/>
            </w:tcMar>
            <w:vAlign w:val="center"/>
          </w:tcPr>
          <w:p w14:paraId="6FC56559" w14:textId="77777777" w:rsidR="007E74C0" w:rsidRDefault="00EA0911">
            <w:pPr>
              <w:widowControl w:val="0"/>
              <w:rPr>
                <w:rFonts w:ascii="Times New Roman" w:eastAsia="Times New Roman" w:hAnsi="Times New Roman" w:cs="Times New Roman"/>
                <w:strike/>
                <w:sz w:val="20"/>
                <w:szCs w:val="20"/>
              </w:rPr>
            </w:pPr>
            <w:r>
              <w:rPr>
                <w:rFonts w:ascii="Times New Roman" w:eastAsia="Times New Roman" w:hAnsi="Times New Roman" w:cs="Times New Roman"/>
                <w:sz w:val="20"/>
                <w:szCs w:val="20"/>
              </w:rPr>
              <w:t>Apoio familiar (gravidez na adolescência)</w:t>
            </w:r>
          </w:p>
        </w:tc>
        <w:tc>
          <w:tcPr>
            <w:tcW w:w="1500" w:type="dxa"/>
            <w:tcBorders>
              <w:top w:val="nil"/>
              <w:left w:val="nil"/>
              <w:bottom w:val="single" w:sz="12" w:space="0" w:color="000000"/>
              <w:right w:val="nil"/>
            </w:tcBorders>
            <w:shd w:val="clear" w:color="auto" w:fill="BFBFBF"/>
            <w:tcMar>
              <w:top w:w="40" w:type="dxa"/>
              <w:left w:w="40" w:type="dxa"/>
              <w:bottom w:w="40" w:type="dxa"/>
              <w:right w:w="40" w:type="dxa"/>
            </w:tcMar>
            <w:vAlign w:val="center"/>
          </w:tcPr>
          <w:p w14:paraId="02CE0106"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Brasil</w:t>
            </w:r>
          </w:p>
        </w:tc>
      </w:tr>
      <w:tr w:rsidR="007E74C0" w14:paraId="642FC430" w14:textId="77777777">
        <w:trPr>
          <w:trHeight w:val="239"/>
        </w:trPr>
        <w:tc>
          <w:tcPr>
            <w:tcW w:w="555" w:type="dxa"/>
            <w:tcBorders>
              <w:top w:val="single" w:sz="12" w:space="0" w:color="000000"/>
              <w:left w:val="nil"/>
              <w:bottom w:val="nil"/>
              <w:right w:val="nil"/>
            </w:tcBorders>
            <w:tcMar>
              <w:top w:w="19" w:type="dxa"/>
              <w:left w:w="19" w:type="dxa"/>
              <w:bottom w:w="19" w:type="dxa"/>
              <w:right w:w="19" w:type="dxa"/>
            </w:tcMar>
            <w:vAlign w:val="center"/>
          </w:tcPr>
          <w:p w14:paraId="7AE6F81F" w14:textId="77777777" w:rsidR="007E74C0" w:rsidRDefault="007E74C0">
            <w:pPr>
              <w:spacing w:line="240" w:lineRule="auto"/>
              <w:jc w:val="center"/>
              <w:rPr>
                <w:rFonts w:ascii="Times New Roman" w:eastAsia="Times New Roman" w:hAnsi="Times New Roman" w:cs="Times New Roman"/>
                <w:sz w:val="20"/>
                <w:szCs w:val="20"/>
              </w:rPr>
            </w:pPr>
          </w:p>
        </w:tc>
        <w:tc>
          <w:tcPr>
            <w:tcW w:w="660" w:type="dxa"/>
            <w:tcBorders>
              <w:top w:val="single" w:sz="12" w:space="0" w:color="000000"/>
              <w:left w:val="nil"/>
              <w:bottom w:val="nil"/>
              <w:right w:val="nil"/>
            </w:tcBorders>
            <w:tcMar>
              <w:top w:w="19" w:type="dxa"/>
              <w:left w:w="19" w:type="dxa"/>
              <w:bottom w:w="19" w:type="dxa"/>
              <w:right w:w="19" w:type="dxa"/>
            </w:tcMar>
            <w:vAlign w:val="center"/>
          </w:tcPr>
          <w:p w14:paraId="09C9A4F7" w14:textId="77777777" w:rsidR="007E74C0" w:rsidRDefault="007E74C0">
            <w:pPr>
              <w:spacing w:line="240" w:lineRule="auto"/>
              <w:jc w:val="center"/>
              <w:rPr>
                <w:rFonts w:ascii="Times New Roman" w:eastAsia="Times New Roman" w:hAnsi="Times New Roman" w:cs="Times New Roman"/>
                <w:sz w:val="20"/>
                <w:szCs w:val="20"/>
              </w:rPr>
            </w:pPr>
          </w:p>
        </w:tc>
        <w:tc>
          <w:tcPr>
            <w:tcW w:w="3330" w:type="dxa"/>
            <w:tcBorders>
              <w:top w:val="single" w:sz="12" w:space="0" w:color="000000"/>
              <w:left w:val="nil"/>
              <w:bottom w:val="nil"/>
              <w:right w:val="nil"/>
            </w:tcBorders>
            <w:tcMar>
              <w:top w:w="19" w:type="dxa"/>
              <w:left w:w="19" w:type="dxa"/>
              <w:bottom w:w="19" w:type="dxa"/>
              <w:right w:w="19" w:type="dxa"/>
            </w:tcMar>
            <w:vAlign w:val="center"/>
          </w:tcPr>
          <w:p w14:paraId="17CA5A32" w14:textId="77777777" w:rsidR="007E74C0" w:rsidRDefault="007E74C0">
            <w:pPr>
              <w:spacing w:line="240" w:lineRule="auto"/>
              <w:jc w:val="center"/>
              <w:rPr>
                <w:rFonts w:ascii="Times New Roman" w:eastAsia="Times New Roman" w:hAnsi="Times New Roman" w:cs="Times New Roman"/>
                <w:sz w:val="20"/>
                <w:szCs w:val="20"/>
              </w:rPr>
            </w:pPr>
          </w:p>
        </w:tc>
        <w:tc>
          <w:tcPr>
            <w:tcW w:w="3105" w:type="dxa"/>
            <w:tcBorders>
              <w:top w:val="single" w:sz="12" w:space="0" w:color="000000"/>
              <w:left w:val="nil"/>
              <w:bottom w:val="nil"/>
              <w:right w:val="nil"/>
            </w:tcBorders>
            <w:tcMar>
              <w:top w:w="19" w:type="dxa"/>
              <w:left w:w="19" w:type="dxa"/>
              <w:bottom w:w="19" w:type="dxa"/>
              <w:right w:w="19" w:type="dxa"/>
            </w:tcMar>
            <w:vAlign w:val="center"/>
          </w:tcPr>
          <w:p w14:paraId="48F2E80F" w14:textId="77777777" w:rsidR="007E74C0" w:rsidRDefault="007E74C0">
            <w:pPr>
              <w:spacing w:line="240" w:lineRule="auto"/>
              <w:jc w:val="center"/>
              <w:rPr>
                <w:rFonts w:ascii="Times New Roman" w:eastAsia="Times New Roman" w:hAnsi="Times New Roman" w:cs="Times New Roman"/>
                <w:sz w:val="20"/>
                <w:szCs w:val="20"/>
              </w:rPr>
            </w:pPr>
          </w:p>
        </w:tc>
        <w:tc>
          <w:tcPr>
            <w:tcW w:w="1500" w:type="dxa"/>
            <w:tcBorders>
              <w:top w:val="single" w:sz="12" w:space="0" w:color="000000"/>
              <w:left w:val="nil"/>
              <w:bottom w:val="nil"/>
              <w:right w:val="nil"/>
            </w:tcBorders>
            <w:tcMar>
              <w:top w:w="19" w:type="dxa"/>
              <w:left w:w="19" w:type="dxa"/>
              <w:bottom w:w="19" w:type="dxa"/>
              <w:right w:w="19" w:type="dxa"/>
            </w:tcMar>
            <w:vAlign w:val="center"/>
          </w:tcPr>
          <w:p w14:paraId="29BD749F" w14:textId="77777777" w:rsidR="007E74C0" w:rsidRDefault="007E74C0">
            <w:pPr>
              <w:spacing w:line="240" w:lineRule="auto"/>
              <w:jc w:val="center"/>
              <w:rPr>
                <w:rFonts w:ascii="Times New Roman" w:eastAsia="Times New Roman" w:hAnsi="Times New Roman" w:cs="Times New Roman"/>
                <w:sz w:val="20"/>
                <w:szCs w:val="20"/>
              </w:rPr>
            </w:pPr>
          </w:p>
        </w:tc>
      </w:tr>
    </w:tbl>
    <w:p w14:paraId="178649C5"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escolha de par romântico e ajuste diádico, que compareceu no Tema 1, reaparece novamente, dessa vez considerando a existência dos filhos para a participação na pesquisa, que investigou a desejabilidade social e engrandecimento conjugal em casais heterossexuais no México (IJP, 2007). Neste estudo, emergiram padrões heteronormativos estereotipados, como homens no papel de provedores de estabilidade material e afetiva e a satisfação e frequência sexual enquanto fatores de reforço natural de vínculo entre casais, em especial para os homens para quem haveria maior liberdade sexual na cultura latina, enquanto as mulheres emergem como potencialmente “boas” para gerar filhos e desempenhar cuidado. </w:t>
      </w:r>
    </w:p>
    <w:p w14:paraId="15C8C65D"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De modo geral, os outros estudos do subtema </w:t>
      </w:r>
      <w:r>
        <w:rPr>
          <w:rFonts w:ascii="Times New Roman" w:eastAsia="Times New Roman" w:hAnsi="Times New Roman" w:cs="Times New Roman"/>
          <w:sz w:val="24"/>
          <w:szCs w:val="24"/>
          <w:highlight w:val="white"/>
        </w:rPr>
        <w:t xml:space="preserve">focaram as relações familiares e papéis sociais (feminino e masculino), indicando mudanças significativas nas relações familiares e conjugais em consequência da inserção das mulheres no mercado de trabalho, por demandas estruturais e macroeconômicas e aumento da escolaridade feminina </w:t>
      </w:r>
      <w:r>
        <w:rPr>
          <w:rFonts w:ascii="Times New Roman" w:eastAsia="Times New Roman" w:hAnsi="Times New Roman" w:cs="Times New Roman"/>
          <w:sz w:val="24"/>
          <w:szCs w:val="24"/>
        </w:rPr>
        <w:t>(IJP, 2010; IJP, 2008; IJP, 2006)</w:t>
      </w:r>
      <w:r>
        <w:rPr>
          <w:rFonts w:ascii="Times New Roman" w:eastAsia="Times New Roman" w:hAnsi="Times New Roman" w:cs="Times New Roman"/>
          <w:sz w:val="24"/>
          <w:szCs w:val="24"/>
          <w:highlight w:val="white"/>
        </w:rPr>
        <w:t xml:space="preserve">. Essas mudanças perpassariam a busca por relações equânimes, sobretudo nos cuidados com filhos, promovendo espaços para o exercício da paternidade, co-participação nos afazeres domésticos e menor tolerância (das mulheres) com relacionamentos desfavoráveis. A organização das famílias também se teria alterado, com aumento significativo de casamentos informais, embora os artigos não se refiram, em regra, a famílias e casais com diferentes orientações sexuais e a arranjos familiares que fujam da cisheteronormatividade. </w:t>
      </w:r>
    </w:p>
    <w:p w14:paraId="526E8F50"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 modo específico, destacamos um artigo sobre a representação de pai e mãe em mídias no Brasil, em que foi analisado o discurso do que é ser homem e mulher, assim como analisar as concepções de gênero, nessa sociedade. Identificaram concepções do feminino e masculino associadas à sexualidade, sensualidade, bem como uma relação intrínseca entre feminilidade e maternidade, abordando as relações de poder presentes nessas concepções (IJP, 2008). Essas relações de poder são exemplificadas por um estudo de caso por meio de terapia familiar feminista, em que identificaram dificuldades de um casal mexicano em ressignificar as relações de poder, após o homem se aposentar, dada a sensação de inadequação ao universo doméstico dessa figura masculina (IJP, 2010). </w:t>
      </w:r>
    </w:p>
    <w:p w14:paraId="767CCC5F"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década anterior, enfim, outro estudo realizado no eixo Brasil-Argentina reafirmou a visão das mulheres como figuras importantes nas mudanças sociais (IJP, 2007), destacando mudanças na família, notadamente nas maternidades e maternagens, como se verá adiante. </w:t>
      </w:r>
    </w:p>
    <w:p w14:paraId="2CB95053" w14:textId="77777777" w:rsidR="007E74C0" w:rsidRDefault="007E74C0">
      <w:pPr>
        <w:spacing w:line="240" w:lineRule="auto"/>
        <w:jc w:val="both"/>
        <w:rPr>
          <w:rFonts w:ascii="Times New Roman" w:eastAsia="Times New Roman" w:hAnsi="Times New Roman" w:cs="Times New Roman"/>
          <w:sz w:val="24"/>
          <w:szCs w:val="24"/>
        </w:rPr>
      </w:pPr>
    </w:p>
    <w:p w14:paraId="5C4B44B6" w14:textId="77777777" w:rsidR="007E74C0" w:rsidRDefault="00EA0911">
      <w:pPr>
        <w:spacing w:line="240" w:lineRule="auto"/>
        <w:jc w:val="both"/>
        <w:rPr>
          <w:rFonts w:ascii="Times New Roman" w:eastAsia="Times New Roman" w:hAnsi="Times New Roman" w:cs="Times New Roman"/>
          <w:color w:val="1C4587"/>
          <w:sz w:val="24"/>
          <w:szCs w:val="24"/>
        </w:rPr>
      </w:pPr>
      <w:r>
        <w:rPr>
          <w:rFonts w:ascii="Times New Roman" w:eastAsia="Times New Roman" w:hAnsi="Times New Roman" w:cs="Times New Roman"/>
          <w:b/>
          <w:sz w:val="24"/>
          <w:szCs w:val="24"/>
        </w:rPr>
        <w:t xml:space="preserve">4.3.2 </w:t>
      </w:r>
      <w:r>
        <w:rPr>
          <w:rFonts w:ascii="Times New Roman" w:eastAsia="Times New Roman" w:hAnsi="Times New Roman" w:cs="Times New Roman"/>
          <w:b/>
          <w:i/>
          <w:sz w:val="24"/>
          <w:szCs w:val="24"/>
        </w:rPr>
        <w:t>Maternidades e maternagens</w:t>
      </w:r>
      <w:r>
        <w:rPr>
          <w:rFonts w:ascii="Times New Roman" w:eastAsia="Times New Roman" w:hAnsi="Times New Roman" w:cs="Times New Roman"/>
          <w:sz w:val="24"/>
          <w:szCs w:val="24"/>
        </w:rPr>
        <w:t>. Nesse subtema, há nove artigos abordaram o papel da mulher que gesta e que se torna mãe como responsável pelo desenvolvimento e a constituição de personalidade dos filhos, com critérios de análise sócio-econômicos-culturais (Tabela 7).</w:t>
      </w:r>
    </w:p>
    <w:p w14:paraId="4E97DBAC" w14:textId="77777777" w:rsidR="007E74C0" w:rsidRDefault="007E74C0">
      <w:pPr>
        <w:spacing w:line="240" w:lineRule="auto"/>
        <w:jc w:val="both"/>
        <w:rPr>
          <w:rFonts w:ascii="Times New Roman" w:eastAsia="Times New Roman" w:hAnsi="Times New Roman" w:cs="Times New Roman"/>
          <w:color w:val="1C4587"/>
          <w:sz w:val="24"/>
          <w:szCs w:val="24"/>
          <w:highlight w:val="white"/>
        </w:rPr>
      </w:pPr>
    </w:p>
    <w:p w14:paraId="32D3425B" w14:textId="77777777" w:rsidR="007E74C0" w:rsidRDefault="00EA0911">
      <w:pPr>
        <w:jc w:val="both"/>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sz w:val="24"/>
          <w:szCs w:val="24"/>
        </w:rPr>
        <w:t>TABELA 7. Quadro de artigos - Subtema 2 (Tema 3)</w:t>
      </w:r>
    </w:p>
    <w:tbl>
      <w:tblPr>
        <w:tblStyle w:val="a6"/>
        <w:tblW w:w="903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555"/>
        <w:gridCol w:w="780"/>
        <w:gridCol w:w="2730"/>
        <w:gridCol w:w="3450"/>
        <w:gridCol w:w="1515"/>
      </w:tblGrid>
      <w:tr w:rsidR="007E74C0" w14:paraId="142411C0" w14:textId="77777777">
        <w:trPr>
          <w:trHeight w:val="460"/>
        </w:trPr>
        <w:tc>
          <w:tcPr>
            <w:tcW w:w="1335" w:type="dxa"/>
            <w:gridSpan w:val="2"/>
            <w:tcBorders>
              <w:top w:val="single" w:sz="12" w:space="0" w:color="000000"/>
              <w:bottom w:val="single" w:sz="6" w:space="0" w:color="000000"/>
            </w:tcBorders>
          </w:tcPr>
          <w:p w14:paraId="6DA573F9"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Revista</w:t>
            </w:r>
          </w:p>
        </w:tc>
        <w:tc>
          <w:tcPr>
            <w:tcW w:w="2730" w:type="dxa"/>
            <w:vMerge w:val="restart"/>
            <w:tcBorders>
              <w:top w:val="single" w:sz="12" w:space="0" w:color="000000"/>
              <w:bottom w:val="single" w:sz="8" w:space="0" w:color="000000"/>
            </w:tcBorders>
            <w:vAlign w:val="center"/>
          </w:tcPr>
          <w:p w14:paraId="7F5F0C44"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Pessoa(s)</w:t>
            </w:r>
          </w:p>
          <w:p w14:paraId="7C6693CC"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autora(s)</w:t>
            </w:r>
          </w:p>
        </w:tc>
        <w:tc>
          <w:tcPr>
            <w:tcW w:w="3450" w:type="dxa"/>
            <w:vMerge w:val="restart"/>
            <w:tcBorders>
              <w:top w:val="single" w:sz="12" w:space="0" w:color="000000"/>
              <w:left w:val="nil"/>
              <w:bottom w:val="single" w:sz="8" w:space="0" w:color="000000"/>
            </w:tcBorders>
            <w:shd w:val="clear" w:color="auto" w:fill="auto"/>
            <w:tcMar>
              <w:top w:w="100" w:type="dxa"/>
              <w:left w:w="100" w:type="dxa"/>
              <w:bottom w:w="100" w:type="dxa"/>
              <w:right w:w="100" w:type="dxa"/>
            </w:tcMar>
            <w:vAlign w:val="center"/>
          </w:tcPr>
          <w:p w14:paraId="0640E622"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Conceito(s)</w:t>
            </w:r>
          </w:p>
          <w:p w14:paraId="02C964EC"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chave</w:t>
            </w:r>
          </w:p>
        </w:tc>
        <w:tc>
          <w:tcPr>
            <w:tcW w:w="1515" w:type="dxa"/>
            <w:vMerge w:val="restart"/>
            <w:tcBorders>
              <w:top w:val="single" w:sz="12" w:space="0" w:color="000000"/>
              <w:left w:val="nil"/>
              <w:bottom w:val="single" w:sz="8" w:space="0" w:color="000000"/>
            </w:tcBorders>
            <w:shd w:val="clear" w:color="auto" w:fill="auto"/>
            <w:tcMar>
              <w:top w:w="100" w:type="dxa"/>
              <w:left w:w="100" w:type="dxa"/>
              <w:bottom w:w="100" w:type="dxa"/>
              <w:right w:w="100" w:type="dxa"/>
            </w:tcMar>
            <w:vAlign w:val="center"/>
          </w:tcPr>
          <w:p w14:paraId="0331588D"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País(es)</w:t>
            </w:r>
          </w:p>
          <w:p w14:paraId="171ED026"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participante(s)</w:t>
            </w:r>
          </w:p>
        </w:tc>
      </w:tr>
      <w:tr w:rsidR="007E74C0" w14:paraId="67D7BB17" w14:textId="77777777">
        <w:trPr>
          <w:trHeight w:val="460"/>
        </w:trPr>
        <w:tc>
          <w:tcPr>
            <w:tcW w:w="555" w:type="dxa"/>
            <w:tcBorders>
              <w:top w:val="single" w:sz="6" w:space="0" w:color="000000"/>
              <w:bottom w:val="single" w:sz="12" w:space="0" w:color="000000"/>
              <w:right w:val="nil"/>
            </w:tcBorders>
            <w:shd w:val="clear" w:color="auto" w:fill="auto"/>
            <w:tcMar>
              <w:top w:w="100" w:type="dxa"/>
              <w:left w:w="100" w:type="dxa"/>
              <w:bottom w:w="100" w:type="dxa"/>
              <w:right w:w="100" w:type="dxa"/>
            </w:tcMar>
          </w:tcPr>
          <w:p w14:paraId="46C9BDB2" w14:textId="77777777" w:rsidR="007E74C0" w:rsidRDefault="00EA0911">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Ano</w:t>
            </w:r>
          </w:p>
        </w:tc>
        <w:tc>
          <w:tcPr>
            <w:tcW w:w="780" w:type="dxa"/>
            <w:tcBorders>
              <w:top w:val="nil"/>
              <w:left w:val="nil"/>
              <w:bottom w:val="single" w:sz="12" w:space="0" w:color="000000"/>
              <w:right w:val="nil"/>
            </w:tcBorders>
            <w:shd w:val="clear" w:color="auto" w:fill="auto"/>
            <w:tcMar>
              <w:top w:w="100" w:type="dxa"/>
              <w:left w:w="100" w:type="dxa"/>
              <w:bottom w:w="100" w:type="dxa"/>
              <w:right w:w="100" w:type="dxa"/>
            </w:tcMar>
          </w:tcPr>
          <w:p w14:paraId="447F403B"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 (n)</w:t>
            </w:r>
          </w:p>
        </w:tc>
        <w:tc>
          <w:tcPr>
            <w:tcW w:w="2730" w:type="dxa"/>
            <w:vMerge/>
            <w:tcBorders>
              <w:top w:val="single" w:sz="12" w:space="0" w:color="000000"/>
              <w:bottom w:val="single" w:sz="12" w:space="0" w:color="000000"/>
            </w:tcBorders>
            <w:vAlign w:val="center"/>
          </w:tcPr>
          <w:p w14:paraId="60CFF4A5" w14:textId="77777777" w:rsidR="007E74C0" w:rsidRDefault="007E74C0">
            <w:pPr>
              <w:widowControl w:val="0"/>
              <w:rPr>
                <w:rFonts w:ascii="Times New Roman" w:eastAsia="Times New Roman" w:hAnsi="Times New Roman" w:cs="Times New Roman"/>
                <w:sz w:val="20"/>
                <w:szCs w:val="20"/>
              </w:rPr>
            </w:pPr>
          </w:p>
        </w:tc>
        <w:tc>
          <w:tcPr>
            <w:tcW w:w="3450" w:type="dxa"/>
            <w:vMerge/>
            <w:tcBorders>
              <w:top w:val="single" w:sz="12" w:space="0" w:color="000000"/>
              <w:left w:val="nil"/>
              <w:bottom w:val="single" w:sz="12" w:space="0" w:color="000000"/>
            </w:tcBorders>
            <w:shd w:val="clear" w:color="auto" w:fill="auto"/>
            <w:tcMar>
              <w:top w:w="100" w:type="dxa"/>
              <w:left w:w="100" w:type="dxa"/>
              <w:bottom w:w="100" w:type="dxa"/>
              <w:right w:w="100" w:type="dxa"/>
            </w:tcMar>
            <w:vAlign w:val="center"/>
          </w:tcPr>
          <w:p w14:paraId="24E93649" w14:textId="77777777" w:rsidR="007E74C0" w:rsidRDefault="007E74C0">
            <w:pPr>
              <w:widowControl w:val="0"/>
              <w:rPr>
                <w:rFonts w:ascii="Times New Roman" w:eastAsia="Times New Roman" w:hAnsi="Times New Roman" w:cs="Times New Roman"/>
                <w:sz w:val="20"/>
                <w:szCs w:val="20"/>
              </w:rPr>
            </w:pPr>
          </w:p>
        </w:tc>
        <w:tc>
          <w:tcPr>
            <w:tcW w:w="1515" w:type="dxa"/>
            <w:vMerge/>
            <w:tcBorders>
              <w:top w:val="single" w:sz="12" w:space="0" w:color="000000"/>
              <w:left w:val="nil"/>
              <w:bottom w:val="single" w:sz="12" w:space="0" w:color="000000"/>
            </w:tcBorders>
            <w:shd w:val="clear" w:color="auto" w:fill="auto"/>
            <w:tcMar>
              <w:top w:w="100" w:type="dxa"/>
              <w:left w:w="100" w:type="dxa"/>
              <w:bottom w:w="100" w:type="dxa"/>
              <w:right w:w="100" w:type="dxa"/>
            </w:tcMar>
            <w:vAlign w:val="center"/>
          </w:tcPr>
          <w:p w14:paraId="21D447EB" w14:textId="77777777" w:rsidR="007E74C0" w:rsidRDefault="007E74C0">
            <w:pPr>
              <w:widowControl w:val="0"/>
              <w:rPr>
                <w:rFonts w:ascii="Times New Roman" w:eastAsia="Times New Roman" w:hAnsi="Times New Roman" w:cs="Times New Roman"/>
                <w:sz w:val="20"/>
                <w:szCs w:val="20"/>
              </w:rPr>
            </w:pPr>
          </w:p>
        </w:tc>
      </w:tr>
      <w:tr w:rsidR="007E74C0" w14:paraId="210DA541" w14:textId="77777777">
        <w:trPr>
          <w:trHeight w:val="198"/>
        </w:trPr>
        <w:tc>
          <w:tcPr>
            <w:tcW w:w="555" w:type="dxa"/>
            <w:tcBorders>
              <w:top w:val="single" w:sz="12" w:space="0" w:color="000000"/>
              <w:left w:val="nil"/>
              <w:bottom w:val="nil"/>
              <w:right w:val="nil"/>
            </w:tcBorders>
            <w:tcMar>
              <w:top w:w="40" w:type="dxa"/>
              <w:left w:w="40" w:type="dxa"/>
              <w:bottom w:w="40" w:type="dxa"/>
              <w:right w:w="40" w:type="dxa"/>
            </w:tcMar>
            <w:vAlign w:val="center"/>
          </w:tcPr>
          <w:p w14:paraId="5A314E73"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1976</w:t>
            </w:r>
          </w:p>
        </w:tc>
        <w:tc>
          <w:tcPr>
            <w:tcW w:w="780" w:type="dxa"/>
            <w:tcBorders>
              <w:top w:val="single" w:sz="12" w:space="0" w:color="000000"/>
              <w:left w:val="nil"/>
              <w:bottom w:val="nil"/>
              <w:right w:val="nil"/>
            </w:tcBorders>
            <w:tcMar>
              <w:top w:w="40" w:type="dxa"/>
              <w:left w:w="40" w:type="dxa"/>
              <w:bottom w:w="40" w:type="dxa"/>
              <w:right w:w="40" w:type="dxa"/>
            </w:tcMar>
            <w:vAlign w:val="center"/>
          </w:tcPr>
          <w:p w14:paraId="309B7D9A"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 (1,2)</w:t>
            </w:r>
          </w:p>
        </w:tc>
        <w:tc>
          <w:tcPr>
            <w:tcW w:w="2730" w:type="dxa"/>
            <w:tcBorders>
              <w:top w:val="single" w:sz="12" w:space="0" w:color="000000"/>
              <w:left w:val="nil"/>
              <w:bottom w:val="nil"/>
              <w:right w:val="nil"/>
            </w:tcBorders>
            <w:tcMar>
              <w:top w:w="40" w:type="dxa"/>
              <w:left w:w="40" w:type="dxa"/>
              <w:bottom w:w="40" w:type="dxa"/>
              <w:right w:w="40" w:type="dxa"/>
            </w:tcMar>
            <w:vAlign w:val="center"/>
          </w:tcPr>
          <w:p w14:paraId="582E3F08"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Santos e Garcia</w:t>
            </w:r>
          </w:p>
        </w:tc>
        <w:tc>
          <w:tcPr>
            <w:tcW w:w="3450" w:type="dxa"/>
            <w:tcBorders>
              <w:top w:val="single" w:sz="12" w:space="0" w:color="000000"/>
              <w:left w:val="nil"/>
              <w:bottom w:val="nil"/>
              <w:right w:val="nil"/>
            </w:tcBorders>
            <w:tcMar>
              <w:top w:w="40" w:type="dxa"/>
              <w:left w:w="40" w:type="dxa"/>
              <w:bottom w:w="40" w:type="dxa"/>
              <w:right w:w="40" w:type="dxa"/>
            </w:tcMar>
            <w:vAlign w:val="center"/>
          </w:tcPr>
          <w:p w14:paraId="0134F7B1"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Maternidade (atitudes, diferenças)</w:t>
            </w:r>
          </w:p>
        </w:tc>
        <w:tc>
          <w:tcPr>
            <w:tcW w:w="1515" w:type="dxa"/>
            <w:tcBorders>
              <w:top w:val="single" w:sz="12" w:space="0" w:color="000000"/>
              <w:left w:val="nil"/>
              <w:bottom w:val="nil"/>
              <w:right w:val="nil"/>
            </w:tcBorders>
            <w:tcMar>
              <w:top w:w="40" w:type="dxa"/>
              <w:left w:w="40" w:type="dxa"/>
              <w:bottom w:w="40" w:type="dxa"/>
              <w:right w:w="40" w:type="dxa"/>
            </w:tcMar>
            <w:vAlign w:val="center"/>
          </w:tcPr>
          <w:p w14:paraId="680EF659"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Brasil</w:t>
            </w:r>
          </w:p>
        </w:tc>
      </w:tr>
      <w:tr w:rsidR="007E74C0" w14:paraId="309AD6E0" w14:textId="77777777">
        <w:trPr>
          <w:trHeight w:val="239"/>
        </w:trPr>
        <w:tc>
          <w:tcPr>
            <w:tcW w:w="555" w:type="dxa"/>
            <w:tcBorders>
              <w:top w:val="nil"/>
              <w:left w:val="nil"/>
              <w:bottom w:val="nil"/>
              <w:right w:val="nil"/>
            </w:tcBorders>
            <w:shd w:val="clear" w:color="auto" w:fill="BFBFBF"/>
            <w:tcMar>
              <w:top w:w="40" w:type="dxa"/>
              <w:left w:w="40" w:type="dxa"/>
              <w:bottom w:w="40" w:type="dxa"/>
              <w:right w:w="40" w:type="dxa"/>
            </w:tcMar>
            <w:vAlign w:val="center"/>
          </w:tcPr>
          <w:p w14:paraId="2389634A"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1989</w:t>
            </w:r>
          </w:p>
        </w:tc>
        <w:tc>
          <w:tcPr>
            <w:tcW w:w="780" w:type="dxa"/>
            <w:tcBorders>
              <w:top w:val="nil"/>
              <w:left w:val="nil"/>
              <w:bottom w:val="nil"/>
              <w:right w:val="nil"/>
            </w:tcBorders>
            <w:shd w:val="clear" w:color="auto" w:fill="BFBFBF"/>
            <w:tcMar>
              <w:top w:w="40" w:type="dxa"/>
              <w:left w:w="40" w:type="dxa"/>
              <w:bottom w:w="40" w:type="dxa"/>
              <w:right w:w="40" w:type="dxa"/>
            </w:tcMar>
            <w:vAlign w:val="center"/>
          </w:tcPr>
          <w:p w14:paraId="68B2DBF5"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23(1,2)</w:t>
            </w:r>
          </w:p>
        </w:tc>
        <w:tc>
          <w:tcPr>
            <w:tcW w:w="2730" w:type="dxa"/>
            <w:tcBorders>
              <w:top w:val="nil"/>
              <w:left w:val="nil"/>
              <w:bottom w:val="nil"/>
              <w:right w:val="nil"/>
            </w:tcBorders>
            <w:shd w:val="clear" w:color="auto" w:fill="BFBFBF"/>
            <w:tcMar>
              <w:top w:w="40" w:type="dxa"/>
              <w:left w:w="40" w:type="dxa"/>
              <w:bottom w:w="40" w:type="dxa"/>
              <w:right w:w="40" w:type="dxa"/>
            </w:tcMar>
            <w:vAlign w:val="center"/>
          </w:tcPr>
          <w:p w14:paraId="30AD2A2F"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Irizarry e Pacheco</w:t>
            </w:r>
          </w:p>
        </w:tc>
        <w:tc>
          <w:tcPr>
            <w:tcW w:w="3450" w:type="dxa"/>
            <w:tcBorders>
              <w:top w:val="nil"/>
              <w:left w:val="nil"/>
              <w:bottom w:val="nil"/>
              <w:right w:val="nil"/>
            </w:tcBorders>
            <w:shd w:val="clear" w:color="auto" w:fill="BFBFBF"/>
            <w:tcMar>
              <w:top w:w="40" w:type="dxa"/>
              <w:left w:w="40" w:type="dxa"/>
              <w:bottom w:w="40" w:type="dxa"/>
              <w:right w:w="40" w:type="dxa"/>
            </w:tcMar>
            <w:vAlign w:val="center"/>
          </w:tcPr>
          <w:p w14:paraId="7E38214A"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Maternidade (desenvolvimento, gerações)</w:t>
            </w:r>
          </w:p>
        </w:tc>
        <w:tc>
          <w:tcPr>
            <w:tcW w:w="1515" w:type="dxa"/>
            <w:tcBorders>
              <w:top w:val="nil"/>
              <w:left w:val="nil"/>
              <w:bottom w:val="nil"/>
              <w:right w:val="nil"/>
            </w:tcBorders>
            <w:shd w:val="clear" w:color="auto" w:fill="BFBFBF"/>
            <w:tcMar>
              <w:top w:w="40" w:type="dxa"/>
              <w:left w:w="40" w:type="dxa"/>
              <w:bottom w:w="40" w:type="dxa"/>
              <w:right w:w="40" w:type="dxa"/>
            </w:tcMar>
            <w:vAlign w:val="center"/>
          </w:tcPr>
          <w:p w14:paraId="4A621A61"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Porto Rico</w:t>
            </w:r>
          </w:p>
        </w:tc>
      </w:tr>
      <w:tr w:rsidR="007E74C0" w14:paraId="68DA9333" w14:textId="77777777">
        <w:trPr>
          <w:trHeight w:val="239"/>
        </w:trPr>
        <w:tc>
          <w:tcPr>
            <w:tcW w:w="555" w:type="dxa"/>
            <w:tcBorders>
              <w:top w:val="nil"/>
              <w:left w:val="nil"/>
              <w:bottom w:val="nil"/>
              <w:right w:val="nil"/>
            </w:tcBorders>
            <w:tcMar>
              <w:top w:w="40" w:type="dxa"/>
              <w:left w:w="40" w:type="dxa"/>
              <w:bottom w:w="40" w:type="dxa"/>
              <w:right w:w="40" w:type="dxa"/>
            </w:tcMar>
            <w:vAlign w:val="center"/>
          </w:tcPr>
          <w:p w14:paraId="3F322ED6"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780" w:type="dxa"/>
            <w:tcBorders>
              <w:top w:val="nil"/>
              <w:left w:val="nil"/>
              <w:bottom w:val="nil"/>
              <w:right w:val="nil"/>
            </w:tcBorders>
            <w:tcMar>
              <w:top w:w="40" w:type="dxa"/>
              <w:left w:w="40" w:type="dxa"/>
              <w:bottom w:w="40" w:type="dxa"/>
              <w:right w:w="40" w:type="dxa"/>
            </w:tcMar>
            <w:vAlign w:val="center"/>
          </w:tcPr>
          <w:p w14:paraId="033B8AF5"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 (1)</w:t>
            </w:r>
          </w:p>
        </w:tc>
        <w:tc>
          <w:tcPr>
            <w:tcW w:w="2730" w:type="dxa"/>
            <w:tcBorders>
              <w:top w:val="nil"/>
              <w:left w:val="nil"/>
              <w:bottom w:val="nil"/>
              <w:right w:val="nil"/>
            </w:tcBorders>
            <w:tcMar>
              <w:top w:w="40" w:type="dxa"/>
              <w:left w:w="40" w:type="dxa"/>
              <w:bottom w:w="40" w:type="dxa"/>
              <w:right w:w="40" w:type="dxa"/>
            </w:tcMar>
            <w:vAlign w:val="center"/>
          </w:tcPr>
          <w:p w14:paraId="1E4E89DC"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Pascual, Schulthess, Galperin e Bomstein</w:t>
            </w:r>
          </w:p>
        </w:tc>
        <w:tc>
          <w:tcPr>
            <w:tcW w:w="3450" w:type="dxa"/>
            <w:tcBorders>
              <w:top w:val="nil"/>
              <w:left w:val="nil"/>
              <w:bottom w:val="nil"/>
              <w:right w:val="nil"/>
            </w:tcBorders>
            <w:tcMar>
              <w:top w:w="40" w:type="dxa"/>
              <w:left w:w="40" w:type="dxa"/>
              <w:bottom w:w="40" w:type="dxa"/>
              <w:right w:w="40" w:type="dxa"/>
            </w:tcMar>
            <w:vAlign w:val="center"/>
          </w:tcPr>
          <w:p w14:paraId="460B80E2"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Maternidade (parentalidade)</w:t>
            </w:r>
          </w:p>
        </w:tc>
        <w:tc>
          <w:tcPr>
            <w:tcW w:w="1515" w:type="dxa"/>
            <w:tcBorders>
              <w:top w:val="nil"/>
              <w:left w:val="nil"/>
              <w:bottom w:val="nil"/>
              <w:right w:val="nil"/>
            </w:tcBorders>
            <w:tcMar>
              <w:top w:w="40" w:type="dxa"/>
              <w:left w:w="40" w:type="dxa"/>
              <w:bottom w:w="40" w:type="dxa"/>
              <w:right w:w="40" w:type="dxa"/>
            </w:tcMar>
            <w:vAlign w:val="center"/>
          </w:tcPr>
          <w:p w14:paraId="425C4547"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Argentina</w:t>
            </w:r>
          </w:p>
        </w:tc>
      </w:tr>
      <w:tr w:rsidR="007E74C0" w14:paraId="032A5F7E" w14:textId="77777777">
        <w:trPr>
          <w:trHeight w:val="280"/>
        </w:trPr>
        <w:tc>
          <w:tcPr>
            <w:tcW w:w="555" w:type="dxa"/>
            <w:vMerge w:val="restart"/>
            <w:tcBorders>
              <w:top w:val="nil"/>
              <w:left w:val="nil"/>
              <w:bottom w:val="nil"/>
              <w:right w:val="nil"/>
            </w:tcBorders>
            <w:shd w:val="clear" w:color="auto" w:fill="BFBFBF"/>
            <w:tcMar>
              <w:top w:w="40" w:type="dxa"/>
              <w:left w:w="40" w:type="dxa"/>
              <w:bottom w:w="40" w:type="dxa"/>
              <w:right w:w="40" w:type="dxa"/>
            </w:tcMar>
            <w:vAlign w:val="center"/>
          </w:tcPr>
          <w:p w14:paraId="244E06A3"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2010</w:t>
            </w:r>
          </w:p>
        </w:tc>
        <w:tc>
          <w:tcPr>
            <w:tcW w:w="780" w:type="dxa"/>
            <w:vMerge w:val="restart"/>
            <w:tcBorders>
              <w:top w:val="nil"/>
              <w:left w:val="nil"/>
              <w:bottom w:val="nil"/>
              <w:right w:val="nil"/>
            </w:tcBorders>
            <w:shd w:val="clear" w:color="auto" w:fill="BFBFBF"/>
            <w:tcMar>
              <w:top w:w="40" w:type="dxa"/>
              <w:left w:w="40" w:type="dxa"/>
              <w:bottom w:w="40" w:type="dxa"/>
              <w:right w:w="40" w:type="dxa"/>
            </w:tcMar>
            <w:vAlign w:val="center"/>
          </w:tcPr>
          <w:p w14:paraId="60615F66"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44(1)</w:t>
            </w:r>
          </w:p>
        </w:tc>
        <w:tc>
          <w:tcPr>
            <w:tcW w:w="2730" w:type="dxa"/>
            <w:tcBorders>
              <w:top w:val="nil"/>
              <w:left w:val="nil"/>
              <w:bottom w:val="nil"/>
              <w:right w:val="nil"/>
            </w:tcBorders>
            <w:shd w:val="clear" w:color="auto" w:fill="BFBFBF"/>
            <w:tcMar>
              <w:top w:w="40" w:type="dxa"/>
              <w:left w:w="40" w:type="dxa"/>
              <w:bottom w:w="40" w:type="dxa"/>
              <w:right w:w="40" w:type="dxa"/>
            </w:tcMar>
            <w:vAlign w:val="center"/>
          </w:tcPr>
          <w:p w14:paraId="1295B123"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Clark, Su, Kaciroti, Castillo, Millan, Rule e Lozoff</w:t>
            </w:r>
          </w:p>
        </w:tc>
        <w:tc>
          <w:tcPr>
            <w:tcW w:w="3450" w:type="dxa"/>
            <w:tcBorders>
              <w:top w:val="nil"/>
              <w:left w:val="nil"/>
              <w:bottom w:val="nil"/>
              <w:right w:val="nil"/>
            </w:tcBorders>
            <w:shd w:val="clear" w:color="auto" w:fill="BFBFBF"/>
            <w:tcMar>
              <w:top w:w="40" w:type="dxa"/>
              <w:left w:w="40" w:type="dxa"/>
              <w:bottom w:w="40" w:type="dxa"/>
              <w:right w:w="40" w:type="dxa"/>
            </w:tcMar>
            <w:vAlign w:val="center"/>
          </w:tcPr>
          <w:p w14:paraId="13B94078" w14:textId="77777777" w:rsidR="007E74C0" w:rsidRDefault="00EA0911">
            <w:pPr>
              <w:widowControl w:val="0"/>
              <w:rPr>
                <w:rFonts w:ascii="Times New Roman" w:eastAsia="Times New Roman" w:hAnsi="Times New Roman" w:cs="Times New Roman"/>
                <w:sz w:val="20"/>
                <w:szCs w:val="20"/>
                <w:highlight w:val="red"/>
              </w:rPr>
            </w:pPr>
            <w:r>
              <w:rPr>
                <w:rFonts w:ascii="Times New Roman" w:eastAsia="Times New Roman" w:hAnsi="Times New Roman" w:cs="Times New Roman"/>
                <w:sz w:val="20"/>
                <w:szCs w:val="20"/>
              </w:rPr>
              <w:t>Maternidade (depressão)</w:t>
            </w:r>
          </w:p>
        </w:tc>
        <w:tc>
          <w:tcPr>
            <w:tcW w:w="1515" w:type="dxa"/>
            <w:tcBorders>
              <w:top w:val="nil"/>
              <w:left w:val="nil"/>
              <w:bottom w:val="nil"/>
              <w:right w:val="nil"/>
            </w:tcBorders>
            <w:shd w:val="clear" w:color="auto" w:fill="BFBFBF"/>
            <w:tcMar>
              <w:top w:w="40" w:type="dxa"/>
              <w:left w:w="40" w:type="dxa"/>
              <w:bottom w:w="40" w:type="dxa"/>
              <w:right w:w="40" w:type="dxa"/>
            </w:tcMar>
            <w:vAlign w:val="center"/>
          </w:tcPr>
          <w:p w14:paraId="44EAEA46"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Chile</w:t>
            </w:r>
          </w:p>
        </w:tc>
      </w:tr>
      <w:tr w:rsidR="007E74C0" w14:paraId="22D15952" w14:textId="77777777">
        <w:trPr>
          <w:trHeight w:val="280"/>
        </w:trPr>
        <w:tc>
          <w:tcPr>
            <w:tcW w:w="555" w:type="dxa"/>
            <w:vMerge/>
            <w:tcBorders>
              <w:top w:val="nil"/>
              <w:left w:val="nil"/>
              <w:bottom w:val="nil"/>
              <w:right w:val="nil"/>
            </w:tcBorders>
            <w:shd w:val="clear" w:color="auto" w:fill="BFBFBF"/>
            <w:tcMar>
              <w:top w:w="40" w:type="dxa"/>
              <w:left w:w="40" w:type="dxa"/>
              <w:bottom w:w="40" w:type="dxa"/>
              <w:right w:w="40" w:type="dxa"/>
            </w:tcMar>
            <w:vAlign w:val="center"/>
          </w:tcPr>
          <w:p w14:paraId="0B9E1302" w14:textId="77777777" w:rsidR="007E74C0" w:rsidRDefault="007E74C0">
            <w:pPr>
              <w:widowControl w:val="0"/>
              <w:spacing w:line="240" w:lineRule="auto"/>
              <w:rPr>
                <w:rFonts w:ascii="Times New Roman" w:eastAsia="Times New Roman" w:hAnsi="Times New Roman" w:cs="Times New Roman"/>
                <w:sz w:val="20"/>
                <w:szCs w:val="20"/>
              </w:rPr>
            </w:pPr>
          </w:p>
        </w:tc>
        <w:tc>
          <w:tcPr>
            <w:tcW w:w="780" w:type="dxa"/>
            <w:vMerge/>
            <w:tcBorders>
              <w:top w:val="nil"/>
              <w:left w:val="nil"/>
              <w:bottom w:val="nil"/>
              <w:right w:val="nil"/>
            </w:tcBorders>
            <w:shd w:val="clear" w:color="auto" w:fill="BFBFBF"/>
            <w:tcMar>
              <w:top w:w="40" w:type="dxa"/>
              <w:left w:w="40" w:type="dxa"/>
              <w:bottom w:w="40" w:type="dxa"/>
              <w:right w:w="40" w:type="dxa"/>
            </w:tcMar>
            <w:vAlign w:val="center"/>
          </w:tcPr>
          <w:p w14:paraId="4A4BE9FA" w14:textId="77777777" w:rsidR="007E74C0" w:rsidRDefault="007E74C0">
            <w:pPr>
              <w:widowControl w:val="0"/>
              <w:spacing w:line="240" w:lineRule="auto"/>
              <w:jc w:val="center"/>
              <w:rPr>
                <w:rFonts w:ascii="Times New Roman" w:eastAsia="Times New Roman" w:hAnsi="Times New Roman" w:cs="Times New Roman"/>
                <w:sz w:val="20"/>
                <w:szCs w:val="20"/>
              </w:rPr>
            </w:pPr>
          </w:p>
        </w:tc>
        <w:tc>
          <w:tcPr>
            <w:tcW w:w="2730" w:type="dxa"/>
            <w:tcBorders>
              <w:top w:val="nil"/>
              <w:left w:val="nil"/>
              <w:bottom w:val="nil"/>
              <w:right w:val="nil"/>
            </w:tcBorders>
            <w:shd w:val="clear" w:color="auto" w:fill="BFBFBF"/>
            <w:tcMar>
              <w:top w:w="40" w:type="dxa"/>
              <w:left w:w="40" w:type="dxa"/>
              <w:bottom w:w="40" w:type="dxa"/>
              <w:right w:w="40" w:type="dxa"/>
            </w:tcMar>
            <w:vAlign w:val="center"/>
          </w:tcPr>
          <w:p w14:paraId="5D5BF9C5"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Wendland,  Maggi e Wolff</w:t>
            </w:r>
          </w:p>
        </w:tc>
        <w:tc>
          <w:tcPr>
            <w:tcW w:w="3450" w:type="dxa"/>
            <w:tcBorders>
              <w:top w:val="nil"/>
              <w:left w:val="nil"/>
              <w:bottom w:val="nil"/>
              <w:right w:val="nil"/>
            </w:tcBorders>
            <w:shd w:val="clear" w:color="auto" w:fill="BFBFBF"/>
            <w:tcMar>
              <w:top w:w="40" w:type="dxa"/>
              <w:left w:w="40" w:type="dxa"/>
              <w:bottom w:w="40" w:type="dxa"/>
              <w:right w:w="40" w:type="dxa"/>
            </w:tcMar>
            <w:vAlign w:val="center"/>
          </w:tcPr>
          <w:p w14:paraId="2C89E2F1"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Maternidade (influência cultural)</w:t>
            </w:r>
          </w:p>
        </w:tc>
        <w:tc>
          <w:tcPr>
            <w:tcW w:w="1515" w:type="dxa"/>
            <w:tcBorders>
              <w:top w:val="nil"/>
              <w:left w:val="nil"/>
              <w:bottom w:val="nil"/>
              <w:right w:val="nil"/>
            </w:tcBorders>
            <w:shd w:val="clear" w:color="auto" w:fill="BFBFBF"/>
            <w:tcMar>
              <w:top w:w="40" w:type="dxa"/>
              <w:left w:w="40" w:type="dxa"/>
              <w:bottom w:w="40" w:type="dxa"/>
              <w:right w:w="40" w:type="dxa"/>
            </w:tcMar>
            <w:vAlign w:val="center"/>
          </w:tcPr>
          <w:p w14:paraId="40D4125D"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Brasil</w:t>
            </w:r>
          </w:p>
        </w:tc>
      </w:tr>
      <w:tr w:rsidR="007E74C0" w14:paraId="22821E7C" w14:textId="77777777">
        <w:trPr>
          <w:trHeight w:val="280"/>
        </w:trPr>
        <w:tc>
          <w:tcPr>
            <w:tcW w:w="555" w:type="dxa"/>
            <w:vMerge/>
            <w:tcBorders>
              <w:top w:val="nil"/>
              <w:left w:val="nil"/>
              <w:bottom w:val="nil"/>
              <w:right w:val="nil"/>
            </w:tcBorders>
            <w:shd w:val="clear" w:color="auto" w:fill="BFBFBF"/>
            <w:tcMar>
              <w:top w:w="40" w:type="dxa"/>
              <w:left w:w="40" w:type="dxa"/>
              <w:bottom w:w="40" w:type="dxa"/>
              <w:right w:w="40" w:type="dxa"/>
            </w:tcMar>
            <w:vAlign w:val="center"/>
          </w:tcPr>
          <w:p w14:paraId="545C68F8" w14:textId="77777777" w:rsidR="007E74C0" w:rsidRDefault="007E74C0">
            <w:pPr>
              <w:widowControl w:val="0"/>
              <w:spacing w:line="240" w:lineRule="auto"/>
              <w:rPr>
                <w:rFonts w:ascii="Times New Roman" w:eastAsia="Times New Roman" w:hAnsi="Times New Roman" w:cs="Times New Roman"/>
                <w:sz w:val="20"/>
                <w:szCs w:val="20"/>
              </w:rPr>
            </w:pPr>
          </w:p>
        </w:tc>
        <w:tc>
          <w:tcPr>
            <w:tcW w:w="780" w:type="dxa"/>
            <w:vMerge/>
            <w:tcBorders>
              <w:top w:val="nil"/>
              <w:left w:val="nil"/>
              <w:bottom w:val="nil"/>
              <w:right w:val="nil"/>
            </w:tcBorders>
            <w:shd w:val="clear" w:color="auto" w:fill="BFBFBF"/>
            <w:tcMar>
              <w:top w:w="40" w:type="dxa"/>
              <w:left w:w="40" w:type="dxa"/>
              <w:bottom w:w="40" w:type="dxa"/>
              <w:right w:w="40" w:type="dxa"/>
            </w:tcMar>
            <w:vAlign w:val="center"/>
          </w:tcPr>
          <w:p w14:paraId="7833C530" w14:textId="77777777" w:rsidR="007E74C0" w:rsidRDefault="007E74C0">
            <w:pPr>
              <w:widowControl w:val="0"/>
              <w:spacing w:line="240" w:lineRule="auto"/>
              <w:jc w:val="center"/>
              <w:rPr>
                <w:rFonts w:ascii="Times New Roman" w:eastAsia="Times New Roman" w:hAnsi="Times New Roman" w:cs="Times New Roman"/>
                <w:sz w:val="20"/>
                <w:szCs w:val="20"/>
              </w:rPr>
            </w:pPr>
          </w:p>
        </w:tc>
        <w:tc>
          <w:tcPr>
            <w:tcW w:w="2730" w:type="dxa"/>
            <w:tcBorders>
              <w:top w:val="nil"/>
              <w:left w:val="nil"/>
              <w:bottom w:val="nil"/>
              <w:right w:val="nil"/>
            </w:tcBorders>
            <w:shd w:val="clear" w:color="auto" w:fill="BFBFBF"/>
            <w:tcMar>
              <w:top w:w="40" w:type="dxa"/>
              <w:left w:w="40" w:type="dxa"/>
              <w:bottom w:w="40" w:type="dxa"/>
              <w:right w:w="40" w:type="dxa"/>
            </w:tcMar>
            <w:vAlign w:val="center"/>
          </w:tcPr>
          <w:p w14:paraId="7520AD22"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Moreira e Nardi</w:t>
            </w:r>
          </w:p>
        </w:tc>
        <w:tc>
          <w:tcPr>
            <w:tcW w:w="3450" w:type="dxa"/>
            <w:tcBorders>
              <w:top w:val="nil"/>
              <w:left w:val="nil"/>
              <w:bottom w:val="nil"/>
              <w:right w:val="nil"/>
            </w:tcBorders>
            <w:shd w:val="clear" w:color="auto" w:fill="BFBFBF"/>
            <w:tcMar>
              <w:top w:w="40" w:type="dxa"/>
              <w:left w:w="40" w:type="dxa"/>
              <w:bottom w:w="40" w:type="dxa"/>
              <w:right w:w="40" w:type="dxa"/>
            </w:tcMar>
            <w:vAlign w:val="center"/>
          </w:tcPr>
          <w:p w14:paraId="019EE45F"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Maternidade (trabalho)</w:t>
            </w:r>
          </w:p>
        </w:tc>
        <w:tc>
          <w:tcPr>
            <w:tcW w:w="1515" w:type="dxa"/>
            <w:tcBorders>
              <w:top w:val="nil"/>
              <w:left w:val="nil"/>
              <w:bottom w:val="nil"/>
              <w:right w:val="nil"/>
            </w:tcBorders>
            <w:shd w:val="clear" w:color="auto" w:fill="BFBFBF"/>
            <w:tcMar>
              <w:top w:w="40" w:type="dxa"/>
              <w:left w:w="40" w:type="dxa"/>
              <w:bottom w:w="40" w:type="dxa"/>
              <w:right w:w="40" w:type="dxa"/>
            </w:tcMar>
            <w:vAlign w:val="center"/>
          </w:tcPr>
          <w:p w14:paraId="47ABBD18"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Brasil</w:t>
            </w:r>
          </w:p>
        </w:tc>
      </w:tr>
      <w:tr w:rsidR="007E74C0" w14:paraId="0ECA7C20" w14:textId="77777777">
        <w:trPr>
          <w:trHeight w:val="280"/>
        </w:trPr>
        <w:tc>
          <w:tcPr>
            <w:tcW w:w="555" w:type="dxa"/>
            <w:vMerge/>
            <w:tcBorders>
              <w:top w:val="nil"/>
              <w:left w:val="nil"/>
              <w:bottom w:val="nil"/>
              <w:right w:val="nil"/>
            </w:tcBorders>
            <w:shd w:val="clear" w:color="auto" w:fill="BFBFBF"/>
            <w:tcMar>
              <w:top w:w="40" w:type="dxa"/>
              <w:left w:w="40" w:type="dxa"/>
              <w:bottom w:w="40" w:type="dxa"/>
              <w:right w:w="40" w:type="dxa"/>
            </w:tcMar>
            <w:vAlign w:val="center"/>
          </w:tcPr>
          <w:p w14:paraId="74D8350A" w14:textId="77777777" w:rsidR="007E74C0" w:rsidRDefault="007E74C0">
            <w:pPr>
              <w:widowControl w:val="0"/>
              <w:spacing w:line="240" w:lineRule="auto"/>
              <w:rPr>
                <w:rFonts w:ascii="Times New Roman" w:eastAsia="Times New Roman" w:hAnsi="Times New Roman" w:cs="Times New Roman"/>
                <w:sz w:val="20"/>
                <w:szCs w:val="20"/>
              </w:rPr>
            </w:pPr>
          </w:p>
        </w:tc>
        <w:tc>
          <w:tcPr>
            <w:tcW w:w="780" w:type="dxa"/>
            <w:tcBorders>
              <w:top w:val="nil"/>
              <w:left w:val="nil"/>
              <w:bottom w:val="nil"/>
              <w:right w:val="nil"/>
            </w:tcBorders>
            <w:shd w:val="clear" w:color="auto" w:fill="BFBFBF"/>
            <w:tcMar>
              <w:top w:w="40" w:type="dxa"/>
              <w:left w:w="40" w:type="dxa"/>
              <w:bottom w:w="40" w:type="dxa"/>
              <w:right w:w="40" w:type="dxa"/>
            </w:tcMar>
            <w:vAlign w:val="center"/>
          </w:tcPr>
          <w:p w14:paraId="2577B11A"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44(3)</w:t>
            </w:r>
          </w:p>
        </w:tc>
        <w:tc>
          <w:tcPr>
            <w:tcW w:w="2730" w:type="dxa"/>
            <w:tcBorders>
              <w:top w:val="nil"/>
              <w:left w:val="nil"/>
              <w:bottom w:val="nil"/>
              <w:right w:val="nil"/>
            </w:tcBorders>
            <w:shd w:val="clear" w:color="auto" w:fill="BFBFBF"/>
            <w:tcMar>
              <w:top w:w="40" w:type="dxa"/>
              <w:left w:w="40" w:type="dxa"/>
              <w:bottom w:w="40" w:type="dxa"/>
              <w:right w:w="40" w:type="dxa"/>
            </w:tcMar>
            <w:vAlign w:val="center"/>
          </w:tcPr>
          <w:p w14:paraId="7BD1FEA5"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Bolsoni-Silva e Marturano</w:t>
            </w:r>
          </w:p>
        </w:tc>
        <w:tc>
          <w:tcPr>
            <w:tcW w:w="3450" w:type="dxa"/>
            <w:tcBorders>
              <w:top w:val="nil"/>
              <w:left w:val="nil"/>
              <w:bottom w:val="nil"/>
              <w:right w:val="nil"/>
            </w:tcBorders>
            <w:shd w:val="clear" w:color="auto" w:fill="BFBFBF"/>
            <w:tcMar>
              <w:top w:w="40" w:type="dxa"/>
              <w:left w:w="40" w:type="dxa"/>
              <w:bottom w:w="40" w:type="dxa"/>
              <w:right w:w="40" w:type="dxa"/>
            </w:tcMar>
            <w:vAlign w:val="center"/>
          </w:tcPr>
          <w:p w14:paraId="4222F5BB"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Maternidade (comportamento)</w:t>
            </w:r>
          </w:p>
        </w:tc>
        <w:tc>
          <w:tcPr>
            <w:tcW w:w="1515" w:type="dxa"/>
            <w:tcBorders>
              <w:top w:val="nil"/>
              <w:left w:val="nil"/>
              <w:bottom w:val="nil"/>
              <w:right w:val="nil"/>
            </w:tcBorders>
            <w:shd w:val="clear" w:color="auto" w:fill="BFBFBF"/>
            <w:tcMar>
              <w:top w:w="40" w:type="dxa"/>
              <w:left w:w="40" w:type="dxa"/>
              <w:bottom w:w="40" w:type="dxa"/>
              <w:right w:w="40" w:type="dxa"/>
            </w:tcMar>
            <w:vAlign w:val="center"/>
          </w:tcPr>
          <w:p w14:paraId="5239CF17"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Brasil</w:t>
            </w:r>
          </w:p>
        </w:tc>
      </w:tr>
      <w:tr w:rsidR="007E74C0" w14:paraId="5B9F0D89" w14:textId="77777777">
        <w:trPr>
          <w:trHeight w:val="239"/>
        </w:trPr>
        <w:tc>
          <w:tcPr>
            <w:tcW w:w="555" w:type="dxa"/>
            <w:tcBorders>
              <w:top w:val="nil"/>
              <w:left w:val="nil"/>
              <w:bottom w:val="nil"/>
              <w:right w:val="nil"/>
            </w:tcBorders>
            <w:tcMar>
              <w:top w:w="40" w:type="dxa"/>
              <w:left w:w="40" w:type="dxa"/>
              <w:bottom w:w="40" w:type="dxa"/>
              <w:right w:w="40" w:type="dxa"/>
            </w:tcMar>
            <w:vAlign w:val="center"/>
          </w:tcPr>
          <w:p w14:paraId="09089824"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2017</w:t>
            </w:r>
          </w:p>
        </w:tc>
        <w:tc>
          <w:tcPr>
            <w:tcW w:w="780" w:type="dxa"/>
            <w:tcBorders>
              <w:top w:val="nil"/>
              <w:left w:val="nil"/>
              <w:bottom w:val="nil"/>
              <w:right w:val="nil"/>
            </w:tcBorders>
            <w:tcMar>
              <w:top w:w="40" w:type="dxa"/>
              <w:left w:w="40" w:type="dxa"/>
              <w:bottom w:w="40" w:type="dxa"/>
              <w:right w:w="40" w:type="dxa"/>
            </w:tcMar>
            <w:vAlign w:val="center"/>
          </w:tcPr>
          <w:p w14:paraId="29C15F9E"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51(1)</w:t>
            </w:r>
          </w:p>
        </w:tc>
        <w:tc>
          <w:tcPr>
            <w:tcW w:w="2730" w:type="dxa"/>
            <w:tcBorders>
              <w:top w:val="nil"/>
              <w:left w:val="nil"/>
              <w:bottom w:val="nil"/>
              <w:right w:val="nil"/>
            </w:tcBorders>
            <w:tcMar>
              <w:top w:w="40" w:type="dxa"/>
              <w:left w:w="40" w:type="dxa"/>
              <w:bottom w:w="40" w:type="dxa"/>
              <w:right w:w="40" w:type="dxa"/>
            </w:tcMar>
            <w:vAlign w:val="center"/>
          </w:tcPr>
          <w:p w14:paraId="7A7DEF43"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Barragán, Romero, Campos e Espinoza-Romo</w:t>
            </w:r>
          </w:p>
        </w:tc>
        <w:tc>
          <w:tcPr>
            <w:tcW w:w="3450" w:type="dxa"/>
            <w:tcBorders>
              <w:top w:val="nil"/>
              <w:left w:val="nil"/>
              <w:bottom w:val="nil"/>
              <w:right w:val="nil"/>
            </w:tcBorders>
            <w:tcMar>
              <w:top w:w="40" w:type="dxa"/>
              <w:left w:w="40" w:type="dxa"/>
              <w:bottom w:w="40" w:type="dxa"/>
              <w:right w:w="40" w:type="dxa"/>
            </w:tcMar>
            <w:vAlign w:val="center"/>
          </w:tcPr>
          <w:p w14:paraId="4C50C664"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Parentalidade (estereótipo, gravidez adolescente)</w:t>
            </w:r>
          </w:p>
        </w:tc>
        <w:tc>
          <w:tcPr>
            <w:tcW w:w="1515" w:type="dxa"/>
            <w:tcBorders>
              <w:top w:val="nil"/>
              <w:left w:val="nil"/>
              <w:bottom w:val="nil"/>
              <w:right w:val="nil"/>
            </w:tcBorders>
            <w:tcMar>
              <w:top w:w="40" w:type="dxa"/>
              <w:left w:w="40" w:type="dxa"/>
              <w:bottom w:w="40" w:type="dxa"/>
              <w:right w:w="40" w:type="dxa"/>
            </w:tcMar>
            <w:vAlign w:val="center"/>
          </w:tcPr>
          <w:p w14:paraId="51D7B747"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México</w:t>
            </w:r>
          </w:p>
        </w:tc>
      </w:tr>
      <w:tr w:rsidR="007E74C0" w14:paraId="1E6DA4EC" w14:textId="77777777">
        <w:trPr>
          <w:trHeight w:val="239"/>
        </w:trPr>
        <w:tc>
          <w:tcPr>
            <w:tcW w:w="555" w:type="dxa"/>
            <w:tcBorders>
              <w:top w:val="nil"/>
              <w:left w:val="nil"/>
              <w:bottom w:val="single" w:sz="12" w:space="0" w:color="000000"/>
              <w:right w:val="nil"/>
            </w:tcBorders>
            <w:shd w:val="clear" w:color="auto" w:fill="BFBFBF"/>
            <w:tcMar>
              <w:top w:w="40" w:type="dxa"/>
              <w:left w:w="40" w:type="dxa"/>
              <w:bottom w:w="40" w:type="dxa"/>
              <w:right w:w="40" w:type="dxa"/>
            </w:tcMar>
            <w:vAlign w:val="center"/>
          </w:tcPr>
          <w:p w14:paraId="7FD72C70"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2018</w:t>
            </w:r>
          </w:p>
        </w:tc>
        <w:tc>
          <w:tcPr>
            <w:tcW w:w="780" w:type="dxa"/>
            <w:tcBorders>
              <w:top w:val="nil"/>
              <w:left w:val="nil"/>
              <w:bottom w:val="single" w:sz="12" w:space="0" w:color="000000"/>
              <w:right w:val="nil"/>
            </w:tcBorders>
            <w:shd w:val="clear" w:color="auto" w:fill="BFBFBF"/>
            <w:tcMar>
              <w:top w:w="40" w:type="dxa"/>
              <w:left w:w="40" w:type="dxa"/>
              <w:bottom w:w="40" w:type="dxa"/>
              <w:right w:w="40" w:type="dxa"/>
            </w:tcMar>
            <w:vAlign w:val="center"/>
          </w:tcPr>
          <w:p w14:paraId="7CD0C590"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2730" w:type="dxa"/>
            <w:tcBorders>
              <w:top w:val="nil"/>
              <w:left w:val="nil"/>
              <w:bottom w:val="single" w:sz="12" w:space="0" w:color="000000"/>
              <w:right w:val="nil"/>
            </w:tcBorders>
            <w:shd w:val="clear" w:color="auto" w:fill="BFBFBF"/>
            <w:tcMar>
              <w:top w:w="40" w:type="dxa"/>
              <w:left w:w="40" w:type="dxa"/>
              <w:bottom w:w="40" w:type="dxa"/>
              <w:right w:w="40" w:type="dxa"/>
            </w:tcMar>
            <w:vAlign w:val="center"/>
          </w:tcPr>
          <w:p w14:paraId="70380F55"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Brito</w:t>
            </w:r>
          </w:p>
        </w:tc>
        <w:tc>
          <w:tcPr>
            <w:tcW w:w="3450" w:type="dxa"/>
            <w:tcBorders>
              <w:top w:val="nil"/>
              <w:left w:val="nil"/>
              <w:bottom w:val="single" w:sz="12" w:space="0" w:color="000000"/>
              <w:right w:val="nil"/>
            </w:tcBorders>
            <w:shd w:val="clear" w:color="auto" w:fill="BFBFBF"/>
            <w:tcMar>
              <w:top w:w="40" w:type="dxa"/>
              <w:left w:w="40" w:type="dxa"/>
              <w:bottom w:w="40" w:type="dxa"/>
              <w:right w:w="40" w:type="dxa"/>
            </w:tcMar>
            <w:vAlign w:val="center"/>
          </w:tcPr>
          <w:p w14:paraId="31B130FB"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Maternidade (infertilidade e gênero)</w:t>
            </w:r>
          </w:p>
        </w:tc>
        <w:tc>
          <w:tcPr>
            <w:tcW w:w="1515" w:type="dxa"/>
            <w:tcBorders>
              <w:top w:val="nil"/>
              <w:left w:val="nil"/>
              <w:bottom w:val="single" w:sz="12" w:space="0" w:color="000000"/>
              <w:right w:val="nil"/>
            </w:tcBorders>
            <w:shd w:val="clear" w:color="auto" w:fill="BFBFBF"/>
            <w:tcMar>
              <w:top w:w="40" w:type="dxa"/>
              <w:left w:w="40" w:type="dxa"/>
              <w:bottom w:w="40" w:type="dxa"/>
              <w:right w:w="40" w:type="dxa"/>
            </w:tcMar>
            <w:vAlign w:val="center"/>
          </w:tcPr>
          <w:p w14:paraId="75B0E5D2" w14:textId="77777777" w:rsidR="007E74C0" w:rsidRDefault="00EA091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EUA, México</w:t>
            </w:r>
          </w:p>
        </w:tc>
      </w:tr>
    </w:tbl>
    <w:p w14:paraId="6F5CC07B" w14:textId="77777777" w:rsidR="007E74C0" w:rsidRDefault="007E74C0">
      <w:pPr>
        <w:spacing w:line="240" w:lineRule="auto"/>
        <w:jc w:val="both"/>
        <w:rPr>
          <w:rFonts w:ascii="Times New Roman" w:eastAsia="Times New Roman" w:hAnsi="Times New Roman" w:cs="Times New Roman"/>
          <w:color w:val="1C4587"/>
          <w:sz w:val="24"/>
          <w:szCs w:val="24"/>
          <w:highlight w:val="white"/>
        </w:rPr>
      </w:pPr>
    </w:p>
    <w:p w14:paraId="54512B37" w14:textId="77777777" w:rsidR="007E74C0" w:rsidRDefault="00EA09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Maternidade e papel materno são conceitos marcados por mudanças sociais, políticas, culturais e econômicas agregadas ao protagonismo feminino na luta por direitos e alterações na estrutura familiar (Badinter, 1985; Correia, 1998; Moura &amp; Araújo, 2004; Resende, 2017). A maternidade para a sociedade do final do século XVIII, era considerada como desejo natural da mulher em ser mãe, aquela que gerava, à ela cabia o papel materno e as práticas de maternagem, que correspondem aos investimentos psíquico e cuidados necessários para o desenvolvimento dos filhos (Moura &amp; Araújo, 2004; Stellin, Monteiro, Albuquerque &amp; Marques, 2011). Existia uma imagem da mãe ideal e docilizada, ratificada por profissionais da área da saúde (dentre eles da Psicologia), pelo Estado e pela sociedade (Badinter, 1985). </w:t>
      </w:r>
    </w:p>
    <w:p w14:paraId="48F3B2A0"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Notamos n</w:t>
      </w:r>
      <w:r>
        <w:rPr>
          <w:rFonts w:ascii="Times New Roman" w:eastAsia="Times New Roman" w:hAnsi="Times New Roman" w:cs="Times New Roman"/>
          <w:sz w:val="24"/>
          <w:szCs w:val="24"/>
        </w:rPr>
        <w:t>esse subtema</w:t>
      </w:r>
      <w:r>
        <w:rPr>
          <w:rFonts w:ascii="Times New Roman" w:eastAsia="Times New Roman" w:hAnsi="Times New Roman" w:cs="Times New Roman"/>
          <w:sz w:val="24"/>
          <w:szCs w:val="24"/>
          <w:highlight w:val="white"/>
        </w:rPr>
        <w:t>, como no anterior, que se fala de famílias majoritariamente como pertencentes às representações cisheteronormativas, sendo privilegiado o estudo sobre</w:t>
      </w:r>
      <w:r>
        <w:rPr>
          <w:rFonts w:ascii="Times New Roman" w:eastAsia="Times New Roman" w:hAnsi="Times New Roman" w:cs="Times New Roman"/>
          <w:sz w:val="24"/>
          <w:szCs w:val="24"/>
        </w:rPr>
        <w:t xml:space="preserve"> a relação entre o exercício da maternidade e o impacto no desenvolvimento dos filhos. </w:t>
      </w:r>
      <w:r>
        <w:rPr>
          <w:rFonts w:ascii="Times New Roman" w:eastAsia="Times New Roman" w:hAnsi="Times New Roman" w:cs="Times New Roman"/>
          <w:sz w:val="24"/>
          <w:szCs w:val="24"/>
          <w:highlight w:val="white"/>
        </w:rPr>
        <w:t xml:space="preserve">Por exemplo, em estudo nos anos 1990 na Argentina, foram analisadas as dimensões social, didática e disciplinar da percepção de mães em relação aos cuidados com os filhos, com os quais elas se percebem afetuosas, e em relação aos maridos, sendo estes na região urbana mais vistos como afetuosos se comparados à sua percepção na região rural (IJP, 1995). </w:t>
      </w:r>
    </w:p>
    <w:p w14:paraId="48186F34"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Na década seguinte, pesquisadores chilenos concluíram que mães deprimidas seriam mais críticas aos filhos, impactando seu desenvolvimento, sobretudo na primeira infância, no mesmo ano em que houve três artigos sobre as relações maternas no Brasil (IJP, 2010)</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Dentre eles, destacamos um sobre </w:t>
      </w:r>
      <w:r>
        <w:rPr>
          <w:rFonts w:ascii="Times New Roman" w:eastAsia="Times New Roman" w:hAnsi="Times New Roman" w:cs="Times New Roman"/>
          <w:sz w:val="24"/>
          <w:szCs w:val="24"/>
          <w:highlight w:val="white"/>
        </w:rPr>
        <w:t xml:space="preserve">a relação de trabalho e maternidade no processo de subjetivação de mulheres em diferentes contextos, no que foi dada a importância a se transpor a discussão da responsabilidade do cuidado do filho como exclusivo e natural das mulheres para o debate de paternidade e trabalho, pois caberia principalmente aos pais compartilhar a responsabilidade com os filhos, e não às outras mulheres da rede de apoio familiar.  </w:t>
      </w:r>
    </w:p>
    <w:p w14:paraId="6C6EF7E1" w14:textId="77777777" w:rsidR="007E74C0" w:rsidRDefault="00EA0911">
      <w:pPr>
        <w:spacing w:line="240" w:lineRule="auto"/>
        <w:ind w:firstLine="720"/>
        <w:jc w:val="both"/>
        <w:rPr>
          <w:rFonts w:ascii="Times New Roman" w:eastAsia="Times New Roman" w:hAnsi="Times New Roman" w:cs="Times New Roman"/>
          <w:sz w:val="24"/>
          <w:szCs w:val="24"/>
        </w:rPr>
      </w:pPr>
      <w:bookmarkStart w:id="3" w:name="_gjdgxs" w:colFirst="0" w:colLast="0"/>
      <w:bookmarkEnd w:id="3"/>
      <w:r>
        <w:rPr>
          <w:rFonts w:ascii="Times New Roman" w:eastAsia="Times New Roman" w:hAnsi="Times New Roman" w:cs="Times New Roman"/>
          <w:sz w:val="24"/>
          <w:szCs w:val="24"/>
          <w:highlight w:val="white"/>
        </w:rPr>
        <w:t>A linha de pensamento dos artigos deste subtema revelou-se semelhante, sendo avaliadas estratégias de regulação do comportamento infantil/desenvolvimento infantil, partindo-se da interação mãe-filho, por vezes avaliando ainda a percepção das mães acerca do papel dos pais, visibilizando a sua pre</w:t>
      </w:r>
      <w:r>
        <w:rPr>
          <w:rFonts w:ascii="Times New Roman" w:eastAsia="Times New Roman" w:hAnsi="Times New Roman" w:cs="Times New Roman"/>
          <w:sz w:val="24"/>
          <w:szCs w:val="24"/>
        </w:rPr>
        <w:t xml:space="preserve">sença no cuidado com os filhos. A importância dos fatores culturais nessas relações familiares foi marcada desde os anos 1970 (IJP, 1976), sendo que nos anos 1980 o impacto de diferenças geracionais nos cuidados dos filhos é ressaltado por um artigo com participantes de Porto Rico (IJP, 1989), indicando mudanças na percepção do </w:t>
      </w:r>
      <w:r>
        <w:rPr>
          <w:rFonts w:ascii="Times New Roman" w:eastAsia="Times New Roman" w:hAnsi="Times New Roman" w:cs="Times New Roman"/>
          <w:sz w:val="24"/>
          <w:szCs w:val="24"/>
        </w:rPr>
        <w:lastRenderedPageBreak/>
        <w:t>exercício da maternidade e do que seria o melhor para o desenvolvimento dos filhos, mesmo com a influência de fatores culturais e tradicionais no exercício das relações parentais.</w:t>
      </w:r>
    </w:p>
    <w:p w14:paraId="78285258"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No fim da década passada, emerge a questão da (não) reprodução dos corpos de mulheres mexicanas nos EUA, com histórico de infertilidade, em cujos discursos havia uma cobrança social por engravidar e receio da não-plenitude do ser mulher, mesmo com apoio dos companheiros/maridos, caso não engravidassem (IJP, 2018). Questionamos, nesse ínterim, o fato de que certos estudos marcam o familismo e o marianismo como centrais para as culturas latino-americanas (na presente revisão, para as sociedades mexicana e brasileira), o que pode, por vezes, apagar as diversidades culturais dessas mesmas sociedades.</w:t>
      </w:r>
    </w:p>
    <w:p w14:paraId="3DEBF17B" w14:textId="77777777" w:rsidR="007E74C0" w:rsidRDefault="007E74C0">
      <w:pPr>
        <w:spacing w:line="240" w:lineRule="auto"/>
        <w:jc w:val="both"/>
        <w:rPr>
          <w:rFonts w:ascii="Times New Roman" w:eastAsia="Times New Roman" w:hAnsi="Times New Roman" w:cs="Times New Roman"/>
          <w:color w:val="1C4587"/>
          <w:sz w:val="24"/>
          <w:szCs w:val="24"/>
        </w:rPr>
      </w:pPr>
    </w:p>
    <w:p w14:paraId="1F9BCABC" w14:textId="77777777" w:rsidR="007E74C0" w:rsidRDefault="00EA0911">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rPr>
        <w:t xml:space="preserve">4.3.3 </w:t>
      </w:r>
      <w:r>
        <w:rPr>
          <w:rFonts w:ascii="Times New Roman" w:eastAsia="Times New Roman" w:hAnsi="Times New Roman" w:cs="Times New Roman"/>
          <w:b/>
          <w:i/>
          <w:sz w:val="24"/>
          <w:szCs w:val="24"/>
          <w:highlight w:val="white"/>
        </w:rPr>
        <w:t>Violências e famílias</w:t>
      </w:r>
      <w:r>
        <w:rPr>
          <w:rFonts w:ascii="Times New Roman" w:eastAsia="Times New Roman" w:hAnsi="Times New Roman" w:cs="Times New Roman"/>
          <w:sz w:val="24"/>
          <w:szCs w:val="24"/>
        </w:rPr>
        <w:t>. Os quatro artigos desse subtema estudaram efeitos das lutas das mulheres no padrão de família patriarcal e nos usos dos corpos que, apesar das conquistas, continuam assujeitados historicamente a diferentes violências, tal como a</w:t>
      </w:r>
      <w:r>
        <w:rPr>
          <w:rFonts w:ascii="Times New Roman" w:eastAsia="Times New Roman" w:hAnsi="Times New Roman" w:cs="Times New Roman"/>
          <w:sz w:val="24"/>
          <w:szCs w:val="24"/>
          <w:highlight w:val="white"/>
        </w:rPr>
        <w:t xml:space="preserve"> física, psicológica e sexual, aqui abordadas sob diferentes perspectivas no espaço institucional família.</w:t>
      </w:r>
    </w:p>
    <w:p w14:paraId="36BD59FA" w14:textId="77777777" w:rsidR="007E74C0" w:rsidRDefault="00EA0911">
      <w:pPr>
        <w:spacing w:line="240" w:lineRule="auto"/>
        <w:ind w:firstLine="720"/>
        <w:jc w:val="both"/>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highlight w:val="white"/>
        </w:rPr>
        <w:t>Para este estudo, violência doméstica e familiar compreende violência de gênero,  por ação ou conduta, em espaço doméstico ou não, advindo de relação interpessoal, podendo ou não ocorrer de parceiros íntimos (CIDH, 1994). Para os fins desta revisão, por vezes, iremos considerar violência doméstica e violência entre parceiros íntimos equivalentes (Tabela 8)</w:t>
      </w:r>
      <w:r>
        <w:rPr>
          <w:rFonts w:ascii="Times New Roman" w:eastAsia="Times New Roman" w:hAnsi="Times New Roman" w:cs="Times New Roman"/>
          <w:i/>
          <w:sz w:val="24"/>
          <w:szCs w:val="24"/>
          <w:highlight w:val="white"/>
        </w:rPr>
        <w:t>.</w:t>
      </w:r>
    </w:p>
    <w:p w14:paraId="193190D5" w14:textId="77777777" w:rsidR="007E74C0" w:rsidRDefault="007E74C0">
      <w:pPr>
        <w:spacing w:line="240" w:lineRule="auto"/>
        <w:jc w:val="both"/>
        <w:rPr>
          <w:rFonts w:ascii="Times New Roman" w:eastAsia="Times New Roman" w:hAnsi="Times New Roman" w:cs="Times New Roman"/>
          <w:sz w:val="24"/>
          <w:szCs w:val="24"/>
        </w:rPr>
      </w:pPr>
    </w:p>
    <w:p w14:paraId="1D8DFA05" w14:textId="77777777" w:rsidR="007E74C0" w:rsidRDefault="00EA0911">
      <w:pPr>
        <w:spacing w:line="240" w:lineRule="auto"/>
        <w:jc w:val="both"/>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sz w:val="24"/>
          <w:szCs w:val="24"/>
        </w:rPr>
        <w:t>TABELA 8. Quadro de artigos - Subtema 3 (Tema 3)</w:t>
      </w:r>
    </w:p>
    <w:tbl>
      <w:tblPr>
        <w:tblStyle w:val="a7"/>
        <w:tblW w:w="906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555"/>
        <w:gridCol w:w="660"/>
        <w:gridCol w:w="3135"/>
        <w:gridCol w:w="2910"/>
        <w:gridCol w:w="1800"/>
      </w:tblGrid>
      <w:tr w:rsidR="007E74C0" w14:paraId="09AC5B67" w14:textId="77777777">
        <w:trPr>
          <w:trHeight w:val="460"/>
        </w:trPr>
        <w:tc>
          <w:tcPr>
            <w:tcW w:w="1215" w:type="dxa"/>
            <w:gridSpan w:val="2"/>
            <w:tcBorders>
              <w:top w:val="single" w:sz="12" w:space="0" w:color="000000"/>
              <w:bottom w:val="single" w:sz="6" w:space="0" w:color="000000"/>
            </w:tcBorders>
          </w:tcPr>
          <w:p w14:paraId="6ABD65F5"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Revista</w:t>
            </w:r>
          </w:p>
        </w:tc>
        <w:tc>
          <w:tcPr>
            <w:tcW w:w="3135" w:type="dxa"/>
            <w:vMerge w:val="restart"/>
            <w:tcBorders>
              <w:top w:val="single" w:sz="12" w:space="0" w:color="000000"/>
              <w:bottom w:val="single" w:sz="8" w:space="0" w:color="000000"/>
            </w:tcBorders>
            <w:vAlign w:val="center"/>
          </w:tcPr>
          <w:p w14:paraId="7EFD6787"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Pessoa(s)</w:t>
            </w:r>
          </w:p>
          <w:p w14:paraId="5A79AC17"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autora(s)</w:t>
            </w:r>
          </w:p>
        </w:tc>
        <w:tc>
          <w:tcPr>
            <w:tcW w:w="2910" w:type="dxa"/>
            <w:vMerge w:val="restart"/>
            <w:tcBorders>
              <w:top w:val="single" w:sz="12" w:space="0" w:color="000000"/>
              <w:left w:val="nil"/>
              <w:bottom w:val="single" w:sz="8" w:space="0" w:color="000000"/>
            </w:tcBorders>
            <w:shd w:val="clear" w:color="auto" w:fill="auto"/>
            <w:tcMar>
              <w:top w:w="100" w:type="dxa"/>
              <w:left w:w="100" w:type="dxa"/>
              <w:bottom w:w="100" w:type="dxa"/>
              <w:right w:w="100" w:type="dxa"/>
            </w:tcMar>
            <w:vAlign w:val="center"/>
          </w:tcPr>
          <w:p w14:paraId="08CBC68D"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Conceito(s)</w:t>
            </w:r>
          </w:p>
          <w:p w14:paraId="0C8CBAAF"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chave</w:t>
            </w:r>
          </w:p>
        </w:tc>
        <w:tc>
          <w:tcPr>
            <w:tcW w:w="1800" w:type="dxa"/>
            <w:vMerge w:val="restart"/>
            <w:tcBorders>
              <w:top w:val="single" w:sz="12" w:space="0" w:color="000000"/>
              <w:left w:val="nil"/>
              <w:bottom w:val="single" w:sz="8" w:space="0" w:color="000000"/>
            </w:tcBorders>
            <w:shd w:val="clear" w:color="auto" w:fill="auto"/>
            <w:tcMar>
              <w:top w:w="100" w:type="dxa"/>
              <w:left w:w="100" w:type="dxa"/>
              <w:bottom w:w="100" w:type="dxa"/>
              <w:right w:w="100" w:type="dxa"/>
            </w:tcMar>
            <w:vAlign w:val="center"/>
          </w:tcPr>
          <w:p w14:paraId="0DE28C8A"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País(es)</w:t>
            </w:r>
          </w:p>
          <w:p w14:paraId="4736501E" w14:textId="77777777" w:rsidR="007E74C0" w:rsidRDefault="00EA091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participante(s)</w:t>
            </w:r>
          </w:p>
        </w:tc>
      </w:tr>
      <w:tr w:rsidR="007E74C0" w14:paraId="24863736" w14:textId="77777777">
        <w:trPr>
          <w:trHeight w:val="460"/>
        </w:trPr>
        <w:tc>
          <w:tcPr>
            <w:tcW w:w="555" w:type="dxa"/>
            <w:tcBorders>
              <w:top w:val="single" w:sz="6" w:space="0" w:color="000000"/>
              <w:bottom w:val="single" w:sz="12" w:space="0" w:color="000000"/>
              <w:right w:val="nil"/>
            </w:tcBorders>
            <w:shd w:val="clear" w:color="auto" w:fill="auto"/>
            <w:tcMar>
              <w:top w:w="100" w:type="dxa"/>
              <w:left w:w="100" w:type="dxa"/>
              <w:bottom w:w="100" w:type="dxa"/>
              <w:right w:w="100" w:type="dxa"/>
            </w:tcMar>
          </w:tcPr>
          <w:p w14:paraId="343B435A" w14:textId="77777777" w:rsidR="007E74C0" w:rsidRDefault="00EA0911">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Ano</w:t>
            </w:r>
          </w:p>
        </w:tc>
        <w:tc>
          <w:tcPr>
            <w:tcW w:w="660" w:type="dxa"/>
            <w:tcBorders>
              <w:top w:val="nil"/>
              <w:left w:val="nil"/>
              <w:bottom w:val="single" w:sz="12" w:space="0" w:color="000000"/>
              <w:right w:val="nil"/>
            </w:tcBorders>
            <w:shd w:val="clear" w:color="auto" w:fill="auto"/>
            <w:tcMar>
              <w:top w:w="100" w:type="dxa"/>
              <w:left w:w="100" w:type="dxa"/>
              <w:bottom w:w="100" w:type="dxa"/>
              <w:right w:w="100" w:type="dxa"/>
            </w:tcMar>
          </w:tcPr>
          <w:p w14:paraId="6093B1BB"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 (n)</w:t>
            </w:r>
          </w:p>
        </w:tc>
        <w:tc>
          <w:tcPr>
            <w:tcW w:w="3135" w:type="dxa"/>
            <w:vMerge/>
            <w:tcBorders>
              <w:top w:val="single" w:sz="12" w:space="0" w:color="000000"/>
              <w:bottom w:val="single" w:sz="12" w:space="0" w:color="000000"/>
            </w:tcBorders>
            <w:vAlign w:val="center"/>
          </w:tcPr>
          <w:p w14:paraId="1D162B34" w14:textId="77777777" w:rsidR="007E74C0" w:rsidRDefault="007E74C0">
            <w:pPr>
              <w:widowControl w:val="0"/>
              <w:rPr>
                <w:rFonts w:ascii="Times New Roman" w:eastAsia="Times New Roman" w:hAnsi="Times New Roman" w:cs="Times New Roman"/>
                <w:sz w:val="20"/>
                <w:szCs w:val="20"/>
              </w:rPr>
            </w:pPr>
          </w:p>
        </w:tc>
        <w:tc>
          <w:tcPr>
            <w:tcW w:w="2910" w:type="dxa"/>
            <w:vMerge/>
            <w:tcBorders>
              <w:top w:val="single" w:sz="12" w:space="0" w:color="000000"/>
              <w:left w:val="nil"/>
              <w:bottom w:val="single" w:sz="12" w:space="0" w:color="000000"/>
            </w:tcBorders>
            <w:shd w:val="clear" w:color="auto" w:fill="auto"/>
            <w:tcMar>
              <w:top w:w="100" w:type="dxa"/>
              <w:left w:w="100" w:type="dxa"/>
              <w:bottom w:w="100" w:type="dxa"/>
              <w:right w:w="100" w:type="dxa"/>
            </w:tcMar>
            <w:vAlign w:val="center"/>
          </w:tcPr>
          <w:p w14:paraId="76841C50" w14:textId="77777777" w:rsidR="007E74C0" w:rsidRDefault="007E74C0">
            <w:pPr>
              <w:widowControl w:val="0"/>
              <w:rPr>
                <w:rFonts w:ascii="Times New Roman" w:eastAsia="Times New Roman" w:hAnsi="Times New Roman" w:cs="Times New Roman"/>
                <w:sz w:val="20"/>
                <w:szCs w:val="20"/>
              </w:rPr>
            </w:pPr>
          </w:p>
        </w:tc>
        <w:tc>
          <w:tcPr>
            <w:tcW w:w="1800" w:type="dxa"/>
            <w:vMerge/>
            <w:tcBorders>
              <w:top w:val="single" w:sz="12" w:space="0" w:color="000000"/>
              <w:left w:val="nil"/>
              <w:bottom w:val="single" w:sz="12" w:space="0" w:color="000000"/>
            </w:tcBorders>
            <w:shd w:val="clear" w:color="auto" w:fill="auto"/>
            <w:tcMar>
              <w:top w:w="100" w:type="dxa"/>
              <w:left w:w="100" w:type="dxa"/>
              <w:bottom w:w="100" w:type="dxa"/>
              <w:right w:w="100" w:type="dxa"/>
            </w:tcMar>
            <w:vAlign w:val="center"/>
          </w:tcPr>
          <w:p w14:paraId="453F32A1" w14:textId="77777777" w:rsidR="007E74C0" w:rsidRDefault="007E74C0">
            <w:pPr>
              <w:widowControl w:val="0"/>
              <w:rPr>
                <w:rFonts w:ascii="Times New Roman" w:eastAsia="Times New Roman" w:hAnsi="Times New Roman" w:cs="Times New Roman"/>
                <w:sz w:val="20"/>
                <w:szCs w:val="20"/>
              </w:rPr>
            </w:pPr>
          </w:p>
        </w:tc>
      </w:tr>
      <w:tr w:rsidR="007E74C0" w14:paraId="3284DB3E" w14:textId="77777777">
        <w:trPr>
          <w:trHeight w:val="198"/>
        </w:trPr>
        <w:tc>
          <w:tcPr>
            <w:tcW w:w="555" w:type="dxa"/>
            <w:tcBorders>
              <w:top w:val="single" w:sz="12" w:space="0" w:color="000000"/>
              <w:left w:val="nil"/>
              <w:bottom w:val="nil"/>
              <w:right w:val="nil"/>
            </w:tcBorders>
            <w:tcMar>
              <w:top w:w="40" w:type="dxa"/>
              <w:left w:w="40" w:type="dxa"/>
              <w:bottom w:w="40" w:type="dxa"/>
              <w:right w:w="40" w:type="dxa"/>
            </w:tcMar>
            <w:vAlign w:val="center"/>
          </w:tcPr>
          <w:p w14:paraId="4C00DB99"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1994</w:t>
            </w:r>
          </w:p>
        </w:tc>
        <w:tc>
          <w:tcPr>
            <w:tcW w:w="660" w:type="dxa"/>
            <w:tcBorders>
              <w:top w:val="single" w:sz="12" w:space="0" w:color="000000"/>
              <w:left w:val="nil"/>
              <w:bottom w:val="nil"/>
              <w:right w:val="nil"/>
            </w:tcBorders>
            <w:tcMar>
              <w:top w:w="40" w:type="dxa"/>
              <w:left w:w="40" w:type="dxa"/>
              <w:bottom w:w="40" w:type="dxa"/>
              <w:right w:w="40" w:type="dxa"/>
            </w:tcMar>
            <w:vAlign w:val="center"/>
          </w:tcPr>
          <w:p w14:paraId="57F55346"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28(2)</w:t>
            </w:r>
          </w:p>
        </w:tc>
        <w:tc>
          <w:tcPr>
            <w:tcW w:w="3135" w:type="dxa"/>
            <w:tcBorders>
              <w:top w:val="single" w:sz="12" w:space="0" w:color="000000"/>
              <w:left w:val="nil"/>
              <w:bottom w:val="nil"/>
              <w:right w:val="nil"/>
            </w:tcBorders>
            <w:tcMar>
              <w:top w:w="40" w:type="dxa"/>
              <w:left w:w="40" w:type="dxa"/>
              <w:bottom w:w="40" w:type="dxa"/>
              <w:right w:w="40" w:type="dxa"/>
            </w:tcMar>
            <w:vAlign w:val="center"/>
          </w:tcPr>
          <w:p w14:paraId="79888456"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Flores-Ortiz, Esteban e Carrillo</w:t>
            </w:r>
          </w:p>
        </w:tc>
        <w:tc>
          <w:tcPr>
            <w:tcW w:w="2910" w:type="dxa"/>
            <w:tcBorders>
              <w:top w:val="single" w:sz="12" w:space="0" w:color="000000"/>
              <w:left w:val="nil"/>
              <w:bottom w:val="nil"/>
              <w:right w:val="nil"/>
            </w:tcBorders>
            <w:tcMar>
              <w:top w:w="40" w:type="dxa"/>
              <w:left w:w="40" w:type="dxa"/>
              <w:bottom w:w="40" w:type="dxa"/>
              <w:right w:w="40" w:type="dxa"/>
            </w:tcMar>
            <w:vAlign w:val="center"/>
          </w:tcPr>
          <w:p w14:paraId="0549C444"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Violência familiar (contexto cultural, terapia familiar)</w:t>
            </w:r>
          </w:p>
        </w:tc>
        <w:tc>
          <w:tcPr>
            <w:tcW w:w="1800" w:type="dxa"/>
            <w:tcBorders>
              <w:top w:val="single" w:sz="12" w:space="0" w:color="000000"/>
              <w:left w:val="nil"/>
              <w:bottom w:val="nil"/>
              <w:right w:val="nil"/>
            </w:tcBorders>
            <w:tcMar>
              <w:top w:w="40" w:type="dxa"/>
              <w:left w:w="40" w:type="dxa"/>
              <w:bottom w:w="40" w:type="dxa"/>
              <w:right w:w="40" w:type="dxa"/>
            </w:tcMar>
            <w:vAlign w:val="center"/>
          </w:tcPr>
          <w:p w14:paraId="79FB2344"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Am. Latina (vários)</w:t>
            </w:r>
          </w:p>
        </w:tc>
      </w:tr>
      <w:tr w:rsidR="007E74C0" w14:paraId="42DBD99D" w14:textId="77777777">
        <w:trPr>
          <w:trHeight w:val="239"/>
        </w:trPr>
        <w:tc>
          <w:tcPr>
            <w:tcW w:w="555" w:type="dxa"/>
            <w:tcBorders>
              <w:top w:val="nil"/>
              <w:left w:val="nil"/>
              <w:bottom w:val="nil"/>
              <w:right w:val="nil"/>
            </w:tcBorders>
            <w:shd w:val="clear" w:color="auto" w:fill="BFBFBF"/>
            <w:tcMar>
              <w:top w:w="40" w:type="dxa"/>
              <w:left w:w="40" w:type="dxa"/>
              <w:bottom w:w="40" w:type="dxa"/>
              <w:right w:w="40" w:type="dxa"/>
            </w:tcMar>
            <w:vAlign w:val="center"/>
          </w:tcPr>
          <w:p w14:paraId="2DDBB6F6"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2005</w:t>
            </w:r>
          </w:p>
        </w:tc>
        <w:tc>
          <w:tcPr>
            <w:tcW w:w="660" w:type="dxa"/>
            <w:tcBorders>
              <w:top w:val="nil"/>
              <w:left w:val="nil"/>
              <w:bottom w:val="nil"/>
              <w:right w:val="nil"/>
            </w:tcBorders>
            <w:shd w:val="clear" w:color="auto" w:fill="BFBFBF"/>
            <w:tcMar>
              <w:top w:w="40" w:type="dxa"/>
              <w:left w:w="40" w:type="dxa"/>
              <w:bottom w:w="40" w:type="dxa"/>
              <w:right w:w="40" w:type="dxa"/>
            </w:tcMar>
            <w:vAlign w:val="center"/>
          </w:tcPr>
          <w:p w14:paraId="6106C23F"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39(3)</w:t>
            </w:r>
          </w:p>
        </w:tc>
        <w:tc>
          <w:tcPr>
            <w:tcW w:w="3135" w:type="dxa"/>
            <w:tcBorders>
              <w:top w:val="nil"/>
              <w:left w:val="nil"/>
              <w:bottom w:val="nil"/>
              <w:right w:val="nil"/>
            </w:tcBorders>
            <w:shd w:val="clear" w:color="auto" w:fill="BFBFBF"/>
            <w:tcMar>
              <w:top w:w="40" w:type="dxa"/>
              <w:left w:w="40" w:type="dxa"/>
              <w:bottom w:w="40" w:type="dxa"/>
              <w:right w:w="40" w:type="dxa"/>
            </w:tcMar>
            <w:vAlign w:val="center"/>
          </w:tcPr>
          <w:p w14:paraId="5B56E4A5"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Mena, Rodríguez e Malavé</w:t>
            </w:r>
          </w:p>
        </w:tc>
        <w:tc>
          <w:tcPr>
            <w:tcW w:w="2910" w:type="dxa"/>
            <w:tcBorders>
              <w:top w:val="nil"/>
              <w:left w:val="nil"/>
              <w:bottom w:val="nil"/>
              <w:right w:val="nil"/>
            </w:tcBorders>
            <w:shd w:val="clear" w:color="auto" w:fill="BFBFBF"/>
            <w:tcMar>
              <w:top w:w="40" w:type="dxa"/>
              <w:left w:w="40" w:type="dxa"/>
              <w:bottom w:w="40" w:type="dxa"/>
              <w:right w:w="40" w:type="dxa"/>
            </w:tcMar>
            <w:vAlign w:val="center"/>
          </w:tcPr>
          <w:p w14:paraId="2F8E6E27"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Violência doméstica (relações afetivas e exercício de poder)</w:t>
            </w:r>
          </w:p>
        </w:tc>
        <w:tc>
          <w:tcPr>
            <w:tcW w:w="1800" w:type="dxa"/>
            <w:tcBorders>
              <w:top w:val="nil"/>
              <w:left w:val="nil"/>
              <w:bottom w:val="nil"/>
              <w:right w:val="nil"/>
            </w:tcBorders>
            <w:shd w:val="clear" w:color="auto" w:fill="BFBFBF"/>
            <w:tcMar>
              <w:top w:w="40" w:type="dxa"/>
              <w:left w:w="40" w:type="dxa"/>
              <w:bottom w:w="40" w:type="dxa"/>
              <w:right w:w="40" w:type="dxa"/>
            </w:tcMar>
            <w:vAlign w:val="center"/>
          </w:tcPr>
          <w:p w14:paraId="06248A57"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Porto Rico</w:t>
            </w:r>
          </w:p>
        </w:tc>
      </w:tr>
      <w:tr w:rsidR="007E74C0" w14:paraId="618B1605" w14:textId="77777777">
        <w:trPr>
          <w:trHeight w:val="239"/>
        </w:trPr>
        <w:tc>
          <w:tcPr>
            <w:tcW w:w="555" w:type="dxa"/>
            <w:tcBorders>
              <w:top w:val="nil"/>
              <w:left w:val="nil"/>
              <w:bottom w:val="nil"/>
              <w:right w:val="nil"/>
            </w:tcBorders>
            <w:tcMar>
              <w:top w:w="40" w:type="dxa"/>
              <w:left w:w="40" w:type="dxa"/>
              <w:bottom w:w="40" w:type="dxa"/>
              <w:right w:w="40" w:type="dxa"/>
            </w:tcMar>
            <w:vAlign w:val="center"/>
          </w:tcPr>
          <w:p w14:paraId="073823BF"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2006</w:t>
            </w:r>
          </w:p>
        </w:tc>
        <w:tc>
          <w:tcPr>
            <w:tcW w:w="660" w:type="dxa"/>
            <w:tcBorders>
              <w:top w:val="nil"/>
              <w:left w:val="nil"/>
              <w:bottom w:val="nil"/>
              <w:right w:val="nil"/>
            </w:tcBorders>
            <w:tcMar>
              <w:top w:w="40" w:type="dxa"/>
              <w:left w:w="40" w:type="dxa"/>
              <w:bottom w:w="40" w:type="dxa"/>
              <w:right w:w="40" w:type="dxa"/>
            </w:tcMar>
            <w:vAlign w:val="center"/>
          </w:tcPr>
          <w:p w14:paraId="0FC00359"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40(3)</w:t>
            </w:r>
          </w:p>
        </w:tc>
        <w:tc>
          <w:tcPr>
            <w:tcW w:w="3135" w:type="dxa"/>
            <w:tcBorders>
              <w:top w:val="nil"/>
              <w:left w:val="nil"/>
              <w:bottom w:val="nil"/>
              <w:right w:val="nil"/>
            </w:tcBorders>
            <w:tcMar>
              <w:top w:w="40" w:type="dxa"/>
              <w:left w:w="40" w:type="dxa"/>
              <w:bottom w:w="40" w:type="dxa"/>
              <w:right w:w="40" w:type="dxa"/>
            </w:tcMar>
            <w:vAlign w:val="center"/>
          </w:tcPr>
          <w:p w14:paraId="544D2035"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Albarraci</w:t>
            </w:r>
          </w:p>
        </w:tc>
        <w:tc>
          <w:tcPr>
            <w:tcW w:w="2910" w:type="dxa"/>
            <w:tcBorders>
              <w:top w:val="nil"/>
              <w:left w:val="nil"/>
              <w:bottom w:val="nil"/>
              <w:right w:val="nil"/>
            </w:tcBorders>
            <w:tcMar>
              <w:top w:w="40" w:type="dxa"/>
              <w:left w:w="40" w:type="dxa"/>
              <w:bottom w:w="40" w:type="dxa"/>
              <w:right w:w="40" w:type="dxa"/>
            </w:tcMar>
            <w:vAlign w:val="center"/>
          </w:tcPr>
          <w:p w14:paraId="2DD977E8"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Abuso sexual infantil (protocolo de intervenção) </w:t>
            </w:r>
          </w:p>
        </w:tc>
        <w:tc>
          <w:tcPr>
            <w:tcW w:w="1800" w:type="dxa"/>
            <w:tcBorders>
              <w:top w:val="nil"/>
              <w:left w:val="nil"/>
              <w:bottom w:val="nil"/>
              <w:right w:val="nil"/>
            </w:tcBorders>
            <w:tcMar>
              <w:top w:w="40" w:type="dxa"/>
              <w:left w:w="40" w:type="dxa"/>
              <w:bottom w:w="40" w:type="dxa"/>
              <w:right w:w="40" w:type="dxa"/>
            </w:tcMar>
            <w:vAlign w:val="center"/>
          </w:tcPr>
          <w:p w14:paraId="0AD9D348" w14:textId="77777777" w:rsidR="007E74C0" w:rsidRDefault="00EA0911">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Argentina</w:t>
            </w:r>
          </w:p>
        </w:tc>
      </w:tr>
      <w:tr w:rsidR="007E74C0" w14:paraId="1F88DDF3" w14:textId="77777777">
        <w:trPr>
          <w:trHeight w:val="239"/>
        </w:trPr>
        <w:tc>
          <w:tcPr>
            <w:tcW w:w="555" w:type="dxa"/>
            <w:tcBorders>
              <w:top w:val="nil"/>
              <w:bottom w:val="single" w:sz="12" w:space="0" w:color="000000"/>
            </w:tcBorders>
            <w:shd w:val="clear" w:color="auto" w:fill="BFBFBF"/>
            <w:tcMar>
              <w:top w:w="19" w:type="dxa"/>
              <w:left w:w="19" w:type="dxa"/>
              <w:bottom w:w="19" w:type="dxa"/>
              <w:right w:w="19" w:type="dxa"/>
            </w:tcMar>
            <w:vAlign w:val="center"/>
          </w:tcPr>
          <w:p w14:paraId="2FD8A5BE"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2013</w:t>
            </w:r>
          </w:p>
        </w:tc>
        <w:tc>
          <w:tcPr>
            <w:tcW w:w="660" w:type="dxa"/>
            <w:tcBorders>
              <w:top w:val="nil"/>
              <w:bottom w:val="single" w:sz="12" w:space="0" w:color="000000"/>
            </w:tcBorders>
            <w:shd w:val="clear" w:color="auto" w:fill="BFBFBF"/>
            <w:tcMar>
              <w:top w:w="19" w:type="dxa"/>
              <w:left w:w="19" w:type="dxa"/>
              <w:bottom w:w="19" w:type="dxa"/>
              <w:right w:w="19" w:type="dxa"/>
            </w:tcMar>
            <w:vAlign w:val="center"/>
          </w:tcPr>
          <w:p w14:paraId="255B4164"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47(1)</w:t>
            </w:r>
          </w:p>
        </w:tc>
        <w:tc>
          <w:tcPr>
            <w:tcW w:w="3135" w:type="dxa"/>
            <w:tcBorders>
              <w:top w:val="nil"/>
              <w:bottom w:val="single" w:sz="12" w:space="0" w:color="000000"/>
            </w:tcBorders>
            <w:shd w:val="clear" w:color="auto" w:fill="BFBFBF"/>
            <w:tcMar>
              <w:top w:w="19" w:type="dxa"/>
              <w:left w:w="19" w:type="dxa"/>
              <w:bottom w:w="19" w:type="dxa"/>
              <w:right w:w="19" w:type="dxa"/>
            </w:tcMar>
            <w:vAlign w:val="center"/>
          </w:tcPr>
          <w:p w14:paraId="38E86B3A"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Lourenço, Baptista, Almeida, Basílio, Koga, Hashimoto, Stroppa, Bhona &amp; Andrade</w:t>
            </w:r>
          </w:p>
        </w:tc>
        <w:tc>
          <w:tcPr>
            <w:tcW w:w="2910" w:type="dxa"/>
            <w:tcBorders>
              <w:top w:val="nil"/>
              <w:bottom w:val="single" w:sz="12" w:space="0" w:color="000000"/>
            </w:tcBorders>
            <w:shd w:val="clear" w:color="auto" w:fill="BFBFBF"/>
            <w:tcMar>
              <w:top w:w="19" w:type="dxa"/>
              <w:left w:w="19" w:type="dxa"/>
              <w:bottom w:w="19" w:type="dxa"/>
              <w:right w:w="19" w:type="dxa"/>
            </w:tcMar>
            <w:vAlign w:val="center"/>
          </w:tcPr>
          <w:p w14:paraId="47665800"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Violências (Parceiro íntimo)</w:t>
            </w:r>
          </w:p>
        </w:tc>
        <w:tc>
          <w:tcPr>
            <w:tcW w:w="1800" w:type="dxa"/>
            <w:tcBorders>
              <w:top w:val="nil"/>
              <w:bottom w:val="single" w:sz="12" w:space="0" w:color="000000"/>
            </w:tcBorders>
            <w:shd w:val="clear" w:color="auto" w:fill="BFBFBF"/>
            <w:tcMar>
              <w:top w:w="19" w:type="dxa"/>
              <w:left w:w="19" w:type="dxa"/>
              <w:bottom w:w="19" w:type="dxa"/>
              <w:right w:w="19" w:type="dxa"/>
            </w:tcMar>
            <w:vAlign w:val="center"/>
          </w:tcPr>
          <w:p w14:paraId="3C4AE03A" w14:textId="77777777" w:rsidR="007E74C0" w:rsidRDefault="00EA091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Brasil</w:t>
            </w:r>
          </w:p>
        </w:tc>
      </w:tr>
    </w:tbl>
    <w:p w14:paraId="60B774B0" w14:textId="77777777" w:rsidR="007E74C0" w:rsidRDefault="007E74C0">
      <w:pPr>
        <w:spacing w:line="240" w:lineRule="auto"/>
        <w:jc w:val="both"/>
        <w:rPr>
          <w:rFonts w:ascii="Times New Roman" w:eastAsia="Times New Roman" w:hAnsi="Times New Roman" w:cs="Times New Roman"/>
          <w:color w:val="1C4587"/>
          <w:sz w:val="24"/>
          <w:szCs w:val="24"/>
          <w:highlight w:val="white"/>
        </w:rPr>
      </w:pPr>
    </w:p>
    <w:p w14:paraId="790473BA"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Os dois primeiros artigos identificaram o caráter estrutural da </w:t>
      </w:r>
      <w:r>
        <w:rPr>
          <w:rFonts w:ascii="Times New Roman" w:eastAsia="Times New Roman" w:hAnsi="Times New Roman" w:cs="Times New Roman"/>
          <w:sz w:val="24"/>
          <w:szCs w:val="24"/>
        </w:rPr>
        <w:t>violência doméstica, pautada em relações de força e poder, e pontuaram que políticas públicas e intervençõ</w:t>
      </w:r>
      <w:r>
        <w:rPr>
          <w:rFonts w:ascii="Times New Roman" w:eastAsia="Times New Roman" w:hAnsi="Times New Roman" w:cs="Times New Roman"/>
          <w:sz w:val="24"/>
          <w:szCs w:val="24"/>
          <w:highlight w:val="white"/>
        </w:rPr>
        <w:t xml:space="preserve">es técnicas precisam considerar fatores étnicos-culturais nas intervenções que buscam garantir a proteção, o cuidado e o fortalecimento das vítimas, sem culpabilizá-las e revitimá-las. Esses artigos consideram a dificuldade de se romper o ciclo da violência, que implica, em regra, no afastamento do agressor e no consequente rompimento dos laços familiares, uma questão cara para muitas culturas latino americanas (IJP, 1994; IJP, 2005). </w:t>
      </w:r>
    </w:p>
    <w:p w14:paraId="3AD8A713" w14:textId="77777777" w:rsidR="007E74C0" w:rsidRDefault="00EA0911">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Nos dois últimos artigos, um propõe criar um protocolo de atendimento que auxilie a identificar a ocorrência de abuso sexual em crianças, pensando em estratégias de proteção e possibilidades de intervenção (IJP, 2006) e o outro, a partir de revisão de literatura realizada no Brasil, identificou pouca produção com vistas à prevenção de violência entre parceiros íntimos, importante elemento para se pensar as políticas públicas de saúde (IJP, 2013).</w:t>
      </w:r>
    </w:p>
    <w:p w14:paraId="248E4B29" w14:textId="77777777" w:rsidR="007E74C0" w:rsidRDefault="007E74C0">
      <w:pPr>
        <w:spacing w:line="240" w:lineRule="auto"/>
        <w:ind w:firstLine="720"/>
        <w:jc w:val="both"/>
        <w:rPr>
          <w:rFonts w:ascii="Times New Roman" w:eastAsia="Times New Roman" w:hAnsi="Times New Roman" w:cs="Times New Roman"/>
          <w:sz w:val="24"/>
          <w:szCs w:val="24"/>
          <w:highlight w:val="white"/>
        </w:rPr>
      </w:pPr>
    </w:p>
    <w:p w14:paraId="01E633C6" w14:textId="77777777" w:rsidR="007E74C0" w:rsidRDefault="007E74C0">
      <w:pPr>
        <w:spacing w:line="240" w:lineRule="auto"/>
        <w:jc w:val="both"/>
        <w:rPr>
          <w:rFonts w:ascii="Times New Roman" w:eastAsia="Times New Roman" w:hAnsi="Times New Roman" w:cs="Times New Roman"/>
          <w:sz w:val="24"/>
          <w:szCs w:val="24"/>
        </w:rPr>
      </w:pPr>
    </w:p>
    <w:p w14:paraId="775CD82A" w14:textId="77777777" w:rsidR="007E74C0" w:rsidRDefault="00EA091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Considerações Finais</w:t>
      </w:r>
    </w:p>
    <w:p w14:paraId="3FDDCE07" w14:textId="77777777" w:rsidR="007E74C0" w:rsidRDefault="007E74C0">
      <w:pPr>
        <w:spacing w:line="240" w:lineRule="auto"/>
        <w:jc w:val="both"/>
        <w:rPr>
          <w:rFonts w:ascii="Times New Roman" w:eastAsia="Times New Roman" w:hAnsi="Times New Roman" w:cs="Times New Roman"/>
          <w:color w:val="1C4587"/>
          <w:sz w:val="24"/>
          <w:szCs w:val="24"/>
        </w:rPr>
      </w:pPr>
    </w:p>
    <w:p w14:paraId="3B35BC62" w14:textId="77777777" w:rsidR="007E74C0" w:rsidRDefault="00EA091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Embora não tenha sido objetivo deste trabalho a generalização dos resultados para a totalidade da produção científica latino-americana sobre os temas abordados, esperamos que a presente revisão sistemática auxilie na</w:t>
      </w:r>
      <w:r>
        <w:rPr>
          <w:rFonts w:ascii="Times New Roman" w:eastAsia="Times New Roman" w:hAnsi="Times New Roman" w:cs="Times New Roman"/>
          <w:sz w:val="24"/>
          <w:szCs w:val="24"/>
          <w:highlight w:val="white"/>
        </w:rPr>
        <w:t xml:space="preserve"> compreensão do </w:t>
      </w:r>
      <w:r>
        <w:rPr>
          <w:rFonts w:ascii="Times New Roman" w:eastAsia="Times New Roman" w:hAnsi="Times New Roman" w:cs="Times New Roman"/>
          <w:sz w:val="24"/>
          <w:szCs w:val="24"/>
        </w:rPr>
        <w:t>processo histórico de constituição dos conceitos ora em foco nos campos da Psicologia na América Latina, bem como do esforço de construção de estratégias teóricas e metodológicas para o seu estudo, mais próximas das suas realidades psicossocial, ética e cultural na contemporaneidade.</w:t>
      </w:r>
    </w:p>
    <w:p w14:paraId="1788CD47" w14:textId="77777777" w:rsidR="007E74C0" w:rsidRDefault="00EA0911">
      <w:pPr>
        <w:spacing w:line="240" w:lineRule="auto"/>
        <w:ind w:firstLine="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Afinal, mesmo que os trabalhos revistos não reflitam a posição da SIP sobre o grande tema, eles podem indicar, certo modo, linhas gerais das múltiplas produções latino-americanas sobre assuntos que, como vimos, são cada vez mais abordados por esta publicação.</w:t>
      </w:r>
    </w:p>
    <w:p w14:paraId="7637CFD1" w14:textId="77777777" w:rsidR="007E74C0" w:rsidRDefault="007E74C0">
      <w:pPr>
        <w:spacing w:line="240" w:lineRule="auto"/>
        <w:jc w:val="both"/>
        <w:rPr>
          <w:rFonts w:ascii="Times New Roman" w:eastAsia="Times New Roman" w:hAnsi="Times New Roman" w:cs="Times New Roman"/>
          <w:sz w:val="24"/>
          <w:szCs w:val="24"/>
        </w:rPr>
      </w:pPr>
    </w:p>
    <w:p w14:paraId="562C7983" w14:textId="77777777" w:rsidR="007E74C0" w:rsidRDefault="00EA091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Referências</w:t>
      </w:r>
    </w:p>
    <w:p w14:paraId="033E88B6" w14:textId="77777777" w:rsidR="007E74C0" w:rsidRDefault="007E74C0">
      <w:pPr>
        <w:spacing w:line="240" w:lineRule="auto"/>
        <w:jc w:val="both"/>
        <w:rPr>
          <w:rFonts w:ascii="Times New Roman" w:eastAsia="Times New Roman" w:hAnsi="Times New Roman" w:cs="Times New Roman"/>
          <w:sz w:val="24"/>
          <w:szCs w:val="24"/>
        </w:rPr>
      </w:pPr>
    </w:p>
    <w:p w14:paraId="110F53BC"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Alquati Bisol, C., &amp; Tapia, A. M. (2012). A Psicologia e o Conceito de Risco: Estudos Publicados entre 1999 e 2010. </w:t>
      </w:r>
      <w:r>
        <w:rPr>
          <w:rFonts w:ascii="Times New Roman" w:eastAsia="Times New Roman" w:hAnsi="Times New Roman" w:cs="Times New Roman"/>
          <w:i/>
          <w:sz w:val="24"/>
          <w:szCs w:val="24"/>
        </w:rPr>
        <w:t>Psico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43</w:t>
      </w:r>
      <w:r>
        <w:rPr>
          <w:rFonts w:ascii="Times New Roman" w:eastAsia="Times New Roman" w:hAnsi="Times New Roman" w:cs="Times New Roman"/>
          <w:sz w:val="24"/>
          <w:szCs w:val="24"/>
        </w:rPr>
        <w:t>(3). https://revistaseletronicas.pucrs.br/ojs/index.php/revistapsico/article/view/7824</w:t>
      </w:r>
    </w:p>
    <w:p w14:paraId="140C0DD2"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Angelini, A. L. (2012). O papel da Sociedade Interamericana de Psicologia no desenvolvimento da Psicologia na América Latina. </w:t>
      </w:r>
      <w:r>
        <w:rPr>
          <w:rFonts w:ascii="Times New Roman" w:eastAsia="Times New Roman" w:hAnsi="Times New Roman" w:cs="Times New Roman"/>
          <w:i/>
          <w:sz w:val="24"/>
          <w:szCs w:val="24"/>
        </w:rPr>
        <w:t>Interamerican Journal of Psychology</w:t>
      </w:r>
      <w:r>
        <w:rPr>
          <w:rFonts w:ascii="Times New Roman" w:eastAsia="Times New Roman" w:hAnsi="Times New Roman" w:cs="Times New Roman"/>
          <w:sz w:val="24"/>
          <w:szCs w:val="24"/>
        </w:rPr>
        <w:t xml:space="preserve">, 46(1), 9-20. </w:t>
      </w:r>
      <w:hyperlink r:id="rId11">
        <w:r>
          <w:rPr>
            <w:rFonts w:ascii="Times New Roman" w:eastAsia="Times New Roman" w:hAnsi="Times New Roman" w:cs="Times New Roman"/>
            <w:sz w:val="24"/>
            <w:szCs w:val="24"/>
          </w:rPr>
          <w:t>https://www.redalyc.org/articulo.oa?id=284/28424858002</w:t>
        </w:r>
      </w:hyperlink>
    </w:p>
    <w:p w14:paraId="2D7AF673"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Andrade, D. S. V. &amp; Santos, H. M. (Orgs.) (2013). </w:t>
      </w:r>
      <w:r>
        <w:rPr>
          <w:rFonts w:ascii="Times New Roman" w:eastAsia="Times New Roman" w:hAnsi="Times New Roman" w:cs="Times New Roman"/>
          <w:i/>
          <w:sz w:val="24"/>
          <w:szCs w:val="24"/>
        </w:rPr>
        <w:t>Gênero na Psicologia: Articulações e Discussões</w:t>
      </w:r>
      <w:r>
        <w:rPr>
          <w:rFonts w:ascii="Times New Roman" w:eastAsia="Times New Roman" w:hAnsi="Times New Roman" w:cs="Times New Roman"/>
          <w:sz w:val="24"/>
          <w:szCs w:val="24"/>
        </w:rPr>
        <w:t>. Salvador: CRP-03. https://www.crp03.org.br/wp-content/uploads/2015/08/Genero-na-Psicologia-articulacoes-e-discussoes.pdf</w:t>
      </w:r>
    </w:p>
    <w:p w14:paraId="614D665A"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Antunes, M. A. M. (2012). A Psicologia no Brasil: um ensaio sobre suas contradições. </w:t>
      </w:r>
      <w:r>
        <w:rPr>
          <w:rFonts w:ascii="Times New Roman" w:eastAsia="Times New Roman" w:hAnsi="Times New Roman" w:cs="Times New Roman"/>
          <w:i/>
          <w:sz w:val="24"/>
          <w:szCs w:val="24"/>
        </w:rPr>
        <w:t>Psicologia: Ciência e Profissão</w:t>
      </w:r>
      <w:r>
        <w:rPr>
          <w:rFonts w:ascii="Times New Roman" w:eastAsia="Times New Roman" w:hAnsi="Times New Roman" w:cs="Times New Roman"/>
          <w:sz w:val="24"/>
          <w:szCs w:val="24"/>
        </w:rPr>
        <w:t xml:space="preserve">, 32(spe), 44-65. </w:t>
      </w:r>
      <w:hyperlink r:id="rId12">
        <w:r>
          <w:rPr>
            <w:rFonts w:ascii="Times New Roman" w:eastAsia="Times New Roman" w:hAnsi="Times New Roman" w:cs="Times New Roman"/>
            <w:sz w:val="24"/>
            <w:szCs w:val="24"/>
          </w:rPr>
          <w:t>https://dx.doi.org/10.1590/S1414-98932012000500005</w:t>
        </w:r>
      </w:hyperlink>
    </w:p>
    <w:p w14:paraId="715C7CF5"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Badinter, E. (1985). </w:t>
      </w:r>
      <w:r>
        <w:rPr>
          <w:rFonts w:ascii="Times New Roman" w:eastAsia="Times New Roman" w:hAnsi="Times New Roman" w:cs="Times New Roman"/>
          <w:i/>
          <w:sz w:val="24"/>
          <w:szCs w:val="24"/>
        </w:rPr>
        <w:t xml:space="preserve">Um Amor conquistado: o mito do amor materno </w:t>
      </w:r>
      <w:r>
        <w:rPr>
          <w:rFonts w:ascii="Times New Roman" w:eastAsia="Times New Roman" w:hAnsi="Times New Roman" w:cs="Times New Roman"/>
          <w:sz w:val="24"/>
          <w:szCs w:val="24"/>
        </w:rPr>
        <w:t xml:space="preserve">(4ª ed.).Tradução de Waltensir           Dutra. Rio de Janeiro: Nova Fronteira. </w:t>
      </w:r>
    </w:p>
    <w:p w14:paraId="0432C349"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Borges, L. S.; Canuto, A. de A. A.; Oliveira, D. P. de, &amp; Vaz, R. P. (2013). Abordagens de gênero e sexualidade na Psicologia: revendo conceitos, repensando práticas. </w:t>
      </w:r>
      <w:r>
        <w:rPr>
          <w:rFonts w:ascii="Times New Roman" w:eastAsia="Times New Roman" w:hAnsi="Times New Roman" w:cs="Times New Roman"/>
          <w:i/>
          <w:sz w:val="24"/>
          <w:szCs w:val="24"/>
        </w:rPr>
        <w:t>Psicologia: Ciência e Profissão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33</w:t>
      </w:r>
      <w:r>
        <w:rPr>
          <w:rFonts w:ascii="Times New Roman" w:eastAsia="Times New Roman" w:hAnsi="Times New Roman" w:cs="Times New Roman"/>
          <w:sz w:val="24"/>
          <w:szCs w:val="24"/>
        </w:rPr>
        <w:t xml:space="preserve">(3), 730-745. </w:t>
      </w:r>
      <w:hyperlink r:id="rId13">
        <w:r>
          <w:rPr>
            <w:rFonts w:ascii="Times New Roman" w:eastAsia="Times New Roman" w:hAnsi="Times New Roman" w:cs="Times New Roman"/>
            <w:sz w:val="24"/>
            <w:szCs w:val="24"/>
          </w:rPr>
          <w:t>https://dx.doi.org/10.1590/S1414-98932013000300016</w:t>
        </w:r>
      </w:hyperlink>
    </w:p>
    <w:p w14:paraId="2A7A79CC" w14:textId="77777777" w:rsidR="007E74C0" w:rsidRDefault="00EA0911">
      <w:pPr>
        <w:spacing w:line="240" w:lineRule="auto"/>
        <w:ind w:left="708"/>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Braun, V., &amp; Clarke, V. (2006). Using thematic analysis in psychology</w:t>
      </w:r>
      <w:r>
        <w:rPr>
          <w:rFonts w:ascii="Times New Roman" w:eastAsia="Times New Roman" w:hAnsi="Times New Roman" w:cs="Times New Roman"/>
          <w:i/>
          <w:sz w:val="24"/>
          <w:szCs w:val="24"/>
        </w:rPr>
        <w:t>. Qualitative Research in Psychology,</w:t>
      </w:r>
      <w:r>
        <w:rPr>
          <w:rFonts w:ascii="Times New Roman" w:eastAsia="Times New Roman" w:hAnsi="Times New Roman" w:cs="Times New Roman"/>
          <w:sz w:val="24"/>
          <w:szCs w:val="24"/>
        </w:rPr>
        <w:t xml:space="preserve"> 3 (2).77-101. </w:t>
      </w:r>
      <w:hyperlink r:id="rId14">
        <w:r>
          <w:rPr>
            <w:rFonts w:ascii="Times New Roman" w:eastAsia="Times New Roman" w:hAnsi="Times New Roman" w:cs="Times New Roman"/>
            <w:sz w:val="24"/>
            <w:szCs w:val="24"/>
          </w:rPr>
          <w:t>http://dx.doi.org/10.1191/1478088706qp063oa</w:t>
        </w:r>
      </w:hyperlink>
    </w:p>
    <w:p w14:paraId="379F5C61"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Butler, J. (2013). </w:t>
      </w:r>
      <w:r>
        <w:rPr>
          <w:rFonts w:ascii="Times New Roman" w:eastAsia="Times New Roman" w:hAnsi="Times New Roman" w:cs="Times New Roman"/>
          <w:i/>
          <w:sz w:val="24"/>
          <w:szCs w:val="24"/>
        </w:rPr>
        <w:t>Problemas de gênero: feminismo e subversão de identidade.</w:t>
      </w:r>
      <w:r>
        <w:rPr>
          <w:rFonts w:ascii="Times New Roman" w:eastAsia="Times New Roman" w:hAnsi="Times New Roman" w:cs="Times New Roman"/>
          <w:sz w:val="24"/>
          <w:szCs w:val="24"/>
        </w:rPr>
        <w:t xml:space="preserve"> 6 ed. Rio de Janeiro: Civilização Brasileira, 2013.</w:t>
      </w:r>
    </w:p>
    <w:p w14:paraId="77A7C3D6"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Campos, I. de O., &amp; Zanello, V. (2016).</w:t>
      </w:r>
      <w:r>
        <w:rPr>
          <w:rFonts w:ascii="Times New Roman" w:eastAsia="Times New Roman" w:hAnsi="Times New Roman" w:cs="Times New Roman"/>
          <w:sz w:val="24"/>
          <w:szCs w:val="24"/>
        </w:rPr>
        <w:t>Saúde mental e gênero: o sofrimento psíquico e a invisibilidade das violências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Vivência: Revista De Antropologia</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w:t>
      </w:r>
      <w:r>
        <w:rPr>
          <w:rFonts w:ascii="Times New Roman" w:eastAsia="Times New Roman" w:hAnsi="Times New Roman" w:cs="Times New Roman"/>
          <w:sz w:val="24"/>
          <w:szCs w:val="24"/>
          <w:highlight w:val="white"/>
        </w:rPr>
        <w:t>(48), 105-117. https://periodicos.ufrn.br/vivencia/article/view/11505</w:t>
      </w:r>
    </w:p>
    <w:p w14:paraId="7A10D755"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Coimbra, C. (1995). </w:t>
      </w:r>
      <w:r>
        <w:rPr>
          <w:rFonts w:ascii="Times New Roman" w:eastAsia="Times New Roman" w:hAnsi="Times New Roman" w:cs="Times New Roman"/>
          <w:i/>
          <w:sz w:val="24"/>
          <w:szCs w:val="24"/>
        </w:rPr>
        <w:t>Guardiães da ordem</w:t>
      </w:r>
      <w:r>
        <w:rPr>
          <w:rFonts w:ascii="Times New Roman" w:eastAsia="Times New Roman" w:hAnsi="Times New Roman" w:cs="Times New Roman"/>
          <w:sz w:val="24"/>
          <w:szCs w:val="24"/>
        </w:rPr>
        <w:t>: Uma viagem pelas práticas psi no Brasil do “Milagre”. Rio de Janeiro, RJ: Oficina do Autor</w:t>
      </w:r>
    </w:p>
    <w:p w14:paraId="7321DBFA" w14:textId="77777777" w:rsidR="007E74C0" w:rsidRDefault="00EA0911">
      <w:pPr>
        <w:spacing w:line="240" w:lineRule="auto"/>
        <w:ind w:left="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Connell, R. W. (1995). </w:t>
      </w:r>
      <w:r>
        <w:rPr>
          <w:rFonts w:ascii="Times New Roman" w:eastAsia="Times New Roman" w:hAnsi="Times New Roman" w:cs="Times New Roman"/>
          <w:i/>
          <w:sz w:val="24"/>
          <w:szCs w:val="24"/>
          <w:highlight w:val="white"/>
        </w:rPr>
        <w:t>Masculinities</w:t>
      </w:r>
      <w:r>
        <w:rPr>
          <w:rFonts w:ascii="Times New Roman" w:eastAsia="Times New Roman" w:hAnsi="Times New Roman" w:cs="Times New Roman"/>
          <w:sz w:val="24"/>
          <w:szCs w:val="24"/>
          <w:highlight w:val="white"/>
        </w:rPr>
        <w:t>. Berkeley: University of California Press.</w:t>
      </w:r>
    </w:p>
    <w:p w14:paraId="7500E8A6" w14:textId="77777777" w:rsidR="007E74C0" w:rsidRDefault="00EA0911">
      <w:pPr>
        <w:spacing w:line="240" w:lineRule="auto"/>
        <w:ind w:left="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Correia, M. de J. (1998). Sobre a maternidade. </w:t>
      </w:r>
      <w:r>
        <w:rPr>
          <w:rFonts w:ascii="Times New Roman" w:eastAsia="Times New Roman" w:hAnsi="Times New Roman" w:cs="Times New Roman"/>
          <w:i/>
          <w:sz w:val="24"/>
          <w:szCs w:val="24"/>
          <w:highlight w:val="white"/>
        </w:rPr>
        <w:t>Análise Psicológica</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16</w:t>
      </w:r>
      <w:r>
        <w:rPr>
          <w:rFonts w:ascii="Times New Roman" w:eastAsia="Times New Roman" w:hAnsi="Times New Roman" w:cs="Times New Roman"/>
          <w:sz w:val="24"/>
          <w:szCs w:val="24"/>
          <w:highlight w:val="white"/>
        </w:rPr>
        <w:t>(3), 365-371. http://www.scielo.mec.pt/pdf/aps/v16n3/v16n3a02.pdf</w:t>
      </w:r>
    </w:p>
    <w:p w14:paraId="3EEA189F"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Corte Interamericana de Direitos Humanos - CIDH (1994). </w:t>
      </w:r>
      <w:r>
        <w:rPr>
          <w:rFonts w:ascii="Times New Roman" w:eastAsia="Times New Roman" w:hAnsi="Times New Roman" w:cs="Times New Roman"/>
          <w:i/>
          <w:sz w:val="24"/>
          <w:szCs w:val="24"/>
          <w:highlight w:val="white"/>
        </w:rPr>
        <w:t>Convenção Interamericana para prevenir, punir e erradicar a violência contra a mulher</w:t>
      </w:r>
      <w:r>
        <w:rPr>
          <w:rFonts w:ascii="Times New Roman" w:eastAsia="Times New Roman" w:hAnsi="Times New Roman" w:cs="Times New Roman"/>
          <w:sz w:val="24"/>
          <w:szCs w:val="24"/>
          <w:highlight w:val="white"/>
        </w:rPr>
        <w:t>. Belém do Pará, Brasil. http://www.cidh.org/Basicos/Portugues/m.Belem.do.Para.htm</w:t>
      </w:r>
    </w:p>
    <w:p w14:paraId="35BF7064"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Coutinho, S.M.S., &amp; Menandro, P.R.M. (2009). </w:t>
      </w:r>
      <w:r>
        <w:rPr>
          <w:rFonts w:ascii="Times New Roman" w:eastAsia="Times New Roman" w:hAnsi="Times New Roman" w:cs="Times New Roman"/>
          <w:i/>
          <w:sz w:val="24"/>
          <w:szCs w:val="24"/>
        </w:rPr>
        <w:t>A Dona de Tudo: um estudo intergeracional sobre representações sociais de mãe e esposa.</w:t>
      </w:r>
      <w:r>
        <w:rPr>
          <w:rFonts w:ascii="Times New Roman" w:eastAsia="Times New Roman" w:hAnsi="Times New Roman" w:cs="Times New Roman"/>
          <w:sz w:val="24"/>
          <w:szCs w:val="24"/>
        </w:rPr>
        <w:t xml:space="preserve"> Vitória: PPGP/UFES/Facastelo/GM Ed.</w:t>
      </w:r>
    </w:p>
    <w:p w14:paraId="0C4783FF"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Costa, A.B.; Zoltowski, A.P.C. (2014). Como escrever um artigo de revisão sistemática. S. H. Koller; M. C. P. P. Couto &amp; J. V. Hohendorff. </w:t>
      </w:r>
      <w:r>
        <w:rPr>
          <w:rFonts w:ascii="Times New Roman" w:eastAsia="Times New Roman" w:hAnsi="Times New Roman" w:cs="Times New Roman"/>
          <w:i/>
          <w:sz w:val="24"/>
          <w:szCs w:val="24"/>
        </w:rPr>
        <w:t>Manual de Produção Científica</w:t>
      </w:r>
      <w:r>
        <w:rPr>
          <w:rFonts w:ascii="Times New Roman" w:eastAsia="Times New Roman" w:hAnsi="Times New Roman" w:cs="Times New Roman"/>
          <w:sz w:val="24"/>
          <w:szCs w:val="24"/>
        </w:rPr>
        <w:t>. Porto Alegre: Penso.</w:t>
      </w:r>
    </w:p>
    <w:p w14:paraId="2E9F950B"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Foucault, M. (1982). </w:t>
      </w:r>
      <w:r>
        <w:rPr>
          <w:rFonts w:ascii="Times New Roman" w:eastAsia="Times New Roman" w:hAnsi="Times New Roman" w:cs="Times New Roman"/>
          <w:i/>
          <w:sz w:val="24"/>
          <w:szCs w:val="24"/>
        </w:rPr>
        <w:t>História da loucura</w:t>
      </w:r>
      <w:r>
        <w:rPr>
          <w:rFonts w:ascii="Times New Roman" w:eastAsia="Times New Roman" w:hAnsi="Times New Roman" w:cs="Times New Roman"/>
          <w:sz w:val="24"/>
          <w:szCs w:val="24"/>
        </w:rPr>
        <w:t>. São Paulo: Perspectiva.</w:t>
      </w:r>
    </w:p>
    <w:p w14:paraId="3B25A4CF"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Foucault, M. (2001).  </w:t>
      </w:r>
      <w:r>
        <w:rPr>
          <w:rFonts w:ascii="Times New Roman" w:eastAsia="Times New Roman" w:hAnsi="Times New Roman" w:cs="Times New Roman"/>
          <w:i/>
          <w:sz w:val="24"/>
          <w:szCs w:val="24"/>
        </w:rPr>
        <w:t xml:space="preserve">Microfísica do poder </w:t>
      </w:r>
      <w:r>
        <w:rPr>
          <w:rFonts w:ascii="Times New Roman" w:eastAsia="Times New Roman" w:hAnsi="Times New Roman" w:cs="Times New Roman"/>
          <w:sz w:val="24"/>
          <w:szCs w:val="24"/>
        </w:rPr>
        <w:t>(16ª ed.). Rio de Janeiro: Graal.</w:t>
      </w:r>
    </w:p>
    <w:p w14:paraId="2E305C90"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Foucault, M. (2009). O corpo utópico, as heterotopias. Salma Tannus Muchail (Trad.). 1o ed. N-1 edições: Brasil, 2009.</w:t>
      </w:r>
    </w:p>
    <w:p w14:paraId="105BBF1B"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Guattari, F. &amp; Rolnik, S. (1996). </w:t>
      </w:r>
      <w:r>
        <w:rPr>
          <w:rFonts w:ascii="Times New Roman" w:eastAsia="Times New Roman" w:hAnsi="Times New Roman" w:cs="Times New Roman"/>
          <w:i/>
          <w:sz w:val="24"/>
          <w:szCs w:val="24"/>
        </w:rPr>
        <w:t>Micropolítica: cartografias do desejo</w:t>
      </w:r>
      <w:r>
        <w:rPr>
          <w:rFonts w:ascii="Times New Roman" w:eastAsia="Times New Roman" w:hAnsi="Times New Roman" w:cs="Times New Roman"/>
          <w:sz w:val="24"/>
          <w:szCs w:val="24"/>
        </w:rPr>
        <w:t>. Petrópolis: Vozes.</w:t>
      </w:r>
    </w:p>
    <w:p w14:paraId="2ABF2A87"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Gomes, R.; Murta, D; Facchini, R; &amp; Meneghel, S. N. (2018). Gênero, direitos sexuais e suas implicações na saúde. </w:t>
      </w:r>
      <w:r>
        <w:rPr>
          <w:rFonts w:ascii="Times New Roman" w:eastAsia="Times New Roman" w:hAnsi="Times New Roman" w:cs="Times New Roman"/>
          <w:i/>
          <w:sz w:val="24"/>
          <w:szCs w:val="24"/>
          <w:highlight w:val="white"/>
        </w:rPr>
        <w:t>Ciência e Saúde Coletiva</w:t>
      </w:r>
      <w:r>
        <w:rPr>
          <w:rFonts w:ascii="Times New Roman" w:eastAsia="Times New Roman" w:hAnsi="Times New Roman" w:cs="Times New Roman"/>
          <w:sz w:val="24"/>
          <w:szCs w:val="24"/>
          <w:highlight w:val="white"/>
        </w:rPr>
        <w:t xml:space="preserve">, 23(6), 1997-2005. </w:t>
      </w:r>
      <w:hyperlink r:id="rId15">
        <w:r>
          <w:rPr>
            <w:rFonts w:ascii="Times New Roman" w:eastAsia="Times New Roman" w:hAnsi="Times New Roman" w:cs="Times New Roman"/>
            <w:sz w:val="24"/>
            <w:szCs w:val="24"/>
          </w:rPr>
          <w:t>https://doi.org/</w:t>
        </w:r>
      </w:hyperlink>
      <w:r>
        <w:rPr>
          <w:rFonts w:ascii="Times New Roman" w:eastAsia="Times New Roman" w:hAnsi="Times New Roman" w:cs="Times New Roman"/>
          <w:sz w:val="24"/>
          <w:szCs w:val="24"/>
          <w:highlight w:val="white"/>
        </w:rPr>
        <w:t>10.1590/1413-81232018236.04872018</w:t>
      </w:r>
      <w:r>
        <w:rPr>
          <w:rFonts w:ascii="Times New Roman" w:eastAsia="Times New Roman" w:hAnsi="Times New Roman" w:cs="Times New Roman"/>
          <w:sz w:val="24"/>
          <w:szCs w:val="24"/>
        </w:rPr>
        <w:t xml:space="preserve"> </w:t>
      </w:r>
    </w:p>
    <w:p w14:paraId="02CF4DF8"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Hur, D.U., &amp; Lacerda Júnior, F. (2017). Ditadura e insurgência na América Latina: psicologia da libertação e resistência armada. </w:t>
      </w:r>
      <w:r>
        <w:rPr>
          <w:rFonts w:ascii="Times New Roman" w:eastAsia="Times New Roman" w:hAnsi="Times New Roman" w:cs="Times New Roman"/>
          <w:i/>
          <w:sz w:val="24"/>
          <w:szCs w:val="24"/>
        </w:rPr>
        <w:t>Psicologia: Ciência e Profissão</w:t>
      </w:r>
      <w:r>
        <w:rPr>
          <w:rFonts w:ascii="Times New Roman" w:eastAsia="Times New Roman" w:hAnsi="Times New Roman" w:cs="Times New Roman"/>
          <w:sz w:val="24"/>
          <w:szCs w:val="24"/>
        </w:rPr>
        <w:t xml:space="preserve">, 37(spe),  28-43. </w:t>
      </w:r>
      <w:hyperlink r:id="rId16">
        <w:r>
          <w:rPr>
            <w:rFonts w:ascii="Times New Roman" w:eastAsia="Times New Roman" w:hAnsi="Times New Roman" w:cs="Times New Roman"/>
            <w:sz w:val="24"/>
            <w:szCs w:val="24"/>
          </w:rPr>
          <w:t>https://doi.org/10.1590/1982-10.1590/1982-3703020002017</w:t>
        </w:r>
      </w:hyperlink>
    </w:p>
    <w:p w14:paraId="65EEDD29"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Lindinger, L. (2014). </w:t>
      </w:r>
      <w:r>
        <w:rPr>
          <w:rFonts w:ascii="Times New Roman" w:eastAsia="Times New Roman" w:hAnsi="Times New Roman" w:cs="Times New Roman"/>
          <w:i/>
          <w:sz w:val="24"/>
          <w:szCs w:val="24"/>
        </w:rPr>
        <w:t>Violação de direitos e medidas protetivas na concepção de juízes que atuam em Juizados de Infância e Juventude</w:t>
      </w:r>
      <w:r>
        <w:rPr>
          <w:rFonts w:ascii="Times New Roman" w:eastAsia="Times New Roman" w:hAnsi="Times New Roman" w:cs="Times New Roman"/>
          <w:sz w:val="24"/>
          <w:szCs w:val="24"/>
        </w:rPr>
        <w:t xml:space="preserve"> (Dissertação de Mestrado). Universidade Federal do Espírito Santo, Vitória, ES.</w:t>
      </w:r>
    </w:p>
    <w:p w14:paraId="17A76556"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Maluf, M. (2004). A Participação de Psicólogos Brasileiros na Sociedade Interamericana de Psicologia: Contribuições e Perspectivas. </w:t>
      </w:r>
      <w:r>
        <w:rPr>
          <w:rFonts w:ascii="Times New Roman" w:eastAsia="Times New Roman" w:hAnsi="Times New Roman" w:cs="Times New Roman"/>
          <w:i/>
          <w:sz w:val="24"/>
          <w:szCs w:val="24"/>
        </w:rPr>
        <w:t>Interamerican Journal of Psychology</w:t>
      </w:r>
      <w:r>
        <w:rPr>
          <w:rFonts w:ascii="Times New Roman" w:eastAsia="Times New Roman" w:hAnsi="Times New Roman" w:cs="Times New Roman"/>
          <w:sz w:val="24"/>
          <w:szCs w:val="24"/>
        </w:rPr>
        <w:t xml:space="preserve">, 38 (2), 323-332. </w:t>
      </w:r>
      <w:hyperlink r:id="rId17">
        <w:r>
          <w:rPr>
            <w:rFonts w:ascii="Times New Roman" w:eastAsia="Times New Roman" w:hAnsi="Times New Roman" w:cs="Times New Roman"/>
            <w:sz w:val="24"/>
            <w:szCs w:val="24"/>
          </w:rPr>
          <w:t>https://www.redalyc.org/articulo.oa?id=284/28438219</w:t>
        </w:r>
      </w:hyperlink>
    </w:p>
    <w:p w14:paraId="0BE74CE4"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Medeiros, P. F. de, Bernardes, A. G., &amp; Guareschi, N. M. F. (2005). O conceito de saúde e suas implicações nas práticas psicológicas. </w:t>
      </w:r>
      <w:r>
        <w:rPr>
          <w:rFonts w:ascii="Times New Roman" w:eastAsia="Times New Roman" w:hAnsi="Times New Roman" w:cs="Times New Roman"/>
          <w:i/>
          <w:sz w:val="24"/>
          <w:szCs w:val="24"/>
        </w:rPr>
        <w:t>Psicologia</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Teoria e Pesquisa</w:t>
      </w:r>
      <w:r>
        <w:rPr>
          <w:rFonts w:ascii="Times New Roman" w:eastAsia="Times New Roman" w:hAnsi="Times New Roman" w:cs="Times New Roman"/>
          <w:sz w:val="24"/>
          <w:szCs w:val="24"/>
        </w:rPr>
        <w:t>, 21(3), 263-269. https://doi.org/10.1590/S0102-37722005000300002</w:t>
      </w:r>
    </w:p>
    <w:p w14:paraId="437D8698"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Medrado, B., &amp; Lyra, J. (2008). Por uma matriz feminista de gênero para os estudos sobre homens e masculinidades. </w:t>
      </w:r>
      <w:r>
        <w:rPr>
          <w:rFonts w:ascii="Times New Roman" w:eastAsia="Times New Roman" w:hAnsi="Times New Roman" w:cs="Times New Roman"/>
          <w:i/>
          <w:sz w:val="24"/>
          <w:szCs w:val="24"/>
        </w:rPr>
        <w:t>Revista estudos feministas</w:t>
      </w:r>
      <w:r>
        <w:rPr>
          <w:rFonts w:ascii="Times New Roman" w:eastAsia="Times New Roman" w:hAnsi="Times New Roman" w:cs="Times New Roman"/>
          <w:sz w:val="24"/>
          <w:szCs w:val="24"/>
        </w:rPr>
        <w:t>, 16, 20-35.</w:t>
      </w:r>
      <w:hyperlink r:id="rId18">
        <w:r>
          <w:rPr>
            <w:rFonts w:ascii="Times New Roman" w:eastAsia="Times New Roman" w:hAnsi="Times New Roman" w:cs="Times New Roman"/>
            <w:sz w:val="24"/>
            <w:szCs w:val="24"/>
          </w:rPr>
          <w:t xml:space="preserve"> https://periodicos.ufsc.br/index.php/ref/article/view/S0104-026X2008000300005/9130</w:t>
        </w:r>
      </w:hyperlink>
    </w:p>
    <w:p w14:paraId="41A13ECC" w14:textId="77777777" w:rsidR="007E74C0" w:rsidRDefault="00EA0911">
      <w:pPr>
        <w:spacing w:line="240" w:lineRule="auto"/>
        <w:ind w:left="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Medrado, B., &amp; Lyra, J. (2012). O gênero dos/nos homens: linhas de uma proto-genealogia. </w:t>
      </w:r>
      <w:r>
        <w:rPr>
          <w:rFonts w:ascii="Times New Roman" w:eastAsia="Times New Roman" w:hAnsi="Times New Roman" w:cs="Times New Roman"/>
          <w:i/>
          <w:sz w:val="24"/>
          <w:szCs w:val="24"/>
        </w:rPr>
        <w:t>Ciência &amp; Saúde Coletiva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17</w:t>
      </w:r>
      <w:r>
        <w:rPr>
          <w:rFonts w:ascii="Times New Roman" w:eastAsia="Times New Roman" w:hAnsi="Times New Roman" w:cs="Times New Roman"/>
          <w:sz w:val="24"/>
          <w:szCs w:val="24"/>
        </w:rPr>
        <w:t xml:space="preserve">(10), 2579-2581. </w:t>
      </w:r>
      <w:hyperlink r:id="rId19">
        <w:r>
          <w:rPr>
            <w:rFonts w:ascii="Times New Roman" w:eastAsia="Times New Roman" w:hAnsi="Times New Roman" w:cs="Times New Roman"/>
            <w:sz w:val="24"/>
            <w:szCs w:val="24"/>
          </w:rPr>
          <w:t>https://dx.doi.org/10.1590/S1413-81232012001000003</w:t>
        </w:r>
      </w:hyperlink>
    </w:p>
    <w:p w14:paraId="61F3002F" w14:textId="77777777" w:rsidR="007E74C0" w:rsidRDefault="00EA0911">
      <w:pPr>
        <w:spacing w:line="240" w:lineRule="auto"/>
        <w:ind w:left="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Moura, S. M. S. R. de, &amp; Araújo, M. de F. (2004). A maternidade na história e a história dos cuidados maternos. </w:t>
      </w:r>
      <w:r>
        <w:rPr>
          <w:rFonts w:ascii="Times New Roman" w:eastAsia="Times New Roman" w:hAnsi="Times New Roman" w:cs="Times New Roman"/>
          <w:i/>
          <w:sz w:val="24"/>
          <w:szCs w:val="24"/>
          <w:highlight w:val="white"/>
        </w:rPr>
        <w:t>Psicologia: Ciência e Profissão</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24</w:t>
      </w:r>
      <w:r>
        <w:rPr>
          <w:rFonts w:ascii="Times New Roman" w:eastAsia="Times New Roman" w:hAnsi="Times New Roman" w:cs="Times New Roman"/>
          <w:sz w:val="24"/>
          <w:szCs w:val="24"/>
          <w:highlight w:val="white"/>
        </w:rPr>
        <w:t xml:space="preserve">(1), 44-55. </w:t>
      </w:r>
      <w:hyperlink r:id="rId20">
        <w:r>
          <w:rPr>
            <w:rFonts w:ascii="Times New Roman" w:eastAsia="Times New Roman" w:hAnsi="Times New Roman" w:cs="Times New Roman"/>
            <w:sz w:val="24"/>
            <w:szCs w:val="24"/>
            <w:highlight w:val="white"/>
          </w:rPr>
          <w:t>https://dx.doi.org/10.1590/S1414-98932004000100006</w:t>
        </w:r>
      </w:hyperlink>
    </w:p>
    <w:p w14:paraId="425AF061" w14:textId="77777777" w:rsidR="007E74C0" w:rsidRDefault="00EA0911">
      <w:pPr>
        <w:spacing w:line="240" w:lineRule="auto"/>
        <w:ind w:left="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Negreiros, D. J., Gomes, I. D., Colaço, V. de F. R., &amp; Ximenes, V. M.. (2018). Risco e vulnerabilidade: pontos de convergência na produção brasileira sobre juventudes. </w:t>
      </w:r>
      <w:r>
        <w:rPr>
          <w:rFonts w:ascii="Times New Roman" w:eastAsia="Times New Roman" w:hAnsi="Times New Roman" w:cs="Times New Roman"/>
          <w:i/>
          <w:sz w:val="24"/>
          <w:szCs w:val="24"/>
          <w:highlight w:val="white"/>
        </w:rPr>
        <w:t>Desidades</w:t>
      </w:r>
      <w:r>
        <w:rPr>
          <w:rFonts w:ascii="Times New Roman" w:eastAsia="Times New Roman" w:hAnsi="Times New Roman" w:cs="Times New Roman"/>
          <w:sz w:val="24"/>
          <w:szCs w:val="24"/>
          <w:highlight w:val="white"/>
        </w:rPr>
        <w:t>, (18), 20-33. http://pepsic.bvsalud.org/pdf/desi/n18/n18a03.pdf</w:t>
      </w:r>
    </w:p>
    <w:p w14:paraId="35C482E5" w14:textId="77777777" w:rsidR="007E74C0" w:rsidRDefault="00EA0911">
      <w:pPr>
        <w:spacing w:before="100"/>
        <w:ind w:left="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Nogueira, C. (2001). Feminismo e discurso do gênero na Psicologia social. </w:t>
      </w:r>
      <w:r>
        <w:rPr>
          <w:rFonts w:ascii="Times New Roman" w:eastAsia="Times New Roman" w:hAnsi="Times New Roman" w:cs="Times New Roman"/>
          <w:i/>
          <w:sz w:val="24"/>
          <w:szCs w:val="24"/>
          <w:highlight w:val="white"/>
        </w:rPr>
        <w:t>Psicologia &amp; Sociedade</w:t>
      </w:r>
      <w:r>
        <w:rPr>
          <w:rFonts w:ascii="Times New Roman" w:eastAsia="Times New Roman" w:hAnsi="Times New Roman" w:cs="Times New Roman"/>
          <w:sz w:val="24"/>
          <w:szCs w:val="24"/>
          <w:highlight w:val="white"/>
        </w:rPr>
        <w:t>, 3 (1), 107-128.</w:t>
      </w:r>
    </w:p>
    <w:p w14:paraId="4EDE53DF" w14:textId="77777777" w:rsidR="007E74C0" w:rsidRDefault="00EA0911">
      <w:pPr>
        <w:spacing w:line="240" w:lineRule="auto"/>
        <w:ind w:left="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Oliven, L. R. A. (2019). A autonomia de separação de direito. </w:t>
      </w:r>
      <w:r>
        <w:rPr>
          <w:rFonts w:ascii="Times New Roman" w:eastAsia="Times New Roman" w:hAnsi="Times New Roman" w:cs="Times New Roman"/>
          <w:i/>
          <w:sz w:val="24"/>
          <w:szCs w:val="24"/>
          <w:highlight w:val="white"/>
        </w:rPr>
        <w:t>Revista Interdisciplinar de Direito</w:t>
      </w:r>
      <w:r>
        <w:rPr>
          <w:rFonts w:ascii="Times New Roman" w:eastAsia="Times New Roman" w:hAnsi="Times New Roman" w:cs="Times New Roman"/>
          <w:sz w:val="24"/>
          <w:szCs w:val="24"/>
          <w:highlight w:val="white"/>
        </w:rPr>
        <w:t xml:space="preserve">, 17 (2), 169-184. </w:t>
      </w:r>
    </w:p>
    <w:p w14:paraId="42447332" w14:textId="77777777" w:rsidR="007E74C0" w:rsidRDefault="00EA0911">
      <w:pPr>
        <w:spacing w:line="240" w:lineRule="auto"/>
        <w:ind w:left="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Organização Mundial da Saúde - OMS (2006). </w:t>
      </w:r>
      <w:r>
        <w:rPr>
          <w:rFonts w:ascii="Times New Roman" w:eastAsia="Times New Roman" w:hAnsi="Times New Roman" w:cs="Times New Roman"/>
          <w:i/>
          <w:sz w:val="24"/>
          <w:szCs w:val="24"/>
          <w:highlight w:val="white"/>
        </w:rPr>
        <w:t>Defining sexual health</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Report of a technical consultation on sexual health</w:t>
      </w:r>
      <w:r>
        <w:rPr>
          <w:rFonts w:ascii="Times New Roman" w:eastAsia="Times New Roman" w:hAnsi="Times New Roman" w:cs="Times New Roman"/>
          <w:sz w:val="24"/>
          <w:szCs w:val="24"/>
          <w:highlight w:val="white"/>
        </w:rPr>
        <w:t xml:space="preserve"> (28–31 January 2002, Geneva). www.who.int/reproductivehealth/publications/sexual_health/defining_sexual_health.pdf</w:t>
      </w:r>
    </w:p>
    <w:p w14:paraId="57040F31" w14:textId="77777777" w:rsidR="007E74C0" w:rsidRDefault="00EA0911">
      <w:pPr>
        <w:spacing w:line="240" w:lineRule="auto"/>
        <w:ind w:left="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Paula, T. R., Porto, E. J., &amp; Carvalho, C. S. (2019). Um sobrevoo pelo estado da arte sobre gênero e sexualidade  na pesquisa. </w:t>
      </w:r>
      <w:r>
        <w:rPr>
          <w:rFonts w:ascii="Times New Roman" w:eastAsia="Times New Roman" w:hAnsi="Times New Roman" w:cs="Times New Roman"/>
          <w:i/>
          <w:sz w:val="24"/>
          <w:szCs w:val="24"/>
          <w:highlight w:val="white"/>
        </w:rPr>
        <w:t>Psicologia: Ciência e Profissão</w:t>
      </w:r>
      <w:r>
        <w:rPr>
          <w:rFonts w:ascii="Times New Roman" w:eastAsia="Times New Roman" w:hAnsi="Times New Roman" w:cs="Times New Roman"/>
          <w:sz w:val="24"/>
          <w:szCs w:val="24"/>
          <w:highlight w:val="white"/>
        </w:rPr>
        <w:t xml:space="preserve">, 39 (n.spe 3), 194-205. https://doi.org/10.1590/1982-3703003228573 </w:t>
      </w:r>
    </w:p>
    <w:p w14:paraId="51C7B652" w14:textId="77777777" w:rsidR="007E74C0" w:rsidRDefault="00EA0911">
      <w:pPr>
        <w:spacing w:line="240" w:lineRule="auto"/>
        <w:ind w:left="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Paiva, V. (2008). A psicologia redescobrirá a sexualidade?. </w:t>
      </w:r>
      <w:r>
        <w:rPr>
          <w:rFonts w:ascii="Times New Roman" w:eastAsia="Times New Roman" w:hAnsi="Times New Roman" w:cs="Times New Roman"/>
          <w:i/>
          <w:sz w:val="24"/>
          <w:szCs w:val="24"/>
        </w:rPr>
        <w:t>Psicologia em Estudo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13</w:t>
      </w:r>
      <w:r>
        <w:rPr>
          <w:rFonts w:ascii="Times New Roman" w:eastAsia="Times New Roman" w:hAnsi="Times New Roman" w:cs="Times New Roman"/>
          <w:sz w:val="24"/>
          <w:szCs w:val="24"/>
        </w:rPr>
        <w:t xml:space="preserve">(4), 641-651. </w:t>
      </w:r>
      <w:hyperlink r:id="rId21">
        <w:r>
          <w:rPr>
            <w:rFonts w:ascii="Times New Roman" w:eastAsia="Times New Roman" w:hAnsi="Times New Roman" w:cs="Times New Roman"/>
            <w:sz w:val="24"/>
            <w:szCs w:val="24"/>
          </w:rPr>
          <w:t>https://dx.doi.org/10.1590/S1413-73722008000400002</w:t>
        </w:r>
      </w:hyperlink>
    </w:p>
    <w:p w14:paraId="75AA5ABA"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Polanco, F. (2016). </w:t>
      </w:r>
      <w:r>
        <w:rPr>
          <w:rFonts w:ascii="Times New Roman" w:eastAsia="Times New Roman" w:hAnsi="Times New Roman" w:cs="Times New Roman"/>
          <w:i/>
          <w:sz w:val="24"/>
          <w:szCs w:val="24"/>
        </w:rPr>
        <w:t>Impacto y evolución del conductismo en la Revista Interamericana de Psicología y la Revista Latinoamericana de Psicología:</w:t>
      </w:r>
      <w:r>
        <w:rPr>
          <w:rFonts w:ascii="Times New Roman" w:eastAsia="Times New Roman" w:hAnsi="Times New Roman" w:cs="Times New Roman"/>
          <w:sz w:val="24"/>
          <w:szCs w:val="24"/>
        </w:rPr>
        <w:t xml:space="preserve"> Un análisis socio- bibliométrico (1969-2008). Tese de Doutorado (</w:t>
      </w:r>
      <w:r>
        <w:rPr>
          <w:rFonts w:ascii="Times New Roman" w:eastAsia="Times New Roman" w:hAnsi="Times New Roman" w:cs="Times New Roman"/>
          <w:i/>
          <w:sz w:val="24"/>
          <w:szCs w:val="24"/>
        </w:rPr>
        <w:t>unpublished</w:t>
      </w:r>
      <w:r>
        <w:rPr>
          <w:rFonts w:ascii="Times New Roman" w:eastAsia="Times New Roman" w:hAnsi="Times New Roman" w:cs="Times New Roman"/>
          <w:sz w:val="24"/>
          <w:szCs w:val="24"/>
        </w:rPr>
        <w:t>). Universidad Nacional de San Luis, San Luis, Argentina.</w:t>
      </w:r>
    </w:p>
    <w:p w14:paraId="236783D7" w14:textId="77777777" w:rsidR="007E74C0" w:rsidRDefault="00EA0911">
      <w:pPr>
        <w:spacing w:line="240" w:lineRule="auto"/>
        <w:ind w:left="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Rago, M. (1998). Descobrindo historicamente o gênero. </w:t>
      </w:r>
      <w:r>
        <w:rPr>
          <w:rFonts w:ascii="Times New Roman" w:eastAsia="Times New Roman" w:hAnsi="Times New Roman" w:cs="Times New Roman"/>
          <w:i/>
          <w:sz w:val="24"/>
          <w:szCs w:val="24"/>
          <w:highlight w:val="white"/>
        </w:rPr>
        <w:t>Cadernos Pagu</w:t>
      </w:r>
      <w:r>
        <w:rPr>
          <w:rFonts w:ascii="Times New Roman" w:eastAsia="Times New Roman" w:hAnsi="Times New Roman" w:cs="Times New Roman"/>
          <w:sz w:val="24"/>
          <w:szCs w:val="24"/>
          <w:highlight w:val="white"/>
        </w:rPr>
        <w:t xml:space="preserve">, (11), 89-98. </w:t>
      </w:r>
      <w:hyperlink r:id="rId22">
        <w:r>
          <w:rPr>
            <w:rFonts w:ascii="Times New Roman" w:eastAsia="Times New Roman" w:hAnsi="Times New Roman" w:cs="Times New Roman"/>
            <w:sz w:val="24"/>
            <w:szCs w:val="24"/>
            <w:highlight w:val="white"/>
          </w:rPr>
          <w:t>https://periodicos.sbu.unicamp.br/ojs/index.php/cadpagu/article/view/8634465</w:t>
        </w:r>
      </w:hyperlink>
    </w:p>
    <w:p w14:paraId="553982BB" w14:textId="77777777" w:rsidR="007E74C0" w:rsidRDefault="00EA0911">
      <w:pPr>
        <w:spacing w:line="240" w:lineRule="auto"/>
        <w:ind w:left="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Resende, D. K. (2017).  Maternidade: Uma Construção Histórica e Social. </w:t>
      </w:r>
      <w:r>
        <w:rPr>
          <w:rFonts w:ascii="Times New Roman" w:eastAsia="Times New Roman" w:hAnsi="Times New Roman" w:cs="Times New Roman"/>
          <w:i/>
          <w:sz w:val="24"/>
          <w:szCs w:val="24"/>
          <w:highlight w:val="white"/>
        </w:rPr>
        <w:t xml:space="preserve">Pretexto Revista da Graduação em Psicologia da PUC-MG, </w:t>
      </w:r>
      <w:r>
        <w:rPr>
          <w:rFonts w:ascii="Times New Roman" w:eastAsia="Times New Roman" w:hAnsi="Times New Roman" w:cs="Times New Roman"/>
          <w:sz w:val="24"/>
          <w:szCs w:val="24"/>
          <w:highlight w:val="white"/>
        </w:rPr>
        <w:t>2(4), 175-191. http://periodicos.pucminas.br/index.php/pretextos/article/view/15251</w:t>
      </w:r>
    </w:p>
    <w:p w14:paraId="1A591F8B"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Rou</w:t>
      </w:r>
      <w:r>
        <w:rPr>
          <w:rFonts w:ascii="Times New Roman" w:eastAsia="Times New Roman" w:hAnsi="Times New Roman" w:cs="Times New Roman"/>
          <w:sz w:val="24"/>
          <w:szCs w:val="24"/>
        </w:rPr>
        <w:t xml:space="preserve">dinesco, E. (2003). </w:t>
      </w:r>
      <w:r>
        <w:rPr>
          <w:rFonts w:ascii="Times New Roman" w:eastAsia="Times New Roman" w:hAnsi="Times New Roman" w:cs="Times New Roman"/>
          <w:i/>
          <w:sz w:val="24"/>
          <w:szCs w:val="24"/>
        </w:rPr>
        <w:t>A família em desordem</w:t>
      </w:r>
      <w:r>
        <w:rPr>
          <w:rFonts w:ascii="Times New Roman" w:eastAsia="Times New Roman" w:hAnsi="Times New Roman" w:cs="Times New Roman"/>
          <w:sz w:val="24"/>
          <w:szCs w:val="24"/>
        </w:rPr>
        <w:t>. Rio de Janeiro, RJ: Zahar.</w:t>
      </w:r>
    </w:p>
    <w:p w14:paraId="681BE8A4"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Saffioti, H. I. B. (2001). Contribuições feministas para o estudo da violência de gênero. </w:t>
      </w:r>
      <w:r>
        <w:rPr>
          <w:rFonts w:ascii="Times New Roman" w:eastAsia="Times New Roman" w:hAnsi="Times New Roman" w:cs="Times New Roman"/>
          <w:i/>
          <w:sz w:val="24"/>
          <w:szCs w:val="24"/>
        </w:rPr>
        <w:t>Cadernos Pagu</w:t>
      </w:r>
      <w:r>
        <w:rPr>
          <w:rFonts w:ascii="Times New Roman" w:eastAsia="Times New Roman" w:hAnsi="Times New Roman" w:cs="Times New Roman"/>
          <w:sz w:val="24"/>
          <w:szCs w:val="24"/>
        </w:rPr>
        <w:t xml:space="preserve">, (16), 115-136.  </w:t>
      </w:r>
      <w:hyperlink r:id="rId23">
        <w:r>
          <w:rPr>
            <w:rFonts w:ascii="Times New Roman" w:eastAsia="Times New Roman" w:hAnsi="Times New Roman" w:cs="Times New Roman"/>
            <w:sz w:val="24"/>
            <w:szCs w:val="24"/>
          </w:rPr>
          <w:t>https://doi.org/10.1590/S0104-83332001000100007</w:t>
        </w:r>
      </w:hyperlink>
    </w:p>
    <w:p w14:paraId="11B8D0EB"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Scarparo, H. B. K., Torres, S., &amp; Ecker, D. D.. (2014). Psicologia e ditadura civil-militar: reflexões sobre práticas psicológicas frente às violências de estado. </w:t>
      </w:r>
      <w:r>
        <w:rPr>
          <w:rFonts w:ascii="Times New Roman" w:eastAsia="Times New Roman" w:hAnsi="Times New Roman" w:cs="Times New Roman"/>
          <w:i/>
          <w:sz w:val="24"/>
          <w:szCs w:val="24"/>
        </w:rPr>
        <w:t>EPOS</w:t>
      </w:r>
      <w:r>
        <w:rPr>
          <w:rFonts w:ascii="Times New Roman" w:eastAsia="Times New Roman" w:hAnsi="Times New Roman" w:cs="Times New Roman"/>
          <w:sz w:val="24"/>
          <w:szCs w:val="24"/>
        </w:rPr>
        <w:t>, 5(1), 57-78. http://pepsic.bvsalud.org/pdf/epos/v5n1/04.pdf</w:t>
      </w:r>
    </w:p>
    <w:p w14:paraId="7A338C14"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Scott, J. W. (1995). Gênero: uma categoria útil para análise histórica. </w:t>
      </w:r>
      <w:r>
        <w:rPr>
          <w:rFonts w:ascii="Times New Roman" w:eastAsia="Times New Roman" w:hAnsi="Times New Roman" w:cs="Times New Roman"/>
          <w:i/>
          <w:sz w:val="24"/>
          <w:szCs w:val="24"/>
        </w:rPr>
        <w:t>Educação &amp; Realidade,</w:t>
      </w:r>
      <w:r>
        <w:rPr>
          <w:rFonts w:ascii="Times New Roman" w:eastAsia="Times New Roman" w:hAnsi="Times New Roman" w:cs="Times New Roman"/>
          <w:sz w:val="24"/>
          <w:szCs w:val="24"/>
        </w:rPr>
        <w:t xml:space="preserve"> 20(2), 71-99. https://seer.ufrgs.br/index.php/educacaoerealidade/article/view/71721</w:t>
      </w:r>
    </w:p>
    <w:p w14:paraId="2691CAC3"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color w:val="111111"/>
          <w:sz w:val="24"/>
          <w:szCs w:val="24"/>
          <w:highlight w:val="white"/>
        </w:rPr>
        <w:t xml:space="preserve">Silva, N. de F. (2016). Ditadura civil-militar no Brasil e a ordem de gênero: masculinidades e feminilidades vigiadas. </w:t>
      </w:r>
      <w:r>
        <w:rPr>
          <w:rFonts w:ascii="Times New Roman" w:eastAsia="Times New Roman" w:hAnsi="Times New Roman" w:cs="Times New Roman"/>
          <w:i/>
          <w:color w:val="111111"/>
          <w:sz w:val="24"/>
          <w:szCs w:val="24"/>
          <w:highlight w:val="white"/>
        </w:rPr>
        <w:t>Mosaico, 7</w:t>
      </w:r>
      <w:r>
        <w:rPr>
          <w:rFonts w:ascii="Times New Roman" w:eastAsia="Times New Roman" w:hAnsi="Times New Roman" w:cs="Times New Roman"/>
          <w:color w:val="111111"/>
          <w:sz w:val="24"/>
          <w:szCs w:val="24"/>
          <w:highlight w:val="white"/>
        </w:rPr>
        <w:t>(11), 64-83. doi:http://dx.doi.org/10.12660/rm.v7n11.2016.64778</w:t>
      </w:r>
    </w:p>
    <w:p w14:paraId="421C591B"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Strey, M. N. (2004). Violência de gênero: uma questão complexa e interminável. M. Strey; M. Azambuja &amp; F. Jaeger. (Orgs.). </w:t>
      </w:r>
      <w:r>
        <w:rPr>
          <w:rFonts w:ascii="Times New Roman" w:eastAsia="Times New Roman" w:hAnsi="Times New Roman" w:cs="Times New Roman"/>
          <w:i/>
          <w:sz w:val="24"/>
          <w:szCs w:val="24"/>
        </w:rPr>
        <w:t>Violência, gênero e políticas públicas</w:t>
      </w:r>
      <w:r>
        <w:rPr>
          <w:rFonts w:ascii="Times New Roman" w:eastAsia="Times New Roman" w:hAnsi="Times New Roman" w:cs="Times New Roman"/>
          <w:sz w:val="24"/>
          <w:szCs w:val="24"/>
        </w:rPr>
        <w:t>, 13-43. Porto Alegre: EDIPUCRS.</w:t>
      </w:r>
    </w:p>
    <w:p w14:paraId="54933879"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Souza, M. F. de. (2009). As análises de gênero e a formação do campo de estudos sobre a(s) masculinidade(s). </w:t>
      </w:r>
      <w:r>
        <w:rPr>
          <w:rFonts w:ascii="Times New Roman" w:eastAsia="Times New Roman" w:hAnsi="Times New Roman" w:cs="Times New Roman"/>
          <w:i/>
          <w:sz w:val="24"/>
          <w:szCs w:val="24"/>
        </w:rPr>
        <w:t>Mediações</w:t>
      </w:r>
      <w:r>
        <w:rPr>
          <w:rFonts w:ascii="Times New Roman" w:eastAsia="Times New Roman" w:hAnsi="Times New Roman" w:cs="Times New Roman"/>
          <w:sz w:val="24"/>
          <w:szCs w:val="24"/>
        </w:rPr>
        <w:t xml:space="preserve">, 14(2), 123-144. </w:t>
      </w:r>
      <w:hyperlink r:id="rId24">
        <w:r>
          <w:rPr>
            <w:rFonts w:ascii="Times New Roman" w:eastAsia="Times New Roman" w:hAnsi="Times New Roman" w:cs="Times New Roman"/>
            <w:sz w:val="24"/>
            <w:szCs w:val="24"/>
          </w:rPr>
          <w:t>http://dx.doi.org/10.5433/2176-6665.2009v14n2p123</w:t>
        </w:r>
      </w:hyperlink>
    </w:p>
    <w:p w14:paraId="2EEA67BA"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Souza, L. G. S. (2012). </w:t>
      </w:r>
      <w:r>
        <w:rPr>
          <w:rFonts w:ascii="Times New Roman" w:eastAsia="Times New Roman" w:hAnsi="Times New Roman" w:cs="Times New Roman"/>
          <w:i/>
          <w:sz w:val="24"/>
          <w:szCs w:val="24"/>
        </w:rPr>
        <w:t>Profissionais de saúde da família e representações sociais de alcoolismo</w:t>
      </w:r>
      <w:r>
        <w:rPr>
          <w:rFonts w:ascii="Times New Roman" w:eastAsia="Times New Roman" w:hAnsi="Times New Roman" w:cs="Times New Roman"/>
          <w:sz w:val="24"/>
          <w:szCs w:val="24"/>
        </w:rPr>
        <w:t>. (Tese de Doutorado). Pós-Graduação em Psicologia: UFES. Vitória, Brasil</w:t>
      </w:r>
    </w:p>
    <w:p w14:paraId="719A2861"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Stellin, R. M. R., Monteiro, C. F.  d'A., Albuquerque, R. A., &amp; Marques, C. M. X. C. (2011). Processos de construção de maternagem. Feminilidade e maternagem: recursos psíquicos para o exercício da maternagem em suas singularidades. </w:t>
      </w:r>
      <w:r>
        <w:rPr>
          <w:rFonts w:ascii="Times New Roman" w:eastAsia="Times New Roman" w:hAnsi="Times New Roman" w:cs="Times New Roman"/>
          <w:i/>
          <w:sz w:val="24"/>
          <w:szCs w:val="24"/>
        </w:rPr>
        <w:t>Estilos da Clínica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16</w:t>
      </w:r>
      <w:r>
        <w:rPr>
          <w:rFonts w:ascii="Times New Roman" w:eastAsia="Times New Roman" w:hAnsi="Times New Roman" w:cs="Times New Roman"/>
          <w:sz w:val="24"/>
          <w:szCs w:val="24"/>
        </w:rPr>
        <w:t>(1), 170-185. http://pepsic.bvsalud.org/pdf/estic/v16n1/a10v16n1.pdf.</w:t>
      </w:r>
    </w:p>
    <w:p w14:paraId="420BFAF6"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Torres Fernandez, I., Polanco, F., Pereira, S., Sueli Beria, J. &amp; Zapico, M. (2017). Celebrating 50 years of the Interamerican Journal of Psychology: a content analysis. </w:t>
      </w:r>
      <w:r>
        <w:rPr>
          <w:rFonts w:ascii="Times New Roman" w:eastAsia="Times New Roman" w:hAnsi="Times New Roman" w:cs="Times New Roman"/>
          <w:i/>
          <w:sz w:val="24"/>
          <w:szCs w:val="24"/>
        </w:rPr>
        <w:t>Interamerican Journal of Psychology</w:t>
      </w:r>
      <w:r>
        <w:rPr>
          <w:rFonts w:ascii="Times New Roman" w:eastAsia="Times New Roman" w:hAnsi="Times New Roman" w:cs="Times New Roman"/>
          <w:sz w:val="24"/>
          <w:szCs w:val="24"/>
        </w:rPr>
        <w:t>, 51 (3), 320-334. https://doi.org/10.30849/rip/ijp.v51i3.954</w:t>
      </w:r>
    </w:p>
    <w:p w14:paraId="60A79498"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Zanello, V.; &amp; Bukowitz, B. (2011). Loucura e cultura: uma escuta das relações de gênero nas falas de pacientes psiquiatrizados. </w:t>
      </w:r>
      <w:r>
        <w:rPr>
          <w:rFonts w:ascii="Times New Roman" w:eastAsia="Times New Roman" w:hAnsi="Times New Roman" w:cs="Times New Roman"/>
          <w:i/>
          <w:sz w:val="24"/>
          <w:szCs w:val="24"/>
          <w:highlight w:val="white"/>
        </w:rPr>
        <w:t>Revista Labrys Estudos Feministas</w:t>
      </w:r>
      <w:r>
        <w:rPr>
          <w:rFonts w:ascii="Times New Roman" w:eastAsia="Times New Roman" w:hAnsi="Times New Roman" w:cs="Times New Roman"/>
          <w:sz w:val="24"/>
          <w:szCs w:val="24"/>
          <w:highlight w:val="white"/>
        </w:rPr>
        <w:t xml:space="preserve">. 20-21. </w:t>
      </w:r>
      <w:hyperlink r:id="rId25">
        <w:r>
          <w:rPr>
            <w:rFonts w:ascii="Times New Roman" w:eastAsia="Times New Roman" w:hAnsi="Times New Roman" w:cs="Times New Roman"/>
            <w:sz w:val="24"/>
            <w:szCs w:val="24"/>
            <w:highlight w:val="white"/>
          </w:rPr>
          <w:t>http://www.labrys.net.br/labrys20/brasil/valeska.htm</w:t>
        </w:r>
      </w:hyperlink>
      <w:r>
        <w:rPr>
          <w:rFonts w:ascii="Times New Roman" w:eastAsia="Times New Roman" w:hAnsi="Times New Roman" w:cs="Times New Roman"/>
          <w:sz w:val="24"/>
          <w:szCs w:val="24"/>
        </w:rPr>
        <w:t xml:space="preserve"> </w:t>
      </w:r>
    </w:p>
    <w:p w14:paraId="17FC7445" w14:textId="77777777" w:rsidR="007E74C0" w:rsidRDefault="00EA0911">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Zilles, U. (2002). Apresentação. In: A. Wagner. (Org.). </w:t>
      </w:r>
      <w:r>
        <w:rPr>
          <w:rFonts w:ascii="Times New Roman" w:eastAsia="Times New Roman" w:hAnsi="Times New Roman" w:cs="Times New Roman"/>
          <w:i/>
          <w:sz w:val="24"/>
          <w:szCs w:val="24"/>
        </w:rPr>
        <w:t>Família em cena: tramas, dramas e transformações</w:t>
      </w:r>
      <w:r>
        <w:rPr>
          <w:rFonts w:ascii="Times New Roman" w:eastAsia="Times New Roman" w:hAnsi="Times New Roman" w:cs="Times New Roman"/>
          <w:sz w:val="24"/>
          <w:szCs w:val="24"/>
        </w:rPr>
        <w:t xml:space="preserve"> (9-11). Petrópolis, RJ: Vozes.</w:t>
      </w:r>
    </w:p>
    <w:p w14:paraId="4B0547DE" w14:textId="77777777" w:rsidR="007E74C0" w:rsidRDefault="007E74C0">
      <w:pPr>
        <w:spacing w:line="240" w:lineRule="auto"/>
        <w:jc w:val="both"/>
        <w:rPr>
          <w:rFonts w:ascii="Times New Roman" w:eastAsia="Times New Roman" w:hAnsi="Times New Roman" w:cs="Times New Roman"/>
          <w:color w:val="313131"/>
          <w:sz w:val="24"/>
          <w:szCs w:val="24"/>
        </w:rPr>
      </w:pPr>
    </w:p>
    <w:p w14:paraId="24A2F075" w14:textId="77777777" w:rsidR="007E74C0" w:rsidRDefault="007E74C0">
      <w:pPr>
        <w:spacing w:line="240" w:lineRule="auto"/>
        <w:jc w:val="both"/>
        <w:rPr>
          <w:rFonts w:ascii="Times New Roman" w:eastAsia="Times New Roman" w:hAnsi="Times New Roman" w:cs="Times New Roman"/>
          <w:color w:val="313131"/>
          <w:sz w:val="24"/>
          <w:szCs w:val="24"/>
        </w:rPr>
      </w:pPr>
    </w:p>
    <w:p w14:paraId="19EF860F" w14:textId="77777777" w:rsidR="007E74C0" w:rsidRDefault="007E74C0">
      <w:pPr>
        <w:spacing w:line="240" w:lineRule="auto"/>
        <w:ind w:left="708"/>
        <w:jc w:val="both"/>
        <w:rPr>
          <w:rFonts w:ascii="Times New Roman" w:eastAsia="Times New Roman" w:hAnsi="Times New Roman" w:cs="Times New Roman"/>
          <w:b/>
          <w:sz w:val="24"/>
          <w:szCs w:val="24"/>
        </w:rPr>
      </w:pPr>
    </w:p>
    <w:sectPr w:rsidR="007E74C0">
      <w:headerReference w:type="even" r:id="rId26"/>
      <w:headerReference w:type="default" r:id="rId27"/>
      <w:footerReference w:type="even" r:id="rId28"/>
      <w:footerReference w:type="default" r:id="rId29"/>
      <w:headerReference w:type="first" r:id="rId30"/>
      <w:footerReference w:type="first" r:id="rId31"/>
      <w:pgSz w:w="11906" w:h="16838"/>
      <w:pgMar w:top="1700" w:right="1133" w:bottom="1133" w:left="170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thor" w:initials="A">
    <w:p w14:paraId="4E44D6EC" w14:textId="77777777" w:rsidR="008677AC" w:rsidRDefault="008677AC">
      <w:pPr>
        <w:pStyle w:val="CommentText"/>
      </w:pPr>
      <w:r>
        <w:rPr>
          <w:rStyle w:val="CommentReference"/>
        </w:rPr>
        <w:annotationRef/>
      </w:r>
      <w:r>
        <w:t>Está bien pero es muy breve Debiera tener los apartados quizá más estratificados: Tipo de estudio y explicar algo del mismo; la muestra y recolección de la misma ser un solo apartado son los subapartados de inclusión y exclusión, y La codificación temática así como lo que se hizo en el cuerpo del artículo estar específicado dentro de un apartado de Análisis de los Datos</w:t>
      </w:r>
    </w:p>
  </w:comment>
  <w:comment w:id="2" w:author="Author" w:initials="A">
    <w:p w14:paraId="41F60BAD" w14:textId="77777777" w:rsidR="008677AC" w:rsidRDefault="008677AC">
      <w:pPr>
        <w:pStyle w:val="CommentText"/>
      </w:pPr>
      <w:r>
        <w:rPr>
          <w:rStyle w:val="CommentReference"/>
        </w:rPr>
        <w:annotationRef/>
      </w:r>
      <w:r>
        <w:t>Hay un gráfico acá que no tiene referencia Son 3 graficos y se numeran 2 nada más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44D6EC" w15:done="0"/>
  <w15:commentEx w15:paraId="41F60BA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44D6EC" w16cid:durableId="23E3AFBD"/>
  <w16cid:commentId w16cid:paraId="41F60BAD" w16cid:durableId="23E3AF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8D641" w14:textId="77777777" w:rsidR="00D3167B" w:rsidRDefault="00D3167B">
      <w:pPr>
        <w:spacing w:line="240" w:lineRule="auto"/>
      </w:pPr>
      <w:r>
        <w:separator/>
      </w:r>
    </w:p>
  </w:endnote>
  <w:endnote w:type="continuationSeparator" w:id="0">
    <w:p w14:paraId="70303711" w14:textId="77777777" w:rsidR="00D3167B" w:rsidRDefault="00D316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C7463" w14:textId="77777777" w:rsidR="00F37787" w:rsidRDefault="00F377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CCE98" w14:textId="77777777" w:rsidR="007E74C0" w:rsidRDefault="00EA0911">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8677AC">
      <w:rPr>
        <w:rFonts w:ascii="Times New Roman" w:eastAsia="Times New Roman" w:hAnsi="Times New Roman" w:cs="Times New Roman"/>
        <w:noProof/>
        <w:sz w:val="24"/>
        <w:szCs w:val="24"/>
      </w:rPr>
      <w:t>20</w:t>
    </w:r>
    <w:r>
      <w:rPr>
        <w:rFonts w:ascii="Times New Roman" w:eastAsia="Times New Roman" w:hAnsi="Times New Roman" w:cs="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F1B8C" w14:textId="77777777" w:rsidR="00F37787" w:rsidRDefault="00F37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E107D" w14:textId="77777777" w:rsidR="00D3167B" w:rsidRDefault="00D3167B">
      <w:pPr>
        <w:spacing w:line="240" w:lineRule="auto"/>
      </w:pPr>
      <w:r>
        <w:separator/>
      </w:r>
    </w:p>
  </w:footnote>
  <w:footnote w:type="continuationSeparator" w:id="0">
    <w:p w14:paraId="65DDD9A9" w14:textId="77777777" w:rsidR="00D3167B" w:rsidRDefault="00D3167B">
      <w:pPr>
        <w:spacing w:line="240" w:lineRule="auto"/>
      </w:pPr>
      <w:r>
        <w:continuationSeparator/>
      </w:r>
    </w:p>
  </w:footnote>
  <w:footnote w:id="1">
    <w:p w14:paraId="69D1D019" w14:textId="77777777" w:rsidR="007E74C0" w:rsidRDefault="00EA0911">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Link</w:t>
      </w:r>
      <w:r>
        <w:rPr>
          <w:rFonts w:ascii="Times New Roman" w:eastAsia="Times New Roman" w:hAnsi="Times New Roman" w:cs="Times New Roman"/>
          <w:sz w:val="20"/>
          <w:szCs w:val="20"/>
        </w:rPr>
        <w:t xml:space="preserve"> quebrado: &lt;</w:t>
      </w:r>
      <w:hyperlink r:id="rId1">
        <w:r>
          <w:rPr>
            <w:rFonts w:ascii="Times New Roman" w:eastAsia="Times New Roman" w:hAnsi="Times New Roman" w:cs="Times New Roman"/>
            <w:sz w:val="20"/>
            <w:szCs w:val="20"/>
          </w:rPr>
          <w:t>https://journal.sipsych.org/index.php/IJP/issue/view/55</w:t>
        </w:r>
      </w:hyperlink>
      <w:r>
        <w:rPr>
          <w:rFonts w:ascii="Times New Roman" w:eastAsia="Times New Roman" w:hAnsi="Times New Roman" w:cs="Times New Roman"/>
          <w:sz w:val="20"/>
          <w:szCs w:val="20"/>
        </w:rPr>
        <w:t>&gt; [05/03/2020]</w:t>
      </w:r>
    </w:p>
  </w:footnote>
  <w:footnote w:id="2">
    <w:p w14:paraId="312946F8" w14:textId="77777777" w:rsidR="007E74C0" w:rsidRDefault="00EA0911">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Link </w:t>
      </w:r>
      <w:r>
        <w:rPr>
          <w:rFonts w:ascii="Times New Roman" w:eastAsia="Times New Roman" w:hAnsi="Times New Roman" w:cs="Times New Roman"/>
          <w:sz w:val="20"/>
          <w:szCs w:val="20"/>
        </w:rPr>
        <w:t>redireciona para outra edição: &lt;</w:t>
      </w:r>
      <w:hyperlink r:id="rId2">
        <w:r>
          <w:rPr>
            <w:rFonts w:ascii="Times New Roman" w:eastAsia="Times New Roman" w:hAnsi="Times New Roman" w:cs="Times New Roman"/>
            <w:sz w:val="20"/>
            <w:szCs w:val="20"/>
          </w:rPr>
          <w:t>https://journal.sipsych.org/index.php/IJP/issue/view/65</w:t>
        </w:r>
      </w:hyperlink>
      <w:r>
        <w:rPr>
          <w:rFonts w:ascii="Times New Roman" w:eastAsia="Times New Roman" w:hAnsi="Times New Roman" w:cs="Times New Roman"/>
          <w:sz w:val="20"/>
          <w:szCs w:val="20"/>
        </w:rPr>
        <w:t>&gt; [05/03/2020]</w:t>
      </w:r>
    </w:p>
  </w:footnote>
  <w:footnote w:id="3">
    <w:p w14:paraId="1794638D" w14:textId="77777777" w:rsidR="007E74C0" w:rsidRDefault="00EA0911">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Disponível: &lt;</w:t>
      </w:r>
      <w:hyperlink r:id="rId3">
        <w:r>
          <w:rPr>
            <w:rFonts w:ascii="Times New Roman" w:eastAsia="Times New Roman" w:hAnsi="Times New Roman" w:cs="Times New Roman"/>
            <w:sz w:val="20"/>
            <w:szCs w:val="20"/>
          </w:rPr>
          <w:t>https://dialnet.unirioja.es/revista/12854/V/32</w:t>
        </w:r>
      </w:hyperlink>
      <w:r>
        <w:rPr>
          <w:rFonts w:ascii="Times New Roman" w:eastAsia="Times New Roman" w:hAnsi="Times New Roman" w:cs="Times New Roman"/>
          <w:sz w:val="20"/>
          <w:szCs w:val="20"/>
        </w:rPr>
        <w:t>&gt; [1º/01/2020]</w:t>
      </w:r>
    </w:p>
  </w:footnote>
  <w:footnote w:id="4">
    <w:p w14:paraId="32BBC854" w14:textId="77777777" w:rsidR="007E74C0" w:rsidRDefault="00EA0911">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No original, em Inglês: “</w:t>
      </w:r>
      <w:r>
        <w:rPr>
          <w:rFonts w:ascii="Times New Roman" w:eastAsia="Times New Roman" w:hAnsi="Times New Roman" w:cs="Times New Roman"/>
          <w:i/>
          <w:sz w:val="20"/>
          <w:szCs w:val="20"/>
        </w:rPr>
        <w:t>Sexual health is a state of physical, emotional, mental and social well-being in relation to sexuality; it is not merely the absence of disease, dysfunction or infirmity</w:t>
      </w:r>
      <w:r>
        <w:rPr>
          <w:rFonts w:ascii="Times New Roman" w:eastAsia="Times New Roman" w:hAnsi="Times New Roman" w:cs="Times New Roman"/>
          <w:sz w:val="20"/>
          <w:szCs w:val="20"/>
        </w:rPr>
        <w:t>.” Traduzido livremente.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73E9B" w14:textId="77777777" w:rsidR="00F37787" w:rsidRDefault="00F377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8761B" w14:textId="77777777" w:rsidR="007E74C0" w:rsidRDefault="007E74C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E0DE1" w14:textId="77777777" w:rsidR="00F37787" w:rsidRDefault="00F377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9"/>
  <w:removePersonalInformation/>
  <w:removeDateAndTime/>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4C0"/>
    <w:rsid w:val="007E74C0"/>
    <w:rsid w:val="008677AC"/>
    <w:rsid w:val="00D3167B"/>
    <w:rsid w:val="00EA0911"/>
    <w:rsid w:val="00F3778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A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8677AC"/>
    <w:rPr>
      <w:sz w:val="16"/>
      <w:szCs w:val="16"/>
    </w:rPr>
  </w:style>
  <w:style w:type="paragraph" w:styleId="CommentText">
    <w:name w:val="annotation text"/>
    <w:basedOn w:val="Normal"/>
    <w:link w:val="CommentTextChar"/>
    <w:uiPriority w:val="99"/>
    <w:semiHidden/>
    <w:unhideWhenUsed/>
    <w:rsid w:val="008677AC"/>
    <w:pPr>
      <w:spacing w:line="240" w:lineRule="auto"/>
    </w:pPr>
    <w:rPr>
      <w:sz w:val="20"/>
      <w:szCs w:val="20"/>
    </w:rPr>
  </w:style>
  <w:style w:type="character" w:customStyle="1" w:styleId="CommentTextChar">
    <w:name w:val="Comment Text Char"/>
    <w:basedOn w:val="DefaultParagraphFont"/>
    <w:link w:val="CommentText"/>
    <w:uiPriority w:val="99"/>
    <w:semiHidden/>
    <w:rsid w:val="008677AC"/>
    <w:rPr>
      <w:sz w:val="20"/>
      <w:szCs w:val="20"/>
    </w:rPr>
  </w:style>
  <w:style w:type="paragraph" w:styleId="CommentSubject">
    <w:name w:val="annotation subject"/>
    <w:basedOn w:val="CommentText"/>
    <w:next w:val="CommentText"/>
    <w:link w:val="CommentSubjectChar"/>
    <w:uiPriority w:val="99"/>
    <w:semiHidden/>
    <w:unhideWhenUsed/>
    <w:rsid w:val="008677AC"/>
    <w:rPr>
      <w:b/>
      <w:bCs/>
    </w:rPr>
  </w:style>
  <w:style w:type="character" w:customStyle="1" w:styleId="CommentSubjectChar">
    <w:name w:val="Comment Subject Char"/>
    <w:basedOn w:val="CommentTextChar"/>
    <w:link w:val="CommentSubject"/>
    <w:uiPriority w:val="99"/>
    <w:semiHidden/>
    <w:rsid w:val="008677AC"/>
    <w:rPr>
      <w:b/>
      <w:bCs/>
      <w:sz w:val="20"/>
      <w:szCs w:val="20"/>
    </w:rPr>
  </w:style>
  <w:style w:type="paragraph" w:styleId="BalloonText">
    <w:name w:val="Balloon Text"/>
    <w:basedOn w:val="Normal"/>
    <w:link w:val="BalloonTextChar"/>
    <w:uiPriority w:val="99"/>
    <w:semiHidden/>
    <w:unhideWhenUsed/>
    <w:rsid w:val="008677A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7AC"/>
    <w:rPr>
      <w:rFonts w:ascii="Segoe UI" w:hAnsi="Segoe UI" w:cs="Segoe UI"/>
      <w:sz w:val="18"/>
      <w:szCs w:val="18"/>
    </w:rPr>
  </w:style>
  <w:style w:type="paragraph" w:styleId="Header">
    <w:name w:val="header"/>
    <w:basedOn w:val="Normal"/>
    <w:link w:val="HeaderChar"/>
    <w:uiPriority w:val="99"/>
    <w:unhideWhenUsed/>
    <w:rsid w:val="00F37787"/>
    <w:pPr>
      <w:tabs>
        <w:tab w:val="center" w:pos="4680"/>
        <w:tab w:val="right" w:pos="9360"/>
      </w:tabs>
      <w:spacing w:line="240" w:lineRule="auto"/>
    </w:pPr>
  </w:style>
  <w:style w:type="character" w:customStyle="1" w:styleId="HeaderChar">
    <w:name w:val="Header Char"/>
    <w:basedOn w:val="DefaultParagraphFont"/>
    <w:link w:val="Header"/>
    <w:uiPriority w:val="99"/>
    <w:rsid w:val="00F37787"/>
  </w:style>
  <w:style w:type="paragraph" w:styleId="Footer">
    <w:name w:val="footer"/>
    <w:basedOn w:val="Normal"/>
    <w:link w:val="FooterChar"/>
    <w:uiPriority w:val="99"/>
    <w:unhideWhenUsed/>
    <w:rsid w:val="00F37787"/>
    <w:pPr>
      <w:tabs>
        <w:tab w:val="center" w:pos="4680"/>
        <w:tab w:val="right" w:pos="9360"/>
      </w:tabs>
      <w:spacing w:line="240" w:lineRule="auto"/>
    </w:pPr>
  </w:style>
  <w:style w:type="character" w:customStyle="1" w:styleId="FooterChar">
    <w:name w:val="Footer Char"/>
    <w:basedOn w:val="DefaultParagraphFont"/>
    <w:link w:val="Footer"/>
    <w:uiPriority w:val="99"/>
    <w:rsid w:val="00F37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x.doi.org/10.1590/S1414-98932013000300016" TargetMode="External"/><Relationship Id="rId18" Type="http://schemas.openxmlformats.org/officeDocument/2006/relationships/hyperlink" Target="https://periodicos.ufsc.br/index.php/ref/article/view/S0104-026X2008000300005/9130"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dx.doi.org/10.1590/S1413-73722008000400002" TargetMode="External"/><Relationship Id="rId7" Type="http://schemas.microsoft.com/office/2011/relationships/commentsExtended" Target="commentsExtended.xml"/><Relationship Id="rId12" Type="http://schemas.openxmlformats.org/officeDocument/2006/relationships/hyperlink" Target="https://dx.doi.org/10.1590/S1414-98932012000500005" TargetMode="External"/><Relationship Id="rId17" Type="http://schemas.openxmlformats.org/officeDocument/2006/relationships/hyperlink" Target="https://www.redalyc.org/articulo.oa?id=284/28438219" TargetMode="External"/><Relationship Id="rId25" Type="http://schemas.openxmlformats.org/officeDocument/2006/relationships/hyperlink" Target="http://www.labrys.net.br/labrys20/brasil/valeska.htm"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1590/1982-10.1590/1982-3703020002017" TargetMode="External"/><Relationship Id="rId20" Type="http://schemas.openxmlformats.org/officeDocument/2006/relationships/hyperlink" Target="https://dx.doi.org/10.1590/S1414-98932004000100006"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www.redalyc.org/articulo.oa?id=284/28424858002" TargetMode="External"/><Relationship Id="rId24" Type="http://schemas.openxmlformats.org/officeDocument/2006/relationships/hyperlink" Target="http://dx.doi.org/10.5433/2176-6665.2009v14n2p123"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1590/1413-81232018236.04872018" TargetMode="External"/><Relationship Id="rId23" Type="http://schemas.openxmlformats.org/officeDocument/2006/relationships/hyperlink" Target="https://doi.org/10.1590/S0104-83332001000100007"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dx.doi.org/10.1590/S1413-81232012001000003" TargetMode="External"/><Relationship Id="rId3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yperlink" Target="http://dx.doi.org/10.1191/1478088706qp063oa" TargetMode="External"/><Relationship Id="rId22" Type="http://schemas.openxmlformats.org/officeDocument/2006/relationships/hyperlink" Target="https://periodicos.sbu.unicamp.br/ojs/index.php/cadpagu/article/view/8634465" TargetMode="External"/><Relationship Id="rId27" Type="http://schemas.openxmlformats.org/officeDocument/2006/relationships/header" Target="header2.xml"/><Relationship Id="rId30" Type="http://schemas.openxmlformats.org/officeDocument/2006/relationships/header" Target="header3.xml"/><Relationship Id="rId8"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dialnet.unirioja.es/revista/12854/V/32" TargetMode="External"/><Relationship Id="rId2" Type="http://schemas.openxmlformats.org/officeDocument/2006/relationships/hyperlink" Target="https://journal.sipsych.org/index.php/IJP/issue/view/65" TargetMode="External"/><Relationship Id="rId1" Type="http://schemas.openxmlformats.org/officeDocument/2006/relationships/hyperlink" Target="https://journal.sipsych.org/index.php/IJP/issue/view/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20</Pages>
  <Words>9842</Words>
  <Characters>56102</Characters>
  <Application>Microsoft Office Word</Application>
  <DocSecurity>0</DocSecurity>
  <Lines>467</Lines>
  <Paragraphs>131</Paragraphs>
  <ScaleCrop>false</ScaleCrop>
  <Company/>
  <LinksUpToDate>false</LinksUpToDate>
  <CharactersWithSpaces>65813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2020-10-30T14:14:00Z</dcterms:created>
  <dcterms:modified xsi:type="dcterms:W3CDTF">2021-02-26T21:35:00Z</dcterms:modified>
</cp:coreProperties>
</file>