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Justificativas de alterações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FORMATAÇÃO GERAL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Espaçamento do texto: 1,5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Títulos das figuras: tamanho 10 pts, sem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negrito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Títulos das seções primárias: centralizados, sem aspas.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Títulos das seções secundárias: em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itálico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sem espaçamento posterior.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Título do artigo: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Tradução para o Inglês.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Tamanho da fonte: 18 pts.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Ajuste de maiúsculas e minúsculas.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Resumo: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Tradução para o Inglês.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Tamanho da fonte: 10 pts.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Separação das palavras-chave por ponto-e-vírgula.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Reformulado para atender à demanda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parecerista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por melhorias gerais.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CONTEÚDO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Gramática: verbos relativos a resultados do artigo conjugados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passado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hd w:fill="a4c2f4" w:val="clear"/>
          <w:rtl w:val="0"/>
        </w:rPr>
        <w:t xml:space="preserve">Estilo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revisão profissional de texto para adequar e tornar a escrita mais objetiva, considerando as informações adicionais, em atenção às sugestões dos pareceristas.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Introdução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Citação direta recuada tornada citação direta no texto, por razão de estilo: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Nogueira, 2001, p. 23.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Torres-Fernandez, Polanco, Pereira,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Sueli-Beria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&amp; Zapico, 2017, p. 321.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Métodos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Reformulado para atender à demanda feita por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parecerista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quanto à brevidade e quanto à inclusão de tópicos mais estratificados: Coleta de Dados, Definição da Amostra e Análise de Dados (incluindo a anterior “Codificação Temática”).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Resultados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Exclusão de gráfico sem título por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repetição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(como alertado por parecerista).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Discussão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Exclusão de expressões em latim no corpo 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texto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Op. cit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Cit. direta transformada em cit. indireta, por razão de estilo: Silva (2016, p. 78).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Cit. direta recuada tornada cit. direta no texto, por estilo: Coimbra, 1995, p. 36-37.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Trechos interpretativos movidos para depois da apresentação dos dados em quadros. 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Considerações Finais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Reformuladas para atender à demanda por melhorias gerais, feita por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parecerista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Referências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Inclusão da referência correspondente à citação da página 3: Foucault, M. (1985)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Inclusão de link da referência de Nogueira, C. (2001), correspondente à paginação citada.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