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A650" w14:textId="2957DD00" w:rsidR="0054793D" w:rsidRDefault="00BF6737" w:rsidP="0054793D">
      <w:pPr>
        <w:rPr>
          <w:lang w:val="es-ES" w:eastAsia="es-ES"/>
        </w:rPr>
      </w:pPr>
      <w:r w:rsidRPr="00BF6737">
        <w:rPr>
          <w:lang w:val="es-ES" w:eastAsia="es-ES"/>
        </w:rPr>
        <w:t xml:space="preserve"> </w:t>
      </w:r>
    </w:p>
    <w:p w14:paraId="3E8ECF3C" w14:textId="2AC612CE" w:rsidR="00742E4A" w:rsidRPr="002B04BE" w:rsidRDefault="0054793D" w:rsidP="002B04BE">
      <w:pPr>
        <w:pStyle w:val="Titulodeartculo"/>
      </w:pPr>
      <w:r w:rsidRPr="00333677">
        <w:rPr>
          <w:lang w:val="en-US" w:eastAsia="en-US"/>
        </w:rPr>
        <w:drawing>
          <wp:anchor distT="0" distB="0" distL="114300" distR="114300" simplePos="0" relativeHeight="251664384" behindDoc="0" locked="0" layoutInCell="1" allowOverlap="1" wp14:anchorId="4437BD97" wp14:editId="001261CE">
            <wp:simplePos x="0" y="0"/>
            <wp:positionH relativeFrom="column">
              <wp:posOffset>4050665</wp:posOffset>
            </wp:positionH>
            <wp:positionV relativeFrom="paragraph">
              <wp:posOffset>312843</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7"/>
                    </pic:cNvPr>
                    <pic:cNvPicPr/>
                  </pic:nvPicPr>
                  <pic:blipFill>
                    <a:blip r:embed="rId8"/>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6619D9" w:rsidRPr="006619D9">
        <w:rPr>
          <w:bCs/>
          <w:lang w:val="es"/>
        </w:rPr>
        <w:t xml:space="preserve">Desesperanza en universitarios durante la cuarentena ante el virus SARS-COV-2 </w:t>
      </w:r>
      <w:r w:rsidR="00411586" w:rsidRPr="00411586">
        <w:rPr>
          <w:lang w:val="es-AR"/>
        </w:rPr>
        <w:t xml:space="preserve"> </w:t>
      </w:r>
    </w:p>
    <w:p w14:paraId="07B1149B" w14:textId="5B061595" w:rsidR="008E17AF" w:rsidRDefault="008E17AF" w:rsidP="00C413D4">
      <w:pPr>
        <w:rPr>
          <w:b/>
        </w:rPr>
      </w:pPr>
    </w:p>
    <w:p w14:paraId="4D1F8129" w14:textId="77777777" w:rsidR="0054793D" w:rsidRPr="002B04BE" w:rsidRDefault="0054793D" w:rsidP="00C413D4">
      <w:pPr>
        <w:rPr>
          <w:b/>
        </w:rPr>
      </w:pPr>
    </w:p>
    <w:p w14:paraId="110A42C5" w14:textId="278EC361" w:rsidR="00CC7D22" w:rsidRPr="00BE7162" w:rsidRDefault="00AC5D20" w:rsidP="00CC7D22">
      <w:pPr>
        <w:pStyle w:val="Body"/>
        <w:jc w:val="both"/>
        <w:rPr>
          <w:b/>
          <w:bCs/>
          <w:color w:val="4472C4" w:themeColor="accent1"/>
          <w:sz w:val="26"/>
          <w:szCs w:val="26"/>
          <w:u w:color="222222"/>
          <w:vertAlign w:val="superscript"/>
        </w:rPr>
      </w:pPr>
      <w:bookmarkStart w:id="0" w:name="_Hlk90834151"/>
      <w:bookmarkStart w:id="1" w:name="_Hlk90835901"/>
      <w:bookmarkEnd w:id="0"/>
      <w:proofErr w:type="spellStart"/>
      <w:r w:rsidRPr="00AC5D20">
        <w:rPr>
          <w:b/>
          <w:bCs/>
          <w:color w:val="222222"/>
          <w:sz w:val="26"/>
          <w:szCs w:val="26"/>
          <w:u w:color="222222"/>
        </w:rPr>
        <w:t>Andres</w:t>
      </w:r>
      <w:proofErr w:type="spellEnd"/>
      <w:r w:rsidRPr="00AC5D20">
        <w:rPr>
          <w:b/>
          <w:bCs/>
          <w:color w:val="222222"/>
          <w:sz w:val="26"/>
          <w:szCs w:val="26"/>
          <w:u w:color="222222"/>
        </w:rPr>
        <w:t xml:space="preserve"> </w:t>
      </w:r>
      <w:proofErr w:type="spellStart"/>
      <w:r w:rsidRPr="00AC5D20">
        <w:rPr>
          <w:b/>
          <w:bCs/>
          <w:color w:val="222222"/>
          <w:sz w:val="26"/>
          <w:szCs w:val="26"/>
          <w:u w:color="222222"/>
        </w:rPr>
        <w:t>Julian</w:t>
      </w:r>
      <w:proofErr w:type="spellEnd"/>
      <w:r w:rsidRPr="00AC5D20">
        <w:rPr>
          <w:b/>
          <w:bCs/>
          <w:color w:val="222222"/>
          <w:sz w:val="26"/>
          <w:szCs w:val="26"/>
          <w:u w:color="222222"/>
        </w:rPr>
        <w:t xml:space="preserve"> </w:t>
      </w:r>
      <w:proofErr w:type="spellStart"/>
      <w:r w:rsidRPr="00AC5D20">
        <w:rPr>
          <w:b/>
          <w:bCs/>
          <w:color w:val="222222"/>
          <w:sz w:val="26"/>
          <w:szCs w:val="26"/>
          <w:u w:color="222222"/>
        </w:rPr>
        <w:t>Usuga</w:t>
      </w:r>
      <w:proofErr w:type="spellEnd"/>
      <w:r w:rsidRPr="00AC5D20">
        <w:rPr>
          <w:b/>
          <w:bCs/>
          <w:color w:val="222222"/>
          <w:sz w:val="26"/>
          <w:szCs w:val="26"/>
          <w:u w:color="222222"/>
        </w:rPr>
        <w:t>-Jerez</w:t>
      </w:r>
      <w:r w:rsidR="0014506C" w:rsidRPr="00B300F9">
        <w:rPr>
          <w:b/>
          <w:bCs/>
          <w:color w:val="222222"/>
          <w:sz w:val="26"/>
          <w:szCs w:val="26"/>
          <w:u w:color="222222"/>
          <w:lang w:val="es-ES"/>
        </w:rPr>
        <w:t xml:space="preserve"> </w:t>
      </w:r>
      <w:r w:rsidR="005E205D" w:rsidRPr="00886B3C">
        <w:rPr>
          <w:b/>
          <w:bCs/>
          <w:noProof/>
          <w:color w:val="222222"/>
          <w:sz w:val="26"/>
          <w:szCs w:val="26"/>
          <w:u w:color="222222"/>
          <w:lang w:val="en-US" w:eastAsia="en-US"/>
        </w:rPr>
        <w:drawing>
          <wp:inline distT="0" distB="0" distL="0" distR="0" wp14:anchorId="16FCC1C7" wp14:editId="5C3ECCB0">
            <wp:extent cx="133200" cy="133200"/>
            <wp:effectExtent l="0" t="0" r="0" b="0"/>
            <wp:docPr id="11" name="officeArt object" descr="Imagen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9"/>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E92FE9" w:rsidRPr="00B300F9">
        <w:rPr>
          <w:b/>
          <w:bCs/>
          <w:color w:val="222222"/>
          <w:sz w:val="26"/>
          <w:szCs w:val="26"/>
          <w:u w:color="222222"/>
          <w:lang w:val="es-ES"/>
        </w:rPr>
        <w:t xml:space="preserve">, </w:t>
      </w:r>
      <w:r w:rsidRPr="00AC5D20">
        <w:rPr>
          <w:b/>
          <w:bCs/>
          <w:color w:val="222222"/>
          <w:sz w:val="26"/>
          <w:szCs w:val="26"/>
          <w:u w:color="222222"/>
        </w:rPr>
        <w:t xml:space="preserve">Silvia </w:t>
      </w:r>
      <w:proofErr w:type="spellStart"/>
      <w:r w:rsidRPr="00AC5D20">
        <w:rPr>
          <w:b/>
          <w:bCs/>
          <w:color w:val="222222"/>
          <w:sz w:val="26"/>
          <w:szCs w:val="26"/>
          <w:u w:color="222222"/>
        </w:rPr>
        <w:t>Nathalia</w:t>
      </w:r>
      <w:proofErr w:type="spellEnd"/>
      <w:r w:rsidRPr="00AC5D20">
        <w:rPr>
          <w:b/>
          <w:bCs/>
          <w:color w:val="222222"/>
          <w:sz w:val="26"/>
          <w:szCs w:val="26"/>
          <w:u w:color="222222"/>
        </w:rPr>
        <w:t xml:space="preserve"> Vanegas </w:t>
      </w:r>
      <w:proofErr w:type="spellStart"/>
      <w:r w:rsidRPr="00AC5D20">
        <w:rPr>
          <w:b/>
          <w:bCs/>
          <w:color w:val="222222"/>
          <w:sz w:val="26"/>
          <w:szCs w:val="26"/>
          <w:u w:color="222222"/>
        </w:rPr>
        <w:t>Mendez</w:t>
      </w:r>
      <w:proofErr w:type="spellEnd"/>
      <w:r w:rsidR="00654ABE">
        <w:rPr>
          <w:b/>
          <w:bCs/>
          <w:color w:val="4472C4" w:themeColor="accent1"/>
          <w:sz w:val="26"/>
          <w:szCs w:val="26"/>
          <w:u w:color="222222"/>
          <w:vertAlign w:val="superscript"/>
        </w:rPr>
        <w:t xml:space="preserve"> </w:t>
      </w:r>
      <w:r w:rsidR="00622C1E" w:rsidRPr="00886B3C">
        <w:rPr>
          <w:b/>
          <w:bCs/>
          <w:color w:val="222222"/>
          <w:sz w:val="26"/>
          <w:szCs w:val="26"/>
          <w:u w:color="222222"/>
          <w:vertAlign w:val="superscript"/>
          <w:lang w:val="en-GB"/>
        </w:rPr>
        <w:footnoteReference w:id="1"/>
      </w:r>
      <w:r w:rsidR="00444BAD" w:rsidRPr="00886B3C">
        <w:rPr>
          <w:b/>
          <w:bCs/>
          <w:noProof/>
          <w:color w:val="222222"/>
          <w:sz w:val="26"/>
          <w:szCs w:val="26"/>
          <w:u w:color="222222"/>
          <w:lang w:val="en-US" w:eastAsia="en-US"/>
        </w:rPr>
        <w:drawing>
          <wp:inline distT="0" distB="0" distL="0" distR="0" wp14:anchorId="1D8932D1" wp14:editId="32A04612">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w:t>
      </w:r>
      <w:bookmarkEnd w:id="1"/>
      <w:r w:rsidR="00BE7162">
        <w:rPr>
          <w:b/>
          <w:bCs/>
          <w:color w:val="222222"/>
          <w:sz w:val="26"/>
          <w:szCs w:val="26"/>
          <w:u w:color="222222"/>
        </w:rPr>
        <w:t xml:space="preserve"> </w:t>
      </w:r>
      <w:proofErr w:type="spellStart"/>
      <w:r w:rsidRPr="00AC5D20">
        <w:rPr>
          <w:b/>
          <w:bCs/>
          <w:color w:val="222222"/>
          <w:sz w:val="26"/>
          <w:szCs w:val="26"/>
          <w:u w:color="222222"/>
        </w:rPr>
        <w:t>Maria</w:t>
      </w:r>
      <w:proofErr w:type="spellEnd"/>
      <w:r w:rsidRPr="00AC5D20">
        <w:rPr>
          <w:b/>
          <w:bCs/>
          <w:color w:val="222222"/>
          <w:sz w:val="26"/>
          <w:szCs w:val="26"/>
          <w:u w:color="222222"/>
        </w:rPr>
        <w:t xml:space="preserve"> Fernanda Tapias Soto</w:t>
      </w:r>
      <w:r w:rsidRPr="00AC5D20">
        <w:rPr>
          <w:b/>
          <w:bCs/>
          <w:color w:val="222222"/>
          <w:sz w:val="26"/>
          <w:szCs w:val="26"/>
          <w:u w:color="222222"/>
          <w:vertAlign w:val="superscript"/>
        </w:rPr>
        <w:t xml:space="preserve"> </w:t>
      </w:r>
      <w:r w:rsidR="00CC7D22" w:rsidRPr="00886B3C">
        <w:rPr>
          <w:b/>
          <w:bCs/>
          <w:noProof/>
          <w:color w:val="222222"/>
          <w:sz w:val="26"/>
          <w:szCs w:val="26"/>
          <w:u w:color="222222"/>
          <w:lang w:val="en-US" w:eastAsia="en-US"/>
        </w:rPr>
        <w:drawing>
          <wp:inline distT="0" distB="0" distL="0" distR="0" wp14:anchorId="20800533" wp14:editId="2AF4A673">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BE7162">
        <w:rPr>
          <w:b/>
          <w:bCs/>
          <w:color w:val="222222"/>
          <w:sz w:val="26"/>
          <w:szCs w:val="26"/>
          <w:u w:color="222222"/>
        </w:rPr>
        <w:t xml:space="preserve">, </w:t>
      </w:r>
      <w:r w:rsidR="00BE7162" w:rsidRPr="00BE7162">
        <w:rPr>
          <w:b/>
          <w:bCs/>
          <w:color w:val="222222"/>
          <w:sz w:val="26"/>
          <w:szCs w:val="26"/>
          <w:u w:color="222222"/>
        </w:rPr>
        <w:t xml:space="preserve">Juan Manuel Villabona </w:t>
      </w:r>
      <w:proofErr w:type="spellStart"/>
      <w:r w:rsidR="00BE7162" w:rsidRPr="00BE7162">
        <w:rPr>
          <w:b/>
          <w:bCs/>
          <w:color w:val="222222"/>
          <w:sz w:val="26"/>
          <w:szCs w:val="26"/>
          <w:u w:color="222222"/>
        </w:rPr>
        <w:t>Perez</w:t>
      </w:r>
      <w:proofErr w:type="spellEnd"/>
      <w:r w:rsidR="00BE7162" w:rsidRPr="00BE7162">
        <w:rPr>
          <w:b/>
          <w:bCs/>
          <w:color w:val="4472C4" w:themeColor="accent1"/>
          <w:sz w:val="26"/>
          <w:szCs w:val="26"/>
          <w:u w:color="222222"/>
          <w:vertAlign w:val="superscript"/>
        </w:rPr>
        <w:t xml:space="preserve"> </w:t>
      </w:r>
      <w:r w:rsidR="00BE7162" w:rsidRPr="00886B3C">
        <w:rPr>
          <w:b/>
          <w:bCs/>
          <w:noProof/>
          <w:color w:val="222222"/>
          <w:sz w:val="26"/>
          <w:szCs w:val="26"/>
          <w:u w:color="222222"/>
          <w:lang w:val="en-US" w:eastAsia="en-US"/>
        </w:rPr>
        <w:drawing>
          <wp:inline distT="0" distB="0" distL="0" distR="0" wp14:anchorId="3183864F" wp14:editId="5632839E">
            <wp:extent cx="133200" cy="133200"/>
            <wp:effectExtent l="0" t="0" r="0" b="0"/>
            <wp:docPr id="13"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BE7162">
        <w:rPr>
          <w:b/>
          <w:bCs/>
          <w:color w:val="222222"/>
          <w:sz w:val="26"/>
          <w:szCs w:val="26"/>
          <w:u w:color="222222"/>
        </w:rPr>
        <w:t xml:space="preserve">, </w:t>
      </w:r>
      <w:r w:rsidR="00BE7162" w:rsidRPr="00444BAD">
        <w:rPr>
          <w:b/>
          <w:bCs/>
          <w:color w:val="222222"/>
          <w:sz w:val="26"/>
          <w:szCs w:val="26"/>
          <w:u w:color="222222"/>
        </w:rPr>
        <w:t xml:space="preserve">&amp; </w:t>
      </w:r>
      <w:r w:rsidR="00BE7162" w:rsidRPr="00BE7162">
        <w:rPr>
          <w:b/>
          <w:bCs/>
          <w:color w:val="222222"/>
          <w:sz w:val="26"/>
          <w:szCs w:val="26"/>
          <w:u w:color="222222"/>
        </w:rPr>
        <w:t xml:space="preserve">Nancy Viviana </w:t>
      </w:r>
      <w:r w:rsidR="007B011B" w:rsidRPr="007B011B">
        <w:rPr>
          <w:b/>
          <w:bCs/>
          <w:color w:val="222222"/>
          <w:sz w:val="26"/>
          <w:szCs w:val="26"/>
          <w:u w:color="222222"/>
        </w:rPr>
        <w:t>Lemos Ramírez</w:t>
      </w:r>
      <w:r w:rsidR="00BE7162" w:rsidRPr="00BE7162">
        <w:rPr>
          <w:b/>
          <w:bCs/>
          <w:color w:val="4472C4" w:themeColor="accent1"/>
          <w:sz w:val="26"/>
          <w:szCs w:val="26"/>
          <w:u w:color="222222"/>
          <w:vertAlign w:val="superscript"/>
        </w:rPr>
        <w:t xml:space="preserve"> </w:t>
      </w:r>
      <w:r w:rsidR="00BE7162" w:rsidRPr="00886B3C">
        <w:rPr>
          <w:b/>
          <w:bCs/>
          <w:noProof/>
          <w:color w:val="222222"/>
          <w:sz w:val="26"/>
          <w:szCs w:val="26"/>
          <w:u w:color="222222"/>
          <w:lang w:val="en-US" w:eastAsia="en-US"/>
        </w:rPr>
        <w:drawing>
          <wp:inline distT="0" distB="0" distL="0" distR="0" wp14:anchorId="20D3B985" wp14:editId="65C6F768">
            <wp:extent cx="133200" cy="133200"/>
            <wp:effectExtent l="0" t="0" r="0" b="0"/>
            <wp:docPr id="14"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7D7E6B" w:rsidRPr="00444BA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p>
    <w:p w14:paraId="5520A5E9" w14:textId="77777777" w:rsidR="0054793D" w:rsidRPr="00444BAD" w:rsidRDefault="0054793D" w:rsidP="00DB239D">
      <w:pPr>
        <w:rPr>
          <w:i/>
          <w:sz w:val="28"/>
          <w:szCs w:val="28"/>
        </w:rPr>
      </w:pPr>
    </w:p>
    <w:p w14:paraId="52BD8014" w14:textId="55D5C992" w:rsidR="00CC7D22" w:rsidRPr="00EE0F35" w:rsidRDefault="008B67DE" w:rsidP="00CC7D22">
      <w:pPr>
        <w:tabs>
          <w:tab w:val="left" w:pos="7005"/>
        </w:tabs>
        <w:jc w:val="both"/>
        <w:rPr>
          <w:rFonts w:eastAsia="Arial Unicode MS" w:cs="Arial Unicode MS"/>
          <w:i/>
          <w:iCs/>
          <w:sz w:val="28"/>
          <w:szCs w:val="28"/>
        </w:rPr>
      </w:pPr>
      <w:r w:rsidRPr="008B67DE">
        <w:rPr>
          <w:rFonts w:eastAsia="Arial Unicode MS" w:cs="Arial Unicode MS"/>
          <w:bCs/>
          <w:i/>
          <w:iCs/>
          <w:sz w:val="28"/>
          <w:szCs w:val="28"/>
          <w:lang w:val="es-CO"/>
        </w:rPr>
        <w:t>Universidad Pontificia Bolivariana, Bucaramanga, Colombia</w:t>
      </w:r>
      <w:r w:rsidR="00DA6EA5" w:rsidRPr="00DA6EA5">
        <w:rPr>
          <w:rFonts w:eastAsia="Arial Unicode MS" w:cs="Arial Unicode MS"/>
          <w:bCs/>
          <w:i/>
          <w:iCs/>
          <w:sz w:val="28"/>
          <w:szCs w:val="28"/>
          <w:lang w:val="es-CO"/>
        </w:rPr>
        <w:t>.</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7762770B" w14:textId="77777777" w:rsidR="0054793D" w:rsidRDefault="0054793D" w:rsidP="001006DE">
      <w:pPr>
        <w:pStyle w:val="Resumen"/>
        <w:rPr>
          <w:bCs/>
          <w:iCs/>
          <w:lang w:val="es"/>
        </w:rPr>
      </w:pPr>
    </w:p>
    <w:p w14:paraId="570537B8" w14:textId="34D8AC9B" w:rsidR="00C413D4" w:rsidRPr="00D02897" w:rsidRDefault="00D02897" w:rsidP="001006DE">
      <w:pPr>
        <w:pStyle w:val="Resumen"/>
        <w:rPr>
          <w:bCs/>
          <w:iCs/>
          <w:lang w:val="es"/>
        </w:rPr>
      </w:pPr>
      <w:r w:rsidRPr="00D02897">
        <w:rPr>
          <w:bCs/>
          <w:iCs/>
          <w:lang w:val="es"/>
        </w:rPr>
        <w:t>Debido a la cuarentena implementada por la COVID-19, se ha identificado un importante impacto psicológico en estudiantes universitarios, quienes son un grupo vulnerable con relación a la variable desesperanza. El objetivo de la presente investigación fue evaluar los niveles de desesperanza en 213 estudiantes universitarios colombianos, bajo un enfoque cuantitativo de alcance descriptivo-comparativo con diseño no experimental, de corte transversal. Se implementó la Escala de Desesperanza de Beck y se halló que el 39.9% de los participantes tuvieron un nivel mínimo-normal; el 46.6% nivel leve; el 10.3% nivel moderado; y el 2.8% nivel alto, encontra</w:t>
      </w:r>
      <w:r>
        <w:rPr>
          <w:bCs/>
          <w:iCs/>
          <w:lang w:val="es"/>
        </w:rPr>
        <w:t>n</w:t>
      </w:r>
      <w:r w:rsidRPr="00D02897">
        <w:rPr>
          <w:bCs/>
          <w:iCs/>
          <w:lang w:val="es"/>
        </w:rPr>
        <w:t>do diferencias de acuerdo al género y estrato socioeconómico. Se concluye la importancia de desarrollar estrategias desde una perspectiva integral para atender consecuencias psicosociales asociadas a la pandemia de COVID-19 en estudiantes.</w:t>
      </w:r>
      <w:r w:rsidR="00411586" w:rsidRPr="00411586">
        <w:rPr>
          <w:bCs/>
          <w:iCs/>
          <w:lang w:val="es-CO"/>
        </w:rPr>
        <w:t xml:space="preserve"> </w:t>
      </w:r>
    </w:p>
    <w:p w14:paraId="3D52E5CF" w14:textId="77777777" w:rsidR="00B5244C" w:rsidRPr="001949C9" w:rsidRDefault="00B5244C" w:rsidP="00B87BAC">
      <w:pPr>
        <w:pStyle w:val="Ttulodepalabrasclave"/>
        <w:rPr>
          <w:lang w:val="es-AR"/>
        </w:rPr>
      </w:pPr>
    </w:p>
    <w:p w14:paraId="7E377265" w14:textId="3AED5140" w:rsidR="001006DE" w:rsidRPr="006E0173" w:rsidRDefault="00B5244C" w:rsidP="00B87BAC">
      <w:pPr>
        <w:pStyle w:val="Ttulodepalabrasclave"/>
        <w:rPr>
          <w:lang w:val="es-AR"/>
        </w:rPr>
      </w:pPr>
      <w:r w:rsidRPr="006E0173">
        <w:rPr>
          <w:lang w:val="es-AR"/>
        </w:rPr>
        <w:t>Palabras Clave</w:t>
      </w:r>
    </w:p>
    <w:p w14:paraId="5883BB39" w14:textId="11478410" w:rsidR="008547C7" w:rsidRDefault="00E35174" w:rsidP="00411586">
      <w:pPr>
        <w:rPr>
          <w:bCs/>
          <w:iCs/>
          <w:sz w:val="20"/>
          <w:szCs w:val="20"/>
        </w:rPr>
      </w:pPr>
      <w:r w:rsidRPr="00E35174">
        <w:rPr>
          <w:bCs/>
          <w:iCs/>
          <w:sz w:val="20"/>
          <w:szCs w:val="20"/>
          <w:lang w:val="es"/>
        </w:rPr>
        <w:t>COVID-19, pandemia, desesperanza, salud mental, estudiantes</w:t>
      </w:r>
    </w:p>
    <w:p w14:paraId="2B7ECC68" w14:textId="77777777" w:rsidR="00411586" w:rsidRDefault="00411586" w:rsidP="00411586">
      <w:pPr>
        <w:rPr>
          <w:bCs/>
          <w:iCs/>
          <w:sz w:val="20"/>
          <w:szCs w:val="20"/>
        </w:rPr>
      </w:pPr>
    </w:p>
    <w:p w14:paraId="625F3DDC" w14:textId="77777777" w:rsidR="0054793D" w:rsidRDefault="0054793D" w:rsidP="00411586">
      <w:pPr>
        <w:rPr>
          <w:bCs/>
          <w:iCs/>
          <w:sz w:val="20"/>
          <w:szCs w:val="20"/>
        </w:rPr>
      </w:pPr>
    </w:p>
    <w:p w14:paraId="4F525FCC" w14:textId="77777777" w:rsidR="0054793D" w:rsidRPr="00411586" w:rsidRDefault="0054793D" w:rsidP="00411586">
      <w:pPr>
        <w:rPr>
          <w:bCs/>
          <w:iCs/>
          <w:sz w:val="20"/>
          <w:szCs w:val="20"/>
        </w:rPr>
      </w:pPr>
    </w:p>
    <w:p w14:paraId="1BF37552" w14:textId="0F22412A"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622C1E">
        <w:rPr>
          <w:bCs/>
          <w:iCs/>
          <w:lang w:val="en-US"/>
        </w:rPr>
        <w:t xml:space="preserve"> </w:t>
      </w:r>
      <w:r w:rsidR="00E272F5" w:rsidRPr="00E272F5">
        <w:rPr>
          <w:lang w:val="en-US"/>
        </w:rPr>
        <w:t>Abstract</w:t>
      </w:r>
    </w:p>
    <w:p w14:paraId="6441369A" w14:textId="77777777" w:rsidR="0054793D" w:rsidRDefault="0054793D" w:rsidP="002D6B30">
      <w:pPr>
        <w:pStyle w:val="Resumen"/>
        <w:rPr>
          <w:bCs/>
          <w:iCs/>
        </w:rPr>
      </w:pPr>
    </w:p>
    <w:p w14:paraId="65E89737" w14:textId="2631EC41" w:rsidR="002D6B30" w:rsidRPr="00D02897" w:rsidRDefault="00D02897" w:rsidP="002D6B30">
      <w:pPr>
        <w:pStyle w:val="Resumen"/>
        <w:rPr>
          <w:bCs/>
          <w:iCs/>
        </w:rPr>
      </w:pPr>
      <w:r w:rsidRPr="00D02897">
        <w:rPr>
          <w:bCs/>
          <w:iCs/>
        </w:rPr>
        <w:t>Due to the quarantine implemented by the COVID-19, an important psychological impact has been identified in college students, who are a vulnerable group in relation to the hopelessness analysis. The objective of the present research was to evaluate the levels of hopelessness in 213 Colombian university students, under a quantitative approach of descriptive-comparative scope, with a non-experimental design, in a cross-sectional focus. The Beck Hopelessness Scale was implemented and it was found that 39.9% of the participants had a minimum-normal level; 46.6% mild level; 10.3% intermediate level; and 2.8% high level, founding differences according to gender and social - economic condition. The importance of developing strategies from a comprehensive perspective to care psychosocial consequences associated with the COVID-19 pandemic in students is concluded.</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654799CA" w:rsidR="002D6B30" w:rsidRPr="00E976E9" w:rsidRDefault="00E35174">
      <w:pPr>
        <w:rPr>
          <w:bCs/>
          <w:iCs/>
          <w:sz w:val="20"/>
          <w:szCs w:val="20"/>
          <w:lang w:val="en-US"/>
        </w:rPr>
      </w:pPr>
      <w:r w:rsidRPr="00E35174">
        <w:rPr>
          <w:bCs/>
          <w:iCs/>
          <w:sz w:val="20"/>
          <w:szCs w:val="20"/>
          <w:lang w:val="en-US"/>
        </w:rPr>
        <w:t xml:space="preserve">COVID-19, pandemic, hopelessness, mental health, students </w:t>
      </w:r>
      <w:r w:rsidR="002D6B30" w:rsidRPr="00E976E9">
        <w:rPr>
          <w:bCs/>
          <w:iCs/>
          <w:sz w:val="20"/>
          <w:szCs w:val="20"/>
          <w:lang w:val="en-US"/>
        </w:rPr>
        <w:br w:type="page"/>
      </w:r>
    </w:p>
    <w:p w14:paraId="45D157E5" w14:textId="69A10838" w:rsidR="00333677" w:rsidRPr="00367B6E" w:rsidRDefault="006619D9" w:rsidP="00AE2924">
      <w:pPr>
        <w:pStyle w:val="Prrafocomn"/>
        <w:ind w:firstLine="0"/>
        <w:jc w:val="center"/>
        <w:rPr>
          <w:bCs/>
        </w:rPr>
      </w:pPr>
      <w:r w:rsidRPr="006619D9">
        <w:rPr>
          <w:bCs/>
          <w:lang w:val="en-GB"/>
        </w:rPr>
        <w:lastRenderedPageBreak/>
        <w:t>Desperation among university students during SARS-COV-2 virus quarantine</w:t>
      </w:r>
    </w:p>
    <w:p w14:paraId="512A04F3" w14:textId="244646AD" w:rsidR="00333677" w:rsidRPr="00D56612" w:rsidRDefault="0019293F" w:rsidP="00F42476">
      <w:pPr>
        <w:pStyle w:val="Ttulosinternos"/>
        <w:rPr>
          <w:lang w:val="es-ES"/>
        </w:rPr>
      </w:pPr>
      <w:r w:rsidRPr="00D56612">
        <w:rPr>
          <w:lang w:val="es-ES"/>
        </w:rPr>
        <w:t>Introducción</w:t>
      </w:r>
    </w:p>
    <w:p w14:paraId="3FF3CCE0" w14:textId="3696DB11" w:rsidR="00D56612" w:rsidRPr="00D56612" w:rsidRDefault="00D56612" w:rsidP="00D56612">
      <w:pPr>
        <w:pStyle w:val="Prrafocomn"/>
        <w:spacing w:line="400" w:lineRule="exact"/>
        <w:rPr>
          <w:lang w:val="es"/>
        </w:rPr>
      </w:pPr>
      <w:r w:rsidRPr="00D56612">
        <w:rPr>
          <w:lang w:val="es"/>
        </w:rPr>
        <w:t>Ante la expansión rápida del virus SARS-CoV-2, el Comité de Emergencia de la Organización Mundial de la Salud catalogó a este brote como una pandemia (OMS, citada en Huarcaya, 2020). Dicho fenómeno, no solo trae el riesgo de muerte por la infección, sino también un importante impacto psicológico para las personas a nivel mundial (</w:t>
      </w:r>
      <w:proofErr w:type="spellStart"/>
      <w:r w:rsidRPr="00D56612">
        <w:rPr>
          <w:lang w:val="es"/>
        </w:rPr>
        <w:t>Duan</w:t>
      </w:r>
      <w:proofErr w:type="spellEnd"/>
      <w:r w:rsidRPr="00D56612">
        <w:rPr>
          <w:lang w:val="es"/>
        </w:rPr>
        <w:t xml:space="preserve"> &amp; Zhu, 2020; Xiao, 2020). </w:t>
      </w:r>
    </w:p>
    <w:p w14:paraId="07077828" w14:textId="77777777" w:rsidR="00D56612" w:rsidRPr="00D56612" w:rsidRDefault="00D56612" w:rsidP="00D56612">
      <w:pPr>
        <w:pStyle w:val="Prrafocomn"/>
        <w:spacing w:line="400" w:lineRule="exact"/>
        <w:rPr>
          <w:lang w:val="es"/>
        </w:rPr>
      </w:pPr>
      <w:r w:rsidRPr="00D56612">
        <w:rPr>
          <w:lang w:val="es"/>
        </w:rPr>
        <w:t>El Ministerio de Salud y Protección Social (</w:t>
      </w:r>
      <w:proofErr w:type="spellStart"/>
      <w:r w:rsidRPr="00D56612">
        <w:rPr>
          <w:lang w:val="es"/>
        </w:rPr>
        <w:t>MinSalud</w:t>
      </w:r>
      <w:proofErr w:type="spellEnd"/>
      <w:r w:rsidRPr="00D56612">
        <w:rPr>
          <w:lang w:val="es"/>
        </w:rPr>
        <w:t xml:space="preserve">, 2020) de Colombia implementó, como medida preventiva, la cuarentena desde el 25 marzo hasta el 30 de mayo. Dicha estrategia, ha sido conceptualizada como la separación y restricción del movimiento de las personas que han estado potencialmente expuestas a una enfermedad contagiosa, y de esta manera, reducir el riesgo de infección a otros (Centers </w:t>
      </w:r>
      <w:proofErr w:type="spellStart"/>
      <w:r w:rsidRPr="00D56612">
        <w:rPr>
          <w:lang w:val="es"/>
        </w:rPr>
        <w:t>for</w:t>
      </w:r>
      <w:proofErr w:type="spellEnd"/>
      <w:r w:rsidRPr="00D56612">
        <w:rPr>
          <w:lang w:val="es"/>
        </w:rPr>
        <w:t xml:space="preserve"> </w:t>
      </w:r>
      <w:proofErr w:type="spellStart"/>
      <w:r w:rsidRPr="00D56612">
        <w:rPr>
          <w:lang w:val="es"/>
        </w:rPr>
        <w:t>Disease</w:t>
      </w:r>
      <w:proofErr w:type="spellEnd"/>
      <w:r w:rsidRPr="00D56612">
        <w:rPr>
          <w:lang w:val="es"/>
        </w:rPr>
        <w:t xml:space="preserve"> Control and </w:t>
      </w:r>
      <w:proofErr w:type="spellStart"/>
      <w:r w:rsidRPr="00D56612">
        <w:rPr>
          <w:lang w:val="es"/>
        </w:rPr>
        <w:t>Prevention</w:t>
      </w:r>
      <w:proofErr w:type="spellEnd"/>
      <w:r w:rsidRPr="00D56612">
        <w:rPr>
          <w:lang w:val="es"/>
        </w:rPr>
        <w:t>, 2017). Lo anterior, es debido a la falta de vacunas y medicamentos eficaces (Gonzáles-Jaramillo et al., 2020), que logren mitigar la infección respiratoria aguda por la COVID-19, que puede ser leve, moderada o severa y que incluye síntomas como fiebre, tos, secreciones nasales, malestar general y dificultad para respirar (</w:t>
      </w:r>
      <w:proofErr w:type="spellStart"/>
      <w:r w:rsidRPr="00D56612">
        <w:rPr>
          <w:lang w:val="es"/>
        </w:rPr>
        <w:t>MinSalud</w:t>
      </w:r>
      <w:proofErr w:type="spellEnd"/>
      <w:r w:rsidRPr="00D56612">
        <w:rPr>
          <w:lang w:val="es"/>
        </w:rPr>
        <w:t xml:space="preserve"> 2020).</w:t>
      </w:r>
    </w:p>
    <w:p w14:paraId="449954A6" w14:textId="77777777" w:rsidR="00D56612" w:rsidRPr="00D56612" w:rsidRDefault="00D56612" w:rsidP="00D56612">
      <w:pPr>
        <w:pStyle w:val="Prrafocomn"/>
        <w:spacing w:line="400" w:lineRule="exact"/>
        <w:rPr>
          <w:lang w:val="es"/>
        </w:rPr>
      </w:pPr>
      <w:r w:rsidRPr="00D56612">
        <w:rPr>
          <w:lang w:val="es"/>
        </w:rPr>
        <w:t xml:space="preserve">Debido a lo anterior, existen reportes sobre el impacto psicológico de la cuarentena en población general, que van desde síntomas aislados hasta trastornos complejos, con un deterioro marcado de la funcionalidad, tales como: insomnio, ansiedad, agotamiento emocional, depresión e ideación suicida (Brooks et al., 2020; Chen et al., 2020; </w:t>
      </w:r>
      <w:proofErr w:type="spellStart"/>
      <w:r w:rsidRPr="00D56612">
        <w:rPr>
          <w:lang w:val="es"/>
        </w:rPr>
        <w:t>Duan</w:t>
      </w:r>
      <w:proofErr w:type="spellEnd"/>
      <w:r w:rsidRPr="00D56612">
        <w:rPr>
          <w:lang w:val="es"/>
        </w:rPr>
        <w:t xml:space="preserve"> &amp; Zhu, 2020; Li et al., 2020; Yang et al., 2020). Así mismo, se ha identificado que dichas alteraciones pueden persistir en el tiempo (Brooks et al., 2020; Li et al., 2020; Taylor, 2019). </w:t>
      </w:r>
    </w:p>
    <w:p w14:paraId="49512E09" w14:textId="77777777" w:rsidR="00D56612" w:rsidRPr="00D56612" w:rsidRDefault="00D56612" w:rsidP="00D56612">
      <w:pPr>
        <w:pStyle w:val="Prrafocomn"/>
        <w:spacing w:line="400" w:lineRule="exact"/>
        <w:rPr>
          <w:lang w:val="es"/>
        </w:rPr>
      </w:pPr>
      <w:r w:rsidRPr="00D56612">
        <w:rPr>
          <w:lang w:val="es"/>
        </w:rPr>
        <w:t xml:space="preserve">Además, investigaciones han demostrado que ciertos sucesos experimentados y categorizados como negativos están relacionados con mayores niveles de sintomatología depresiva (Camuñas et al., 2019; Gómez et al., 2018; Sanjuán et al., 2013; </w:t>
      </w:r>
      <w:proofErr w:type="spellStart"/>
      <w:r w:rsidRPr="00D56612">
        <w:rPr>
          <w:lang w:val="es"/>
        </w:rPr>
        <w:t>Usuga</w:t>
      </w:r>
      <w:proofErr w:type="spellEnd"/>
      <w:r w:rsidRPr="00D56612">
        <w:rPr>
          <w:lang w:val="es"/>
        </w:rPr>
        <w:t xml:space="preserve">-Jerez, et al., en prensa). Así mismo, se han evidenciado asociaciones entre depresión y desesperanza (Beck &amp; </w:t>
      </w:r>
      <w:proofErr w:type="spellStart"/>
      <w:r w:rsidRPr="00D56612">
        <w:rPr>
          <w:lang w:val="es"/>
        </w:rPr>
        <w:t>Bredemeier</w:t>
      </w:r>
      <w:proofErr w:type="spellEnd"/>
      <w:r w:rsidRPr="00D56612">
        <w:rPr>
          <w:lang w:val="es"/>
        </w:rPr>
        <w:t>, 2016; González et al., 2019; Hanna et al., 2011; Jiménez-García y Miguel-Tobal, 2003; Wang et al., 2017). Lo anterior puede estar explicado por la teoría de indefensión-desesperanza de la ansiedad y de la depresión, según la cual, eventos estables con pocas probabilidades de que cambien y categorizados como negativos pueden inducir a sentimientos de desesperanza (</w:t>
      </w:r>
      <w:proofErr w:type="spellStart"/>
      <w:r w:rsidRPr="00D56612">
        <w:rPr>
          <w:lang w:val="es"/>
        </w:rPr>
        <w:t>Alloy</w:t>
      </w:r>
      <w:proofErr w:type="spellEnd"/>
      <w:r w:rsidRPr="00D56612">
        <w:rPr>
          <w:lang w:val="es"/>
        </w:rPr>
        <w:t xml:space="preserve"> et al., 1990). </w:t>
      </w:r>
    </w:p>
    <w:p w14:paraId="4A5FDEEB" w14:textId="77777777" w:rsidR="00D56612" w:rsidRPr="00D56612" w:rsidRDefault="00D56612" w:rsidP="00D56612">
      <w:pPr>
        <w:pStyle w:val="Prrafocomn"/>
        <w:spacing w:line="400" w:lineRule="exact"/>
        <w:rPr>
          <w:lang w:val="es"/>
        </w:rPr>
      </w:pPr>
      <w:r w:rsidRPr="00D56612">
        <w:rPr>
          <w:lang w:val="es"/>
        </w:rPr>
        <w:lastRenderedPageBreak/>
        <w:t>Este sentimiento, se refiere a la percepción de imposibilidad para lograr cualquier cosa, la idea de que no hay nada que hacer, ni ahora ni nunca, produciendo un deterioro que imposibilita la respuesta adaptativa ante una situación estresante o la respuesta voluntaria para lograr el control sobre los hechos (</w:t>
      </w:r>
      <w:proofErr w:type="spellStart"/>
      <w:r w:rsidRPr="00D56612">
        <w:rPr>
          <w:lang w:val="es"/>
        </w:rPr>
        <w:t>Vinaccia</w:t>
      </w:r>
      <w:proofErr w:type="spellEnd"/>
      <w:r w:rsidRPr="00D56612">
        <w:rPr>
          <w:lang w:val="es"/>
        </w:rPr>
        <w:t xml:space="preserve"> et al., 2005). Es por esta razón que, la desesperanza es cataloga como un estado perjudicial, que puede tener repercusiones adversas en la salud mental y física (González y Hernández, 2012). De igual manera, investigadores han evidenciado que niveles altos de desesperanza pronostican intentos de suicidio y suicidio consumado (Beck et al., 1985; Brown, et al., 2000; Burr et al., 2018; Lane y Miranda, 2018; Pérez et al., 2017; Sánchez-Teruel et al., 2018; Silva et al., 2017). </w:t>
      </w:r>
    </w:p>
    <w:p w14:paraId="5AF7BA6E" w14:textId="77777777" w:rsidR="00D56612" w:rsidRPr="00D56612" w:rsidRDefault="00D56612" w:rsidP="00D56612">
      <w:pPr>
        <w:pStyle w:val="Prrafocomn"/>
        <w:spacing w:line="400" w:lineRule="exact"/>
        <w:rPr>
          <w:lang w:val="es"/>
        </w:rPr>
      </w:pPr>
      <w:r w:rsidRPr="00D56612">
        <w:rPr>
          <w:lang w:val="es"/>
        </w:rPr>
        <w:t>Adicionalmente, investigaciones pre-pandemia catalogan a los universitarios como un grupo de especial de consideración en cuanto a alteraciones en variables psicológicas que pueden comprometer su desempeño académico y su futuro (Alarcón, 2020; Gallagher, 2014; Chau y Vilela, 2017; Quiceno et al., 2014; Alarcón y Caycho, 2015; Vera-Cala et al., 2020), como: estrés (Abreu et al, 2020; Gonzáles-</w:t>
      </w:r>
      <w:proofErr w:type="spellStart"/>
      <w:r w:rsidRPr="00D56612">
        <w:rPr>
          <w:lang w:val="es"/>
        </w:rPr>
        <w:t>Jaimes</w:t>
      </w:r>
      <w:proofErr w:type="spellEnd"/>
      <w:r w:rsidRPr="00D56612">
        <w:rPr>
          <w:lang w:val="es"/>
        </w:rPr>
        <w:t xml:space="preserve"> et al, 2020; Huarcaya-Victoria, 2020; Rosario-Rodríguez et al, 2020; Sandín et al, 2020); depresión (Baader et al., 2014; Guerra-Domínguez et al., 2020; Tijerina et al., 2018; Xiao et al., 2016); comportamiento suicida (Abreu et al, 2020; Gonzáles-</w:t>
      </w:r>
      <w:proofErr w:type="spellStart"/>
      <w:r w:rsidRPr="00D56612">
        <w:rPr>
          <w:lang w:val="es"/>
        </w:rPr>
        <w:t>Jaimes</w:t>
      </w:r>
      <w:proofErr w:type="spellEnd"/>
      <w:r w:rsidRPr="00D56612">
        <w:rPr>
          <w:lang w:val="es"/>
        </w:rPr>
        <w:t xml:space="preserve"> et al, 2020); y desesperanza (</w:t>
      </w:r>
      <w:proofErr w:type="spellStart"/>
      <w:r w:rsidRPr="00D56612">
        <w:rPr>
          <w:lang w:val="es"/>
        </w:rPr>
        <w:t>Alamo</w:t>
      </w:r>
      <w:proofErr w:type="spellEnd"/>
      <w:r w:rsidRPr="00D56612">
        <w:rPr>
          <w:lang w:val="es"/>
        </w:rPr>
        <w:t xml:space="preserve"> et al., 2019; Quiñonez-Tapia et al., 2019), entre otras. </w:t>
      </w:r>
    </w:p>
    <w:p w14:paraId="262DFAF1" w14:textId="369349F5" w:rsidR="0009689D" w:rsidRPr="00D56612" w:rsidRDefault="00D56612" w:rsidP="00D56612">
      <w:pPr>
        <w:pStyle w:val="Prrafocomn"/>
        <w:spacing w:line="400" w:lineRule="exact"/>
        <w:rPr>
          <w:lang w:val="es"/>
        </w:rPr>
      </w:pPr>
      <w:r w:rsidRPr="00D56612">
        <w:rPr>
          <w:lang w:val="es"/>
        </w:rPr>
        <w:t>Paralelamente, la educación superior en Colombia está en función, en gran medida, del nivel socioeconómico de los estudiantes, siendo los de estratos bajos los más vulnerables a dificultades académicas (Cortés-Cáceres et al, 2019; Gonzales y Guadalupe, 2017; Lozano-Díaz et al., 2020) y salud mental (</w:t>
      </w:r>
      <w:proofErr w:type="spellStart"/>
      <w:r w:rsidRPr="00D56612">
        <w:rPr>
          <w:lang w:val="es"/>
        </w:rPr>
        <w:t>Paricio</w:t>
      </w:r>
      <w:proofErr w:type="spellEnd"/>
      <w:r w:rsidRPr="00D56612">
        <w:rPr>
          <w:lang w:val="es"/>
        </w:rPr>
        <w:t xml:space="preserve"> del Castillo y Pando, 2020; Ferrel et al., 2011; Riveros y </w:t>
      </w:r>
      <w:proofErr w:type="spellStart"/>
      <w:r w:rsidRPr="00D56612">
        <w:rPr>
          <w:lang w:val="es"/>
        </w:rPr>
        <w:t>Vinaccio-Alphi</w:t>
      </w:r>
      <w:proofErr w:type="spellEnd"/>
      <w:r w:rsidRPr="00D56612">
        <w:rPr>
          <w:lang w:val="es"/>
        </w:rPr>
        <w:t>, 2017; Chan-Gamboa et al., 2017). Por consiguiente, es probable que tiempos difíciles puedan inducir a estados de desesperanza en los estudiantes universitarios. Por tal motivo, la presente investigación evaluó la desesperanza de universitarios durante la cuarentena ante el virus SARS-COV-2 en Santander, Colombia.</w:t>
      </w:r>
    </w:p>
    <w:p w14:paraId="3BEA5576" w14:textId="77777777" w:rsidR="00012352" w:rsidRPr="0019293F" w:rsidRDefault="00012352" w:rsidP="00012352">
      <w:pPr>
        <w:pStyle w:val="Ttulosinternos"/>
        <w:rPr>
          <w:lang w:val="es-AR"/>
        </w:rPr>
      </w:pPr>
      <w:r w:rsidRPr="0019293F">
        <w:rPr>
          <w:lang w:val="es-AR"/>
        </w:rPr>
        <w:t>Método</w:t>
      </w:r>
    </w:p>
    <w:p w14:paraId="13E8D865" w14:textId="2973C140" w:rsidR="00C672C3" w:rsidRPr="00D56612" w:rsidRDefault="00D56612" w:rsidP="00471F54">
      <w:pPr>
        <w:pStyle w:val="SubtituloInterno"/>
        <w:rPr>
          <w:bCs/>
          <w:iCs/>
          <w:lang w:val="es"/>
        </w:rPr>
      </w:pPr>
      <w:r>
        <w:rPr>
          <w:bCs/>
          <w:iCs/>
          <w:lang w:val="es"/>
        </w:rPr>
        <w:t>Tipo de Estudio</w:t>
      </w:r>
    </w:p>
    <w:p w14:paraId="0FEA5CC0" w14:textId="4BB6A34C" w:rsidR="00C672C3" w:rsidRPr="00D56612" w:rsidRDefault="00D56612" w:rsidP="00D56612">
      <w:pPr>
        <w:pStyle w:val="Prrafocomn"/>
        <w:rPr>
          <w:bCs/>
          <w:iCs/>
          <w:lang w:val="es"/>
        </w:rPr>
      </w:pPr>
      <w:r w:rsidRPr="00D56612">
        <w:rPr>
          <w:bCs/>
          <w:iCs/>
          <w:lang w:val="es"/>
        </w:rPr>
        <w:t xml:space="preserve">Esta investigación se desarrolló bajo un enfoque metodológico cuantitativo de alcance descriptivo-comparativo, con un diseño no experimental, de corte transversal; </w:t>
      </w:r>
      <w:r w:rsidRPr="00D56612">
        <w:rPr>
          <w:bCs/>
          <w:iCs/>
          <w:lang w:val="es"/>
        </w:rPr>
        <w:lastRenderedPageBreak/>
        <w:t>además, se implementó un muestreo no probabilístico con técnica de bola de nieve (Hernández-Sampieri et al., 2014).</w:t>
      </w:r>
    </w:p>
    <w:p w14:paraId="0FCFE7B1" w14:textId="5F554172" w:rsidR="0009689D" w:rsidRPr="003813D9" w:rsidRDefault="003813D9" w:rsidP="0009689D">
      <w:pPr>
        <w:pStyle w:val="SubtituloInterno"/>
        <w:rPr>
          <w:bCs/>
          <w:iCs/>
          <w:lang w:val="es"/>
        </w:rPr>
      </w:pPr>
      <w:r w:rsidRPr="003813D9">
        <w:rPr>
          <w:bCs/>
          <w:iCs/>
          <w:lang w:val="es"/>
        </w:rPr>
        <w:t>Participantes</w:t>
      </w:r>
    </w:p>
    <w:p w14:paraId="364B62A4" w14:textId="7CE98D07" w:rsidR="00714485" w:rsidRPr="0009689D" w:rsidRDefault="003813D9" w:rsidP="0009689D">
      <w:pPr>
        <w:pStyle w:val="Prrafocomn"/>
        <w:rPr>
          <w:bCs/>
          <w:lang w:val="es-CO"/>
        </w:rPr>
      </w:pPr>
      <w:r w:rsidRPr="003813D9">
        <w:rPr>
          <w:bCs/>
          <w:lang w:val="es"/>
        </w:rPr>
        <w:t>Inicialmente, se recolectaron 301 datos, de los cuales, se depuraron 88, ya que no cumplían con los criterios de inclusión declarados en el estudio. Siendo así, participaron 213 estudiantes de 2 Instituciones de Educación Superior (IES) públicas y 4 IES privadas, todas ubicadas en el área metropolitana de Bucaramanga; el 70.4% (n = 150) se identificaron con el género femenino y el 29.6% (n = 63) con el género masculino. Así mismo, se identificó que, el 5.6% (n =12), el 18.8% (n = 40), 35.2% (n = 75), el 27.2% (n= 58), el 9.9% (n = 21) y el 3.3% (n = 7) pertenecían al estrato socioeconómico, uno, dos, tres, cuatro</w:t>
      </w:r>
      <w:r>
        <w:rPr>
          <w:bCs/>
          <w:lang w:val="es"/>
        </w:rPr>
        <w:t>, cinco y seis, respectivamente</w:t>
      </w:r>
      <w:r w:rsidR="0009689D" w:rsidRPr="0009689D">
        <w:rPr>
          <w:bCs/>
          <w:lang w:val="es-CO"/>
        </w:rPr>
        <w:t>.</w:t>
      </w:r>
    </w:p>
    <w:p w14:paraId="0513FB0F" w14:textId="43A88CA2" w:rsidR="00714485" w:rsidRPr="003813D9" w:rsidRDefault="003813D9" w:rsidP="00471F54">
      <w:pPr>
        <w:pStyle w:val="SubtituloInterno"/>
        <w:rPr>
          <w:bCs/>
          <w:iCs/>
          <w:lang w:val="es"/>
        </w:rPr>
      </w:pPr>
      <w:r w:rsidRPr="003813D9">
        <w:rPr>
          <w:bCs/>
          <w:iCs/>
          <w:lang w:val="es"/>
        </w:rPr>
        <w:t>Instrumento</w:t>
      </w:r>
    </w:p>
    <w:p w14:paraId="52261F77" w14:textId="77777777" w:rsidR="003813D9" w:rsidRDefault="003813D9" w:rsidP="003813D9">
      <w:pPr>
        <w:pStyle w:val="SubtituloInterno1"/>
      </w:pPr>
      <w:r>
        <w:t>Ficha sociodemográfica</w:t>
      </w:r>
    </w:p>
    <w:p w14:paraId="29D8E503" w14:textId="003588D0" w:rsidR="003813D9" w:rsidRPr="003813D9" w:rsidRDefault="003813D9" w:rsidP="003813D9">
      <w:pPr>
        <w:pStyle w:val="Prrafocomn"/>
        <w:rPr>
          <w:bCs/>
          <w:lang w:val="es"/>
        </w:rPr>
      </w:pPr>
      <w:r w:rsidRPr="003813D9">
        <w:rPr>
          <w:bCs/>
          <w:lang w:val="es"/>
        </w:rPr>
        <w:t>Consta de una serie de preguntas sobre los siguientes datos: edad, género, estado civil y estrato socioeconómico (la estratificación es</w:t>
      </w:r>
      <w:r w:rsidRPr="003813D9">
        <w:rPr>
          <w:bCs/>
          <w:i/>
          <w:lang w:val="es"/>
        </w:rPr>
        <w:t xml:space="preserve"> </w:t>
      </w:r>
      <w:r w:rsidRPr="003813D9">
        <w:rPr>
          <w:bCs/>
          <w:lang w:val="es"/>
        </w:rPr>
        <w:t>una clasificación de los inmuebles residenciales; quienes tienen mayor capacidad económica pagan más por los servicios públicos y contribuyen para que los estratos bajos puedan pagar sus facturas; 1 = bajo-bajo; 2 = bajo; 3 = medio-bajo; 4 = medio; 5 = medio-alto; 6 = alto).</w:t>
      </w:r>
    </w:p>
    <w:p w14:paraId="307B007A" w14:textId="77777777" w:rsidR="003813D9" w:rsidRPr="003813D9" w:rsidRDefault="003813D9" w:rsidP="003813D9">
      <w:pPr>
        <w:pStyle w:val="SubtituloInterno1"/>
      </w:pPr>
      <w:r w:rsidRPr="003813D9">
        <w:rPr>
          <w:lang w:eastAsia="es-ES_tradnl"/>
        </w:rPr>
        <w:t>Escal</w:t>
      </w:r>
      <w:r w:rsidRPr="003813D9">
        <w:t>a de Desesperanza de Beck (EDB)</w:t>
      </w:r>
    </w:p>
    <w:p w14:paraId="6A931AE1" w14:textId="3DD1B0DE" w:rsidR="00714485" w:rsidRPr="003813D9" w:rsidRDefault="003813D9" w:rsidP="003813D9">
      <w:pPr>
        <w:pStyle w:val="Prrafocomn"/>
        <w:rPr>
          <w:bCs/>
          <w:lang w:val="es"/>
        </w:rPr>
      </w:pPr>
      <w:r w:rsidRPr="003813D9">
        <w:rPr>
          <w:bCs/>
          <w:lang w:val="es"/>
        </w:rPr>
        <w:t>Conformada por 20 ítems, con respuestas dicotómicas (sí o no), a partir de lo experimentado durante las últimas 4 semanas. Los puntajes proveen una medida de la severidad de desesperanza: 0-3 mínimo o normal, 4-8 leve, 9-14 moderado y 15-20 severo; es decir, a mayor nivel, mayor desesperanza. En relación a las propiedades psicométricas, se identificaron cuatro factores: factor 1 “expectativas hacia el futuro”, con un alfa de Cronbach de 0.81; Factor 2 “motivación”:  con un alfa de Cronbach de 0.70; Factor 3 “pesimismo acerca del futuro”, con un alfa de Cronbach de 0.65; Finalmente, el factor 4 “percepción individual del futuro”, con un alfa de Cronbach de 0.64 para el contexto colombiano (Rueda-</w:t>
      </w:r>
      <w:proofErr w:type="spellStart"/>
      <w:r w:rsidRPr="003813D9">
        <w:rPr>
          <w:bCs/>
          <w:lang w:val="es"/>
        </w:rPr>
        <w:t>Jaimes</w:t>
      </w:r>
      <w:proofErr w:type="spellEnd"/>
      <w:r w:rsidRPr="003813D9">
        <w:rPr>
          <w:bCs/>
          <w:lang w:val="es"/>
        </w:rPr>
        <w:t xml:space="preserve"> et al., 2018).</w:t>
      </w:r>
      <w:r w:rsidR="00714485" w:rsidRPr="00714485">
        <w:rPr>
          <w:bCs/>
          <w:lang w:val="es-ES_tradnl"/>
        </w:rPr>
        <w:t xml:space="preserve"> </w:t>
      </w:r>
    </w:p>
    <w:p w14:paraId="0AF39D64" w14:textId="5996B97A" w:rsidR="0009689D" w:rsidRDefault="0009689D" w:rsidP="00714485">
      <w:pPr>
        <w:pStyle w:val="Prrafocomn"/>
        <w:rPr>
          <w:bCs/>
          <w:lang w:val="es-ES_tradnl"/>
        </w:rPr>
      </w:pPr>
    </w:p>
    <w:p w14:paraId="287B1EEE" w14:textId="2F83399A" w:rsidR="00714485" w:rsidRPr="0009689D" w:rsidRDefault="0009689D" w:rsidP="00471F54">
      <w:pPr>
        <w:pStyle w:val="SubtituloInterno"/>
        <w:rPr>
          <w:bCs/>
          <w:iCs/>
          <w:lang w:val="es-CO"/>
        </w:rPr>
      </w:pPr>
      <w:r w:rsidRPr="0009689D">
        <w:rPr>
          <w:bCs/>
          <w:iCs/>
          <w:lang w:val="es-CO"/>
        </w:rPr>
        <w:lastRenderedPageBreak/>
        <w:t>Procedimiento</w:t>
      </w:r>
    </w:p>
    <w:p w14:paraId="4BE80F1F" w14:textId="6D6BC897" w:rsidR="003813D9" w:rsidRDefault="003813D9" w:rsidP="003813D9">
      <w:pPr>
        <w:pStyle w:val="Prrafocomn"/>
        <w:rPr>
          <w:bCs/>
          <w:lang w:val="es"/>
        </w:rPr>
      </w:pPr>
      <w:r w:rsidRPr="003813D9">
        <w:rPr>
          <w:bCs/>
          <w:lang w:val="es"/>
        </w:rPr>
        <w:t xml:space="preserve">Los participantes fueron invitados a través de una convocatoria publicada por medio de redes sociales (Facebook y </w:t>
      </w:r>
      <w:proofErr w:type="spellStart"/>
      <w:r w:rsidRPr="003813D9">
        <w:rPr>
          <w:bCs/>
          <w:lang w:val="es"/>
        </w:rPr>
        <w:t>Whatsapp</w:t>
      </w:r>
      <w:proofErr w:type="spellEnd"/>
      <w:r w:rsidRPr="003813D9">
        <w:rPr>
          <w:bCs/>
          <w:lang w:val="es"/>
        </w:rPr>
        <w:t xml:space="preserve">), en donde se presentó el título, objetivo y criterios de inclusión de la investigación: (1) Tener matrícula activa en una IES en el área metropolitana de Bucaramanga, Santander, Colombia y (2) Ser mayor de 18 años. La evaluación fue realizada a través Google </w:t>
      </w:r>
      <w:proofErr w:type="spellStart"/>
      <w:r w:rsidRPr="003813D9">
        <w:rPr>
          <w:bCs/>
          <w:lang w:val="es"/>
        </w:rPr>
        <w:t>Forms</w:t>
      </w:r>
      <w:proofErr w:type="spellEnd"/>
      <w:r w:rsidRPr="003813D9">
        <w:rPr>
          <w:bCs/>
          <w:lang w:val="es"/>
        </w:rPr>
        <w:t>, plataforma que resalta la protección de los datos recolectados, en la cual se presentó un formulario con información sobre el objetivo de la investigación y garantías de participación (riesgos, beneficios y acuerdo de confidencialidad), durante el 22 de mayo y el 17 de junio del año 2020. Luego de la recolección de información, se realizó una limpieza de datos teniendo en cuenta los siguientes dos aspectos: cumplir los criterios de inclusión y haber durado mínimo 20 minutos respondiendo la batería de instrumentos.</w:t>
      </w:r>
    </w:p>
    <w:p w14:paraId="54B54BC3" w14:textId="60D3C4E7" w:rsidR="003813D9" w:rsidRPr="00DF52C9" w:rsidRDefault="00DF52C9" w:rsidP="003813D9">
      <w:pPr>
        <w:pStyle w:val="SubtituloInterno"/>
        <w:rPr>
          <w:bCs/>
          <w:iCs/>
          <w:lang w:val="es"/>
        </w:rPr>
      </w:pPr>
      <w:r w:rsidRPr="00DF52C9">
        <w:rPr>
          <w:bCs/>
          <w:iCs/>
          <w:lang w:val="es"/>
        </w:rPr>
        <w:t>Consideraciones Éticas</w:t>
      </w:r>
    </w:p>
    <w:p w14:paraId="724A7CF6" w14:textId="160D8FB9" w:rsidR="00DF52C9" w:rsidRPr="00DF52C9" w:rsidRDefault="00DF52C9" w:rsidP="00DF52C9">
      <w:pPr>
        <w:pStyle w:val="Prrafocomn"/>
        <w:rPr>
          <w:bCs/>
          <w:lang w:val="es"/>
        </w:rPr>
      </w:pPr>
      <w:r w:rsidRPr="00DF52C9">
        <w:rPr>
          <w:bCs/>
          <w:lang w:val="es"/>
        </w:rPr>
        <w:t>El estudio se enmarca dentro de la investigación en seres humanos con Riesgos Mínimos según el Artículo 11, apartado B de la Resolución No. 008430 de 1993 del Ministerio de Salud de Colombia. También se tuvo en consideración la Ley 1090 de 2006, que reglamenta el ejercicio de la psicología, dicta el código deontológico y bioético de la profesión en Colombia</w:t>
      </w:r>
      <w:r>
        <w:rPr>
          <w:bCs/>
          <w:lang w:val="es"/>
        </w:rPr>
        <w:t>.</w:t>
      </w:r>
    </w:p>
    <w:p w14:paraId="44B878AA" w14:textId="7A369CE2" w:rsidR="00DF52C9" w:rsidRPr="00DF52C9" w:rsidRDefault="00DF52C9" w:rsidP="00DF52C9">
      <w:pPr>
        <w:pStyle w:val="SubtituloInterno"/>
        <w:rPr>
          <w:bCs/>
          <w:iCs/>
          <w:lang w:val="es"/>
        </w:rPr>
      </w:pPr>
      <w:r w:rsidRPr="00DF52C9">
        <w:rPr>
          <w:bCs/>
          <w:iCs/>
          <w:lang w:val="es"/>
        </w:rPr>
        <w:t>Análisis de Datos</w:t>
      </w:r>
    </w:p>
    <w:p w14:paraId="5026BFD1" w14:textId="75FF0903" w:rsidR="00DF52C9" w:rsidRDefault="00DF52C9" w:rsidP="001B589B">
      <w:pPr>
        <w:pStyle w:val="Prrafocomn"/>
        <w:rPr>
          <w:bCs/>
          <w:lang w:val="es"/>
        </w:rPr>
      </w:pPr>
      <w:r w:rsidRPr="00DF52C9">
        <w:rPr>
          <w:bCs/>
          <w:lang w:val="es"/>
        </w:rPr>
        <w:t xml:space="preserve">Después de realizar la recolección de datos, se consolidó la base de datos en el software </w:t>
      </w:r>
      <w:proofErr w:type="spellStart"/>
      <w:r w:rsidRPr="00DF52C9">
        <w:rPr>
          <w:bCs/>
          <w:i/>
          <w:lang w:val="es"/>
        </w:rPr>
        <w:t>Statistical</w:t>
      </w:r>
      <w:proofErr w:type="spellEnd"/>
      <w:r w:rsidRPr="00DF52C9">
        <w:rPr>
          <w:bCs/>
          <w:i/>
          <w:lang w:val="es"/>
        </w:rPr>
        <w:t xml:space="preserve"> </w:t>
      </w:r>
      <w:proofErr w:type="spellStart"/>
      <w:r w:rsidRPr="00DF52C9">
        <w:rPr>
          <w:bCs/>
          <w:i/>
          <w:lang w:val="es"/>
        </w:rPr>
        <w:t>Package</w:t>
      </w:r>
      <w:proofErr w:type="spellEnd"/>
      <w:r w:rsidRPr="00DF52C9">
        <w:rPr>
          <w:bCs/>
          <w:i/>
          <w:lang w:val="es"/>
        </w:rPr>
        <w:t xml:space="preserve"> </w:t>
      </w:r>
      <w:proofErr w:type="spellStart"/>
      <w:r w:rsidRPr="00DF52C9">
        <w:rPr>
          <w:bCs/>
          <w:i/>
          <w:lang w:val="es"/>
        </w:rPr>
        <w:t>for</w:t>
      </w:r>
      <w:proofErr w:type="spellEnd"/>
      <w:r w:rsidRPr="00DF52C9">
        <w:rPr>
          <w:bCs/>
          <w:i/>
          <w:lang w:val="es"/>
        </w:rPr>
        <w:t xml:space="preserve"> </w:t>
      </w:r>
      <w:proofErr w:type="spellStart"/>
      <w:r w:rsidRPr="00DF52C9">
        <w:rPr>
          <w:bCs/>
          <w:i/>
          <w:lang w:val="es"/>
        </w:rPr>
        <w:t>the</w:t>
      </w:r>
      <w:proofErr w:type="spellEnd"/>
      <w:r w:rsidRPr="00DF52C9">
        <w:rPr>
          <w:bCs/>
          <w:i/>
          <w:lang w:val="es"/>
        </w:rPr>
        <w:t xml:space="preserve"> Social </w:t>
      </w:r>
      <w:proofErr w:type="spellStart"/>
      <w:r w:rsidRPr="00DF52C9">
        <w:rPr>
          <w:bCs/>
          <w:i/>
          <w:lang w:val="es"/>
        </w:rPr>
        <w:t>Sciences</w:t>
      </w:r>
      <w:proofErr w:type="spellEnd"/>
      <w:r w:rsidRPr="00DF52C9">
        <w:rPr>
          <w:bCs/>
          <w:lang w:val="es"/>
        </w:rPr>
        <w:t xml:space="preserve"> (SPSS) versión 25. Luego se implementó un análisis descriptivo para la caracterización de la muestra y las medidas de tendencia central. Finalmente, se ejecutó una prueba de normalidad y debido a la ausencia de esta, se ejecutaron los análisis de U de Mann-Whitney y H de Kruskal-Wallis. Este proceso tuvo curso durante los meses de julio y agosto del año 2020. </w:t>
      </w:r>
    </w:p>
    <w:p w14:paraId="7E2F2AF5" w14:textId="77A6DD8A" w:rsidR="00001354" w:rsidRDefault="00001354" w:rsidP="00001354">
      <w:pPr>
        <w:pStyle w:val="Ttulosinternos"/>
        <w:rPr>
          <w:lang w:val="es-AR"/>
        </w:rPr>
      </w:pPr>
      <w:r w:rsidRPr="00001354">
        <w:rPr>
          <w:lang w:val="es-AR"/>
        </w:rPr>
        <w:t>Resultados</w:t>
      </w:r>
      <w:r w:rsidR="00B668A6">
        <w:rPr>
          <w:lang w:val="es-AR"/>
        </w:rPr>
        <w:t xml:space="preserve"> </w:t>
      </w:r>
    </w:p>
    <w:p w14:paraId="21E73968" w14:textId="7C46CF6B" w:rsidR="00597EA0" w:rsidRDefault="00597EA0" w:rsidP="00597EA0">
      <w:pPr>
        <w:pStyle w:val="Prrafocomn"/>
        <w:rPr>
          <w:lang w:val="es-AR"/>
        </w:rPr>
      </w:pPr>
      <w:r w:rsidRPr="00597EA0">
        <w:rPr>
          <w:lang w:val="es-AR"/>
        </w:rPr>
        <w:t xml:space="preserve">En relación con las categorías de desesperanza hacia el futuro según la puntuación obtenida por los participantes, se identificó que el 39.9% (n = 85) tuvieron un nivel mínimo-normal; el 46.6% (n = 100) un nivel leve; el 10.3% (n = 22) un nivel moderado; </w:t>
      </w:r>
      <w:r w:rsidRPr="00597EA0">
        <w:rPr>
          <w:lang w:val="es-AR"/>
        </w:rPr>
        <w:lastRenderedPageBreak/>
        <w:t>y el 2.8% (n = 5) un nivel alto. Asimismo, en la tabla1 se demuestran las medidas de tendencia central obtenidas por la muestra estudiada.</w:t>
      </w:r>
    </w:p>
    <w:tbl>
      <w:tblPr>
        <w:tblW w:w="8509" w:type="dxa"/>
        <w:tblLayout w:type="fixed"/>
        <w:tblLook w:val="0400" w:firstRow="0" w:lastRow="0" w:firstColumn="0" w:lastColumn="0" w:noHBand="0" w:noVBand="1"/>
      </w:tblPr>
      <w:tblGrid>
        <w:gridCol w:w="3544"/>
        <w:gridCol w:w="709"/>
        <w:gridCol w:w="708"/>
        <w:gridCol w:w="851"/>
        <w:gridCol w:w="850"/>
        <w:gridCol w:w="709"/>
        <w:gridCol w:w="1138"/>
      </w:tblGrid>
      <w:tr w:rsidR="00597EA0" w:rsidRPr="00A34FAC" w14:paraId="1DE9A60D" w14:textId="77777777" w:rsidTr="00A34FAC">
        <w:trPr>
          <w:trHeight w:val="310"/>
        </w:trPr>
        <w:tc>
          <w:tcPr>
            <w:tcW w:w="8508" w:type="dxa"/>
            <w:gridSpan w:val="7"/>
            <w:shd w:val="clear" w:color="auto" w:fill="auto"/>
            <w:vAlign w:val="center"/>
          </w:tcPr>
          <w:p w14:paraId="4BDAA49B" w14:textId="77777777" w:rsidR="00597EA0" w:rsidRPr="00A34FAC" w:rsidRDefault="00597EA0" w:rsidP="00A34FAC">
            <w:pPr>
              <w:spacing w:line="276" w:lineRule="auto"/>
              <w:rPr>
                <w:b/>
                <w:color w:val="030303"/>
              </w:rPr>
            </w:pPr>
            <w:r w:rsidRPr="00A34FAC">
              <w:rPr>
                <w:b/>
              </w:rPr>
              <w:t xml:space="preserve">Tabla 1 </w:t>
            </w:r>
          </w:p>
        </w:tc>
      </w:tr>
      <w:tr w:rsidR="00597EA0" w:rsidRPr="00A34FAC" w14:paraId="76140BC5" w14:textId="77777777" w:rsidTr="00A34FAC">
        <w:trPr>
          <w:trHeight w:val="310"/>
        </w:trPr>
        <w:tc>
          <w:tcPr>
            <w:tcW w:w="8508" w:type="dxa"/>
            <w:gridSpan w:val="7"/>
            <w:tcBorders>
              <w:bottom w:val="single" w:sz="4" w:space="0" w:color="000000"/>
            </w:tcBorders>
            <w:shd w:val="clear" w:color="auto" w:fill="auto"/>
            <w:vAlign w:val="center"/>
          </w:tcPr>
          <w:p w14:paraId="27940F19" w14:textId="77777777" w:rsidR="00597EA0" w:rsidRPr="00A34FAC" w:rsidRDefault="00597EA0" w:rsidP="00A34FAC">
            <w:pPr>
              <w:spacing w:line="276" w:lineRule="auto"/>
              <w:rPr>
                <w:i/>
                <w:color w:val="030303"/>
              </w:rPr>
            </w:pPr>
            <w:r w:rsidRPr="00A34FAC">
              <w:rPr>
                <w:i/>
                <w:color w:val="030303"/>
              </w:rPr>
              <w:t>Medidas de tendencia central</w:t>
            </w:r>
            <w:r w:rsidRPr="00A34FAC">
              <w:rPr>
                <w:color w:val="030303"/>
              </w:rPr>
              <w:t xml:space="preserve"> </w:t>
            </w:r>
          </w:p>
        </w:tc>
      </w:tr>
      <w:tr w:rsidR="00597EA0" w:rsidRPr="00A34FAC" w14:paraId="720EB286" w14:textId="77777777" w:rsidTr="00A34FAC">
        <w:trPr>
          <w:trHeight w:val="310"/>
        </w:trPr>
        <w:tc>
          <w:tcPr>
            <w:tcW w:w="3544" w:type="dxa"/>
            <w:tcBorders>
              <w:top w:val="single" w:sz="4" w:space="0" w:color="000000"/>
              <w:bottom w:val="single" w:sz="4" w:space="0" w:color="000000"/>
            </w:tcBorders>
            <w:shd w:val="clear" w:color="auto" w:fill="auto"/>
            <w:vAlign w:val="center"/>
          </w:tcPr>
          <w:p w14:paraId="7A146EA9" w14:textId="77777777" w:rsidR="00597EA0" w:rsidRPr="00A34FAC" w:rsidRDefault="00597EA0" w:rsidP="00A34FAC">
            <w:pPr>
              <w:spacing w:line="276" w:lineRule="auto"/>
              <w:jc w:val="center"/>
              <w:rPr>
                <w:b/>
                <w:color w:val="000000"/>
              </w:rPr>
            </w:pPr>
            <w:r w:rsidRPr="00A34FAC">
              <w:rPr>
                <w:b/>
                <w:color w:val="000000"/>
              </w:rPr>
              <w:t xml:space="preserve">Variable </w:t>
            </w:r>
          </w:p>
        </w:tc>
        <w:tc>
          <w:tcPr>
            <w:tcW w:w="709" w:type="dxa"/>
            <w:tcBorders>
              <w:top w:val="single" w:sz="4" w:space="0" w:color="000000"/>
              <w:bottom w:val="single" w:sz="4" w:space="0" w:color="000000"/>
            </w:tcBorders>
            <w:shd w:val="clear" w:color="auto" w:fill="auto"/>
            <w:vAlign w:val="center"/>
          </w:tcPr>
          <w:p w14:paraId="7CE65163" w14:textId="77777777" w:rsidR="00597EA0" w:rsidRPr="00A34FAC" w:rsidRDefault="00597EA0" w:rsidP="00A34FAC">
            <w:pPr>
              <w:spacing w:line="276" w:lineRule="auto"/>
              <w:jc w:val="center"/>
              <w:rPr>
                <w:b/>
                <w:color w:val="000000"/>
              </w:rPr>
            </w:pPr>
            <w:r w:rsidRPr="00A34FAC">
              <w:rPr>
                <w:b/>
                <w:color w:val="000000"/>
              </w:rPr>
              <w:t xml:space="preserve">MN </w:t>
            </w:r>
          </w:p>
        </w:tc>
        <w:tc>
          <w:tcPr>
            <w:tcW w:w="708" w:type="dxa"/>
            <w:tcBorders>
              <w:top w:val="single" w:sz="4" w:space="0" w:color="000000"/>
              <w:bottom w:val="single" w:sz="4" w:space="0" w:color="000000"/>
            </w:tcBorders>
            <w:shd w:val="clear" w:color="auto" w:fill="auto"/>
            <w:vAlign w:val="center"/>
          </w:tcPr>
          <w:p w14:paraId="2ACD36E1" w14:textId="77777777" w:rsidR="00597EA0" w:rsidRPr="00A34FAC" w:rsidRDefault="00597EA0" w:rsidP="00A34FAC">
            <w:pPr>
              <w:spacing w:line="276" w:lineRule="auto"/>
              <w:jc w:val="center"/>
              <w:rPr>
                <w:b/>
                <w:color w:val="000000"/>
              </w:rPr>
            </w:pPr>
            <w:r w:rsidRPr="00A34FAC">
              <w:rPr>
                <w:b/>
                <w:color w:val="000000"/>
              </w:rPr>
              <w:t xml:space="preserve">MX </w:t>
            </w:r>
          </w:p>
        </w:tc>
        <w:tc>
          <w:tcPr>
            <w:tcW w:w="851" w:type="dxa"/>
            <w:tcBorders>
              <w:top w:val="single" w:sz="4" w:space="0" w:color="000000"/>
              <w:bottom w:val="single" w:sz="4" w:space="0" w:color="000000"/>
            </w:tcBorders>
            <w:shd w:val="clear" w:color="auto" w:fill="auto"/>
            <w:vAlign w:val="center"/>
          </w:tcPr>
          <w:p w14:paraId="1DBF2F94" w14:textId="77777777" w:rsidR="00597EA0" w:rsidRPr="00A34FAC" w:rsidRDefault="00597EA0" w:rsidP="00A34FAC">
            <w:pPr>
              <w:spacing w:line="276" w:lineRule="auto"/>
              <w:jc w:val="center"/>
              <w:rPr>
                <w:b/>
                <w:color w:val="000000"/>
              </w:rPr>
            </w:pPr>
            <w:r w:rsidRPr="00A34FAC">
              <w:rPr>
                <w:b/>
                <w:color w:val="000000"/>
              </w:rPr>
              <w:t xml:space="preserve">M </w:t>
            </w:r>
          </w:p>
        </w:tc>
        <w:tc>
          <w:tcPr>
            <w:tcW w:w="850" w:type="dxa"/>
            <w:tcBorders>
              <w:top w:val="single" w:sz="4" w:space="0" w:color="000000"/>
              <w:bottom w:val="single" w:sz="4" w:space="0" w:color="000000"/>
            </w:tcBorders>
            <w:shd w:val="clear" w:color="auto" w:fill="auto"/>
            <w:vAlign w:val="center"/>
          </w:tcPr>
          <w:p w14:paraId="4A911270" w14:textId="77777777" w:rsidR="00597EA0" w:rsidRPr="00A34FAC" w:rsidRDefault="00597EA0" w:rsidP="00A34FAC">
            <w:pPr>
              <w:spacing w:line="276" w:lineRule="auto"/>
              <w:jc w:val="center"/>
              <w:rPr>
                <w:b/>
                <w:color w:val="000000"/>
              </w:rPr>
            </w:pPr>
            <w:r w:rsidRPr="00A34FAC">
              <w:rPr>
                <w:b/>
                <w:color w:val="000000"/>
              </w:rPr>
              <w:t>ME</w:t>
            </w:r>
          </w:p>
        </w:tc>
        <w:tc>
          <w:tcPr>
            <w:tcW w:w="709" w:type="dxa"/>
            <w:tcBorders>
              <w:top w:val="single" w:sz="4" w:space="0" w:color="000000"/>
              <w:bottom w:val="single" w:sz="4" w:space="0" w:color="000000"/>
            </w:tcBorders>
            <w:shd w:val="clear" w:color="auto" w:fill="auto"/>
            <w:vAlign w:val="center"/>
          </w:tcPr>
          <w:p w14:paraId="3A7D2C14" w14:textId="77777777" w:rsidR="00597EA0" w:rsidRPr="00A34FAC" w:rsidRDefault="00597EA0" w:rsidP="00A34FAC">
            <w:pPr>
              <w:spacing w:line="276" w:lineRule="auto"/>
              <w:jc w:val="center"/>
              <w:rPr>
                <w:b/>
                <w:color w:val="000000"/>
              </w:rPr>
            </w:pPr>
            <w:r w:rsidRPr="00A34FAC">
              <w:rPr>
                <w:b/>
                <w:color w:val="000000"/>
              </w:rPr>
              <w:t xml:space="preserve">DE </w:t>
            </w:r>
          </w:p>
        </w:tc>
        <w:tc>
          <w:tcPr>
            <w:tcW w:w="1138" w:type="dxa"/>
            <w:tcBorders>
              <w:top w:val="single" w:sz="4" w:space="0" w:color="000000"/>
              <w:bottom w:val="single" w:sz="4" w:space="0" w:color="000000"/>
            </w:tcBorders>
            <w:shd w:val="clear" w:color="auto" w:fill="auto"/>
            <w:vAlign w:val="center"/>
          </w:tcPr>
          <w:p w14:paraId="6F10C97D" w14:textId="77777777" w:rsidR="00597EA0" w:rsidRPr="00A34FAC" w:rsidRDefault="00597EA0" w:rsidP="00A34FAC">
            <w:pPr>
              <w:spacing w:line="276" w:lineRule="auto"/>
              <w:jc w:val="center"/>
              <w:rPr>
                <w:b/>
                <w:color w:val="000000"/>
              </w:rPr>
            </w:pPr>
            <w:r w:rsidRPr="00A34FAC">
              <w:rPr>
                <w:b/>
                <w:color w:val="000000"/>
              </w:rPr>
              <w:t xml:space="preserve">V </w:t>
            </w:r>
          </w:p>
        </w:tc>
      </w:tr>
      <w:tr w:rsidR="00597EA0" w:rsidRPr="00A34FAC" w14:paraId="7759EA1E" w14:textId="77777777" w:rsidTr="00A34FAC">
        <w:trPr>
          <w:trHeight w:val="310"/>
        </w:trPr>
        <w:tc>
          <w:tcPr>
            <w:tcW w:w="3544" w:type="dxa"/>
            <w:tcBorders>
              <w:top w:val="single" w:sz="4" w:space="0" w:color="000000"/>
            </w:tcBorders>
            <w:shd w:val="clear" w:color="auto" w:fill="auto"/>
            <w:vAlign w:val="center"/>
          </w:tcPr>
          <w:p w14:paraId="38E3B119" w14:textId="137F4B67" w:rsidR="00597EA0" w:rsidRPr="00A34FAC" w:rsidRDefault="00A34FAC" w:rsidP="00A34FAC">
            <w:pPr>
              <w:jc w:val="both"/>
              <w:rPr>
                <w:color w:val="000000"/>
              </w:rPr>
            </w:pPr>
            <w:r>
              <w:rPr>
                <w:color w:val="000000"/>
              </w:rPr>
              <w:t>Edad</w:t>
            </w:r>
          </w:p>
        </w:tc>
        <w:tc>
          <w:tcPr>
            <w:tcW w:w="709" w:type="dxa"/>
            <w:tcBorders>
              <w:top w:val="single" w:sz="4" w:space="0" w:color="000000"/>
            </w:tcBorders>
            <w:shd w:val="clear" w:color="auto" w:fill="auto"/>
            <w:vAlign w:val="center"/>
          </w:tcPr>
          <w:p w14:paraId="120DCDA6" w14:textId="77777777" w:rsidR="00597EA0" w:rsidRPr="00A34FAC" w:rsidRDefault="00597EA0" w:rsidP="00A34FAC">
            <w:pPr>
              <w:jc w:val="center"/>
              <w:rPr>
                <w:color w:val="000000"/>
              </w:rPr>
            </w:pPr>
            <w:r w:rsidRPr="00A34FAC">
              <w:rPr>
                <w:color w:val="000000"/>
              </w:rPr>
              <w:t>18</w:t>
            </w:r>
          </w:p>
        </w:tc>
        <w:tc>
          <w:tcPr>
            <w:tcW w:w="708" w:type="dxa"/>
            <w:tcBorders>
              <w:top w:val="single" w:sz="4" w:space="0" w:color="000000"/>
            </w:tcBorders>
            <w:shd w:val="clear" w:color="auto" w:fill="auto"/>
            <w:vAlign w:val="center"/>
          </w:tcPr>
          <w:p w14:paraId="36970A4F" w14:textId="77777777" w:rsidR="00597EA0" w:rsidRPr="00A34FAC" w:rsidRDefault="00597EA0" w:rsidP="00A34FAC">
            <w:pPr>
              <w:jc w:val="center"/>
              <w:rPr>
                <w:color w:val="000000"/>
              </w:rPr>
            </w:pPr>
            <w:r w:rsidRPr="00A34FAC">
              <w:rPr>
                <w:color w:val="000000"/>
              </w:rPr>
              <w:t>29</w:t>
            </w:r>
          </w:p>
        </w:tc>
        <w:tc>
          <w:tcPr>
            <w:tcW w:w="851" w:type="dxa"/>
            <w:tcBorders>
              <w:top w:val="single" w:sz="4" w:space="0" w:color="000000"/>
            </w:tcBorders>
            <w:shd w:val="clear" w:color="auto" w:fill="auto"/>
            <w:vAlign w:val="center"/>
          </w:tcPr>
          <w:p w14:paraId="5B734A98" w14:textId="77777777" w:rsidR="00597EA0" w:rsidRPr="00A34FAC" w:rsidRDefault="00597EA0" w:rsidP="00A34FAC">
            <w:pPr>
              <w:jc w:val="center"/>
              <w:rPr>
                <w:color w:val="000000"/>
              </w:rPr>
            </w:pPr>
            <w:r w:rsidRPr="00A34FAC">
              <w:rPr>
                <w:color w:val="000000"/>
              </w:rPr>
              <w:t xml:space="preserve">20.82 </w:t>
            </w:r>
          </w:p>
        </w:tc>
        <w:tc>
          <w:tcPr>
            <w:tcW w:w="850" w:type="dxa"/>
            <w:tcBorders>
              <w:top w:val="single" w:sz="4" w:space="0" w:color="000000"/>
            </w:tcBorders>
            <w:shd w:val="clear" w:color="auto" w:fill="auto"/>
            <w:vAlign w:val="center"/>
          </w:tcPr>
          <w:p w14:paraId="71019783" w14:textId="77777777" w:rsidR="00597EA0" w:rsidRPr="00A34FAC" w:rsidRDefault="00597EA0" w:rsidP="00A34FAC">
            <w:pPr>
              <w:jc w:val="center"/>
              <w:rPr>
                <w:color w:val="000000"/>
              </w:rPr>
            </w:pPr>
            <w:r w:rsidRPr="00A34FAC">
              <w:rPr>
                <w:color w:val="000000"/>
              </w:rPr>
              <w:t>21.00</w:t>
            </w:r>
          </w:p>
        </w:tc>
        <w:tc>
          <w:tcPr>
            <w:tcW w:w="709" w:type="dxa"/>
            <w:tcBorders>
              <w:top w:val="single" w:sz="4" w:space="0" w:color="000000"/>
            </w:tcBorders>
            <w:shd w:val="clear" w:color="auto" w:fill="auto"/>
            <w:vAlign w:val="center"/>
          </w:tcPr>
          <w:p w14:paraId="651E64D0" w14:textId="77777777" w:rsidR="00597EA0" w:rsidRPr="00A34FAC" w:rsidRDefault="00597EA0" w:rsidP="00A34FAC">
            <w:pPr>
              <w:jc w:val="center"/>
              <w:rPr>
                <w:color w:val="000000"/>
              </w:rPr>
            </w:pPr>
            <w:r w:rsidRPr="00A34FAC">
              <w:rPr>
                <w:color w:val="000000"/>
              </w:rPr>
              <w:t xml:space="preserve">2.11 </w:t>
            </w:r>
          </w:p>
        </w:tc>
        <w:tc>
          <w:tcPr>
            <w:tcW w:w="1138" w:type="dxa"/>
            <w:tcBorders>
              <w:top w:val="single" w:sz="4" w:space="0" w:color="000000"/>
            </w:tcBorders>
            <w:shd w:val="clear" w:color="auto" w:fill="auto"/>
            <w:vAlign w:val="center"/>
          </w:tcPr>
          <w:p w14:paraId="5A0E72E0" w14:textId="77777777" w:rsidR="00597EA0" w:rsidRPr="00A34FAC" w:rsidRDefault="00597EA0" w:rsidP="00A34FAC">
            <w:pPr>
              <w:jc w:val="center"/>
              <w:rPr>
                <w:color w:val="000000"/>
              </w:rPr>
            </w:pPr>
            <w:r w:rsidRPr="00A34FAC">
              <w:rPr>
                <w:color w:val="000000"/>
              </w:rPr>
              <w:t xml:space="preserve">4.46 </w:t>
            </w:r>
          </w:p>
        </w:tc>
      </w:tr>
      <w:tr w:rsidR="00597EA0" w:rsidRPr="00A34FAC" w14:paraId="1AE275C4" w14:textId="77777777" w:rsidTr="00A34FAC">
        <w:trPr>
          <w:trHeight w:val="481"/>
        </w:trPr>
        <w:tc>
          <w:tcPr>
            <w:tcW w:w="3544" w:type="dxa"/>
            <w:shd w:val="clear" w:color="auto" w:fill="auto"/>
            <w:vAlign w:val="center"/>
          </w:tcPr>
          <w:p w14:paraId="4F776C92" w14:textId="50FED205" w:rsidR="00597EA0" w:rsidRPr="00A34FAC" w:rsidRDefault="00A34FAC" w:rsidP="00A34FAC">
            <w:pPr>
              <w:jc w:val="both"/>
              <w:rPr>
                <w:color w:val="000000"/>
              </w:rPr>
            </w:pPr>
            <w:r>
              <w:rPr>
                <w:color w:val="000000"/>
              </w:rPr>
              <w:t>Desesperanza Total</w:t>
            </w:r>
          </w:p>
        </w:tc>
        <w:tc>
          <w:tcPr>
            <w:tcW w:w="709" w:type="dxa"/>
            <w:shd w:val="clear" w:color="auto" w:fill="auto"/>
            <w:vAlign w:val="center"/>
          </w:tcPr>
          <w:p w14:paraId="338CF7A1" w14:textId="79D19E5F" w:rsidR="00597EA0" w:rsidRPr="00A34FAC" w:rsidRDefault="00A34FAC" w:rsidP="00A34FAC">
            <w:pPr>
              <w:jc w:val="center"/>
              <w:rPr>
                <w:color w:val="000000"/>
              </w:rPr>
            </w:pPr>
            <w:r>
              <w:rPr>
                <w:color w:val="000000"/>
              </w:rPr>
              <w:t>1</w:t>
            </w:r>
          </w:p>
        </w:tc>
        <w:tc>
          <w:tcPr>
            <w:tcW w:w="708" w:type="dxa"/>
            <w:shd w:val="clear" w:color="auto" w:fill="auto"/>
            <w:vAlign w:val="center"/>
          </w:tcPr>
          <w:p w14:paraId="4204A61E" w14:textId="77777777" w:rsidR="00597EA0" w:rsidRPr="00A34FAC" w:rsidRDefault="00597EA0" w:rsidP="00A34FAC">
            <w:pPr>
              <w:jc w:val="center"/>
              <w:rPr>
                <w:color w:val="000000"/>
              </w:rPr>
            </w:pPr>
            <w:r w:rsidRPr="00A34FAC">
              <w:rPr>
                <w:color w:val="000000"/>
              </w:rPr>
              <w:t>18</w:t>
            </w:r>
          </w:p>
        </w:tc>
        <w:tc>
          <w:tcPr>
            <w:tcW w:w="851" w:type="dxa"/>
            <w:shd w:val="clear" w:color="auto" w:fill="auto"/>
            <w:vAlign w:val="center"/>
          </w:tcPr>
          <w:p w14:paraId="4765A371" w14:textId="77777777" w:rsidR="00597EA0" w:rsidRPr="00A34FAC" w:rsidRDefault="00597EA0" w:rsidP="00A34FAC">
            <w:pPr>
              <w:jc w:val="center"/>
              <w:rPr>
                <w:color w:val="000000"/>
              </w:rPr>
            </w:pPr>
            <w:r w:rsidRPr="00A34FAC">
              <w:rPr>
                <w:color w:val="000000"/>
              </w:rPr>
              <w:t xml:space="preserve">4.82 </w:t>
            </w:r>
          </w:p>
        </w:tc>
        <w:tc>
          <w:tcPr>
            <w:tcW w:w="850" w:type="dxa"/>
            <w:shd w:val="clear" w:color="auto" w:fill="auto"/>
            <w:vAlign w:val="center"/>
          </w:tcPr>
          <w:p w14:paraId="213BF806" w14:textId="77777777" w:rsidR="00597EA0" w:rsidRPr="00A34FAC" w:rsidRDefault="00597EA0" w:rsidP="00A34FAC">
            <w:pPr>
              <w:jc w:val="center"/>
              <w:rPr>
                <w:color w:val="000000"/>
              </w:rPr>
            </w:pPr>
            <w:r w:rsidRPr="00A34FAC">
              <w:rPr>
                <w:color w:val="000000"/>
              </w:rPr>
              <w:t xml:space="preserve">4.00 </w:t>
            </w:r>
          </w:p>
        </w:tc>
        <w:tc>
          <w:tcPr>
            <w:tcW w:w="709" w:type="dxa"/>
            <w:shd w:val="clear" w:color="auto" w:fill="auto"/>
            <w:vAlign w:val="center"/>
          </w:tcPr>
          <w:p w14:paraId="14A6CD15" w14:textId="77777777" w:rsidR="00597EA0" w:rsidRPr="00A34FAC" w:rsidRDefault="00597EA0" w:rsidP="00A34FAC">
            <w:pPr>
              <w:jc w:val="center"/>
              <w:rPr>
                <w:color w:val="000000"/>
              </w:rPr>
            </w:pPr>
            <w:r w:rsidRPr="00A34FAC">
              <w:rPr>
                <w:color w:val="000000"/>
              </w:rPr>
              <w:t xml:space="preserve">3.35 </w:t>
            </w:r>
          </w:p>
        </w:tc>
        <w:tc>
          <w:tcPr>
            <w:tcW w:w="1138" w:type="dxa"/>
            <w:shd w:val="clear" w:color="auto" w:fill="auto"/>
            <w:vAlign w:val="center"/>
          </w:tcPr>
          <w:p w14:paraId="5E165C5E" w14:textId="77777777" w:rsidR="00597EA0" w:rsidRPr="00A34FAC" w:rsidRDefault="00597EA0" w:rsidP="00A34FAC">
            <w:pPr>
              <w:jc w:val="center"/>
              <w:rPr>
                <w:color w:val="000000"/>
              </w:rPr>
            </w:pPr>
            <w:r w:rsidRPr="00A34FAC">
              <w:rPr>
                <w:color w:val="000000"/>
              </w:rPr>
              <w:t xml:space="preserve">11.26 </w:t>
            </w:r>
          </w:p>
        </w:tc>
      </w:tr>
      <w:tr w:rsidR="00597EA0" w:rsidRPr="00A34FAC" w14:paraId="7739E3A3" w14:textId="77777777" w:rsidTr="00A34FAC">
        <w:trPr>
          <w:trHeight w:val="289"/>
        </w:trPr>
        <w:tc>
          <w:tcPr>
            <w:tcW w:w="3544" w:type="dxa"/>
            <w:shd w:val="clear" w:color="auto" w:fill="auto"/>
            <w:vAlign w:val="center"/>
          </w:tcPr>
          <w:p w14:paraId="7CCC9E17" w14:textId="3DE943C3" w:rsidR="00597EA0" w:rsidRPr="00A34FAC" w:rsidRDefault="00597EA0" w:rsidP="00A34FAC">
            <w:pPr>
              <w:jc w:val="both"/>
              <w:rPr>
                <w:color w:val="000000"/>
              </w:rPr>
            </w:pPr>
            <w:r w:rsidRPr="00A34FAC">
              <w:rPr>
                <w:color w:val="000000"/>
              </w:rPr>
              <w:t>Expectativa hacia futuro</w:t>
            </w:r>
          </w:p>
        </w:tc>
        <w:tc>
          <w:tcPr>
            <w:tcW w:w="709" w:type="dxa"/>
            <w:shd w:val="clear" w:color="auto" w:fill="auto"/>
            <w:vAlign w:val="center"/>
          </w:tcPr>
          <w:p w14:paraId="50D9D9E8" w14:textId="77777777" w:rsidR="00597EA0" w:rsidRPr="00A34FAC" w:rsidRDefault="00597EA0" w:rsidP="00A34FAC">
            <w:pPr>
              <w:jc w:val="center"/>
              <w:rPr>
                <w:color w:val="000000"/>
              </w:rPr>
            </w:pPr>
            <w:r w:rsidRPr="00A34FAC">
              <w:rPr>
                <w:color w:val="000000"/>
              </w:rPr>
              <w:t>0</w:t>
            </w:r>
          </w:p>
        </w:tc>
        <w:tc>
          <w:tcPr>
            <w:tcW w:w="708" w:type="dxa"/>
            <w:shd w:val="clear" w:color="auto" w:fill="auto"/>
            <w:vAlign w:val="center"/>
          </w:tcPr>
          <w:p w14:paraId="5089755E" w14:textId="77777777" w:rsidR="00597EA0" w:rsidRPr="00A34FAC" w:rsidRDefault="00597EA0" w:rsidP="00A34FAC">
            <w:pPr>
              <w:jc w:val="center"/>
              <w:rPr>
                <w:color w:val="000000"/>
              </w:rPr>
            </w:pPr>
            <w:r w:rsidRPr="00A34FAC">
              <w:rPr>
                <w:color w:val="000000"/>
              </w:rPr>
              <w:t>6</w:t>
            </w:r>
          </w:p>
        </w:tc>
        <w:tc>
          <w:tcPr>
            <w:tcW w:w="851" w:type="dxa"/>
            <w:shd w:val="clear" w:color="auto" w:fill="auto"/>
            <w:vAlign w:val="center"/>
          </w:tcPr>
          <w:p w14:paraId="44687A0E" w14:textId="77777777" w:rsidR="00597EA0" w:rsidRPr="00A34FAC" w:rsidRDefault="00597EA0" w:rsidP="00A34FAC">
            <w:pPr>
              <w:jc w:val="center"/>
              <w:rPr>
                <w:color w:val="000000"/>
              </w:rPr>
            </w:pPr>
            <w:r w:rsidRPr="00A34FAC">
              <w:rPr>
                <w:color w:val="000000"/>
              </w:rPr>
              <w:t xml:space="preserve">0.99 </w:t>
            </w:r>
          </w:p>
        </w:tc>
        <w:tc>
          <w:tcPr>
            <w:tcW w:w="850" w:type="dxa"/>
            <w:shd w:val="clear" w:color="auto" w:fill="auto"/>
            <w:vAlign w:val="center"/>
          </w:tcPr>
          <w:p w14:paraId="771F3BEE" w14:textId="77777777" w:rsidR="00597EA0" w:rsidRPr="00A34FAC" w:rsidRDefault="00597EA0" w:rsidP="00A34FAC">
            <w:pPr>
              <w:jc w:val="center"/>
              <w:rPr>
                <w:color w:val="000000"/>
              </w:rPr>
            </w:pPr>
            <w:r w:rsidRPr="00A34FAC">
              <w:rPr>
                <w:color w:val="000000"/>
              </w:rPr>
              <w:t xml:space="preserve"> 1.00</w:t>
            </w:r>
          </w:p>
        </w:tc>
        <w:tc>
          <w:tcPr>
            <w:tcW w:w="709" w:type="dxa"/>
            <w:shd w:val="clear" w:color="auto" w:fill="auto"/>
            <w:vAlign w:val="center"/>
          </w:tcPr>
          <w:p w14:paraId="044B194B" w14:textId="77777777" w:rsidR="00597EA0" w:rsidRPr="00A34FAC" w:rsidRDefault="00597EA0" w:rsidP="00A34FAC">
            <w:pPr>
              <w:jc w:val="center"/>
              <w:rPr>
                <w:color w:val="000000"/>
              </w:rPr>
            </w:pPr>
            <w:r w:rsidRPr="00A34FAC">
              <w:rPr>
                <w:color w:val="000000"/>
              </w:rPr>
              <w:t xml:space="preserve">1.32 </w:t>
            </w:r>
          </w:p>
        </w:tc>
        <w:tc>
          <w:tcPr>
            <w:tcW w:w="1138" w:type="dxa"/>
            <w:shd w:val="clear" w:color="auto" w:fill="auto"/>
            <w:vAlign w:val="center"/>
          </w:tcPr>
          <w:p w14:paraId="5016013A" w14:textId="77777777" w:rsidR="00597EA0" w:rsidRPr="00A34FAC" w:rsidRDefault="00597EA0" w:rsidP="00A34FAC">
            <w:pPr>
              <w:jc w:val="center"/>
              <w:rPr>
                <w:color w:val="000000"/>
              </w:rPr>
            </w:pPr>
            <w:r w:rsidRPr="00A34FAC">
              <w:rPr>
                <w:color w:val="000000"/>
              </w:rPr>
              <w:t xml:space="preserve">1.75 </w:t>
            </w:r>
          </w:p>
        </w:tc>
      </w:tr>
      <w:tr w:rsidR="00597EA0" w:rsidRPr="00A34FAC" w14:paraId="1F25BE01" w14:textId="77777777" w:rsidTr="00A34FAC">
        <w:trPr>
          <w:trHeight w:val="420"/>
        </w:trPr>
        <w:tc>
          <w:tcPr>
            <w:tcW w:w="3544" w:type="dxa"/>
            <w:shd w:val="clear" w:color="auto" w:fill="auto"/>
            <w:vAlign w:val="center"/>
          </w:tcPr>
          <w:p w14:paraId="02DECEB1" w14:textId="7637884D" w:rsidR="00597EA0" w:rsidRPr="00A34FAC" w:rsidRDefault="00A34FAC" w:rsidP="00A34FAC">
            <w:pPr>
              <w:jc w:val="both"/>
              <w:rPr>
                <w:color w:val="000000"/>
              </w:rPr>
            </w:pPr>
            <w:r>
              <w:rPr>
                <w:color w:val="000000"/>
              </w:rPr>
              <w:t>Motivación</w:t>
            </w:r>
          </w:p>
        </w:tc>
        <w:tc>
          <w:tcPr>
            <w:tcW w:w="709" w:type="dxa"/>
            <w:shd w:val="clear" w:color="auto" w:fill="auto"/>
            <w:vAlign w:val="center"/>
          </w:tcPr>
          <w:p w14:paraId="38AC1420" w14:textId="77777777" w:rsidR="00597EA0" w:rsidRPr="00A34FAC" w:rsidRDefault="00597EA0" w:rsidP="00A34FAC">
            <w:pPr>
              <w:jc w:val="center"/>
              <w:rPr>
                <w:color w:val="000000"/>
              </w:rPr>
            </w:pPr>
            <w:r w:rsidRPr="00A34FAC">
              <w:rPr>
                <w:color w:val="000000"/>
              </w:rPr>
              <w:t>1</w:t>
            </w:r>
          </w:p>
        </w:tc>
        <w:tc>
          <w:tcPr>
            <w:tcW w:w="708" w:type="dxa"/>
            <w:shd w:val="clear" w:color="auto" w:fill="auto"/>
            <w:vAlign w:val="center"/>
          </w:tcPr>
          <w:p w14:paraId="3C8CCF77" w14:textId="77777777" w:rsidR="00597EA0" w:rsidRPr="00A34FAC" w:rsidRDefault="00597EA0" w:rsidP="00A34FAC">
            <w:pPr>
              <w:jc w:val="center"/>
              <w:rPr>
                <w:color w:val="000000"/>
              </w:rPr>
            </w:pPr>
            <w:r w:rsidRPr="00A34FAC">
              <w:rPr>
                <w:color w:val="000000"/>
              </w:rPr>
              <w:t>4</w:t>
            </w:r>
          </w:p>
        </w:tc>
        <w:tc>
          <w:tcPr>
            <w:tcW w:w="851" w:type="dxa"/>
            <w:shd w:val="clear" w:color="auto" w:fill="auto"/>
            <w:vAlign w:val="center"/>
          </w:tcPr>
          <w:p w14:paraId="00FFEFC9" w14:textId="77777777" w:rsidR="00597EA0" w:rsidRPr="00A34FAC" w:rsidRDefault="00597EA0" w:rsidP="00A34FAC">
            <w:pPr>
              <w:jc w:val="center"/>
              <w:rPr>
                <w:color w:val="000000"/>
              </w:rPr>
            </w:pPr>
            <w:r w:rsidRPr="00A34FAC">
              <w:rPr>
                <w:color w:val="000000"/>
              </w:rPr>
              <w:t xml:space="preserve">1.55 </w:t>
            </w:r>
          </w:p>
        </w:tc>
        <w:tc>
          <w:tcPr>
            <w:tcW w:w="850" w:type="dxa"/>
            <w:shd w:val="clear" w:color="auto" w:fill="auto"/>
            <w:vAlign w:val="center"/>
          </w:tcPr>
          <w:p w14:paraId="759EA68B" w14:textId="77777777" w:rsidR="00597EA0" w:rsidRPr="00A34FAC" w:rsidRDefault="00597EA0" w:rsidP="00A34FAC">
            <w:pPr>
              <w:jc w:val="center"/>
              <w:rPr>
                <w:color w:val="000000"/>
              </w:rPr>
            </w:pPr>
            <w:r w:rsidRPr="00A34FAC">
              <w:rPr>
                <w:color w:val="000000"/>
              </w:rPr>
              <w:t xml:space="preserve"> 1.00</w:t>
            </w:r>
          </w:p>
        </w:tc>
        <w:tc>
          <w:tcPr>
            <w:tcW w:w="709" w:type="dxa"/>
            <w:shd w:val="clear" w:color="auto" w:fill="auto"/>
            <w:vAlign w:val="center"/>
          </w:tcPr>
          <w:p w14:paraId="626808FF" w14:textId="77777777" w:rsidR="00597EA0" w:rsidRPr="00A34FAC" w:rsidRDefault="00597EA0" w:rsidP="00A34FAC">
            <w:pPr>
              <w:jc w:val="center"/>
              <w:rPr>
                <w:color w:val="000000"/>
              </w:rPr>
            </w:pPr>
            <w:r w:rsidRPr="00A34FAC">
              <w:rPr>
                <w:color w:val="000000"/>
              </w:rPr>
              <w:t xml:space="preserve">0.71 </w:t>
            </w:r>
          </w:p>
        </w:tc>
        <w:tc>
          <w:tcPr>
            <w:tcW w:w="1138" w:type="dxa"/>
            <w:shd w:val="clear" w:color="auto" w:fill="auto"/>
            <w:vAlign w:val="center"/>
          </w:tcPr>
          <w:p w14:paraId="4C2E1699" w14:textId="77777777" w:rsidR="00597EA0" w:rsidRPr="00A34FAC" w:rsidRDefault="00597EA0" w:rsidP="00A34FAC">
            <w:pPr>
              <w:jc w:val="center"/>
              <w:rPr>
                <w:color w:val="000000"/>
              </w:rPr>
            </w:pPr>
            <w:r w:rsidRPr="00A34FAC">
              <w:rPr>
                <w:color w:val="000000"/>
              </w:rPr>
              <w:t xml:space="preserve">0.51 </w:t>
            </w:r>
          </w:p>
        </w:tc>
      </w:tr>
      <w:tr w:rsidR="00597EA0" w:rsidRPr="00A34FAC" w14:paraId="37EB56EF" w14:textId="77777777" w:rsidTr="00A34FAC">
        <w:trPr>
          <w:trHeight w:val="143"/>
        </w:trPr>
        <w:tc>
          <w:tcPr>
            <w:tcW w:w="3544" w:type="dxa"/>
            <w:shd w:val="clear" w:color="auto" w:fill="auto"/>
            <w:vAlign w:val="center"/>
          </w:tcPr>
          <w:p w14:paraId="05F6FEB7" w14:textId="77777777" w:rsidR="00597EA0" w:rsidRPr="00A34FAC" w:rsidRDefault="00597EA0" w:rsidP="00A34FAC">
            <w:pPr>
              <w:jc w:val="both"/>
              <w:rPr>
                <w:color w:val="000000"/>
              </w:rPr>
            </w:pPr>
            <w:r w:rsidRPr="00A34FAC">
              <w:rPr>
                <w:color w:val="000000"/>
              </w:rPr>
              <w:t xml:space="preserve">Pesimismo acerca futuro </w:t>
            </w:r>
          </w:p>
        </w:tc>
        <w:tc>
          <w:tcPr>
            <w:tcW w:w="709" w:type="dxa"/>
            <w:shd w:val="clear" w:color="auto" w:fill="auto"/>
            <w:vAlign w:val="center"/>
          </w:tcPr>
          <w:p w14:paraId="6F96577E" w14:textId="77777777" w:rsidR="00597EA0" w:rsidRPr="00A34FAC" w:rsidRDefault="00597EA0" w:rsidP="00A34FAC">
            <w:pPr>
              <w:jc w:val="center"/>
              <w:rPr>
                <w:color w:val="000000"/>
              </w:rPr>
            </w:pPr>
            <w:r w:rsidRPr="00A34FAC">
              <w:rPr>
                <w:color w:val="000000"/>
              </w:rPr>
              <w:t>0</w:t>
            </w:r>
          </w:p>
        </w:tc>
        <w:tc>
          <w:tcPr>
            <w:tcW w:w="708" w:type="dxa"/>
            <w:shd w:val="clear" w:color="auto" w:fill="auto"/>
            <w:vAlign w:val="center"/>
          </w:tcPr>
          <w:p w14:paraId="75A772A2" w14:textId="77777777" w:rsidR="00597EA0" w:rsidRPr="00A34FAC" w:rsidRDefault="00597EA0" w:rsidP="00A34FAC">
            <w:pPr>
              <w:jc w:val="center"/>
              <w:rPr>
                <w:color w:val="000000"/>
              </w:rPr>
            </w:pPr>
            <w:r w:rsidRPr="00A34FAC">
              <w:rPr>
                <w:color w:val="000000"/>
              </w:rPr>
              <w:t>5</w:t>
            </w:r>
          </w:p>
        </w:tc>
        <w:tc>
          <w:tcPr>
            <w:tcW w:w="851" w:type="dxa"/>
            <w:shd w:val="clear" w:color="auto" w:fill="auto"/>
            <w:vAlign w:val="center"/>
          </w:tcPr>
          <w:p w14:paraId="33E5A66A" w14:textId="77777777" w:rsidR="00597EA0" w:rsidRPr="00A34FAC" w:rsidRDefault="00597EA0" w:rsidP="00A34FAC">
            <w:pPr>
              <w:jc w:val="center"/>
              <w:rPr>
                <w:color w:val="000000"/>
              </w:rPr>
            </w:pPr>
            <w:r w:rsidRPr="00A34FAC">
              <w:rPr>
                <w:color w:val="000000"/>
              </w:rPr>
              <w:t xml:space="preserve">1.19 </w:t>
            </w:r>
          </w:p>
        </w:tc>
        <w:tc>
          <w:tcPr>
            <w:tcW w:w="850" w:type="dxa"/>
            <w:shd w:val="clear" w:color="auto" w:fill="auto"/>
            <w:vAlign w:val="center"/>
          </w:tcPr>
          <w:p w14:paraId="0C2E0A33" w14:textId="77777777" w:rsidR="00597EA0" w:rsidRPr="00A34FAC" w:rsidRDefault="00597EA0" w:rsidP="00A34FAC">
            <w:pPr>
              <w:jc w:val="center"/>
              <w:rPr>
                <w:color w:val="000000"/>
              </w:rPr>
            </w:pPr>
            <w:r w:rsidRPr="00A34FAC">
              <w:rPr>
                <w:color w:val="000000"/>
              </w:rPr>
              <w:t xml:space="preserve"> 1.00</w:t>
            </w:r>
          </w:p>
        </w:tc>
        <w:tc>
          <w:tcPr>
            <w:tcW w:w="709" w:type="dxa"/>
            <w:shd w:val="clear" w:color="auto" w:fill="auto"/>
            <w:vAlign w:val="center"/>
          </w:tcPr>
          <w:p w14:paraId="5D4A0A43" w14:textId="77777777" w:rsidR="00597EA0" w:rsidRPr="00A34FAC" w:rsidRDefault="00597EA0" w:rsidP="00A34FAC">
            <w:pPr>
              <w:jc w:val="center"/>
              <w:rPr>
                <w:color w:val="000000"/>
              </w:rPr>
            </w:pPr>
            <w:r w:rsidRPr="00A34FAC">
              <w:rPr>
                <w:color w:val="000000"/>
              </w:rPr>
              <w:t xml:space="preserve">1.17 </w:t>
            </w:r>
          </w:p>
        </w:tc>
        <w:tc>
          <w:tcPr>
            <w:tcW w:w="1138" w:type="dxa"/>
            <w:shd w:val="clear" w:color="auto" w:fill="auto"/>
            <w:vAlign w:val="center"/>
          </w:tcPr>
          <w:p w14:paraId="7C788DF8" w14:textId="77777777" w:rsidR="00597EA0" w:rsidRPr="00A34FAC" w:rsidRDefault="00597EA0" w:rsidP="00A34FAC">
            <w:pPr>
              <w:jc w:val="center"/>
              <w:rPr>
                <w:color w:val="000000"/>
              </w:rPr>
            </w:pPr>
            <w:r w:rsidRPr="00A34FAC">
              <w:rPr>
                <w:color w:val="000000"/>
              </w:rPr>
              <w:t xml:space="preserve">1.37 </w:t>
            </w:r>
          </w:p>
        </w:tc>
      </w:tr>
      <w:tr w:rsidR="00597EA0" w:rsidRPr="00A34FAC" w14:paraId="3ECDFE51" w14:textId="77777777" w:rsidTr="00A34FAC">
        <w:trPr>
          <w:trHeight w:val="430"/>
        </w:trPr>
        <w:tc>
          <w:tcPr>
            <w:tcW w:w="3544" w:type="dxa"/>
            <w:tcBorders>
              <w:bottom w:val="single" w:sz="4" w:space="0" w:color="000000"/>
            </w:tcBorders>
            <w:shd w:val="clear" w:color="auto" w:fill="auto"/>
            <w:vAlign w:val="center"/>
          </w:tcPr>
          <w:p w14:paraId="5A72E1C5" w14:textId="77777777" w:rsidR="00597EA0" w:rsidRPr="00A34FAC" w:rsidRDefault="00597EA0" w:rsidP="00A34FAC">
            <w:pPr>
              <w:jc w:val="both"/>
              <w:rPr>
                <w:color w:val="000000"/>
              </w:rPr>
            </w:pPr>
            <w:r w:rsidRPr="00A34FAC">
              <w:rPr>
                <w:color w:val="000000"/>
              </w:rPr>
              <w:t xml:space="preserve">Percepción individual futuro </w:t>
            </w:r>
          </w:p>
        </w:tc>
        <w:tc>
          <w:tcPr>
            <w:tcW w:w="709" w:type="dxa"/>
            <w:tcBorders>
              <w:bottom w:val="single" w:sz="4" w:space="0" w:color="000000"/>
            </w:tcBorders>
            <w:shd w:val="clear" w:color="auto" w:fill="auto"/>
            <w:vAlign w:val="center"/>
          </w:tcPr>
          <w:p w14:paraId="044C1F55" w14:textId="77777777" w:rsidR="00597EA0" w:rsidRPr="00A34FAC" w:rsidRDefault="00597EA0" w:rsidP="00A34FAC">
            <w:pPr>
              <w:jc w:val="center"/>
              <w:rPr>
                <w:color w:val="000000"/>
              </w:rPr>
            </w:pPr>
            <w:r w:rsidRPr="00A34FAC">
              <w:rPr>
                <w:color w:val="000000"/>
              </w:rPr>
              <w:t>0</w:t>
            </w:r>
          </w:p>
        </w:tc>
        <w:tc>
          <w:tcPr>
            <w:tcW w:w="708" w:type="dxa"/>
            <w:tcBorders>
              <w:bottom w:val="single" w:sz="4" w:space="0" w:color="000000"/>
            </w:tcBorders>
            <w:shd w:val="clear" w:color="auto" w:fill="auto"/>
            <w:vAlign w:val="center"/>
          </w:tcPr>
          <w:p w14:paraId="775AAE68" w14:textId="77777777" w:rsidR="00597EA0" w:rsidRPr="00A34FAC" w:rsidRDefault="00597EA0" w:rsidP="00A34FAC">
            <w:pPr>
              <w:jc w:val="center"/>
              <w:rPr>
                <w:color w:val="000000"/>
              </w:rPr>
            </w:pPr>
            <w:r w:rsidRPr="00A34FAC">
              <w:rPr>
                <w:color w:val="000000"/>
              </w:rPr>
              <w:t>4</w:t>
            </w:r>
          </w:p>
        </w:tc>
        <w:tc>
          <w:tcPr>
            <w:tcW w:w="851" w:type="dxa"/>
            <w:tcBorders>
              <w:bottom w:val="single" w:sz="4" w:space="0" w:color="000000"/>
            </w:tcBorders>
            <w:shd w:val="clear" w:color="auto" w:fill="auto"/>
            <w:vAlign w:val="center"/>
          </w:tcPr>
          <w:p w14:paraId="6CE1C443" w14:textId="77777777" w:rsidR="00597EA0" w:rsidRPr="00A34FAC" w:rsidRDefault="00597EA0" w:rsidP="00A34FAC">
            <w:pPr>
              <w:jc w:val="center"/>
              <w:rPr>
                <w:color w:val="000000"/>
              </w:rPr>
            </w:pPr>
            <w:r w:rsidRPr="00A34FAC">
              <w:rPr>
                <w:color w:val="000000"/>
              </w:rPr>
              <w:t xml:space="preserve">0.99 </w:t>
            </w:r>
          </w:p>
        </w:tc>
        <w:tc>
          <w:tcPr>
            <w:tcW w:w="850" w:type="dxa"/>
            <w:tcBorders>
              <w:bottom w:val="single" w:sz="4" w:space="0" w:color="000000"/>
            </w:tcBorders>
            <w:shd w:val="clear" w:color="auto" w:fill="auto"/>
            <w:vAlign w:val="center"/>
          </w:tcPr>
          <w:p w14:paraId="2C33418A" w14:textId="77777777" w:rsidR="00597EA0" w:rsidRPr="00A34FAC" w:rsidRDefault="00597EA0" w:rsidP="00A34FAC">
            <w:pPr>
              <w:jc w:val="center"/>
              <w:rPr>
                <w:color w:val="000000"/>
              </w:rPr>
            </w:pPr>
            <w:r w:rsidRPr="00A34FAC">
              <w:rPr>
                <w:color w:val="000000"/>
              </w:rPr>
              <w:t xml:space="preserve"> 1.00</w:t>
            </w:r>
          </w:p>
        </w:tc>
        <w:tc>
          <w:tcPr>
            <w:tcW w:w="709" w:type="dxa"/>
            <w:tcBorders>
              <w:bottom w:val="single" w:sz="4" w:space="0" w:color="000000"/>
            </w:tcBorders>
            <w:shd w:val="clear" w:color="auto" w:fill="auto"/>
            <w:vAlign w:val="center"/>
          </w:tcPr>
          <w:p w14:paraId="45662712" w14:textId="77777777" w:rsidR="00597EA0" w:rsidRPr="00A34FAC" w:rsidRDefault="00597EA0" w:rsidP="00A34FAC">
            <w:pPr>
              <w:jc w:val="center"/>
              <w:rPr>
                <w:color w:val="000000"/>
              </w:rPr>
            </w:pPr>
            <w:r w:rsidRPr="00A34FAC">
              <w:rPr>
                <w:color w:val="000000"/>
              </w:rPr>
              <w:t xml:space="preserve">1.07 </w:t>
            </w:r>
          </w:p>
        </w:tc>
        <w:tc>
          <w:tcPr>
            <w:tcW w:w="1138" w:type="dxa"/>
            <w:tcBorders>
              <w:bottom w:val="single" w:sz="4" w:space="0" w:color="000000"/>
            </w:tcBorders>
            <w:shd w:val="clear" w:color="auto" w:fill="auto"/>
            <w:vAlign w:val="center"/>
          </w:tcPr>
          <w:p w14:paraId="7AF5B281" w14:textId="77777777" w:rsidR="00597EA0" w:rsidRPr="00A34FAC" w:rsidRDefault="00597EA0" w:rsidP="00A34FAC">
            <w:pPr>
              <w:jc w:val="center"/>
              <w:rPr>
                <w:color w:val="000000"/>
              </w:rPr>
            </w:pPr>
            <w:r w:rsidRPr="00A34FAC">
              <w:rPr>
                <w:color w:val="000000"/>
              </w:rPr>
              <w:t xml:space="preserve">1.15 </w:t>
            </w:r>
          </w:p>
        </w:tc>
      </w:tr>
    </w:tbl>
    <w:p w14:paraId="7FA24236" w14:textId="6BF9EAFF" w:rsidR="00597EA0" w:rsidRPr="00A34FAC" w:rsidRDefault="00597EA0" w:rsidP="00A34FAC">
      <w:pPr>
        <w:spacing w:line="276" w:lineRule="auto"/>
        <w:jc w:val="both"/>
      </w:pPr>
      <w:r w:rsidRPr="00A34FAC">
        <w:rPr>
          <w:i/>
        </w:rPr>
        <w:t>Nota</w:t>
      </w:r>
      <w:r w:rsidR="00BD535E">
        <w:t>.</w:t>
      </w:r>
      <w:r w:rsidRPr="00A34FAC">
        <w:t xml:space="preserve"> MN = Valor mínimo; MX = valor máximo; M = media aritmética; ME = mediana; DE = desviación estándar; V = varianza.</w:t>
      </w:r>
    </w:p>
    <w:p w14:paraId="1DBE8C0C" w14:textId="2174C9FE" w:rsidR="00597EA0" w:rsidRDefault="003A6E05" w:rsidP="00E05D7F">
      <w:pPr>
        <w:pStyle w:val="Prrafocomn"/>
        <w:tabs>
          <w:tab w:val="left" w:pos="4000"/>
        </w:tabs>
        <w:rPr>
          <w:lang w:val="es-ES"/>
        </w:rPr>
      </w:pPr>
      <w:r w:rsidRPr="003A6E05">
        <w:rPr>
          <w:lang w:val="es-ES"/>
        </w:rPr>
        <w:t>Respecto a la comparación de la puntuación total y las dimensiones de la desesperanza según el género, no se identificaron diferencias estadísticamente significativas. No obstante, fue el grupo masculino que obtuvo mayor puntuación que el femenino (Ver tabla 2).</w:t>
      </w:r>
    </w:p>
    <w:tbl>
      <w:tblPr>
        <w:tblW w:w="8505" w:type="dxa"/>
        <w:tblLayout w:type="fixed"/>
        <w:tblLook w:val="0400" w:firstRow="0" w:lastRow="0" w:firstColumn="0" w:lastColumn="0" w:noHBand="0" w:noVBand="1"/>
      </w:tblPr>
      <w:tblGrid>
        <w:gridCol w:w="2977"/>
        <w:gridCol w:w="1842"/>
        <w:gridCol w:w="1985"/>
        <w:gridCol w:w="1701"/>
      </w:tblGrid>
      <w:tr w:rsidR="00E05D7F" w14:paraId="35FE0D3C" w14:textId="77777777" w:rsidTr="00A34FAC">
        <w:trPr>
          <w:trHeight w:val="930"/>
        </w:trPr>
        <w:tc>
          <w:tcPr>
            <w:tcW w:w="8505" w:type="dxa"/>
            <w:gridSpan w:val="4"/>
            <w:tcBorders>
              <w:left w:val="nil"/>
              <w:bottom w:val="single" w:sz="4" w:space="0" w:color="000000"/>
              <w:right w:val="nil"/>
            </w:tcBorders>
            <w:shd w:val="clear" w:color="auto" w:fill="auto"/>
            <w:vAlign w:val="center"/>
          </w:tcPr>
          <w:p w14:paraId="4A58585E" w14:textId="77777777" w:rsidR="00E05D7F" w:rsidRPr="00E05D7F" w:rsidRDefault="00E05D7F" w:rsidP="00E05D7F">
            <w:pPr>
              <w:spacing w:line="360" w:lineRule="auto"/>
              <w:rPr>
                <w:b/>
                <w:i/>
                <w:color w:val="030303"/>
              </w:rPr>
            </w:pPr>
            <w:r w:rsidRPr="00E05D7F">
              <w:rPr>
                <w:b/>
                <w:color w:val="030303"/>
              </w:rPr>
              <w:t>Tabla</w:t>
            </w:r>
            <w:r w:rsidRPr="00E05D7F">
              <w:rPr>
                <w:b/>
              </w:rPr>
              <w:t xml:space="preserve"> 2</w:t>
            </w:r>
          </w:p>
          <w:p w14:paraId="3A42F6AD" w14:textId="77777777" w:rsidR="00E05D7F" w:rsidRDefault="00E05D7F" w:rsidP="00E05D7F">
            <w:pPr>
              <w:spacing w:line="360" w:lineRule="auto"/>
              <w:rPr>
                <w:i/>
                <w:color w:val="030303"/>
              </w:rPr>
            </w:pPr>
            <w:r>
              <w:rPr>
                <w:i/>
                <w:color w:val="030303"/>
              </w:rPr>
              <w:t xml:space="preserve">Comparaciones de la puntuación total y las dimensiones de la desesperanza según el género. </w:t>
            </w:r>
          </w:p>
        </w:tc>
      </w:tr>
      <w:tr w:rsidR="00A34FAC" w14:paraId="172D5E3B" w14:textId="77777777" w:rsidTr="00A34FAC">
        <w:trPr>
          <w:trHeight w:val="1656"/>
        </w:trPr>
        <w:tc>
          <w:tcPr>
            <w:tcW w:w="2977" w:type="dxa"/>
            <w:tcBorders>
              <w:top w:val="single" w:sz="4" w:space="0" w:color="000000"/>
              <w:left w:val="nil"/>
              <w:bottom w:val="nil"/>
              <w:right w:val="nil"/>
            </w:tcBorders>
            <w:shd w:val="clear" w:color="auto" w:fill="auto"/>
            <w:vAlign w:val="center"/>
          </w:tcPr>
          <w:p w14:paraId="6E4E8E16" w14:textId="77777777" w:rsidR="00A34FAC" w:rsidRPr="00E05D7F" w:rsidRDefault="00A34FAC" w:rsidP="005B1A6B">
            <w:pPr>
              <w:spacing w:line="360" w:lineRule="auto"/>
              <w:rPr>
                <w:b/>
                <w:color w:val="030303"/>
              </w:rPr>
            </w:pPr>
            <w:r w:rsidRPr="00E05D7F">
              <w:rPr>
                <w:b/>
                <w:color w:val="030303"/>
              </w:rPr>
              <w:t>Variables</w:t>
            </w:r>
          </w:p>
        </w:tc>
        <w:tc>
          <w:tcPr>
            <w:tcW w:w="1842" w:type="dxa"/>
            <w:tcBorders>
              <w:top w:val="single" w:sz="4" w:space="0" w:color="000000"/>
              <w:left w:val="nil"/>
              <w:right w:val="nil"/>
            </w:tcBorders>
            <w:shd w:val="clear" w:color="auto" w:fill="auto"/>
            <w:vAlign w:val="center"/>
          </w:tcPr>
          <w:p w14:paraId="7A538270" w14:textId="77777777" w:rsidR="00A34FAC" w:rsidRPr="00E05D7F" w:rsidRDefault="00A34FAC" w:rsidP="005B1A6B">
            <w:pPr>
              <w:spacing w:line="360" w:lineRule="auto"/>
              <w:jc w:val="center"/>
              <w:rPr>
                <w:b/>
                <w:color w:val="030303"/>
              </w:rPr>
            </w:pPr>
            <w:r w:rsidRPr="00E05D7F">
              <w:rPr>
                <w:b/>
                <w:color w:val="030303"/>
              </w:rPr>
              <w:t>Masculino</w:t>
            </w:r>
          </w:p>
          <w:p w14:paraId="70BFECB5" w14:textId="77777777" w:rsidR="00A34FAC" w:rsidRPr="00E05D7F" w:rsidRDefault="00A34FAC" w:rsidP="005B1A6B">
            <w:pPr>
              <w:spacing w:line="360" w:lineRule="auto"/>
              <w:jc w:val="center"/>
              <w:rPr>
                <w:b/>
                <w:color w:val="030303"/>
              </w:rPr>
            </w:pPr>
            <w:r w:rsidRPr="00E05D7F">
              <w:rPr>
                <w:b/>
                <w:color w:val="030303"/>
              </w:rPr>
              <w:t>(n = 63)</w:t>
            </w:r>
          </w:p>
          <w:p w14:paraId="56ADD348" w14:textId="0DE8DCDC" w:rsidR="00A34FAC" w:rsidRPr="00E05D7F" w:rsidRDefault="00A34FAC" w:rsidP="005B1A6B">
            <w:pPr>
              <w:spacing w:line="360" w:lineRule="auto"/>
              <w:jc w:val="center"/>
              <w:rPr>
                <w:b/>
                <w:color w:val="030303"/>
              </w:rPr>
            </w:pPr>
            <w:r w:rsidRPr="00E05D7F">
              <w:rPr>
                <w:b/>
                <w:color w:val="030303"/>
              </w:rPr>
              <w:t>Rango promedio</w:t>
            </w:r>
          </w:p>
        </w:tc>
        <w:tc>
          <w:tcPr>
            <w:tcW w:w="1985" w:type="dxa"/>
            <w:tcBorders>
              <w:top w:val="single" w:sz="4" w:space="0" w:color="000000"/>
              <w:left w:val="nil"/>
              <w:right w:val="nil"/>
            </w:tcBorders>
            <w:shd w:val="clear" w:color="auto" w:fill="auto"/>
            <w:vAlign w:val="center"/>
          </w:tcPr>
          <w:p w14:paraId="4E5524E0" w14:textId="77777777" w:rsidR="00A34FAC" w:rsidRPr="00E05D7F" w:rsidRDefault="00A34FAC" w:rsidP="005B1A6B">
            <w:pPr>
              <w:spacing w:line="360" w:lineRule="auto"/>
              <w:jc w:val="center"/>
              <w:rPr>
                <w:b/>
                <w:color w:val="030303"/>
              </w:rPr>
            </w:pPr>
            <w:r w:rsidRPr="00E05D7F">
              <w:rPr>
                <w:b/>
                <w:color w:val="030303"/>
              </w:rPr>
              <w:t>Femenino</w:t>
            </w:r>
          </w:p>
          <w:p w14:paraId="337473C0" w14:textId="77777777" w:rsidR="00A34FAC" w:rsidRPr="00E05D7F" w:rsidRDefault="00A34FAC" w:rsidP="005B1A6B">
            <w:pPr>
              <w:spacing w:line="360" w:lineRule="auto"/>
              <w:jc w:val="center"/>
              <w:rPr>
                <w:b/>
                <w:color w:val="030303"/>
              </w:rPr>
            </w:pPr>
            <w:r w:rsidRPr="00E05D7F">
              <w:rPr>
                <w:b/>
                <w:color w:val="030303"/>
              </w:rPr>
              <w:t>(n = 150)</w:t>
            </w:r>
          </w:p>
          <w:p w14:paraId="658F6392" w14:textId="15896671" w:rsidR="00A34FAC" w:rsidRPr="00E05D7F" w:rsidRDefault="00A34FAC" w:rsidP="005B1A6B">
            <w:pPr>
              <w:spacing w:line="360" w:lineRule="auto"/>
              <w:jc w:val="center"/>
              <w:rPr>
                <w:b/>
                <w:color w:val="030303"/>
              </w:rPr>
            </w:pPr>
            <w:r w:rsidRPr="00E05D7F">
              <w:rPr>
                <w:b/>
                <w:color w:val="030303"/>
              </w:rPr>
              <w:t>Rango promedio</w:t>
            </w:r>
          </w:p>
        </w:tc>
        <w:tc>
          <w:tcPr>
            <w:tcW w:w="1701" w:type="dxa"/>
            <w:tcBorders>
              <w:top w:val="single" w:sz="4" w:space="0" w:color="000000"/>
              <w:left w:val="nil"/>
              <w:bottom w:val="single" w:sz="4" w:space="0" w:color="000000"/>
              <w:right w:val="nil"/>
            </w:tcBorders>
            <w:shd w:val="clear" w:color="auto" w:fill="auto"/>
            <w:vAlign w:val="center"/>
          </w:tcPr>
          <w:p w14:paraId="48EBBFE4" w14:textId="77777777" w:rsidR="00A34FAC" w:rsidRPr="00E05D7F" w:rsidRDefault="00A34FAC" w:rsidP="005B1A6B">
            <w:pPr>
              <w:spacing w:line="360" w:lineRule="auto"/>
              <w:jc w:val="center"/>
              <w:rPr>
                <w:b/>
                <w:color w:val="030303"/>
              </w:rPr>
            </w:pPr>
            <w:r w:rsidRPr="00E05D7F">
              <w:rPr>
                <w:b/>
                <w:color w:val="030303"/>
              </w:rPr>
              <w:t>U de Mann-Whitney (valor-p)</w:t>
            </w:r>
          </w:p>
        </w:tc>
      </w:tr>
      <w:tr w:rsidR="00E05D7F" w14:paraId="671C1B73" w14:textId="77777777" w:rsidTr="00A34FAC">
        <w:trPr>
          <w:trHeight w:val="620"/>
        </w:trPr>
        <w:tc>
          <w:tcPr>
            <w:tcW w:w="2977" w:type="dxa"/>
            <w:tcBorders>
              <w:top w:val="single" w:sz="4" w:space="0" w:color="000000"/>
              <w:left w:val="nil"/>
              <w:bottom w:val="nil"/>
              <w:right w:val="nil"/>
            </w:tcBorders>
            <w:shd w:val="clear" w:color="auto" w:fill="auto"/>
            <w:vAlign w:val="center"/>
          </w:tcPr>
          <w:p w14:paraId="7939A3EF" w14:textId="77777777" w:rsidR="00E05D7F" w:rsidRDefault="00E05D7F" w:rsidP="005B1A6B">
            <w:pPr>
              <w:spacing w:line="360" w:lineRule="auto"/>
              <w:rPr>
                <w:color w:val="000000"/>
              </w:rPr>
            </w:pPr>
            <w:r>
              <w:rPr>
                <w:color w:val="000000"/>
              </w:rPr>
              <w:t>Desesperanza total</w:t>
            </w:r>
          </w:p>
        </w:tc>
        <w:tc>
          <w:tcPr>
            <w:tcW w:w="1842" w:type="dxa"/>
            <w:tcBorders>
              <w:top w:val="single" w:sz="4" w:space="0" w:color="000000"/>
              <w:left w:val="nil"/>
              <w:bottom w:val="nil"/>
              <w:right w:val="nil"/>
            </w:tcBorders>
            <w:shd w:val="clear" w:color="auto" w:fill="auto"/>
            <w:vAlign w:val="center"/>
          </w:tcPr>
          <w:p w14:paraId="3352F871" w14:textId="77777777" w:rsidR="00E05D7F" w:rsidRDefault="00E05D7F" w:rsidP="005B1A6B">
            <w:pPr>
              <w:spacing w:line="360" w:lineRule="auto"/>
              <w:jc w:val="center"/>
              <w:rPr>
                <w:color w:val="000000"/>
              </w:rPr>
            </w:pPr>
            <w:r>
              <w:rPr>
                <w:color w:val="000000"/>
              </w:rPr>
              <w:t>111.25</w:t>
            </w:r>
          </w:p>
        </w:tc>
        <w:tc>
          <w:tcPr>
            <w:tcW w:w="1985" w:type="dxa"/>
            <w:tcBorders>
              <w:top w:val="single" w:sz="4" w:space="0" w:color="000000"/>
              <w:left w:val="nil"/>
              <w:bottom w:val="nil"/>
              <w:right w:val="nil"/>
            </w:tcBorders>
            <w:shd w:val="clear" w:color="auto" w:fill="auto"/>
            <w:vAlign w:val="center"/>
          </w:tcPr>
          <w:p w14:paraId="1111E131" w14:textId="77777777" w:rsidR="00E05D7F" w:rsidRDefault="00E05D7F" w:rsidP="005B1A6B">
            <w:pPr>
              <w:spacing w:line="360" w:lineRule="auto"/>
              <w:jc w:val="center"/>
              <w:rPr>
                <w:color w:val="000000"/>
              </w:rPr>
            </w:pPr>
            <w:r>
              <w:rPr>
                <w:color w:val="000000"/>
              </w:rPr>
              <w:t>105.21</w:t>
            </w:r>
          </w:p>
        </w:tc>
        <w:tc>
          <w:tcPr>
            <w:tcW w:w="1701" w:type="dxa"/>
            <w:tcBorders>
              <w:top w:val="single" w:sz="4" w:space="0" w:color="000000"/>
              <w:left w:val="nil"/>
              <w:bottom w:val="nil"/>
              <w:right w:val="nil"/>
            </w:tcBorders>
            <w:shd w:val="clear" w:color="auto" w:fill="auto"/>
            <w:vAlign w:val="center"/>
          </w:tcPr>
          <w:p w14:paraId="75F8DBFB" w14:textId="77777777" w:rsidR="00E05D7F" w:rsidRDefault="00E05D7F" w:rsidP="005B1A6B">
            <w:pPr>
              <w:spacing w:line="360" w:lineRule="auto"/>
              <w:jc w:val="center"/>
              <w:rPr>
                <w:color w:val="000000"/>
              </w:rPr>
            </w:pPr>
            <w:r>
              <w:rPr>
                <w:color w:val="000000"/>
              </w:rPr>
              <w:t>4457.000 (.50)</w:t>
            </w:r>
          </w:p>
        </w:tc>
      </w:tr>
      <w:tr w:rsidR="00E05D7F" w14:paraId="6DAD872B" w14:textId="77777777" w:rsidTr="00A34FAC">
        <w:trPr>
          <w:trHeight w:val="123"/>
        </w:trPr>
        <w:tc>
          <w:tcPr>
            <w:tcW w:w="2977" w:type="dxa"/>
            <w:tcBorders>
              <w:top w:val="nil"/>
              <w:left w:val="nil"/>
              <w:bottom w:val="nil"/>
              <w:right w:val="nil"/>
            </w:tcBorders>
            <w:shd w:val="clear" w:color="auto" w:fill="auto"/>
            <w:vAlign w:val="center"/>
          </w:tcPr>
          <w:p w14:paraId="3C5600F1" w14:textId="77777777" w:rsidR="00E05D7F" w:rsidRDefault="00E05D7F" w:rsidP="005B1A6B">
            <w:pPr>
              <w:spacing w:line="360" w:lineRule="auto"/>
              <w:rPr>
                <w:color w:val="000000"/>
              </w:rPr>
            </w:pPr>
            <w:r>
              <w:rPr>
                <w:color w:val="000000"/>
              </w:rPr>
              <w:t>Expectativa hacia futuro</w:t>
            </w:r>
          </w:p>
        </w:tc>
        <w:tc>
          <w:tcPr>
            <w:tcW w:w="1842" w:type="dxa"/>
            <w:tcBorders>
              <w:top w:val="nil"/>
              <w:left w:val="nil"/>
              <w:bottom w:val="nil"/>
              <w:right w:val="nil"/>
            </w:tcBorders>
            <w:shd w:val="clear" w:color="auto" w:fill="auto"/>
            <w:vAlign w:val="center"/>
          </w:tcPr>
          <w:p w14:paraId="4A6EE22F" w14:textId="77777777" w:rsidR="00E05D7F" w:rsidRDefault="00E05D7F" w:rsidP="005B1A6B">
            <w:pPr>
              <w:spacing w:line="360" w:lineRule="auto"/>
              <w:jc w:val="center"/>
              <w:rPr>
                <w:color w:val="000000"/>
              </w:rPr>
            </w:pPr>
            <w:r>
              <w:rPr>
                <w:color w:val="000000"/>
              </w:rPr>
              <w:t>114.06</w:t>
            </w:r>
          </w:p>
        </w:tc>
        <w:tc>
          <w:tcPr>
            <w:tcW w:w="1985" w:type="dxa"/>
            <w:tcBorders>
              <w:top w:val="nil"/>
              <w:left w:val="nil"/>
              <w:bottom w:val="nil"/>
              <w:right w:val="nil"/>
            </w:tcBorders>
            <w:shd w:val="clear" w:color="auto" w:fill="auto"/>
            <w:vAlign w:val="center"/>
          </w:tcPr>
          <w:p w14:paraId="1AE80D9A" w14:textId="77777777" w:rsidR="00E05D7F" w:rsidRDefault="00E05D7F" w:rsidP="005B1A6B">
            <w:pPr>
              <w:spacing w:line="360" w:lineRule="auto"/>
              <w:jc w:val="center"/>
              <w:rPr>
                <w:color w:val="000000"/>
              </w:rPr>
            </w:pPr>
            <w:r>
              <w:rPr>
                <w:color w:val="000000"/>
              </w:rPr>
              <w:t>104,03</w:t>
            </w:r>
          </w:p>
        </w:tc>
        <w:tc>
          <w:tcPr>
            <w:tcW w:w="1701" w:type="dxa"/>
            <w:tcBorders>
              <w:top w:val="nil"/>
              <w:left w:val="nil"/>
              <w:bottom w:val="nil"/>
              <w:right w:val="nil"/>
            </w:tcBorders>
            <w:shd w:val="clear" w:color="auto" w:fill="auto"/>
            <w:vAlign w:val="center"/>
          </w:tcPr>
          <w:p w14:paraId="535E8F55" w14:textId="77777777" w:rsidR="00E05D7F" w:rsidRDefault="00E05D7F" w:rsidP="005B1A6B">
            <w:pPr>
              <w:spacing w:line="360" w:lineRule="auto"/>
              <w:jc w:val="center"/>
              <w:rPr>
                <w:color w:val="000000"/>
              </w:rPr>
            </w:pPr>
            <w:r>
              <w:rPr>
                <w:color w:val="000000"/>
              </w:rPr>
              <w:t>4280.000 (.24)</w:t>
            </w:r>
          </w:p>
        </w:tc>
      </w:tr>
      <w:tr w:rsidR="00E05D7F" w14:paraId="0DA2B188" w14:textId="77777777" w:rsidTr="00A34FAC">
        <w:trPr>
          <w:trHeight w:val="285"/>
        </w:trPr>
        <w:tc>
          <w:tcPr>
            <w:tcW w:w="2977" w:type="dxa"/>
            <w:tcBorders>
              <w:top w:val="nil"/>
              <w:left w:val="nil"/>
              <w:bottom w:val="nil"/>
              <w:right w:val="nil"/>
            </w:tcBorders>
            <w:shd w:val="clear" w:color="auto" w:fill="auto"/>
            <w:vAlign w:val="center"/>
          </w:tcPr>
          <w:p w14:paraId="35276DEA" w14:textId="77777777" w:rsidR="00E05D7F" w:rsidRDefault="00E05D7F" w:rsidP="005B1A6B">
            <w:pPr>
              <w:spacing w:line="360" w:lineRule="auto"/>
              <w:rPr>
                <w:color w:val="000000"/>
              </w:rPr>
            </w:pPr>
            <w:r>
              <w:rPr>
                <w:color w:val="000000"/>
              </w:rPr>
              <w:t>Motivación</w:t>
            </w:r>
          </w:p>
        </w:tc>
        <w:tc>
          <w:tcPr>
            <w:tcW w:w="1842" w:type="dxa"/>
            <w:tcBorders>
              <w:top w:val="nil"/>
              <w:left w:val="nil"/>
              <w:bottom w:val="nil"/>
              <w:right w:val="nil"/>
            </w:tcBorders>
            <w:shd w:val="clear" w:color="auto" w:fill="auto"/>
            <w:vAlign w:val="center"/>
          </w:tcPr>
          <w:p w14:paraId="44B0760F" w14:textId="77777777" w:rsidR="00E05D7F" w:rsidRDefault="00E05D7F" w:rsidP="005B1A6B">
            <w:pPr>
              <w:spacing w:line="360" w:lineRule="auto"/>
              <w:jc w:val="center"/>
              <w:rPr>
                <w:color w:val="000000"/>
              </w:rPr>
            </w:pPr>
            <w:r>
              <w:rPr>
                <w:color w:val="000000"/>
              </w:rPr>
              <w:t>108.12</w:t>
            </w:r>
          </w:p>
        </w:tc>
        <w:tc>
          <w:tcPr>
            <w:tcW w:w="1985" w:type="dxa"/>
            <w:tcBorders>
              <w:top w:val="nil"/>
              <w:left w:val="nil"/>
              <w:bottom w:val="nil"/>
              <w:right w:val="nil"/>
            </w:tcBorders>
            <w:shd w:val="clear" w:color="auto" w:fill="auto"/>
            <w:vAlign w:val="center"/>
          </w:tcPr>
          <w:p w14:paraId="40AE054D" w14:textId="77777777" w:rsidR="00E05D7F" w:rsidRDefault="00E05D7F" w:rsidP="005B1A6B">
            <w:pPr>
              <w:spacing w:line="360" w:lineRule="auto"/>
              <w:jc w:val="center"/>
              <w:rPr>
                <w:color w:val="000000"/>
              </w:rPr>
            </w:pPr>
            <w:r>
              <w:rPr>
                <w:color w:val="000000"/>
              </w:rPr>
              <w:t>106.53</w:t>
            </w:r>
          </w:p>
        </w:tc>
        <w:tc>
          <w:tcPr>
            <w:tcW w:w="1701" w:type="dxa"/>
            <w:tcBorders>
              <w:top w:val="nil"/>
              <w:left w:val="nil"/>
              <w:bottom w:val="nil"/>
              <w:right w:val="nil"/>
            </w:tcBorders>
            <w:shd w:val="clear" w:color="auto" w:fill="auto"/>
            <w:vAlign w:val="center"/>
          </w:tcPr>
          <w:p w14:paraId="6F0E2B5E" w14:textId="77777777" w:rsidR="00E05D7F" w:rsidRDefault="00E05D7F" w:rsidP="005B1A6B">
            <w:pPr>
              <w:spacing w:line="360" w:lineRule="auto"/>
              <w:jc w:val="center"/>
              <w:rPr>
                <w:color w:val="000000"/>
              </w:rPr>
            </w:pPr>
            <w:r>
              <w:rPr>
                <w:color w:val="000000"/>
              </w:rPr>
              <w:t>4654.500 (.84)</w:t>
            </w:r>
          </w:p>
        </w:tc>
      </w:tr>
      <w:tr w:rsidR="00E05D7F" w14:paraId="2AF89D19" w14:textId="77777777" w:rsidTr="00A34FAC">
        <w:trPr>
          <w:trHeight w:val="620"/>
        </w:trPr>
        <w:tc>
          <w:tcPr>
            <w:tcW w:w="2977" w:type="dxa"/>
            <w:tcBorders>
              <w:top w:val="nil"/>
              <w:left w:val="nil"/>
              <w:bottom w:val="nil"/>
              <w:right w:val="nil"/>
            </w:tcBorders>
            <w:shd w:val="clear" w:color="auto" w:fill="auto"/>
            <w:vAlign w:val="center"/>
          </w:tcPr>
          <w:p w14:paraId="358175F7" w14:textId="77777777" w:rsidR="00E05D7F" w:rsidRDefault="00E05D7F" w:rsidP="005B1A6B">
            <w:pPr>
              <w:spacing w:line="360" w:lineRule="auto"/>
              <w:rPr>
                <w:color w:val="000000"/>
              </w:rPr>
            </w:pPr>
            <w:r>
              <w:rPr>
                <w:color w:val="000000"/>
              </w:rPr>
              <w:t>Pesimismo acerca futuro</w:t>
            </w:r>
          </w:p>
        </w:tc>
        <w:tc>
          <w:tcPr>
            <w:tcW w:w="1842" w:type="dxa"/>
            <w:tcBorders>
              <w:top w:val="nil"/>
              <w:left w:val="nil"/>
              <w:bottom w:val="nil"/>
              <w:right w:val="nil"/>
            </w:tcBorders>
            <w:shd w:val="clear" w:color="auto" w:fill="auto"/>
            <w:vAlign w:val="center"/>
          </w:tcPr>
          <w:p w14:paraId="42974A1D" w14:textId="77777777" w:rsidR="00E05D7F" w:rsidRDefault="00E05D7F" w:rsidP="005B1A6B">
            <w:pPr>
              <w:spacing w:line="360" w:lineRule="auto"/>
              <w:jc w:val="center"/>
              <w:rPr>
                <w:color w:val="000000"/>
              </w:rPr>
            </w:pPr>
            <w:r>
              <w:rPr>
                <w:color w:val="000000"/>
              </w:rPr>
              <w:t>100.55</w:t>
            </w:r>
          </w:p>
        </w:tc>
        <w:tc>
          <w:tcPr>
            <w:tcW w:w="1985" w:type="dxa"/>
            <w:tcBorders>
              <w:top w:val="nil"/>
              <w:left w:val="nil"/>
              <w:bottom w:val="nil"/>
              <w:right w:val="nil"/>
            </w:tcBorders>
            <w:shd w:val="clear" w:color="auto" w:fill="auto"/>
            <w:vAlign w:val="center"/>
          </w:tcPr>
          <w:p w14:paraId="41031C04" w14:textId="77777777" w:rsidR="00E05D7F" w:rsidRDefault="00E05D7F" w:rsidP="005B1A6B">
            <w:pPr>
              <w:spacing w:line="360" w:lineRule="auto"/>
              <w:jc w:val="center"/>
              <w:rPr>
                <w:color w:val="000000"/>
              </w:rPr>
            </w:pPr>
            <w:r>
              <w:rPr>
                <w:color w:val="000000"/>
              </w:rPr>
              <w:t>109.71</w:t>
            </w:r>
          </w:p>
        </w:tc>
        <w:tc>
          <w:tcPr>
            <w:tcW w:w="1701" w:type="dxa"/>
            <w:tcBorders>
              <w:top w:val="nil"/>
              <w:left w:val="nil"/>
              <w:bottom w:val="nil"/>
              <w:right w:val="nil"/>
            </w:tcBorders>
            <w:shd w:val="clear" w:color="auto" w:fill="auto"/>
            <w:vAlign w:val="center"/>
          </w:tcPr>
          <w:p w14:paraId="2F56AB5B" w14:textId="77777777" w:rsidR="00E05D7F" w:rsidRDefault="00E05D7F" w:rsidP="005B1A6B">
            <w:pPr>
              <w:spacing w:line="360" w:lineRule="auto"/>
              <w:jc w:val="center"/>
              <w:rPr>
                <w:color w:val="000000"/>
              </w:rPr>
            </w:pPr>
            <w:r>
              <w:rPr>
                <w:color w:val="000000"/>
              </w:rPr>
              <w:t>4318.500 (.30)</w:t>
            </w:r>
          </w:p>
        </w:tc>
      </w:tr>
      <w:tr w:rsidR="00E05D7F" w14:paraId="1AB95F71" w14:textId="77777777" w:rsidTr="00A34FAC">
        <w:trPr>
          <w:trHeight w:val="229"/>
        </w:trPr>
        <w:tc>
          <w:tcPr>
            <w:tcW w:w="2977" w:type="dxa"/>
            <w:tcBorders>
              <w:top w:val="nil"/>
              <w:left w:val="nil"/>
              <w:bottom w:val="single" w:sz="4" w:space="0" w:color="000000"/>
              <w:right w:val="nil"/>
            </w:tcBorders>
            <w:shd w:val="clear" w:color="auto" w:fill="auto"/>
            <w:vAlign w:val="center"/>
          </w:tcPr>
          <w:p w14:paraId="1EAF9629" w14:textId="77777777" w:rsidR="00E05D7F" w:rsidRDefault="00E05D7F" w:rsidP="005B1A6B">
            <w:pPr>
              <w:spacing w:line="360" w:lineRule="auto"/>
              <w:rPr>
                <w:color w:val="000000"/>
              </w:rPr>
            </w:pPr>
            <w:r>
              <w:rPr>
                <w:color w:val="000000"/>
              </w:rPr>
              <w:t>Percepción individual futuro</w:t>
            </w:r>
          </w:p>
        </w:tc>
        <w:tc>
          <w:tcPr>
            <w:tcW w:w="1842" w:type="dxa"/>
            <w:tcBorders>
              <w:top w:val="nil"/>
              <w:left w:val="nil"/>
              <w:bottom w:val="single" w:sz="4" w:space="0" w:color="000000"/>
              <w:right w:val="nil"/>
            </w:tcBorders>
            <w:shd w:val="clear" w:color="auto" w:fill="auto"/>
            <w:vAlign w:val="center"/>
          </w:tcPr>
          <w:p w14:paraId="512060B6" w14:textId="77777777" w:rsidR="00E05D7F" w:rsidRDefault="00E05D7F" w:rsidP="005B1A6B">
            <w:pPr>
              <w:spacing w:line="360" w:lineRule="auto"/>
              <w:jc w:val="center"/>
              <w:rPr>
                <w:color w:val="000000"/>
              </w:rPr>
            </w:pPr>
            <w:r>
              <w:rPr>
                <w:color w:val="000000"/>
              </w:rPr>
              <w:t>106.64</w:t>
            </w:r>
          </w:p>
        </w:tc>
        <w:tc>
          <w:tcPr>
            <w:tcW w:w="1985" w:type="dxa"/>
            <w:tcBorders>
              <w:top w:val="nil"/>
              <w:left w:val="nil"/>
              <w:bottom w:val="single" w:sz="4" w:space="0" w:color="000000"/>
              <w:right w:val="nil"/>
            </w:tcBorders>
            <w:shd w:val="clear" w:color="auto" w:fill="auto"/>
            <w:vAlign w:val="center"/>
          </w:tcPr>
          <w:p w14:paraId="622AFA56" w14:textId="77777777" w:rsidR="00E05D7F" w:rsidRDefault="00E05D7F" w:rsidP="005B1A6B">
            <w:pPr>
              <w:spacing w:line="360" w:lineRule="auto"/>
              <w:jc w:val="center"/>
              <w:rPr>
                <w:color w:val="000000"/>
              </w:rPr>
            </w:pPr>
            <w:r>
              <w:rPr>
                <w:color w:val="000000"/>
              </w:rPr>
              <w:t>107.15</w:t>
            </w:r>
          </w:p>
        </w:tc>
        <w:tc>
          <w:tcPr>
            <w:tcW w:w="1701" w:type="dxa"/>
            <w:tcBorders>
              <w:top w:val="nil"/>
              <w:left w:val="nil"/>
              <w:bottom w:val="single" w:sz="4" w:space="0" w:color="000000"/>
              <w:right w:val="nil"/>
            </w:tcBorders>
            <w:shd w:val="clear" w:color="auto" w:fill="auto"/>
            <w:vAlign w:val="center"/>
          </w:tcPr>
          <w:p w14:paraId="25D29561" w14:textId="77777777" w:rsidR="00E05D7F" w:rsidRDefault="00E05D7F" w:rsidP="005B1A6B">
            <w:pPr>
              <w:spacing w:line="360" w:lineRule="auto"/>
              <w:jc w:val="center"/>
              <w:rPr>
                <w:color w:val="000000"/>
              </w:rPr>
            </w:pPr>
            <w:r>
              <w:rPr>
                <w:color w:val="000000"/>
              </w:rPr>
              <w:t>4702.500 (.95)</w:t>
            </w:r>
          </w:p>
        </w:tc>
      </w:tr>
    </w:tbl>
    <w:p w14:paraId="62779FEB" w14:textId="77777777" w:rsidR="002036DA" w:rsidRDefault="002036DA" w:rsidP="006612E1">
      <w:pPr>
        <w:pStyle w:val="Prrafocomn"/>
        <w:tabs>
          <w:tab w:val="left" w:pos="4000"/>
        </w:tabs>
        <w:rPr>
          <w:lang w:val="es-ES"/>
        </w:rPr>
      </w:pPr>
    </w:p>
    <w:p w14:paraId="1875C8C0" w14:textId="06F43A92" w:rsidR="00E05D7F" w:rsidRDefault="006612E1" w:rsidP="006612E1">
      <w:pPr>
        <w:pStyle w:val="Prrafocomn"/>
        <w:tabs>
          <w:tab w:val="left" w:pos="4000"/>
        </w:tabs>
        <w:rPr>
          <w:lang w:val="es-ES"/>
        </w:rPr>
      </w:pPr>
      <w:r w:rsidRPr="006612E1">
        <w:rPr>
          <w:lang w:val="es-ES"/>
        </w:rPr>
        <w:t>Finalmente, en la tabla 3 se identificaron diferencias, estadísticamente significativas, en la dimensión total y la expectativa hacia el futuro según el estrato socioeconómico, siendo los participantes de estrato 1 quienes obtuvieron mayor puntuación que los demás.</w:t>
      </w:r>
    </w:p>
    <w:tbl>
      <w:tblPr>
        <w:tblW w:w="8748" w:type="dxa"/>
        <w:tblLayout w:type="fixed"/>
        <w:tblLook w:val="0400" w:firstRow="0" w:lastRow="0" w:firstColumn="0" w:lastColumn="0" w:noHBand="0" w:noVBand="1"/>
      </w:tblPr>
      <w:tblGrid>
        <w:gridCol w:w="1418"/>
        <w:gridCol w:w="851"/>
        <w:gridCol w:w="997"/>
        <w:gridCol w:w="993"/>
        <w:gridCol w:w="993"/>
        <w:gridCol w:w="993"/>
        <w:gridCol w:w="849"/>
        <w:gridCol w:w="1418"/>
        <w:gridCol w:w="135"/>
        <w:gridCol w:w="101"/>
      </w:tblGrid>
      <w:tr w:rsidR="00E877FD" w14:paraId="75D3905C" w14:textId="77777777" w:rsidTr="007734F8">
        <w:trPr>
          <w:gridAfter w:val="1"/>
          <w:wAfter w:w="101" w:type="dxa"/>
          <w:trHeight w:val="310"/>
        </w:trPr>
        <w:tc>
          <w:tcPr>
            <w:tcW w:w="8647" w:type="dxa"/>
            <w:gridSpan w:val="9"/>
            <w:tcBorders>
              <w:top w:val="nil"/>
              <w:left w:val="nil"/>
              <w:right w:val="nil"/>
            </w:tcBorders>
            <w:shd w:val="clear" w:color="auto" w:fill="auto"/>
            <w:vAlign w:val="center"/>
          </w:tcPr>
          <w:p w14:paraId="28F90F7A" w14:textId="77777777" w:rsidR="006612E1" w:rsidRPr="006612E1" w:rsidRDefault="006612E1" w:rsidP="006612E1">
            <w:pPr>
              <w:spacing w:line="360" w:lineRule="auto"/>
              <w:rPr>
                <w:b/>
                <w:strike/>
                <w:color w:val="FF0000"/>
              </w:rPr>
            </w:pPr>
            <w:r w:rsidRPr="006612E1">
              <w:rPr>
                <w:b/>
              </w:rPr>
              <w:lastRenderedPageBreak/>
              <w:t>Tabla 3</w:t>
            </w:r>
          </w:p>
        </w:tc>
      </w:tr>
      <w:tr w:rsidR="00E877FD" w14:paraId="13107637" w14:textId="77777777" w:rsidTr="007734F8">
        <w:trPr>
          <w:gridAfter w:val="1"/>
          <w:wAfter w:w="101" w:type="dxa"/>
          <w:trHeight w:val="620"/>
        </w:trPr>
        <w:tc>
          <w:tcPr>
            <w:tcW w:w="8647" w:type="dxa"/>
            <w:gridSpan w:val="9"/>
            <w:tcBorders>
              <w:left w:val="nil"/>
              <w:bottom w:val="single" w:sz="4" w:space="0" w:color="000000"/>
              <w:right w:val="nil"/>
            </w:tcBorders>
            <w:shd w:val="clear" w:color="auto" w:fill="auto"/>
            <w:vAlign w:val="center"/>
          </w:tcPr>
          <w:p w14:paraId="50561FD8" w14:textId="77777777" w:rsidR="006612E1" w:rsidRDefault="006612E1" w:rsidP="006612E1">
            <w:pPr>
              <w:spacing w:line="360" w:lineRule="auto"/>
              <w:rPr>
                <w:i/>
                <w:color w:val="030303"/>
              </w:rPr>
            </w:pPr>
            <w:r>
              <w:rPr>
                <w:i/>
                <w:color w:val="030303"/>
              </w:rPr>
              <w:t>Comparación de la puntuación total y las dimensiones de la desesperanza según el estrato socioeconómico</w:t>
            </w:r>
          </w:p>
        </w:tc>
      </w:tr>
      <w:tr w:rsidR="00E877FD" w14:paraId="390B9056" w14:textId="77777777" w:rsidTr="007734F8">
        <w:trPr>
          <w:gridAfter w:val="1"/>
          <w:wAfter w:w="101" w:type="dxa"/>
          <w:trHeight w:val="620"/>
        </w:trPr>
        <w:tc>
          <w:tcPr>
            <w:tcW w:w="8647" w:type="dxa"/>
            <w:gridSpan w:val="9"/>
            <w:tcBorders>
              <w:top w:val="single" w:sz="4" w:space="0" w:color="000000"/>
            </w:tcBorders>
            <w:shd w:val="clear" w:color="auto" w:fill="auto"/>
            <w:vAlign w:val="center"/>
          </w:tcPr>
          <w:p w14:paraId="7993E029" w14:textId="77777777" w:rsidR="006612E1" w:rsidRPr="00E877FD" w:rsidRDefault="006612E1" w:rsidP="005B1A6B">
            <w:pPr>
              <w:spacing w:line="360" w:lineRule="auto"/>
              <w:ind w:left="3540"/>
              <w:rPr>
                <w:b/>
                <w:color w:val="030303"/>
                <w:sz w:val="22"/>
                <w:szCs w:val="22"/>
              </w:rPr>
            </w:pPr>
            <w:r w:rsidRPr="00E877FD">
              <w:rPr>
                <w:b/>
                <w:color w:val="030303"/>
                <w:sz w:val="22"/>
                <w:szCs w:val="22"/>
              </w:rPr>
              <w:t>Estrato socioeconómico</w:t>
            </w:r>
          </w:p>
        </w:tc>
      </w:tr>
      <w:tr w:rsidR="00E877FD" w:rsidRPr="00622C1E" w14:paraId="16BEDEFF" w14:textId="77777777" w:rsidTr="007734F8">
        <w:trPr>
          <w:gridAfter w:val="2"/>
          <w:wAfter w:w="236" w:type="dxa"/>
          <w:trHeight w:val="600"/>
        </w:trPr>
        <w:tc>
          <w:tcPr>
            <w:tcW w:w="1418" w:type="dxa"/>
            <w:vMerge w:val="restart"/>
            <w:tcBorders>
              <w:top w:val="nil"/>
              <w:left w:val="nil"/>
              <w:bottom w:val="nil"/>
              <w:right w:val="nil"/>
            </w:tcBorders>
            <w:shd w:val="clear" w:color="auto" w:fill="auto"/>
            <w:vAlign w:val="center"/>
          </w:tcPr>
          <w:p w14:paraId="0BAD0E6F" w14:textId="77777777" w:rsidR="006612E1" w:rsidRPr="00E877FD" w:rsidRDefault="006612E1" w:rsidP="007734F8">
            <w:pPr>
              <w:spacing w:line="276" w:lineRule="auto"/>
              <w:ind w:left="-110" w:right="34"/>
              <w:rPr>
                <w:color w:val="030303"/>
                <w:sz w:val="22"/>
                <w:szCs w:val="22"/>
              </w:rPr>
            </w:pPr>
            <w:r w:rsidRPr="00E877FD">
              <w:rPr>
                <w:color w:val="030303"/>
                <w:sz w:val="22"/>
                <w:szCs w:val="22"/>
              </w:rPr>
              <w:t>Variables</w:t>
            </w:r>
          </w:p>
        </w:tc>
        <w:tc>
          <w:tcPr>
            <w:tcW w:w="851" w:type="dxa"/>
            <w:tcBorders>
              <w:top w:val="nil"/>
              <w:left w:val="nil"/>
              <w:bottom w:val="nil"/>
              <w:right w:val="nil"/>
            </w:tcBorders>
            <w:shd w:val="clear" w:color="auto" w:fill="auto"/>
            <w:vAlign w:val="center"/>
          </w:tcPr>
          <w:p w14:paraId="090F6DFA" w14:textId="77777777" w:rsidR="006612E1" w:rsidRPr="00E877FD" w:rsidRDefault="006612E1" w:rsidP="00E65544">
            <w:pPr>
              <w:spacing w:line="276" w:lineRule="auto"/>
              <w:jc w:val="center"/>
              <w:rPr>
                <w:color w:val="030303"/>
                <w:sz w:val="22"/>
                <w:szCs w:val="22"/>
              </w:rPr>
            </w:pPr>
            <w:r w:rsidRPr="00E877FD">
              <w:rPr>
                <w:color w:val="030303"/>
                <w:sz w:val="22"/>
                <w:szCs w:val="22"/>
              </w:rPr>
              <w:t>1</w:t>
            </w:r>
          </w:p>
        </w:tc>
        <w:tc>
          <w:tcPr>
            <w:tcW w:w="997" w:type="dxa"/>
            <w:tcBorders>
              <w:top w:val="nil"/>
              <w:left w:val="nil"/>
              <w:bottom w:val="nil"/>
              <w:right w:val="nil"/>
            </w:tcBorders>
            <w:shd w:val="clear" w:color="auto" w:fill="auto"/>
            <w:vAlign w:val="center"/>
          </w:tcPr>
          <w:p w14:paraId="2FFAC565" w14:textId="77777777" w:rsidR="006612E1" w:rsidRPr="00E877FD" w:rsidRDefault="006612E1" w:rsidP="00E65544">
            <w:pPr>
              <w:spacing w:line="276" w:lineRule="auto"/>
              <w:ind w:left="-252"/>
              <w:jc w:val="center"/>
              <w:rPr>
                <w:color w:val="030303"/>
                <w:sz w:val="22"/>
                <w:szCs w:val="22"/>
              </w:rPr>
            </w:pPr>
            <w:r w:rsidRPr="00E877FD">
              <w:rPr>
                <w:color w:val="030303"/>
                <w:sz w:val="22"/>
                <w:szCs w:val="22"/>
              </w:rPr>
              <w:t>2</w:t>
            </w:r>
          </w:p>
        </w:tc>
        <w:tc>
          <w:tcPr>
            <w:tcW w:w="993" w:type="dxa"/>
            <w:tcBorders>
              <w:top w:val="nil"/>
              <w:left w:val="nil"/>
              <w:bottom w:val="nil"/>
              <w:right w:val="nil"/>
            </w:tcBorders>
            <w:shd w:val="clear" w:color="auto" w:fill="auto"/>
            <w:vAlign w:val="center"/>
          </w:tcPr>
          <w:p w14:paraId="427388A9" w14:textId="77777777" w:rsidR="006612E1" w:rsidRPr="00E877FD" w:rsidRDefault="006612E1" w:rsidP="00E65544">
            <w:pPr>
              <w:spacing w:line="276" w:lineRule="auto"/>
              <w:ind w:left="-249"/>
              <w:jc w:val="center"/>
              <w:rPr>
                <w:color w:val="030303"/>
                <w:sz w:val="22"/>
                <w:szCs w:val="22"/>
              </w:rPr>
            </w:pPr>
            <w:r w:rsidRPr="00E877FD">
              <w:rPr>
                <w:color w:val="030303"/>
                <w:sz w:val="22"/>
                <w:szCs w:val="22"/>
              </w:rPr>
              <w:t>3</w:t>
            </w:r>
          </w:p>
        </w:tc>
        <w:tc>
          <w:tcPr>
            <w:tcW w:w="993" w:type="dxa"/>
            <w:tcBorders>
              <w:top w:val="nil"/>
              <w:left w:val="nil"/>
              <w:bottom w:val="nil"/>
              <w:right w:val="nil"/>
            </w:tcBorders>
            <w:shd w:val="clear" w:color="auto" w:fill="auto"/>
            <w:vAlign w:val="center"/>
          </w:tcPr>
          <w:p w14:paraId="654E947B" w14:textId="77777777" w:rsidR="006612E1" w:rsidRPr="00E877FD" w:rsidRDefault="006612E1" w:rsidP="00E65544">
            <w:pPr>
              <w:spacing w:line="276" w:lineRule="auto"/>
              <w:jc w:val="center"/>
              <w:rPr>
                <w:color w:val="030303"/>
                <w:sz w:val="22"/>
                <w:szCs w:val="22"/>
              </w:rPr>
            </w:pPr>
            <w:r w:rsidRPr="00E877FD">
              <w:rPr>
                <w:color w:val="030303"/>
                <w:sz w:val="22"/>
                <w:szCs w:val="22"/>
              </w:rPr>
              <w:t>4</w:t>
            </w:r>
          </w:p>
        </w:tc>
        <w:tc>
          <w:tcPr>
            <w:tcW w:w="993" w:type="dxa"/>
            <w:tcBorders>
              <w:top w:val="nil"/>
              <w:left w:val="nil"/>
              <w:bottom w:val="nil"/>
            </w:tcBorders>
            <w:shd w:val="clear" w:color="auto" w:fill="auto"/>
            <w:vAlign w:val="center"/>
          </w:tcPr>
          <w:p w14:paraId="12A331C4" w14:textId="77777777" w:rsidR="006612E1" w:rsidRPr="00E877FD" w:rsidRDefault="006612E1" w:rsidP="00E65544">
            <w:pPr>
              <w:spacing w:line="276" w:lineRule="auto"/>
              <w:jc w:val="center"/>
              <w:rPr>
                <w:color w:val="030303"/>
                <w:sz w:val="22"/>
                <w:szCs w:val="22"/>
              </w:rPr>
            </w:pPr>
            <w:r w:rsidRPr="00E877FD">
              <w:rPr>
                <w:color w:val="030303"/>
                <w:sz w:val="22"/>
                <w:szCs w:val="22"/>
              </w:rPr>
              <w:t>5</w:t>
            </w:r>
          </w:p>
        </w:tc>
        <w:tc>
          <w:tcPr>
            <w:tcW w:w="849" w:type="dxa"/>
            <w:tcBorders>
              <w:top w:val="nil"/>
            </w:tcBorders>
            <w:shd w:val="clear" w:color="auto" w:fill="auto"/>
            <w:vAlign w:val="center"/>
          </w:tcPr>
          <w:p w14:paraId="19B8E214" w14:textId="77777777" w:rsidR="006612E1" w:rsidRPr="00E877FD" w:rsidRDefault="006612E1" w:rsidP="00E65544">
            <w:pPr>
              <w:spacing w:line="276" w:lineRule="auto"/>
              <w:jc w:val="center"/>
              <w:rPr>
                <w:color w:val="030303"/>
                <w:sz w:val="22"/>
                <w:szCs w:val="22"/>
              </w:rPr>
            </w:pPr>
            <w:r w:rsidRPr="00E877FD">
              <w:rPr>
                <w:color w:val="030303"/>
                <w:sz w:val="22"/>
                <w:szCs w:val="22"/>
              </w:rPr>
              <w:t>6</w:t>
            </w:r>
          </w:p>
        </w:tc>
        <w:tc>
          <w:tcPr>
            <w:tcW w:w="1418" w:type="dxa"/>
            <w:vMerge w:val="restart"/>
            <w:tcBorders>
              <w:top w:val="nil"/>
              <w:left w:val="nil"/>
              <w:bottom w:val="nil"/>
              <w:right w:val="nil"/>
            </w:tcBorders>
            <w:shd w:val="clear" w:color="auto" w:fill="auto"/>
            <w:vAlign w:val="center"/>
          </w:tcPr>
          <w:p w14:paraId="293DBC7C" w14:textId="77777777" w:rsidR="00E877FD" w:rsidRDefault="006612E1" w:rsidP="00E65544">
            <w:pPr>
              <w:spacing w:line="276" w:lineRule="auto"/>
              <w:ind w:left="-110"/>
              <w:jc w:val="center"/>
              <w:rPr>
                <w:color w:val="030303"/>
                <w:sz w:val="22"/>
                <w:szCs w:val="22"/>
                <w:lang w:val="pt-BR"/>
              </w:rPr>
            </w:pPr>
            <w:r w:rsidRPr="00E877FD">
              <w:rPr>
                <w:color w:val="030303"/>
                <w:sz w:val="22"/>
                <w:szCs w:val="22"/>
                <w:lang w:val="pt-BR"/>
              </w:rPr>
              <w:t xml:space="preserve">H de </w:t>
            </w:r>
            <w:proofErr w:type="spellStart"/>
            <w:r w:rsidRPr="00E877FD">
              <w:rPr>
                <w:color w:val="030303"/>
                <w:sz w:val="22"/>
                <w:szCs w:val="22"/>
                <w:lang w:val="pt-BR"/>
              </w:rPr>
              <w:t>Kruskal</w:t>
            </w:r>
            <w:proofErr w:type="spellEnd"/>
            <w:r w:rsidRPr="00E877FD">
              <w:rPr>
                <w:color w:val="030303"/>
                <w:sz w:val="22"/>
                <w:szCs w:val="22"/>
                <w:lang w:val="pt-BR"/>
              </w:rPr>
              <w:t xml:space="preserve">-Wallis </w:t>
            </w:r>
          </w:p>
          <w:p w14:paraId="64C5E3BE" w14:textId="15383B0A" w:rsidR="006612E1" w:rsidRPr="00E877FD" w:rsidRDefault="006612E1" w:rsidP="00E65544">
            <w:pPr>
              <w:spacing w:line="276" w:lineRule="auto"/>
              <w:jc w:val="center"/>
              <w:rPr>
                <w:color w:val="030303"/>
                <w:sz w:val="22"/>
                <w:szCs w:val="22"/>
                <w:lang w:val="pt-BR"/>
              </w:rPr>
            </w:pPr>
            <w:r w:rsidRPr="00E877FD">
              <w:rPr>
                <w:color w:val="030303"/>
                <w:sz w:val="22"/>
                <w:szCs w:val="22"/>
                <w:lang w:val="pt-BR"/>
              </w:rPr>
              <w:t>(p-valor)</w:t>
            </w:r>
          </w:p>
        </w:tc>
      </w:tr>
      <w:tr w:rsidR="00E877FD" w14:paraId="694CE176" w14:textId="77777777" w:rsidTr="007734F8">
        <w:trPr>
          <w:gridAfter w:val="2"/>
          <w:wAfter w:w="236" w:type="dxa"/>
          <w:trHeight w:val="310"/>
        </w:trPr>
        <w:tc>
          <w:tcPr>
            <w:tcW w:w="1418" w:type="dxa"/>
            <w:vMerge/>
            <w:tcBorders>
              <w:top w:val="nil"/>
              <w:left w:val="nil"/>
              <w:bottom w:val="nil"/>
              <w:right w:val="nil"/>
            </w:tcBorders>
            <w:shd w:val="clear" w:color="auto" w:fill="auto"/>
            <w:vAlign w:val="center"/>
          </w:tcPr>
          <w:p w14:paraId="337D907D" w14:textId="77777777" w:rsidR="006612E1" w:rsidRPr="00E877FD" w:rsidRDefault="006612E1" w:rsidP="007734F8">
            <w:pPr>
              <w:widowControl w:val="0"/>
              <w:pBdr>
                <w:top w:val="nil"/>
                <w:left w:val="nil"/>
                <w:bottom w:val="nil"/>
                <w:right w:val="nil"/>
                <w:between w:val="nil"/>
              </w:pBdr>
              <w:spacing w:line="276" w:lineRule="auto"/>
              <w:ind w:left="-110" w:right="34"/>
              <w:rPr>
                <w:color w:val="030303"/>
                <w:sz w:val="22"/>
                <w:szCs w:val="22"/>
                <w:lang w:val="pt-BR"/>
              </w:rPr>
            </w:pPr>
          </w:p>
        </w:tc>
        <w:tc>
          <w:tcPr>
            <w:tcW w:w="851" w:type="dxa"/>
            <w:tcBorders>
              <w:top w:val="nil"/>
              <w:left w:val="nil"/>
              <w:bottom w:val="nil"/>
              <w:right w:val="nil"/>
            </w:tcBorders>
            <w:shd w:val="clear" w:color="auto" w:fill="auto"/>
            <w:vAlign w:val="center"/>
          </w:tcPr>
          <w:p w14:paraId="731CD98F" w14:textId="77777777" w:rsidR="006612E1" w:rsidRPr="00E877FD" w:rsidRDefault="006612E1" w:rsidP="00E65544">
            <w:pPr>
              <w:spacing w:line="276" w:lineRule="auto"/>
              <w:ind w:left="-110"/>
              <w:jc w:val="center"/>
              <w:rPr>
                <w:color w:val="030303"/>
                <w:sz w:val="22"/>
                <w:szCs w:val="22"/>
              </w:rPr>
            </w:pPr>
            <w:r w:rsidRPr="00E877FD">
              <w:rPr>
                <w:color w:val="030303"/>
                <w:sz w:val="22"/>
                <w:szCs w:val="22"/>
              </w:rPr>
              <w:t>(n = 12)</w:t>
            </w:r>
          </w:p>
        </w:tc>
        <w:tc>
          <w:tcPr>
            <w:tcW w:w="997" w:type="dxa"/>
            <w:tcBorders>
              <w:top w:val="nil"/>
              <w:left w:val="nil"/>
              <w:bottom w:val="nil"/>
              <w:right w:val="nil"/>
            </w:tcBorders>
            <w:shd w:val="clear" w:color="auto" w:fill="auto"/>
            <w:vAlign w:val="center"/>
          </w:tcPr>
          <w:p w14:paraId="34D32E19" w14:textId="77777777" w:rsidR="006612E1" w:rsidRPr="00E877FD" w:rsidRDefault="006612E1" w:rsidP="00E65544">
            <w:pPr>
              <w:spacing w:line="276" w:lineRule="auto"/>
              <w:ind w:left="-252"/>
              <w:jc w:val="center"/>
              <w:rPr>
                <w:color w:val="030303"/>
                <w:sz w:val="22"/>
                <w:szCs w:val="22"/>
              </w:rPr>
            </w:pPr>
            <w:r w:rsidRPr="00E877FD">
              <w:rPr>
                <w:color w:val="030303"/>
                <w:sz w:val="22"/>
                <w:szCs w:val="22"/>
              </w:rPr>
              <w:t>(n = 40)</w:t>
            </w:r>
          </w:p>
        </w:tc>
        <w:tc>
          <w:tcPr>
            <w:tcW w:w="993" w:type="dxa"/>
            <w:tcBorders>
              <w:top w:val="nil"/>
              <w:left w:val="nil"/>
              <w:bottom w:val="nil"/>
              <w:right w:val="nil"/>
            </w:tcBorders>
            <w:shd w:val="clear" w:color="auto" w:fill="auto"/>
            <w:vAlign w:val="center"/>
          </w:tcPr>
          <w:p w14:paraId="249C4555" w14:textId="77777777" w:rsidR="006612E1" w:rsidRPr="00E877FD" w:rsidRDefault="006612E1" w:rsidP="00E65544">
            <w:pPr>
              <w:spacing w:line="276" w:lineRule="auto"/>
              <w:ind w:left="-249"/>
              <w:jc w:val="center"/>
              <w:rPr>
                <w:color w:val="030303"/>
                <w:sz w:val="22"/>
                <w:szCs w:val="22"/>
              </w:rPr>
            </w:pPr>
            <w:r w:rsidRPr="00E877FD">
              <w:rPr>
                <w:color w:val="030303"/>
                <w:sz w:val="22"/>
                <w:szCs w:val="22"/>
              </w:rPr>
              <w:t>(n = 75)</w:t>
            </w:r>
          </w:p>
        </w:tc>
        <w:tc>
          <w:tcPr>
            <w:tcW w:w="993" w:type="dxa"/>
            <w:tcBorders>
              <w:top w:val="nil"/>
              <w:left w:val="nil"/>
              <w:bottom w:val="nil"/>
              <w:right w:val="nil"/>
            </w:tcBorders>
            <w:shd w:val="clear" w:color="auto" w:fill="auto"/>
            <w:vAlign w:val="center"/>
          </w:tcPr>
          <w:p w14:paraId="1A1C95F6" w14:textId="77777777" w:rsidR="006612E1" w:rsidRPr="00E877FD" w:rsidRDefault="006612E1" w:rsidP="00E65544">
            <w:pPr>
              <w:spacing w:line="276" w:lineRule="auto"/>
              <w:ind w:left="-247"/>
              <w:jc w:val="center"/>
              <w:rPr>
                <w:color w:val="030303"/>
                <w:sz w:val="22"/>
                <w:szCs w:val="22"/>
              </w:rPr>
            </w:pPr>
            <w:r w:rsidRPr="00E877FD">
              <w:rPr>
                <w:color w:val="030303"/>
                <w:sz w:val="22"/>
                <w:szCs w:val="22"/>
              </w:rPr>
              <w:t>(n = 58)</w:t>
            </w:r>
          </w:p>
        </w:tc>
        <w:tc>
          <w:tcPr>
            <w:tcW w:w="993" w:type="dxa"/>
            <w:tcBorders>
              <w:top w:val="nil"/>
              <w:left w:val="nil"/>
              <w:bottom w:val="nil"/>
              <w:right w:val="nil"/>
            </w:tcBorders>
            <w:shd w:val="clear" w:color="auto" w:fill="auto"/>
            <w:vAlign w:val="center"/>
          </w:tcPr>
          <w:p w14:paraId="55B1CE2A" w14:textId="77777777" w:rsidR="006612E1" w:rsidRPr="00E877FD" w:rsidRDefault="006612E1" w:rsidP="00E65544">
            <w:pPr>
              <w:spacing w:line="276" w:lineRule="auto"/>
              <w:ind w:left="-255"/>
              <w:jc w:val="center"/>
              <w:rPr>
                <w:color w:val="030303"/>
                <w:sz w:val="22"/>
                <w:szCs w:val="22"/>
              </w:rPr>
            </w:pPr>
            <w:r w:rsidRPr="00E877FD">
              <w:rPr>
                <w:color w:val="030303"/>
                <w:sz w:val="22"/>
                <w:szCs w:val="22"/>
              </w:rPr>
              <w:t>(n = 21)</w:t>
            </w:r>
          </w:p>
        </w:tc>
        <w:tc>
          <w:tcPr>
            <w:tcW w:w="849" w:type="dxa"/>
            <w:tcBorders>
              <w:left w:val="nil"/>
              <w:bottom w:val="nil"/>
              <w:right w:val="nil"/>
            </w:tcBorders>
            <w:shd w:val="clear" w:color="auto" w:fill="auto"/>
            <w:vAlign w:val="center"/>
          </w:tcPr>
          <w:p w14:paraId="213F0C42" w14:textId="77777777" w:rsidR="006612E1" w:rsidRPr="00E877FD" w:rsidRDefault="006612E1" w:rsidP="00E65544">
            <w:pPr>
              <w:spacing w:line="276" w:lineRule="auto"/>
              <w:ind w:left="-253"/>
              <w:jc w:val="center"/>
              <w:rPr>
                <w:color w:val="030303"/>
                <w:sz w:val="22"/>
                <w:szCs w:val="22"/>
              </w:rPr>
            </w:pPr>
            <w:r w:rsidRPr="00E877FD">
              <w:rPr>
                <w:color w:val="030303"/>
                <w:sz w:val="22"/>
                <w:szCs w:val="22"/>
              </w:rPr>
              <w:t>(n = 7)</w:t>
            </w:r>
          </w:p>
        </w:tc>
        <w:tc>
          <w:tcPr>
            <w:tcW w:w="1418" w:type="dxa"/>
            <w:vMerge/>
            <w:tcBorders>
              <w:top w:val="nil"/>
              <w:left w:val="nil"/>
              <w:bottom w:val="nil"/>
              <w:right w:val="nil"/>
            </w:tcBorders>
            <w:shd w:val="clear" w:color="auto" w:fill="auto"/>
            <w:vAlign w:val="center"/>
          </w:tcPr>
          <w:p w14:paraId="0AC60224" w14:textId="77777777" w:rsidR="006612E1" w:rsidRPr="00E877FD" w:rsidRDefault="006612E1" w:rsidP="00E65544">
            <w:pPr>
              <w:widowControl w:val="0"/>
              <w:pBdr>
                <w:top w:val="nil"/>
                <w:left w:val="nil"/>
                <w:bottom w:val="nil"/>
                <w:right w:val="nil"/>
                <w:between w:val="nil"/>
              </w:pBdr>
              <w:spacing w:line="276" w:lineRule="auto"/>
              <w:rPr>
                <w:color w:val="030303"/>
                <w:sz w:val="22"/>
                <w:szCs w:val="22"/>
              </w:rPr>
            </w:pPr>
          </w:p>
        </w:tc>
      </w:tr>
      <w:tr w:rsidR="00E877FD" w14:paraId="2A1B669F" w14:textId="77777777" w:rsidTr="007734F8">
        <w:trPr>
          <w:gridAfter w:val="2"/>
          <w:wAfter w:w="236" w:type="dxa"/>
          <w:trHeight w:val="305"/>
        </w:trPr>
        <w:tc>
          <w:tcPr>
            <w:tcW w:w="1418" w:type="dxa"/>
            <w:vMerge/>
            <w:tcBorders>
              <w:top w:val="nil"/>
              <w:left w:val="nil"/>
              <w:bottom w:val="nil"/>
              <w:right w:val="nil"/>
            </w:tcBorders>
            <w:shd w:val="clear" w:color="auto" w:fill="auto"/>
            <w:vAlign w:val="center"/>
          </w:tcPr>
          <w:p w14:paraId="45726986" w14:textId="77777777" w:rsidR="006612E1" w:rsidRPr="00E877FD" w:rsidRDefault="006612E1" w:rsidP="007734F8">
            <w:pPr>
              <w:widowControl w:val="0"/>
              <w:pBdr>
                <w:top w:val="nil"/>
                <w:left w:val="nil"/>
                <w:bottom w:val="nil"/>
                <w:right w:val="nil"/>
                <w:between w:val="nil"/>
              </w:pBdr>
              <w:spacing w:line="276" w:lineRule="auto"/>
              <w:ind w:left="-110" w:right="34"/>
              <w:rPr>
                <w:color w:val="030303"/>
                <w:sz w:val="22"/>
                <w:szCs w:val="22"/>
              </w:rPr>
            </w:pPr>
          </w:p>
        </w:tc>
        <w:tc>
          <w:tcPr>
            <w:tcW w:w="851" w:type="dxa"/>
            <w:tcBorders>
              <w:top w:val="nil"/>
              <w:left w:val="nil"/>
              <w:bottom w:val="nil"/>
              <w:right w:val="nil"/>
            </w:tcBorders>
            <w:shd w:val="clear" w:color="auto" w:fill="auto"/>
            <w:vAlign w:val="center"/>
          </w:tcPr>
          <w:p w14:paraId="5147049B" w14:textId="77777777" w:rsidR="006612E1" w:rsidRPr="00E877FD" w:rsidRDefault="006612E1" w:rsidP="00E65544">
            <w:pPr>
              <w:spacing w:line="276" w:lineRule="auto"/>
              <w:jc w:val="center"/>
              <w:rPr>
                <w:color w:val="030303"/>
                <w:sz w:val="22"/>
                <w:szCs w:val="22"/>
              </w:rPr>
            </w:pPr>
            <w:r w:rsidRPr="00E877FD">
              <w:rPr>
                <w:color w:val="030303"/>
                <w:sz w:val="22"/>
                <w:szCs w:val="22"/>
              </w:rPr>
              <w:t>RP</w:t>
            </w:r>
          </w:p>
        </w:tc>
        <w:tc>
          <w:tcPr>
            <w:tcW w:w="997" w:type="dxa"/>
            <w:tcBorders>
              <w:top w:val="nil"/>
              <w:left w:val="nil"/>
              <w:bottom w:val="nil"/>
              <w:right w:val="nil"/>
            </w:tcBorders>
            <w:shd w:val="clear" w:color="auto" w:fill="auto"/>
            <w:vAlign w:val="center"/>
          </w:tcPr>
          <w:p w14:paraId="2C88A0BA" w14:textId="77777777" w:rsidR="006612E1" w:rsidRPr="00E877FD" w:rsidRDefault="006612E1" w:rsidP="00E65544">
            <w:pPr>
              <w:spacing w:line="276" w:lineRule="auto"/>
              <w:ind w:left="-252"/>
              <w:jc w:val="center"/>
              <w:rPr>
                <w:color w:val="030303"/>
                <w:sz w:val="22"/>
                <w:szCs w:val="22"/>
              </w:rPr>
            </w:pPr>
            <w:r w:rsidRPr="00E877FD">
              <w:rPr>
                <w:color w:val="030303"/>
                <w:sz w:val="22"/>
                <w:szCs w:val="22"/>
              </w:rPr>
              <w:t>RP</w:t>
            </w:r>
          </w:p>
        </w:tc>
        <w:tc>
          <w:tcPr>
            <w:tcW w:w="993" w:type="dxa"/>
            <w:tcBorders>
              <w:top w:val="nil"/>
              <w:left w:val="nil"/>
              <w:bottom w:val="nil"/>
              <w:right w:val="nil"/>
            </w:tcBorders>
            <w:shd w:val="clear" w:color="auto" w:fill="auto"/>
            <w:vAlign w:val="center"/>
          </w:tcPr>
          <w:p w14:paraId="108AC110" w14:textId="77777777" w:rsidR="006612E1" w:rsidRPr="00E877FD" w:rsidRDefault="006612E1" w:rsidP="00E65544">
            <w:pPr>
              <w:spacing w:line="276" w:lineRule="auto"/>
              <w:ind w:left="-249"/>
              <w:jc w:val="center"/>
              <w:rPr>
                <w:color w:val="030303"/>
                <w:sz w:val="22"/>
                <w:szCs w:val="22"/>
              </w:rPr>
            </w:pPr>
            <w:r w:rsidRPr="00E877FD">
              <w:rPr>
                <w:color w:val="030303"/>
                <w:sz w:val="22"/>
                <w:szCs w:val="22"/>
              </w:rPr>
              <w:t>RP</w:t>
            </w:r>
          </w:p>
        </w:tc>
        <w:tc>
          <w:tcPr>
            <w:tcW w:w="993" w:type="dxa"/>
            <w:tcBorders>
              <w:top w:val="nil"/>
              <w:left w:val="nil"/>
              <w:bottom w:val="nil"/>
              <w:right w:val="nil"/>
            </w:tcBorders>
            <w:shd w:val="clear" w:color="auto" w:fill="auto"/>
            <w:vAlign w:val="center"/>
          </w:tcPr>
          <w:p w14:paraId="361D2CD9" w14:textId="77777777" w:rsidR="006612E1" w:rsidRPr="00E877FD" w:rsidRDefault="006612E1" w:rsidP="00E65544">
            <w:pPr>
              <w:spacing w:line="276" w:lineRule="auto"/>
              <w:ind w:left="-247"/>
              <w:jc w:val="center"/>
              <w:rPr>
                <w:color w:val="030303"/>
                <w:sz w:val="22"/>
                <w:szCs w:val="22"/>
              </w:rPr>
            </w:pPr>
            <w:r w:rsidRPr="00E877FD">
              <w:rPr>
                <w:color w:val="030303"/>
                <w:sz w:val="22"/>
                <w:szCs w:val="22"/>
              </w:rPr>
              <w:t>RP</w:t>
            </w:r>
          </w:p>
        </w:tc>
        <w:tc>
          <w:tcPr>
            <w:tcW w:w="993" w:type="dxa"/>
            <w:tcBorders>
              <w:top w:val="nil"/>
              <w:left w:val="nil"/>
              <w:bottom w:val="nil"/>
              <w:right w:val="nil"/>
            </w:tcBorders>
            <w:shd w:val="clear" w:color="auto" w:fill="auto"/>
            <w:vAlign w:val="center"/>
          </w:tcPr>
          <w:p w14:paraId="184E56DA" w14:textId="77777777" w:rsidR="006612E1" w:rsidRPr="00E877FD" w:rsidRDefault="006612E1" w:rsidP="00E65544">
            <w:pPr>
              <w:spacing w:line="276" w:lineRule="auto"/>
              <w:ind w:left="-255"/>
              <w:jc w:val="center"/>
              <w:rPr>
                <w:color w:val="030303"/>
                <w:sz w:val="22"/>
                <w:szCs w:val="22"/>
              </w:rPr>
            </w:pPr>
            <w:r w:rsidRPr="00E877FD">
              <w:rPr>
                <w:color w:val="030303"/>
                <w:sz w:val="22"/>
                <w:szCs w:val="22"/>
              </w:rPr>
              <w:t>RP</w:t>
            </w:r>
          </w:p>
        </w:tc>
        <w:tc>
          <w:tcPr>
            <w:tcW w:w="849" w:type="dxa"/>
            <w:tcBorders>
              <w:top w:val="nil"/>
              <w:left w:val="nil"/>
              <w:bottom w:val="nil"/>
              <w:right w:val="nil"/>
            </w:tcBorders>
            <w:shd w:val="clear" w:color="auto" w:fill="auto"/>
            <w:vAlign w:val="center"/>
          </w:tcPr>
          <w:p w14:paraId="1066B0C1" w14:textId="77777777" w:rsidR="006612E1" w:rsidRPr="00E877FD" w:rsidRDefault="006612E1" w:rsidP="00E65544">
            <w:pPr>
              <w:spacing w:line="276" w:lineRule="auto"/>
              <w:ind w:left="-253"/>
              <w:jc w:val="center"/>
              <w:rPr>
                <w:color w:val="030303"/>
                <w:sz w:val="22"/>
                <w:szCs w:val="22"/>
              </w:rPr>
            </w:pPr>
            <w:r w:rsidRPr="00E877FD">
              <w:rPr>
                <w:color w:val="030303"/>
                <w:sz w:val="22"/>
                <w:szCs w:val="22"/>
              </w:rPr>
              <w:t>RP</w:t>
            </w:r>
          </w:p>
        </w:tc>
        <w:tc>
          <w:tcPr>
            <w:tcW w:w="1418" w:type="dxa"/>
            <w:vMerge/>
            <w:tcBorders>
              <w:top w:val="nil"/>
              <w:left w:val="nil"/>
              <w:bottom w:val="nil"/>
              <w:right w:val="nil"/>
            </w:tcBorders>
            <w:shd w:val="clear" w:color="auto" w:fill="auto"/>
            <w:vAlign w:val="center"/>
          </w:tcPr>
          <w:p w14:paraId="4E97A17F" w14:textId="77777777" w:rsidR="006612E1" w:rsidRPr="00E877FD" w:rsidRDefault="006612E1" w:rsidP="00E65544">
            <w:pPr>
              <w:widowControl w:val="0"/>
              <w:pBdr>
                <w:top w:val="nil"/>
                <w:left w:val="nil"/>
                <w:bottom w:val="nil"/>
                <w:right w:val="nil"/>
                <w:between w:val="nil"/>
              </w:pBdr>
              <w:spacing w:line="276" w:lineRule="auto"/>
              <w:rPr>
                <w:color w:val="030303"/>
                <w:sz w:val="22"/>
                <w:szCs w:val="22"/>
              </w:rPr>
            </w:pPr>
          </w:p>
        </w:tc>
      </w:tr>
      <w:tr w:rsidR="00E877FD" w14:paraId="4012AD98" w14:textId="77777777" w:rsidTr="007734F8">
        <w:trPr>
          <w:gridAfter w:val="2"/>
          <w:wAfter w:w="236" w:type="dxa"/>
          <w:trHeight w:val="450"/>
        </w:trPr>
        <w:tc>
          <w:tcPr>
            <w:tcW w:w="1418" w:type="dxa"/>
            <w:vMerge w:val="restart"/>
            <w:tcBorders>
              <w:top w:val="nil"/>
              <w:left w:val="nil"/>
              <w:bottom w:val="nil"/>
              <w:right w:val="nil"/>
            </w:tcBorders>
            <w:shd w:val="clear" w:color="auto" w:fill="auto"/>
            <w:vAlign w:val="center"/>
          </w:tcPr>
          <w:p w14:paraId="783CA14C" w14:textId="77777777" w:rsidR="006612E1" w:rsidRPr="00E877FD" w:rsidRDefault="006612E1" w:rsidP="007734F8">
            <w:pPr>
              <w:spacing w:line="276" w:lineRule="auto"/>
              <w:ind w:left="-110" w:right="34"/>
              <w:rPr>
                <w:color w:val="000000"/>
                <w:sz w:val="22"/>
                <w:szCs w:val="22"/>
              </w:rPr>
            </w:pPr>
            <w:r w:rsidRPr="00E877FD">
              <w:rPr>
                <w:color w:val="000000"/>
                <w:sz w:val="22"/>
                <w:szCs w:val="22"/>
              </w:rPr>
              <w:t>Desesperanza total</w:t>
            </w:r>
          </w:p>
        </w:tc>
        <w:tc>
          <w:tcPr>
            <w:tcW w:w="851" w:type="dxa"/>
            <w:vMerge w:val="restart"/>
            <w:tcBorders>
              <w:top w:val="nil"/>
              <w:left w:val="nil"/>
              <w:bottom w:val="nil"/>
              <w:right w:val="nil"/>
            </w:tcBorders>
            <w:shd w:val="clear" w:color="auto" w:fill="auto"/>
            <w:vAlign w:val="center"/>
          </w:tcPr>
          <w:p w14:paraId="4904E203" w14:textId="77777777" w:rsidR="006612E1" w:rsidRPr="00E877FD" w:rsidRDefault="006612E1" w:rsidP="00E65544">
            <w:pPr>
              <w:spacing w:line="276" w:lineRule="auto"/>
              <w:jc w:val="center"/>
              <w:rPr>
                <w:color w:val="000000"/>
                <w:sz w:val="22"/>
                <w:szCs w:val="22"/>
              </w:rPr>
            </w:pPr>
            <w:r w:rsidRPr="00E877FD">
              <w:rPr>
                <w:color w:val="000000"/>
                <w:sz w:val="22"/>
                <w:szCs w:val="22"/>
              </w:rPr>
              <w:t>155.67</w:t>
            </w:r>
          </w:p>
        </w:tc>
        <w:tc>
          <w:tcPr>
            <w:tcW w:w="997" w:type="dxa"/>
            <w:vMerge w:val="restart"/>
            <w:tcBorders>
              <w:top w:val="nil"/>
              <w:left w:val="nil"/>
              <w:bottom w:val="nil"/>
              <w:right w:val="nil"/>
            </w:tcBorders>
            <w:shd w:val="clear" w:color="auto" w:fill="auto"/>
            <w:vAlign w:val="center"/>
          </w:tcPr>
          <w:p w14:paraId="5B5F5B3D"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132.30</w:t>
            </w:r>
          </w:p>
        </w:tc>
        <w:tc>
          <w:tcPr>
            <w:tcW w:w="993" w:type="dxa"/>
            <w:vMerge w:val="restart"/>
            <w:tcBorders>
              <w:top w:val="nil"/>
              <w:left w:val="nil"/>
              <w:bottom w:val="nil"/>
              <w:right w:val="nil"/>
            </w:tcBorders>
            <w:shd w:val="clear" w:color="auto" w:fill="auto"/>
            <w:vAlign w:val="center"/>
          </w:tcPr>
          <w:p w14:paraId="743C1E4E" w14:textId="77777777" w:rsidR="006612E1" w:rsidRPr="00E877FD" w:rsidRDefault="006612E1" w:rsidP="00E65544">
            <w:pPr>
              <w:spacing w:line="276" w:lineRule="auto"/>
              <w:ind w:left="-249"/>
              <w:jc w:val="center"/>
              <w:rPr>
                <w:color w:val="000000"/>
                <w:sz w:val="22"/>
                <w:szCs w:val="22"/>
              </w:rPr>
            </w:pPr>
            <w:r w:rsidRPr="00E877FD">
              <w:rPr>
                <w:color w:val="000000"/>
                <w:sz w:val="22"/>
                <w:szCs w:val="22"/>
              </w:rPr>
              <w:t>95.67</w:t>
            </w:r>
          </w:p>
        </w:tc>
        <w:tc>
          <w:tcPr>
            <w:tcW w:w="993" w:type="dxa"/>
            <w:vMerge w:val="restart"/>
            <w:tcBorders>
              <w:top w:val="nil"/>
              <w:left w:val="nil"/>
              <w:bottom w:val="nil"/>
              <w:right w:val="nil"/>
            </w:tcBorders>
            <w:shd w:val="clear" w:color="auto" w:fill="auto"/>
            <w:vAlign w:val="center"/>
          </w:tcPr>
          <w:p w14:paraId="41638CCC" w14:textId="77777777" w:rsidR="006612E1" w:rsidRPr="00E877FD" w:rsidRDefault="006612E1" w:rsidP="00E65544">
            <w:pPr>
              <w:spacing w:line="276" w:lineRule="auto"/>
              <w:ind w:left="-247"/>
              <w:jc w:val="center"/>
              <w:rPr>
                <w:color w:val="000000"/>
                <w:sz w:val="22"/>
                <w:szCs w:val="22"/>
              </w:rPr>
            </w:pPr>
            <w:r w:rsidRPr="00E877FD">
              <w:rPr>
                <w:color w:val="000000"/>
                <w:sz w:val="22"/>
                <w:szCs w:val="22"/>
              </w:rPr>
              <w:t>102.83</w:t>
            </w:r>
          </w:p>
        </w:tc>
        <w:tc>
          <w:tcPr>
            <w:tcW w:w="993" w:type="dxa"/>
            <w:vMerge w:val="restart"/>
            <w:tcBorders>
              <w:top w:val="nil"/>
              <w:left w:val="nil"/>
              <w:bottom w:val="nil"/>
              <w:right w:val="nil"/>
            </w:tcBorders>
            <w:shd w:val="clear" w:color="auto" w:fill="auto"/>
            <w:vAlign w:val="center"/>
          </w:tcPr>
          <w:p w14:paraId="231D4EB2" w14:textId="77777777" w:rsidR="006612E1" w:rsidRPr="00E877FD" w:rsidRDefault="006612E1" w:rsidP="00E65544">
            <w:pPr>
              <w:spacing w:line="276" w:lineRule="auto"/>
              <w:ind w:left="-255"/>
              <w:jc w:val="center"/>
              <w:rPr>
                <w:color w:val="000000"/>
                <w:sz w:val="22"/>
                <w:szCs w:val="22"/>
              </w:rPr>
            </w:pPr>
            <w:r w:rsidRPr="00E877FD">
              <w:rPr>
                <w:color w:val="000000"/>
                <w:sz w:val="22"/>
                <w:szCs w:val="22"/>
              </w:rPr>
              <w:t>83.19</w:t>
            </w:r>
          </w:p>
        </w:tc>
        <w:tc>
          <w:tcPr>
            <w:tcW w:w="849" w:type="dxa"/>
            <w:vMerge w:val="restart"/>
            <w:tcBorders>
              <w:top w:val="nil"/>
              <w:left w:val="nil"/>
              <w:bottom w:val="nil"/>
              <w:right w:val="nil"/>
            </w:tcBorders>
            <w:shd w:val="clear" w:color="auto" w:fill="auto"/>
            <w:vAlign w:val="center"/>
          </w:tcPr>
          <w:p w14:paraId="3660BB50" w14:textId="77777777" w:rsidR="006612E1" w:rsidRPr="00E877FD" w:rsidRDefault="006612E1" w:rsidP="00E65544">
            <w:pPr>
              <w:spacing w:line="276" w:lineRule="auto"/>
              <w:ind w:left="-253"/>
              <w:jc w:val="center"/>
              <w:rPr>
                <w:color w:val="000000"/>
                <w:sz w:val="22"/>
                <w:szCs w:val="22"/>
              </w:rPr>
            </w:pPr>
            <w:r w:rsidRPr="00E877FD">
              <w:rPr>
                <w:color w:val="000000"/>
                <w:sz w:val="22"/>
                <w:szCs w:val="22"/>
              </w:rPr>
              <w:t>106.36</w:t>
            </w:r>
          </w:p>
        </w:tc>
        <w:tc>
          <w:tcPr>
            <w:tcW w:w="1418" w:type="dxa"/>
            <w:vMerge w:val="restart"/>
            <w:tcBorders>
              <w:top w:val="nil"/>
              <w:left w:val="nil"/>
              <w:bottom w:val="nil"/>
              <w:right w:val="nil"/>
            </w:tcBorders>
            <w:shd w:val="clear" w:color="auto" w:fill="auto"/>
            <w:vAlign w:val="center"/>
          </w:tcPr>
          <w:p w14:paraId="37FEABD4"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20.585(.00*)</w:t>
            </w:r>
          </w:p>
        </w:tc>
      </w:tr>
      <w:tr w:rsidR="00E877FD" w14:paraId="762058A1" w14:textId="77777777" w:rsidTr="007734F8">
        <w:trPr>
          <w:trHeight w:val="290"/>
        </w:trPr>
        <w:tc>
          <w:tcPr>
            <w:tcW w:w="1418" w:type="dxa"/>
            <w:vMerge/>
            <w:tcBorders>
              <w:top w:val="nil"/>
              <w:left w:val="nil"/>
              <w:bottom w:val="nil"/>
              <w:right w:val="nil"/>
            </w:tcBorders>
            <w:shd w:val="clear" w:color="auto" w:fill="auto"/>
            <w:vAlign w:val="center"/>
          </w:tcPr>
          <w:p w14:paraId="279A884C" w14:textId="77777777" w:rsidR="006612E1" w:rsidRPr="00E877FD" w:rsidRDefault="006612E1" w:rsidP="007734F8">
            <w:pPr>
              <w:widowControl w:val="0"/>
              <w:pBdr>
                <w:top w:val="nil"/>
                <w:left w:val="nil"/>
                <w:bottom w:val="nil"/>
                <w:right w:val="nil"/>
                <w:between w:val="nil"/>
              </w:pBdr>
              <w:spacing w:line="276" w:lineRule="auto"/>
              <w:ind w:left="-110" w:right="34"/>
              <w:rPr>
                <w:color w:val="000000"/>
                <w:sz w:val="22"/>
                <w:szCs w:val="22"/>
              </w:rPr>
            </w:pPr>
          </w:p>
        </w:tc>
        <w:tc>
          <w:tcPr>
            <w:tcW w:w="851" w:type="dxa"/>
            <w:vMerge/>
            <w:tcBorders>
              <w:top w:val="nil"/>
              <w:left w:val="nil"/>
              <w:bottom w:val="nil"/>
              <w:right w:val="nil"/>
            </w:tcBorders>
            <w:shd w:val="clear" w:color="auto" w:fill="auto"/>
            <w:vAlign w:val="center"/>
          </w:tcPr>
          <w:p w14:paraId="6E6B8A8C" w14:textId="77777777" w:rsidR="006612E1" w:rsidRPr="00E877FD" w:rsidRDefault="006612E1" w:rsidP="00E65544">
            <w:pPr>
              <w:widowControl w:val="0"/>
              <w:pBdr>
                <w:top w:val="nil"/>
                <w:left w:val="nil"/>
                <w:bottom w:val="nil"/>
                <w:right w:val="nil"/>
                <w:between w:val="nil"/>
              </w:pBdr>
              <w:spacing w:line="276" w:lineRule="auto"/>
              <w:rPr>
                <w:color w:val="000000"/>
                <w:sz w:val="22"/>
                <w:szCs w:val="22"/>
              </w:rPr>
            </w:pPr>
          </w:p>
        </w:tc>
        <w:tc>
          <w:tcPr>
            <w:tcW w:w="997" w:type="dxa"/>
            <w:vMerge/>
            <w:tcBorders>
              <w:top w:val="nil"/>
              <w:left w:val="nil"/>
              <w:bottom w:val="nil"/>
              <w:right w:val="nil"/>
            </w:tcBorders>
            <w:shd w:val="clear" w:color="auto" w:fill="auto"/>
            <w:vAlign w:val="center"/>
          </w:tcPr>
          <w:p w14:paraId="2EAF0CE1" w14:textId="77777777" w:rsidR="006612E1" w:rsidRPr="00E877FD" w:rsidRDefault="006612E1" w:rsidP="00E65544">
            <w:pPr>
              <w:widowControl w:val="0"/>
              <w:pBdr>
                <w:top w:val="nil"/>
                <w:left w:val="nil"/>
                <w:bottom w:val="nil"/>
                <w:right w:val="nil"/>
                <w:between w:val="nil"/>
              </w:pBdr>
              <w:spacing w:line="276" w:lineRule="auto"/>
              <w:ind w:left="-252"/>
              <w:rPr>
                <w:color w:val="000000"/>
                <w:sz w:val="22"/>
                <w:szCs w:val="22"/>
              </w:rPr>
            </w:pPr>
          </w:p>
        </w:tc>
        <w:tc>
          <w:tcPr>
            <w:tcW w:w="993" w:type="dxa"/>
            <w:vMerge/>
            <w:tcBorders>
              <w:top w:val="nil"/>
              <w:left w:val="nil"/>
              <w:bottom w:val="nil"/>
              <w:right w:val="nil"/>
            </w:tcBorders>
            <w:shd w:val="clear" w:color="auto" w:fill="auto"/>
            <w:vAlign w:val="center"/>
          </w:tcPr>
          <w:p w14:paraId="0C8DDC7F" w14:textId="77777777" w:rsidR="006612E1" w:rsidRPr="00E877FD" w:rsidRDefault="006612E1" w:rsidP="00E65544">
            <w:pPr>
              <w:widowControl w:val="0"/>
              <w:pBdr>
                <w:top w:val="nil"/>
                <w:left w:val="nil"/>
                <w:bottom w:val="nil"/>
                <w:right w:val="nil"/>
                <w:between w:val="nil"/>
              </w:pBdr>
              <w:spacing w:line="276" w:lineRule="auto"/>
              <w:ind w:left="-249"/>
              <w:rPr>
                <w:color w:val="000000"/>
                <w:sz w:val="22"/>
                <w:szCs w:val="22"/>
              </w:rPr>
            </w:pPr>
          </w:p>
        </w:tc>
        <w:tc>
          <w:tcPr>
            <w:tcW w:w="993" w:type="dxa"/>
            <w:vMerge/>
            <w:tcBorders>
              <w:top w:val="nil"/>
              <w:left w:val="nil"/>
              <w:bottom w:val="nil"/>
              <w:right w:val="nil"/>
            </w:tcBorders>
            <w:shd w:val="clear" w:color="auto" w:fill="auto"/>
            <w:vAlign w:val="center"/>
          </w:tcPr>
          <w:p w14:paraId="3950B5ED" w14:textId="77777777" w:rsidR="006612E1" w:rsidRPr="00E877FD" w:rsidRDefault="006612E1" w:rsidP="00E65544">
            <w:pPr>
              <w:widowControl w:val="0"/>
              <w:pBdr>
                <w:top w:val="nil"/>
                <w:left w:val="nil"/>
                <w:bottom w:val="nil"/>
                <w:right w:val="nil"/>
                <w:between w:val="nil"/>
              </w:pBdr>
              <w:spacing w:line="276" w:lineRule="auto"/>
              <w:ind w:left="-247"/>
              <w:rPr>
                <w:color w:val="000000"/>
                <w:sz w:val="22"/>
                <w:szCs w:val="22"/>
              </w:rPr>
            </w:pPr>
          </w:p>
        </w:tc>
        <w:tc>
          <w:tcPr>
            <w:tcW w:w="993" w:type="dxa"/>
            <w:vMerge/>
            <w:tcBorders>
              <w:top w:val="nil"/>
              <w:left w:val="nil"/>
              <w:bottom w:val="nil"/>
              <w:right w:val="nil"/>
            </w:tcBorders>
            <w:shd w:val="clear" w:color="auto" w:fill="auto"/>
            <w:vAlign w:val="center"/>
          </w:tcPr>
          <w:p w14:paraId="68600B01" w14:textId="77777777" w:rsidR="006612E1" w:rsidRPr="00E877FD" w:rsidRDefault="006612E1" w:rsidP="00E65544">
            <w:pPr>
              <w:widowControl w:val="0"/>
              <w:pBdr>
                <w:top w:val="nil"/>
                <w:left w:val="nil"/>
                <w:bottom w:val="nil"/>
                <w:right w:val="nil"/>
                <w:between w:val="nil"/>
              </w:pBdr>
              <w:spacing w:line="276" w:lineRule="auto"/>
              <w:ind w:left="-255"/>
              <w:rPr>
                <w:color w:val="000000"/>
                <w:sz w:val="22"/>
                <w:szCs w:val="22"/>
              </w:rPr>
            </w:pPr>
          </w:p>
        </w:tc>
        <w:tc>
          <w:tcPr>
            <w:tcW w:w="849" w:type="dxa"/>
            <w:vMerge/>
            <w:tcBorders>
              <w:top w:val="nil"/>
              <w:left w:val="nil"/>
              <w:bottom w:val="nil"/>
              <w:right w:val="nil"/>
            </w:tcBorders>
            <w:shd w:val="clear" w:color="auto" w:fill="auto"/>
            <w:vAlign w:val="center"/>
          </w:tcPr>
          <w:p w14:paraId="47931143" w14:textId="77777777" w:rsidR="006612E1" w:rsidRPr="00E877FD" w:rsidRDefault="006612E1" w:rsidP="00E65544">
            <w:pPr>
              <w:widowControl w:val="0"/>
              <w:pBdr>
                <w:top w:val="nil"/>
                <w:left w:val="nil"/>
                <w:bottom w:val="nil"/>
                <w:right w:val="nil"/>
                <w:between w:val="nil"/>
              </w:pBdr>
              <w:spacing w:line="276" w:lineRule="auto"/>
              <w:ind w:left="-253"/>
              <w:rPr>
                <w:color w:val="000000"/>
                <w:sz w:val="22"/>
                <w:szCs w:val="22"/>
              </w:rPr>
            </w:pPr>
          </w:p>
        </w:tc>
        <w:tc>
          <w:tcPr>
            <w:tcW w:w="1418" w:type="dxa"/>
            <w:vMerge/>
            <w:tcBorders>
              <w:top w:val="nil"/>
              <w:left w:val="nil"/>
              <w:bottom w:val="nil"/>
              <w:right w:val="nil"/>
            </w:tcBorders>
            <w:shd w:val="clear" w:color="auto" w:fill="auto"/>
            <w:vAlign w:val="center"/>
          </w:tcPr>
          <w:p w14:paraId="700A0064" w14:textId="77777777" w:rsidR="006612E1" w:rsidRPr="00E877FD" w:rsidRDefault="006612E1" w:rsidP="00E65544">
            <w:pPr>
              <w:widowControl w:val="0"/>
              <w:pBdr>
                <w:top w:val="nil"/>
                <w:left w:val="nil"/>
                <w:bottom w:val="nil"/>
                <w:right w:val="nil"/>
                <w:between w:val="nil"/>
              </w:pBdr>
              <w:spacing w:line="276" w:lineRule="auto"/>
              <w:ind w:left="-252"/>
              <w:rPr>
                <w:color w:val="000000"/>
                <w:sz w:val="22"/>
                <w:szCs w:val="22"/>
              </w:rPr>
            </w:pPr>
          </w:p>
        </w:tc>
        <w:tc>
          <w:tcPr>
            <w:tcW w:w="236" w:type="dxa"/>
            <w:gridSpan w:val="2"/>
            <w:tcBorders>
              <w:top w:val="nil"/>
              <w:left w:val="nil"/>
              <w:bottom w:val="nil"/>
              <w:right w:val="nil"/>
            </w:tcBorders>
            <w:shd w:val="clear" w:color="auto" w:fill="auto"/>
            <w:vAlign w:val="bottom"/>
          </w:tcPr>
          <w:p w14:paraId="4ABE005A" w14:textId="77777777" w:rsidR="006612E1" w:rsidRDefault="006612E1" w:rsidP="005B1A6B">
            <w:pPr>
              <w:spacing w:line="360" w:lineRule="auto"/>
              <w:jc w:val="center"/>
              <w:rPr>
                <w:color w:val="000000"/>
              </w:rPr>
            </w:pPr>
          </w:p>
        </w:tc>
      </w:tr>
      <w:tr w:rsidR="00E877FD" w14:paraId="4CBA6742" w14:textId="77777777" w:rsidTr="007734F8">
        <w:trPr>
          <w:trHeight w:val="630"/>
        </w:trPr>
        <w:tc>
          <w:tcPr>
            <w:tcW w:w="1418" w:type="dxa"/>
            <w:vMerge w:val="restart"/>
            <w:tcBorders>
              <w:top w:val="nil"/>
              <w:left w:val="nil"/>
              <w:bottom w:val="nil"/>
              <w:right w:val="nil"/>
            </w:tcBorders>
            <w:shd w:val="clear" w:color="auto" w:fill="auto"/>
            <w:vAlign w:val="center"/>
          </w:tcPr>
          <w:p w14:paraId="51F513D2" w14:textId="77777777" w:rsidR="006612E1" w:rsidRPr="00E877FD" w:rsidRDefault="006612E1" w:rsidP="007734F8">
            <w:pPr>
              <w:spacing w:line="276" w:lineRule="auto"/>
              <w:ind w:left="-110" w:right="34"/>
              <w:rPr>
                <w:color w:val="000000"/>
                <w:sz w:val="22"/>
                <w:szCs w:val="22"/>
              </w:rPr>
            </w:pPr>
            <w:r w:rsidRPr="00E877FD">
              <w:rPr>
                <w:color w:val="000000"/>
                <w:sz w:val="22"/>
                <w:szCs w:val="22"/>
              </w:rPr>
              <w:t>Expectativa hacia futuro</w:t>
            </w:r>
          </w:p>
        </w:tc>
        <w:tc>
          <w:tcPr>
            <w:tcW w:w="851" w:type="dxa"/>
            <w:vMerge w:val="restart"/>
            <w:tcBorders>
              <w:top w:val="nil"/>
              <w:left w:val="nil"/>
              <w:bottom w:val="nil"/>
              <w:right w:val="nil"/>
            </w:tcBorders>
            <w:shd w:val="clear" w:color="auto" w:fill="auto"/>
            <w:vAlign w:val="center"/>
          </w:tcPr>
          <w:p w14:paraId="42063887" w14:textId="77777777" w:rsidR="006612E1" w:rsidRPr="00E877FD" w:rsidRDefault="006612E1" w:rsidP="00E65544">
            <w:pPr>
              <w:spacing w:line="276" w:lineRule="auto"/>
              <w:jc w:val="center"/>
              <w:rPr>
                <w:color w:val="000000"/>
                <w:sz w:val="22"/>
                <w:szCs w:val="22"/>
              </w:rPr>
            </w:pPr>
            <w:r w:rsidRPr="00E877FD">
              <w:rPr>
                <w:color w:val="000000"/>
                <w:sz w:val="22"/>
                <w:szCs w:val="22"/>
              </w:rPr>
              <w:t>147.25</w:t>
            </w:r>
          </w:p>
        </w:tc>
        <w:tc>
          <w:tcPr>
            <w:tcW w:w="997" w:type="dxa"/>
            <w:vMerge w:val="restart"/>
            <w:tcBorders>
              <w:top w:val="nil"/>
              <w:left w:val="nil"/>
              <w:bottom w:val="nil"/>
              <w:right w:val="nil"/>
            </w:tcBorders>
            <w:shd w:val="clear" w:color="auto" w:fill="auto"/>
            <w:vAlign w:val="center"/>
          </w:tcPr>
          <w:p w14:paraId="03B379B3"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119.36</w:t>
            </w:r>
          </w:p>
        </w:tc>
        <w:tc>
          <w:tcPr>
            <w:tcW w:w="993" w:type="dxa"/>
            <w:vMerge w:val="restart"/>
            <w:tcBorders>
              <w:top w:val="nil"/>
              <w:left w:val="nil"/>
              <w:bottom w:val="nil"/>
              <w:right w:val="nil"/>
            </w:tcBorders>
            <w:shd w:val="clear" w:color="auto" w:fill="auto"/>
            <w:vAlign w:val="center"/>
          </w:tcPr>
          <w:p w14:paraId="175075A9" w14:textId="77777777" w:rsidR="006612E1" w:rsidRPr="00E877FD" w:rsidRDefault="006612E1" w:rsidP="00E65544">
            <w:pPr>
              <w:spacing w:line="276" w:lineRule="auto"/>
              <w:ind w:left="-249"/>
              <w:jc w:val="center"/>
              <w:rPr>
                <w:color w:val="000000"/>
                <w:sz w:val="22"/>
                <w:szCs w:val="22"/>
              </w:rPr>
            </w:pPr>
            <w:r w:rsidRPr="00E877FD">
              <w:rPr>
                <w:color w:val="000000"/>
                <w:sz w:val="22"/>
                <w:szCs w:val="22"/>
              </w:rPr>
              <w:t>100.91</w:t>
            </w:r>
          </w:p>
        </w:tc>
        <w:tc>
          <w:tcPr>
            <w:tcW w:w="993" w:type="dxa"/>
            <w:vMerge w:val="restart"/>
            <w:tcBorders>
              <w:top w:val="nil"/>
              <w:left w:val="nil"/>
              <w:bottom w:val="nil"/>
              <w:right w:val="nil"/>
            </w:tcBorders>
            <w:shd w:val="clear" w:color="auto" w:fill="auto"/>
            <w:vAlign w:val="center"/>
          </w:tcPr>
          <w:p w14:paraId="04BE9FA0" w14:textId="77777777" w:rsidR="006612E1" w:rsidRPr="00E877FD" w:rsidRDefault="006612E1" w:rsidP="00E65544">
            <w:pPr>
              <w:spacing w:line="276" w:lineRule="auto"/>
              <w:ind w:left="-247"/>
              <w:jc w:val="center"/>
              <w:rPr>
                <w:color w:val="000000"/>
                <w:sz w:val="22"/>
                <w:szCs w:val="22"/>
              </w:rPr>
            </w:pPr>
            <w:r w:rsidRPr="00E877FD">
              <w:rPr>
                <w:color w:val="000000"/>
                <w:sz w:val="22"/>
                <w:szCs w:val="22"/>
              </w:rPr>
              <w:t>105.10</w:t>
            </w:r>
          </w:p>
        </w:tc>
        <w:tc>
          <w:tcPr>
            <w:tcW w:w="993" w:type="dxa"/>
            <w:vMerge w:val="restart"/>
            <w:tcBorders>
              <w:top w:val="nil"/>
              <w:left w:val="nil"/>
              <w:bottom w:val="nil"/>
              <w:right w:val="nil"/>
            </w:tcBorders>
            <w:shd w:val="clear" w:color="auto" w:fill="auto"/>
            <w:vAlign w:val="center"/>
          </w:tcPr>
          <w:p w14:paraId="1FFE7EB1" w14:textId="77777777" w:rsidR="006612E1" w:rsidRPr="00E877FD" w:rsidRDefault="006612E1" w:rsidP="00E65544">
            <w:pPr>
              <w:spacing w:line="276" w:lineRule="auto"/>
              <w:ind w:left="-255"/>
              <w:jc w:val="center"/>
              <w:rPr>
                <w:color w:val="000000"/>
                <w:sz w:val="22"/>
                <w:szCs w:val="22"/>
              </w:rPr>
            </w:pPr>
            <w:r w:rsidRPr="00E877FD">
              <w:rPr>
                <w:color w:val="000000"/>
                <w:sz w:val="22"/>
                <w:szCs w:val="22"/>
              </w:rPr>
              <w:t>79.02</w:t>
            </w:r>
          </w:p>
        </w:tc>
        <w:tc>
          <w:tcPr>
            <w:tcW w:w="849" w:type="dxa"/>
            <w:vMerge w:val="restart"/>
            <w:tcBorders>
              <w:top w:val="nil"/>
              <w:left w:val="nil"/>
              <w:bottom w:val="nil"/>
              <w:right w:val="nil"/>
            </w:tcBorders>
            <w:shd w:val="clear" w:color="auto" w:fill="auto"/>
            <w:vAlign w:val="center"/>
          </w:tcPr>
          <w:p w14:paraId="014EFD4F" w14:textId="77777777" w:rsidR="006612E1" w:rsidRPr="00E877FD" w:rsidRDefault="006612E1" w:rsidP="00E65544">
            <w:pPr>
              <w:spacing w:line="276" w:lineRule="auto"/>
              <w:ind w:left="-253"/>
              <w:jc w:val="center"/>
              <w:rPr>
                <w:color w:val="000000"/>
                <w:sz w:val="22"/>
                <w:szCs w:val="22"/>
              </w:rPr>
            </w:pPr>
            <w:r w:rsidRPr="00E877FD">
              <w:rPr>
                <w:color w:val="000000"/>
                <w:sz w:val="22"/>
                <w:szCs w:val="22"/>
              </w:rPr>
              <w:t>132.21</w:t>
            </w:r>
          </w:p>
        </w:tc>
        <w:tc>
          <w:tcPr>
            <w:tcW w:w="1418" w:type="dxa"/>
            <w:vMerge w:val="restart"/>
            <w:tcBorders>
              <w:top w:val="nil"/>
              <w:left w:val="nil"/>
              <w:bottom w:val="nil"/>
              <w:right w:val="nil"/>
            </w:tcBorders>
            <w:shd w:val="clear" w:color="auto" w:fill="auto"/>
            <w:vAlign w:val="center"/>
          </w:tcPr>
          <w:p w14:paraId="4E586B3B"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15.131(.01*)</w:t>
            </w:r>
          </w:p>
        </w:tc>
        <w:tc>
          <w:tcPr>
            <w:tcW w:w="236" w:type="dxa"/>
            <w:gridSpan w:val="2"/>
            <w:vAlign w:val="center"/>
          </w:tcPr>
          <w:p w14:paraId="3116A4BB" w14:textId="77777777" w:rsidR="006612E1" w:rsidRDefault="006612E1" w:rsidP="005B1A6B">
            <w:pPr>
              <w:spacing w:line="360" w:lineRule="auto"/>
              <w:rPr>
                <w:sz w:val="20"/>
                <w:szCs w:val="20"/>
              </w:rPr>
            </w:pPr>
          </w:p>
        </w:tc>
      </w:tr>
      <w:tr w:rsidR="00E877FD" w14:paraId="0612A907" w14:textId="77777777" w:rsidTr="007734F8">
        <w:trPr>
          <w:trHeight w:val="290"/>
        </w:trPr>
        <w:tc>
          <w:tcPr>
            <w:tcW w:w="1418" w:type="dxa"/>
            <w:vMerge/>
            <w:tcBorders>
              <w:top w:val="nil"/>
              <w:left w:val="nil"/>
              <w:bottom w:val="nil"/>
              <w:right w:val="nil"/>
            </w:tcBorders>
            <w:shd w:val="clear" w:color="auto" w:fill="auto"/>
            <w:vAlign w:val="center"/>
          </w:tcPr>
          <w:p w14:paraId="26183A33" w14:textId="77777777" w:rsidR="006612E1" w:rsidRPr="00E877FD" w:rsidRDefault="006612E1" w:rsidP="007734F8">
            <w:pPr>
              <w:widowControl w:val="0"/>
              <w:pBdr>
                <w:top w:val="nil"/>
                <w:left w:val="nil"/>
                <w:bottom w:val="nil"/>
                <w:right w:val="nil"/>
                <w:between w:val="nil"/>
              </w:pBdr>
              <w:spacing w:line="276" w:lineRule="auto"/>
              <w:ind w:left="-110" w:right="34"/>
              <w:rPr>
                <w:sz w:val="22"/>
                <w:szCs w:val="22"/>
              </w:rPr>
            </w:pPr>
          </w:p>
        </w:tc>
        <w:tc>
          <w:tcPr>
            <w:tcW w:w="851" w:type="dxa"/>
            <w:vMerge/>
            <w:tcBorders>
              <w:top w:val="nil"/>
              <w:left w:val="nil"/>
              <w:bottom w:val="nil"/>
              <w:right w:val="nil"/>
            </w:tcBorders>
            <w:shd w:val="clear" w:color="auto" w:fill="auto"/>
            <w:vAlign w:val="center"/>
          </w:tcPr>
          <w:p w14:paraId="0A7D8D99" w14:textId="77777777" w:rsidR="006612E1" w:rsidRPr="00E877FD" w:rsidRDefault="006612E1" w:rsidP="00E65544">
            <w:pPr>
              <w:widowControl w:val="0"/>
              <w:pBdr>
                <w:top w:val="nil"/>
                <w:left w:val="nil"/>
                <w:bottom w:val="nil"/>
                <w:right w:val="nil"/>
                <w:between w:val="nil"/>
              </w:pBdr>
              <w:spacing w:line="276" w:lineRule="auto"/>
              <w:rPr>
                <w:sz w:val="22"/>
                <w:szCs w:val="22"/>
              </w:rPr>
            </w:pPr>
          </w:p>
        </w:tc>
        <w:tc>
          <w:tcPr>
            <w:tcW w:w="997" w:type="dxa"/>
            <w:vMerge/>
            <w:tcBorders>
              <w:top w:val="nil"/>
              <w:left w:val="nil"/>
              <w:bottom w:val="nil"/>
              <w:right w:val="nil"/>
            </w:tcBorders>
            <w:shd w:val="clear" w:color="auto" w:fill="auto"/>
            <w:vAlign w:val="center"/>
          </w:tcPr>
          <w:p w14:paraId="0DADDC9C" w14:textId="77777777" w:rsidR="006612E1" w:rsidRPr="00E877FD" w:rsidRDefault="006612E1" w:rsidP="00E65544">
            <w:pPr>
              <w:widowControl w:val="0"/>
              <w:pBdr>
                <w:top w:val="nil"/>
                <w:left w:val="nil"/>
                <w:bottom w:val="nil"/>
                <w:right w:val="nil"/>
                <w:between w:val="nil"/>
              </w:pBdr>
              <w:spacing w:line="276" w:lineRule="auto"/>
              <w:ind w:left="-252"/>
              <w:rPr>
                <w:sz w:val="22"/>
                <w:szCs w:val="22"/>
              </w:rPr>
            </w:pPr>
          </w:p>
        </w:tc>
        <w:tc>
          <w:tcPr>
            <w:tcW w:w="993" w:type="dxa"/>
            <w:vMerge/>
            <w:tcBorders>
              <w:top w:val="nil"/>
              <w:left w:val="nil"/>
              <w:bottom w:val="nil"/>
              <w:right w:val="nil"/>
            </w:tcBorders>
            <w:shd w:val="clear" w:color="auto" w:fill="auto"/>
            <w:vAlign w:val="center"/>
          </w:tcPr>
          <w:p w14:paraId="61F4FEB9" w14:textId="77777777" w:rsidR="006612E1" w:rsidRPr="00E877FD" w:rsidRDefault="006612E1" w:rsidP="00E65544">
            <w:pPr>
              <w:widowControl w:val="0"/>
              <w:pBdr>
                <w:top w:val="nil"/>
                <w:left w:val="nil"/>
                <w:bottom w:val="nil"/>
                <w:right w:val="nil"/>
                <w:between w:val="nil"/>
              </w:pBdr>
              <w:spacing w:line="276" w:lineRule="auto"/>
              <w:ind w:left="-249"/>
              <w:rPr>
                <w:sz w:val="22"/>
                <w:szCs w:val="22"/>
              </w:rPr>
            </w:pPr>
          </w:p>
        </w:tc>
        <w:tc>
          <w:tcPr>
            <w:tcW w:w="993" w:type="dxa"/>
            <w:vMerge/>
            <w:tcBorders>
              <w:top w:val="nil"/>
              <w:left w:val="nil"/>
              <w:bottom w:val="nil"/>
              <w:right w:val="nil"/>
            </w:tcBorders>
            <w:shd w:val="clear" w:color="auto" w:fill="auto"/>
            <w:vAlign w:val="center"/>
          </w:tcPr>
          <w:p w14:paraId="0EDCE5F0" w14:textId="77777777" w:rsidR="006612E1" w:rsidRPr="00E877FD" w:rsidRDefault="006612E1" w:rsidP="00E65544">
            <w:pPr>
              <w:widowControl w:val="0"/>
              <w:pBdr>
                <w:top w:val="nil"/>
                <w:left w:val="nil"/>
                <w:bottom w:val="nil"/>
                <w:right w:val="nil"/>
                <w:between w:val="nil"/>
              </w:pBdr>
              <w:spacing w:line="276" w:lineRule="auto"/>
              <w:ind w:left="-247"/>
              <w:rPr>
                <w:sz w:val="22"/>
                <w:szCs w:val="22"/>
              </w:rPr>
            </w:pPr>
          </w:p>
        </w:tc>
        <w:tc>
          <w:tcPr>
            <w:tcW w:w="993" w:type="dxa"/>
            <w:vMerge/>
            <w:tcBorders>
              <w:top w:val="nil"/>
              <w:left w:val="nil"/>
              <w:bottom w:val="nil"/>
              <w:right w:val="nil"/>
            </w:tcBorders>
            <w:shd w:val="clear" w:color="auto" w:fill="auto"/>
            <w:vAlign w:val="center"/>
          </w:tcPr>
          <w:p w14:paraId="4B6DDCC9" w14:textId="77777777" w:rsidR="006612E1" w:rsidRPr="00E877FD" w:rsidRDefault="006612E1" w:rsidP="00E65544">
            <w:pPr>
              <w:widowControl w:val="0"/>
              <w:pBdr>
                <w:top w:val="nil"/>
                <w:left w:val="nil"/>
                <w:bottom w:val="nil"/>
                <w:right w:val="nil"/>
                <w:between w:val="nil"/>
              </w:pBdr>
              <w:spacing w:line="276" w:lineRule="auto"/>
              <w:ind w:left="-255"/>
              <w:rPr>
                <w:sz w:val="22"/>
                <w:szCs w:val="22"/>
              </w:rPr>
            </w:pPr>
          </w:p>
        </w:tc>
        <w:tc>
          <w:tcPr>
            <w:tcW w:w="849" w:type="dxa"/>
            <w:vMerge/>
            <w:tcBorders>
              <w:top w:val="nil"/>
              <w:left w:val="nil"/>
              <w:bottom w:val="nil"/>
              <w:right w:val="nil"/>
            </w:tcBorders>
            <w:shd w:val="clear" w:color="auto" w:fill="auto"/>
            <w:vAlign w:val="center"/>
          </w:tcPr>
          <w:p w14:paraId="50BBF87D" w14:textId="77777777" w:rsidR="006612E1" w:rsidRPr="00E877FD" w:rsidRDefault="006612E1" w:rsidP="00E65544">
            <w:pPr>
              <w:widowControl w:val="0"/>
              <w:pBdr>
                <w:top w:val="nil"/>
                <w:left w:val="nil"/>
                <w:bottom w:val="nil"/>
                <w:right w:val="nil"/>
                <w:between w:val="nil"/>
              </w:pBdr>
              <w:spacing w:line="276" w:lineRule="auto"/>
              <w:ind w:left="-253"/>
              <w:rPr>
                <w:sz w:val="22"/>
                <w:szCs w:val="22"/>
              </w:rPr>
            </w:pPr>
          </w:p>
        </w:tc>
        <w:tc>
          <w:tcPr>
            <w:tcW w:w="1418" w:type="dxa"/>
            <w:vMerge/>
            <w:tcBorders>
              <w:top w:val="nil"/>
              <w:left w:val="nil"/>
              <w:bottom w:val="nil"/>
              <w:right w:val="nil"/>
            </w:tcBorders>
            <w:shd w:val="clear" w:color="auto" w:fill="auto"/>
            <w:vAlign w:val="center"/>
          </w:tcPr>
          <w:p w14:paraId="5638BBB6" w14:textId="77777777" w:rsidR="006612E1" w:rsidRPr="00E877FD" w:rsidRDefault="006612E1" w:rsidP="00E65544">
            <w:pPr>
              <w:widowControl w:val="0"/>
              <w:pBdr>
                <w:top w:val="nil"/>
                <w:left w:val="nil"/>
                <w:bottom w:val="nil"/>
                <w:right w:val="nil"/>
                <w:between w:val="nil"/>
              </w:pBdr>
              <w:spacing w:line="276" w:lineRule="auto"/>
              <w:ind w:left="-252"/>
              <w:rPr>
                <w:sz w:val="22"/>
                <w:szCs w:val="22"/>
              </w:rPr>
            </w:pPr>
          </w:p>
        </w:tc>
        <w:tc>
          <w:tcPr>
            <w:tcW w:w="236" w:type="dxa"/>
            <w:gridSpan w:val="2"/>
            <w:tcBorders>
              <w:top w:val="nil"/>
              <w:left w:val="nil"/>
              <w:bottom w:val="nil"/>
              <w:right w:val="nil"/>
            </w:tcBorders>
            <w:shd w:val="clear" w:color="auto" w:fill="auto"/>
            <w:vAlign w:val="bottom"/>
          </w:tcPr>
          <w:p w14:paraId="598608F6" w14:textId="77777777" w:rsidR="006612E1" w:rsidRDefault="006612E1" w:rsidP="005B1A6B">
            <w:pPr>
              <w:spacing w:line="360" w:lineRule="auto"/>
              <w:jc w:val="center"/>
              <w:rPr>
                <w:color w:val="000000"/>
              </w:rPr>
            </w:pPr>
          </w:p>
        </w:tc>
      </w:tr>
      <w:tr w:rsidR="00E877FD" w14:paraId="07C549C1" w14:textId="77777777" w:rsidTr="007734F8">
        <w:trPr>
          <w:trHeight w:val="320"/>
        </w:trPr>
        <w:tc>
          <w:tcPr>
            <w:tcW w:w="1418" w:type="dxa"/>
            <w:vMerge w:val="restart"/>
            <w:tcBorders>
              <w:top w:val="nil"/>
              <w:left w:val="nil"/>
              <w:bottom w:val="nil"/>
              <w:right w:val="nil"/>
            </w:tcBorders>
            <w:shd w:val="clear" w:color="auto" w:fill="auto"/>
            <w:vAlign w:val="center"/>
          </w:tcPr>
          <w:p w14:paraId="14EB14FD" w14:textId="77777777" w:rsidR="006612E1" w:rsidRPr="00E877FD" w:rsidRDefault="006612E1" w:rsidP="007734F8">
            <w:pPr>
              <w:spacing w:line="276" w:lineRule="auto"/>
              <w:ind w:left="-110" w:right="34"/>
              <w:rPr>
                <w:color w:val="000000"/>
                <w:sz w:val="22"/>
                <w:szCs w:val="22"/>
              </w:rPr>
            </w:pPr>
            <w:r w:rsidRPr="00E877FD">
              <w:rPr>
                <w:color w:val="000000"/>
                <w:sz w:val="22"/>
                <w:szCs w:val="22"/>
              </w:rPr>
              <w:t>Motivación</w:t>
            </w:r>
          </w:p>
        </w:tc>
        <w:tc>
          <w:tcPr>
            <w:tcW w:w="851" w:type="dxa"/>
            <w:vMerge w:val="restart"/>
            <w:tcBorders>
              <w:top w:val="nil"/>
              <w:left w:val="nil"/>
              <w:bottom w:val="nil"/>
              <w:right w:val="nil"/>
            </w:tcBorders>
            <w:shd w:val="clear" w:color="auto" w:fill="auto"/>
            <w:vAlign w:val="center"/>
          </w:tcPr>
          <w:p w14:paraId="1990DE2B" w14:textId="77777777" w:rsidR="006612E1" w:rsidRPr="00E877FD" w:rsidRDefault="006612E1" w:rsidP="00E65544">
            <w:pPr>
              <w:spacing w:line="276" w:lineRule="auto"/>
              <w:jc w:val="center"/>
              <w:rPr>
                <w:color w:val="000000"/>
                <w:sz w:val="22"/>
                <w:szCs w:val="22"/>
              </w:rPr>
            </w:pPr>
            <w:r w:rsidRPr="00E877FD">
              <w:rPr>
                <w:color w:val="000000"/>
                <w:sz w:val="22"/>
                <w:szCs w:val="22"/>
              </w:rPr>
              <w:t>131.67</w:t>
            </w:r>
          </w:p>
        </w:tc>
        <w:tc>
          <w:tcPr>
            <w:tcW w:w="997" w:type="dxa"/>
            <w:vMerge w:val="restart"/>
            <w:tcBorders>
              <w:top w:val="nil"/>
              <w:left w:val="nil"/>
              <w:bottom w:val="nil"/>
              <w:right w:val="nil"/>
            </w:tcBorders>
            <w:shd w:val="clear" w:color="auto" w:fill="auto"/>
            <w:vAlign w:val="center"/>
          </w:tcPr>
          <w:p w14:paraId="65A7CA32"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126.23</w:t>
            </w:r>
          </w:p>
        </w:tc>
        <w:tc>
          <w:tcPr>
            <w:tcW w:w="993" w:type="dxa"/>
            <w:vMerge w:val="restart"/>
            <w:tcBorders>
              <w:top w:val="nil"/>
              <w:left w:val="nil"/>
              <w:bottom w:val="nil"/>
              <w:right w:val="nil"/>
            </w:tcBorders>
            <w:shd w:val="clear" w:color="auto" w:fill="auto"/>
            <w:vAlign w:val="center"/>
          </w:tcPr>
          <w:p w14:paraId="7104D14E" w14:textId="77777777" w:rsidR="006612E1" w:rsidRPr="00E877FD" w:rsidRDefault="006612E1" w:rsidP="00E65544">
            <w:pPr>
              <w:spacing w:line="276" w:lineRule="auto"/>
              <w:ind w:left="-249"/>
              <w:jc w:val="center"/>
              <w:rPr>
                <w:color w:val="000000"/>
                <w:sz w:val="22"/>
                <w:szCs w:val="22"/>
              </w:rPr>
            </w:pPr>
            <w:r w:rsidRPr="00E877FD">
              <w:rPr>
                <w:color w:val="000000"/>
                <w:sz w:val="22"/>
                <w:szCs w:val="22"/>
              </w:rPr>
              <w:t>99.23</w:t>
            </w:r>
          </w:p>
        </w:tc>
        <w:tc>
          <w:tcPr>
            <w:tcW w:w="993" w:type="dxa"/>
            <w:vMerge w:val="restart"/>
            <w:tcBorders>
              <w:top w:val="nil"/>
              <w:left w:val="nil"/>
              <w:bottom w:val="nil"/>
              <w:right w:val="nil"/>
            </w:tcBorders>
            <w:shd w:val="clear" w:color="auto" w:fill="auto"/>
            <w:vAlign w:val="center"/>
          </w:tcPr>
          <w:p w14:paraId="60DE81D0" w14:textId="77777777" w:rsidR="006612E1" w:rsidRPr="00E877FD" w:rsidRDefault="006612E1" w:rsidP="00E65544">
            <w:pPr>
              <w:spacing w:line="276" w:lineRule="auto"/>
              <w:ind w:left="-247"/>
              <w:jc w:val="center"/>
              <w:rPr>
                <w:color w:val="000000"/>
                <w:sz w:val="22"/>
                <w:szCs w:val="22"/>
              </w:rPr>
            </w:pPr>
            <w:r w:rsidRPr="00E877FD">
              <w:rPr>
                <w:color w:val="000000"/>
                <w:sz w:val="22"/>
                <w:szCs w:val="22"/>
              </w:rPr>
              <w:t>101.57</w:t>
            </w:r>
          </w:p>
        </w:tc>
        <w:tc>
          <w:tcPr>
            <w:tcW w:w="993" w:type="dxa"/>
            <w:vMerge w:val="restart"/>
            <w:tcBorders>
              <w:top w:val="nil"/>
              <w:left w:val="nil"/>
              <w:bottom w:val="nil"/>
              <w:right w:val="nil"/>
            </w:tcBorders>
            <w:shd w:val="clear" w:color="auto" w:fill="auto"/>
            <w:vAlign w:val="center"/>
          </w:tcPr>
          <w:p w14:paraId="5326F8BB" w14:textId="77777777" w:rsidR="006612E1" w:rsidRPr="00E877FD" w:rsidRDefault="006612E1" w:rsidP="00E65544">
            <w:pPr>
              <w:spacing w:line="276" w:lineRule="auto"/>
              <w:ind w:left="-255"/>
              <w:jc w:val="center"/>
              <w:rPr>
                <w:color w:val="000000"/>
                <w:sz w:val="22"/>
                <w:szCs w:val="22"/>
              </w:rPr>
            </w:pPr>
            <w:r w:rsidRPr="00E877FD">
              <w:rPr>
                <w:color w:val="000000"/>
                <w:sz w:val="22"/>
                <w:szCs w:val="22"/>
              </w:rPr>
              <w:t>98.76</w:t>
            </w:r>
          </w:p>
        </w:tc>
        <w:tc>
          <w:tcPr>
            <w:tcW w:w="849" w:type="dxa"/>
            <w:vMerge w:val="restart"/>
            <w:tcBorders>
              <w:top w:val="nil"/>
              <w:left w:val="nil"/>
              <w:bottom w:val="nil"/>
              <w:right w:val="nil"/>
            </w:tcBorders>
            <w:shd w:val="clear" w:color="auto" w:fill="auto"/>
            <w:vAlign w:val="center"/>
          </w:tcPr>
          <w:p w14:paraId="1920F48E" w14:textId="77777777" w:rsidR="006612E1" w:rsidRPr="00E877FD" w:rsidRDefault="006612E1" w:rsidP="00E65544">
            <w:pPr>
              <w:spacing w:line="276" w:lineRule="auto"/>
              <w:ind w:left="-253"/>
              <w:jc w:val="center"/>
              <w:rPr>
                <w:color w:val="000000"/>
                <w:sz w:val="22"/>
                <w:szCs w:val="22"/>
              </w:rPr>
            </w:pPr>
            <w:r w:rsidRPr="00E877FD">
              <w:rPr>
                <w:color w:val="000000"/>
                <w:sz w:val="22"/>
                <w:szCs w:val="22"/>
              </w:rPr>
              <w:t>107.86</w:t>
            </w:r>
          </w:p>
        </w:tc>
        <w:tc>
          <w:tcPr>
            <w:tcW w:w="1418" w:type="dxa"/>
            <w:vMerge w:val="restart"/>
            <w:tcBorders>
              <w:top w:val="nil"/>
              <w:left w:val="nil"/>
              <w:bottom w:val="nil"/>
              <w:right w:val="nil"/>
            </w:tcBorders>
            <w:shd w:val="clear" w:color="auto" w:fill="auto"/>
            <w:vAlign w:val="center"/>
          </w:tcPr>
          <w:p w14:paraId="20529E2A"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10.000(.07)</w:t>
            </w:r>
          </w:p>
        </w:tc>
        <w:tc>
          <w:tcPr>
            <w:tcW w:w="236" w:type="dxa"/>
            <w:gridSpan w:val="2"/>
            <w:vAlign w:val="center"/>
          </w:tcPr>
          <w:p w14:paraId="1C8A7C0A" w14:textId="77777777" w:rsidR="006612E1" w:rsidRDefault="006612E1" w:rsidP="005B1A6B">
            <w:pPr>
              <w:spacing w:line="360" w:lineRule="auto"/>
              <w:rPr>
                <w:sz w:val="20"/>
                <w:szCs w:val="20"/>
              </w:rPr>
            </w:pPr>
          </w:p>
        </w:tc>
      </w:tr>
      <w:tr w:rsidR="00E877FD" w14:paraId="028D2032" w14:textId="77777777" w:rsidTr="007734F8">
        <w:trPr>
          <w:trHeight w:val="227"/>
        </w:trPr>
        <w:tc>
          <w:tcPr>
            <w:tcW w:w="1418" w:type="dxa"/>
            <w:vMerge/>
            <w:tcBorders>
              <w:top w:val="nil"/>
              <w:left w:val="nil"/>
              <w:bottom w:val="nil"/>
              <w:right w:val="nil"/>
            </w:tcBorders>
            <w:shd w:val="clear" w:color="auto" w:fill="auto"/>
            <w:vAlign w:val="center"/>
          </w:tcPr>
          <w:p w14:paraId="36AB147B" w14:textId="77777777" w:rsidR="006612E1" w:rsidRPr="00E877FD" w:rsidRDefault="006612E1" w:rsidP="007734F8">
            <w:pPr>
              <w:widowControl w:val="0"/>
              <w:pBdr>
                <w:top w:val="nil"/>
                <w:left w:val="nil"/>
                <w:bottom w:val="nil"/>
                <w:right w:val="nil"/>
                <w:between w:val="nil"/>
              </w:pBdr>
              <w:spacing w:line="276" w:lineRule="auto"/>
              <w:ind w:left="-110" w:right="34"/>
              <w:rPr>
                <w:sz w:val="22"/>
                <w:szCs w:val="22"/>
              </w:rPr>
            </w:pPr>
          </w:p>
        </w:tc>
        <w:tc>
          <w:tcPr>
            <w:tcW w:w="851" w:type="dxa"/>
            <w:vMerge/>
            <w:tcBorders>
              <w:top w:val="nil"/>
              <w:left w:val="nil"/>
              <w:bottom w:val="nil"/>
              <w:right w:val="nil"/>
            </w:tcBorders>
            <w:shd w:val="clear" w:color="auto" w:fill="auto"/>
            <w:vAlign w:val="center"/>
          </w:tcPr>
          <w:p w14:paraId="5C3D8255" w14:textId="77777777" w:rsidR="006612E1" w:rsidRPr="00E877FD" w:rsidRDefault="006612E1" w:rsidP="00E65544">
            <w:pPr>
              <w:widowControl w:val="0"/>
              <w:pBdr>
                <w:top w:val="nil"/>
                <w:left w:val="nil"/>
                <w:bottom w:val="nil"/>
                <w:right w:val="nil"/>
                <w:between w:val="nil"/>
              </w:pBdr>
              <w:spacing w:line="276" w:lineRule="auto"/>
              <w:rPr>
                <w:sz w:val="22"/>
                <w:szCs w:val="22"/>
              </w:rPr>
            </w:pPr>
          </w:p>
        </w:tc>
        <w:tc>
          <w:tcPr>
            <w:tcW w:w="997" w:type="dxa"/>
            <w:vMerge/>
            <w:tcBorders>
              <w:top w:val="nil"/>
              <w:left w:val="nil"/>
              <w:bottom w:val="nil"/>
              <w:right w:val="nil"/>
            </w:tcBorders>
            <w:shd w:val="clear" w:color="auto" w:fill="auto"/>
            <w:vAlign w:val="center"/>
          </w:tcPr>
          <w:p w14:paraId="3EBDD3F1" w14:textId="77777777" w:rsidR="006612E1" w:rsidRPr="00E877FD" w:rsidRDefault="006612E1" w:rsidP="00E65544">
            <w:pPr>
              <w:widowControl w:val="0"/>
              <w:pBdr>
                <w:top w:val="nil"/>
                <w:left w:val="nil"/>
                <w:bottom w:val="nil"/>
                <w:right w:val="nil"/>
                <w:between w:val="nil"/>
              </w:pBdr>
              <w:spacing w:line="276" w:lineRule="auto"/>
              <w:ind w:left="-252"/>
              <w:rPr>
                <w:sz w:val="22"/>
                <w:szCs w:val="22"/>
              </w:rPr>
            </w:pPr>
          </w:p>
        </w:tc>
        <w:tc>
          <w:tcPr>
            <w:tcW w:w="993" w:type="dxa"/>
            <w:vMerge/>
            <w:tcBorders>
              <w:top w:val="nil"/>
              <w:left w:val="nil"/>
              <w:bottom w:val="nil"/>
              <w:right w:val="nil"/>
            </w:tcBorders>
            <w:shd w:val="clear" w:color="auto" w:fill="auto"/>
            <w:vAlign w:val="center"/>
          </w:tcPr>
          <w:p w14:paraId="13788EF5" w14:textId="77777777" w:rsidR="006612E1" w:rsidRPr="00E877FD" w:rsidRDefault="006612E1" w:rsidP="00E65544">
            <w:pPr>
              <w:widowControl w:val="0"/>
              <w:pBdr>
                <w:top w:val="nil"/>
                <w:left w:val="nil"/>
                <w:bottom w:val="nil"/>
                <w:right w:val="nil"/>
                <w:between w:val="nil"/>
              </w:pBdr>
              <w:spacing w:line="276" w:lineRule="auto"/>
              <w:ind w:left="-249"/>
              <w:rPr>
                <w:sz w:val="22"/>
                <w:szCs w:val="22"/>
              </w:rPr>
            </w:pPr>
          </w:p>
        </w:tc>
        <w:tc>
          <w:tcPr>
            <w:tcW w:w="993" w:type="dxa"/>
            <w:vMerge/>
            <w:tcBorders>
              <w:top w:val="nil"/>
              <w:left w:val="nil"/>
              <w:bottom w:val="nil"/>
              <w:right w:val="nil"/>
            </w:tcBorders>
            <w:shd w:val="clear" w:color="auto" w:fill="auto"/>
            <w:vAlign w:val="center"/>
          </w:tcPr>
          <w:p w14:paraId="13110EA5" w14:textId="77777777" w:rsidR="006612E1" w:rsidRPr="00E877FD" w:rsidRDefault="006612E1" w:rsidP="00E65544">
            <w:pPr>
              <w:widowControl w:val="0"/>
              <w:pBdr>
                <w:top w:val="nil"/>
                <w:left w:val="nil"/>
                <w:bottom w:val="nil"/>
                <w:right w:val="nil"/>
                <w:between w:val="nil"/>
              </w:pBdr>
              <w:spacing w:line="276" w:lineRule="auto"/>
              <w:ind w:left="-247"/>
              <w:rPr>
                <w:sz w:val="22"/>
                <w:szCs w:val="22"/>
              </w:rPr>
            </w:pPr>
          </w:p>
        </w:tc>
        <w:tc>
          <w:tcPr>
            <w:tcW w:w="993" w:type="dxa"/>
            <w:vMerge/>
            <w:tcBorders>
              <w:top w:val="nil"/>
              <w:left w:val="nil"/>
              <w:bottom w:val="nil"/>
              <w:right w:val="nil"/>
            </w:tcBorders>
            <w:shd w:val="clear" w:color="auto" w:fill="auto"/>
            <w:vAlign w:val="center"/>
          </w:tcPr>
          <w:p w14:paraId="106B87EB" w14:textId="77777777" w:rsidR="006612E1" w:rsidRPr="00E877FD" w:rsidRDefault="006612E1" w:rsidP="00E65544">
            <w:pPr>
              <w:widowControl w:val="0"/>
              <w:pBdr>
                <w:top w:val="nil"/>
                <w:left w:val="nil"/>
                <w:bottom w:val="nil"/>
                <w:right w:val="nil"/>
                <w:between w:val="nil"/>
              </w:pBdr>
              <w:spacing w:line="276" w:lineRule="auto"/>
              <w:ind w:left="-255"/>
              <w:rPr>
                <w:sz w:val="22"/>
                <w:szCs w:val="22"/>
              </w:rPr>
            </w:pPr>
          </w:p>
        </w:tc>
        <w:tc>
          <w:tcPr>
            <w:tcW w:w="849" w:type="dxa"/>
            <w:vMerge/>
            <w:tcBorders>
              <w:top w:val="nil"/>
              <w:left w:val="nil"/>
              <w:bottom w:val="nil"/>
              <w:right w:val="nil"/>
            </w:tcBorders>
            <w:shd w:val="clear" w:color="auto" w:fill="auto"/>
            <w:vAlign w:val="center"/>
          </w:tcPr>
          <w:p w14:paraId="0849E9C9" w14:textId="77777777" w:rsidR="006612E1" w:rsidRPr="00E877FD" w:rsidRDefault="006612E1" w:rsidP="00E65544">
            <w:pPr>
              <w:widowControl w:val="0"/>
              <w:pBdr>
                <w:top w:val="nil"/>
                <w:left w:val="nil"/>
                <w:bottom w:val="nil"/>
                <w:right w:val="nil"/>
                <w:between w:val="nil"/>
              </w:pBdr>
              <w:spacing w:line="276" w:lineRule="auto"/>
              <w:ind w:left="-253"/>
              <w:rPr>
                <w:sz w:val="22"/>
                <w:szCs w:val="22"/>
              </w:rPr>
            </w:pPr>
          </w:p>
        </w:tc>
        <w:tc>
          <w:tcPr>
            <w:tcW w:w="1418" w:type="dxa"/>
            <w:vMerge/>
            <w:tcBorders>
              <w:top w:val="nil"/>
              <w:left w:val="nil"/>
              <w:bottom w:val="nil"/>
              <w:right w:val="nil"/>
            </w:tcBorders>
            <w:shd w:val="clear" w:color="auto" w:fill="auto"/>
            <w:vAlign w:val="center"/>
          </w:tcPr>
          <w:p w14:paraId="169A8C54" w14:textId="77777777" w:rsidR="006612E1" w:rsidRPr="00E877FD" w:rsidRDefault="006612E1" w:rsidP="00E65544">
            <w:pPr>
              <w:widowControl w:val="0"/>
              <w:pBdr>
                <w:top w:val="nil"/>
                <w:left w:val="nil"/>
                <w:bottom w:val="nil"/>
                <w:right w:val="nil"/>
                <w:between w:val="nil"/>
              </w:pBdr>
              <w:spacing w:line="276" w:lineRule="auto"/>
              <w:ind w:left="-252"/>
              <w:rPr>
                <w:sz w:val="22"/>
                <w:szCs w:val="22"/>
              </w:rPr>
            </w:pPr>
          </w:p>
        </w:tc>
        <w:tc>
          <w:tcPr>
            <w:tcW w:w="236" w:type="dxa"/>
            <w:gridSpan w:val="2"/>
            <w:tcBorders>
              <w:top w:val="nil"/>
              <w:left w:val="nil"/>
              <w:bottom w:val="nil"/>
              <w:right w:val="nil"/>
            </w:tcBorders>
            <w:shd w:val="clear" w:color="auto" w:fill="auto"/>
            <w:vAlign w:val="bottom"/>
          </w:tcPr>
          <w:p w14:paraId="420630DB" w14:textId="77777777" w:rsidR="006612E1" w:rsidRDefault="006612E1" w:rsidP="005B1A6B">
            <w:pPr>
              <w:spacing w:line="360" w:lineRule="auto"/>
              <w:jc w:val="center"/>
              <w:rPr>
                <w:color w:val="000000"/>
              </w:rPr>
            </w:pPr>
          </w:p>
        </w:tc>
      </w:tr>
      <w:tr w:rsidR="00E877FD" w14:paraId="58B7F975" w14:textId="77777777" w:rsidTr="007734F8">
        <w:trPr>
          <w:trHeight w:val="930"/>
        </w:trPr>
        <w:tc>
          <w:tcPr>
            <w:tcW w:w="1418" w:type="dxa"/>
            <w:tcBorders>
              <w:top w:val="nil"/>
              <w:left w:val="nil"/>
              <w:bottom w:val="nil"/>
              <w:right w:val="nil"/>
            </w:tcBorders>
            <w:shd w:val="clear" w:color="auto" w:fill="auto"/>
            <w:vAlign w:val="center"/>
          </w:tcPr>
          <w:p w14:paraId="7B18E172" w14:textId="77777777" w:rsidR="006612E1" w:rsidRPr="00E877FD" w:rsidRDefault="006612E1" w:rsidP="007734F8">
            <w:pPr>
              <w:spacing w:line="276" w:lineRule="auto"/>
              <w:ind w:left="-110" w:right="34"/>
              <w:rPr>
                <w:color w:val="000000"/>
                <w:sz w:val="22"/>
                <w:szCs w:val="22"/>
              </w:rPr>
            </w:pPr>
            <w:r w:rsidRPr="00E877FD">
              <w:rPr>
                <w:color w:val="000000"/>
                <w:sz w:val="22"/>
                <w:szCs w:val="22"/>
              </w:rPr>
              <w:t>Pesimismo acerca futuro</w:t>
            </w:r>
          </w:p>
        </w:tc>
        <w:tc>
          <w:tcPr>
            <w:tcW w:w="851" w:type="dxa"/>
            <w:tcBorders>
              <w:top w:val="nil"/>
              <w:left w:val="nil"/>
              <w:bottom w:val="nil"/>
              <w:right w:val="nil"/>
            </w:tcBorders>
            <w:shd w:val="clear" w:color="auto" w:fill="auto"/>
            <w:vAlign w:val="center"/>
          </w:tcPr>
          <w:p w14:paraId="048DD6F8" w14:textId="77777777" w:rsidR="006612E1" w:rsidRPr="00E877FD" w:rsidRDefault="006612E1" w:rsidP="00E65544">
            <w:pPr>
              <w:spacing w:line="276" w:lineRule="auto"/>
              <w:jc w:val="center"/>
              <w:rPr>
                <w:color w:val="000000"/>
                <w:sz w:val="22"/>
                <w:szCs w:val="22"/>
              </w:rPr>
            </w:pPr>
            <w:r w:rsidRPr="00E877FD">
              <w:rPr>
                <w:color w:val="000000"/>
                <w:sz w:val="22"/>
                <w:szCs w:val="22"/>
              </w:rPr>
              <w:t>138.83</w:t>
            </w:r>
          </w:p>
        </w:tc>
        <w:tc>
          <w:tcPr>
            <w:tcW w:w="997" w:type="dxa"/>
            <w:tcBorders>
              <w:top w:val="nil"/>
              <w:left w:val="nil"/>
              <w:bottom w:val="nil"/>
              <w:right w:val="nil"/>
            </w:tcBorders>
            <w:shd w:val="clear" w:color="auto" w:fill="auto"/>
            <w:vAlign w:val="center"/>
          </w:tcPr>
          <w:p w14:paraId="507C9892"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114.94</w:t>
            </w:r>
          </w:p>
        </w:tc>
        <w:tc>
          <w:tcPr>
            <w:tcW w:w="993" w:type="dxa"/>
            <w:tcBorders>
              <w:top w:val="nil"/>
              <w:left w:val="nil"/>
              <w:bottom w:val="nil"/>
              <w:right w:val="nil"/>
            </w:tcBorders>
            <w:shd w:val="clear" w:color="auto" w:fill="auto"/>
            <w:vAlign w:val="center"/>
          </w:tcPr>
          <w:p w14:paraId="56F606E2" w14:textId="77777777" w:rsidR="006612E1" w:rsidRPr="00E877FD" w:rsidRDefault="006612E1" w:rsidP="00E65544">
            <w:pPr>
              <w:spacing w:line="276" w:lineRule="auto"/>
              <w:ind w:left="-249"/>
              <w:jc w:val="center"/>
              <w:rPr>
                <w:color w:val="000000"/>
                <w:sz w:val="22"/>
                <w:szCs w:val="22"/>
              </w:rPr>
            </w:pPr>
            <w:r w:rsidRPr="00E877FD">
              <w:rPr>
                <w:color w:val="000000"/>
                <w:sz w:val="22"/>
                <w:szCs w:val="22"/>
              </w:rPr>
              <w:t>95.30</w:t>
            </w:r>
          </w:p>
        </w:tc>
        <w:tc>
          <w:tcPr>
            <w:tcW w:w="993" w:type="dxa"/>
            <w:tcBorders>
              <w:top w:val="nil"/>
              <w:left w:val="nil"/>
              <w:bottom w:val="nil"/>
              <w:right w:val="nil"/>
            </w:tcBorders>
            <w:shd w:val="clear" w:color="auto" w:fill="auto"/>
            <w:vAlign w:val="center"/>
          </w:tcPr>
          <w:p w14:paraId="3772F0E2" w14:textId="77777777" w:rsidR="006612E1" w:rsidRPr="00E877FD" w:rsidRDefault="006612E1" w:rsidP="00E65544">
            <w:pPr>
              <w:spacing w:line="276" w:lineRule="auto"/>
              <w:ind w:left="-247"/>
              <w:jc w:val="center"/>
              <w:rPr>
                <w:color w:val="000000"/>
                <w:sz w:val="22"/>
                <w:szCs w:val="22"/>
              </w:rPr>
            </w:pPr>
            <w:r w:rsidRPr="00E877FD">
              <w:rPr>
                <w:color w:val="000000"/>
                <w:sz w:val="22"/>
                <w:szCs w:val="22"/>
              </w:rPr>
              <w:t>113.12</w:t>
            </w:r>
          </w:p>
        </w:tc>
        <w:tc>
          <w:tcPr>
            <w:tcW w:w="993" w:type="dxa"/>
            <w:tcBorders>
              <w:top w:val="nil"/>
              <w:left w:val="nil"/>
              <w:bottom w:val="nil"/>
              <w:right w:val="nil"/>
            </w:tcBorders>
            <w:shd w:val="clear" w:color="auto" w:fill="auto"/>
            <w:vAlign w:val="center"/>
          </w:tcPr>
          <w:p w14:paraId="4F8FCD57" w14:textId="77777777" w:rsidR="006612E1" w:rsidRPr="00E877FD" w:rsidRDefault="006612E1" w:rsidP="00E65544">
            <w:pPr>
              <w:spacing w:line="276" w:lineRule="auto"/>
              <w:ind w:left="-255"/>
              <w:jc w:val="center"/>
              <w:rPr>
                <w:color w:val="000000"/>
                <w:sz w:val="22"/>
                <w:szCs w:val="22"/>
              </w:rPr>
            </w:pPr>
            <w:r w:rsidRPr="00E877FD">
              <w:rPr>
                <w:color w:val="000000"/>
                <w:sz w:val="22"/>
                <w:szCs w:val="22"/>
              </w:rPr>
              <w:t>108.69</w:t>
            </w:r>
          </w:p>
        </w:tc>
        <w:tc>
          <w:tcPr>
            <w:tcW w:w="849" w:type="dxa"/>
            <w:tcBorders>
              <w:top w:val="nil"/>
              <w:left w:val="nil"/>
              <w:bottom w:val="nil"/>
              <w:right w:val="nil"/>
            </w:tcBorders>
            <w:shd w:val="clear" w:color="auto" w:fill="auto"/>
            <w:vAlign w:val="center"/>
          </w:tcPr>
          <w:p w14:paraId="5AC56822" w14:textId="77777777" w:rsidR="006612E1" w:rsidRPr="00E877FD" w:rsidRDefault="006612E1" w:rsidP="00E65544">
            <w:pPr>
              <w:spacing w:line="276" w:lineRule="auto"/>
              <w:ind w:left="-253"/>
              <w:jc w:val="center"/>
              <w:rPr>
                <w:color w:val="000000"/>
                <w:sz w:val="22"/>
                <w:szCs w:val="22"/>
              </w:rPr>
            </w:pPr>
            <w:r w:rsidRPr="00E877FD">
              <w:rPr>
                <w:color w:val="000000"/>
                <w:sz w:val="22"/>
                <w:szCs w:val="22"/>
              </w:rPr>
              <w:t>76.64</w:t>
            </w:r>
          </w:p>
        </w:tc>
        <w:tc>
          <w:tcPr>
            <w:tcW w:w="1418" w:type="dxa"/>
            <w:tcBorders>
              <w:top w:val="nil"/>
              <w:left w:val="nil"/>
              <w:bottom w:val="nil"/>
              <w:right w:val="nil"/>
            </w:tcBorders>
            <w:shd w:val="clear" w:color="auto" w:fill="auto"/>
            <w:vAlign w:val="center"/>
          </w:tcPr>
          <w:p w14:paraId="6238BEE9"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9.681 (.85)</w:t>
            </w:r>
          </w:p>
        </w:tc>
        <w:tc>
          <w:tcPr>
            <w:tcW w:w="236" w:type="dxa"/>
            <w:gridSpan w:val="2"/>
            <w:vAlign w:val="center"/>
          </w:tcPr>
          <w:p w14:paraId="3600D353" w14:textId="77777777" w:rsidR="006612E1" w:rsidRDefault="006612E1" w:rsidP="005B1A6B">
            <w:pPr>
              <w:spacing w:line="360" w:lineRule="auto"/>
              <w:rPr>
                <w:sz w:val="20"/>
                <w:szCs w:val="20"/>
              </w:rPr>
            </w:pPr>
          </w:p>
        </w:tc>
      </w:tr>
      <w:tr w:rsidR="00E877FD" w14:paraId="56F15E14" w14:textId="77777777" w:rsidTr="007734F8">
        <w:trPr>
          <w:trHeight w:val="930"/>
        </w:trPr>
        <w:tc>
          <w:tcPr>
            <w:tcW w:w="1418" w:type="dxa"/>
            <w:tcBorders>
              <w:top w:val="nil"/>
              <w:left w:val="nil"/>
              <w:bottom w:val="single" w:sz="4" w:space="0" w:color="000000"/>
              <w:right w:val="nil"/>
            </w:tcBorders>
            <w:shd w:val="clear" w:color="auto" w:fill="auto"/>
            <w:vAlign w:val="center"/>
          </w:tcPr>
          <w:p w14:paraId="24E9E355" w14:textId="77777777" w:rsidR="006612E1" w:rsidRPr="00E877FD" w:rsidRDefault="006612E1" w:rsidP="007734F8">
            <w:pPr>
              <w:spacing w:line="276" w:lineRule="auto"/>
              <w:ind w:left="-110" w:right="34"/>
              <w:rPr>
                <w:color w:val="000000"/>
                <w:sz w:val="22"/>
                <w:szCs w:val="22"/>
              </w:rPr>
            </w:pPr>
            <w:r w:rsidRPr="00E877FD">
              <w:rPr>
                <w:color w:val="000000"/>
                <w:sz w:val="22"/>
                <w:szCs w:val="22"/>
              </w:rPr>
              <w:t>Percepción individual futuro</w:t>
            </w:r>
          </w:p>
        </w:tc>
        <w:tc>
          <w:tcPr>
            <w:tcW w:w="851" w:type="dxa"/>
            <w:tcBorders>
              <w:top w:val="nil"/>
              <w:left w:val="nil"/>
              <w:bottom w:val="single" w:sz="4" w:space="0" w:color="000000"/>
              <w:right w:val="nil"/>
            </w:tcBorders>
            <w:shd w:val="clear" w:color="auto" w:fill="auto"/>
            <w:vAlign w:val="center"/>
          </w:tcPr>
          <w:p w14:paraId="3BC307F3" w14:textId="77777777" w:rsidR="006612E1" w:rsidRPr="00E877FD" w:rsidRDefault="006612E1" w:rsidP="00E65544">
            <w:pPr>
              <w:spacing w:line="276" w:lineRule="auto"/>
              <w:jc w:val="center"/>
              <w:rPr>
                <w:color w:val="000000"/>
                <w:sz w:val="22"/>
                <w:szCs w:val="22"/>
              </w:rPr>
            </w:pPr>
            <w:r w:rsidRPr="00E877FD">
              <w:rPr>
                <w:color w:val="000000"/>
                <w:sz w:val="22"/>
                <w:szCs w:val="22"/>
              </w:rPr>
              <w:t>120.92</w:t>
            </w:r>
          </w:p>
        </w:tc>
        <w:tc>
          <w:tcPr>
            <w:tcW w:w="997" w:type="dxa"/>
            <w:tcBorders>
              <w:top w:val="nil"/>
              <w:left w:val="nil"/>
              <w:bottom w:val="single" w:sz="4" w:space="0" w:color="000000"/>
              <w:right w:val="nil"/>
            </w:tcBorders>
            <w:shd w:val="clear" w:color="auto" w:fill="auto"/>
            <w:vAlign w:val="center"/>
          </w:tcPr>
          <w:p w14:paraId="4414C779"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128.35</w:t>
            </w:r>
          </w:p>
        </w:tc>
        <w:tc>
          <w:tcPr>
            <w:tcW w:w="993" w:type="dxa"/>
            <w:tcBorders>
              <w:top w:val="nil"/>
              <w:left w:val="nil"/>
              <w:bottom w:val="single" w:sz="4" w:space="0" w:color="000000"/>
              <w:right w:val="nil"/>
            </w:tcBorders>
            <w:shd w:val="clear" w:color="auto" w:fill="auto"/>
            <w:vAlign w:val="center"/>
          </w:tcPr>
          <w:p w14:paraId="6C3550C2" w14:textId="77777777" w:rsidR="006612E1" w:rsidRPr="00E877FD" w:rsidRDefault="006612E1" w:rsidP="00E65544">
            <w:pPr>
              <w:spacing w:line="276" w:lineRule="auto"/>
              <w:ind w:left="-249"/>
              <w:jc w:val="center"/>
              <w:rPr>
                <w:color w:val="000000"/>
                <w:sz w:val="22"/>
                <w:szCs w:val="22"/>
              </w:rPr>
            </w:pPr>
            <w:r w:rsidRPr="00E877FD">
              <w:rPr>
                <w:color w:val="000000"/>
                <w:sz w:val="22"/>
                <w:szCs w:val="22"/>
              </w:rPr>
              <w:t>105.99</w:t>
            </w:r>
          </w:p>
        </w:tc>
        <w:tc>
          <w:tcPr>
            <w:tcW w:w="993" w:type="dxa"/>
            <w:tcBorders>
              <w:top w:val="nil"/>
              <w:left w:val="nil"/>
              <w:bottom w:val="single" w:sz="4" w:space="0" w:color="000000"/>
              <w:right w:val="nil"/>
            </w:tcBorders>
            <w:shd w:val="clear" w:color="auto" w:fill="auto"/>
            <w:vAlign w:val="center"/>
          </w:tcPr>
          <w:p w14:paraId="54682094" w14:textId="77777777" w:rsidR="006612E1" w:rsidRPr="00E877FD" w:rsidRDefault="006612E1" w:rsidP="00E65544">
            <w:pPr>
              <w:spacing w:line="276" w:lineRule="auto"/>
              <w:ind w:left="-247"/>
              <w:jc w:val="center"/>
              <w:rPr>
                <w:color w:val="000000"/>
                <w:sz w:val="22"/>
                <w:szCs w:val="22"/>
              </w:rPr>
            </w:pPr>
            <w:r w:rsidRPr="00E877FD">
              <w:rPr>
                <w:color w:val="000000"/>
                <w:sz w:val="22"/>
                <w:szCs w:val="22"/>
              </w:rPr>
              <w:t>100.41</w:t>
            </w:r>
          </w:p>
        </w:tc>
        <w:tc>
          <w:tcPr>
            <w:tcW w:w="993" w:type="dxa"/>
            <w:tcBorders>
              <w:top w:val="nil"/>
              <w:left w:val="nil"/>
              <w:bottom w:val="single" w:sz="4" w:space="0" w:color="000000"/>
              <w:right w:val="nil"/>
            </w:tcBorders>
            <w:shd w:val="clear" w:color="auto" w:fill="auto"/>
            <w:vAlign w:val="center"/>
          </w:tcPr>
          <w:p w14:paraId="39B6C294" w14:textId="77777777" w:rsidR="006612E1" w:rsidRPr="00E877FD" w:rsidRDefault="006612E1" w:rsidP="00E65544">
            <w:pPr>
              <w:spacing w:line="276" w:lineRule="auto"/>
              <w:ind w:left="-255"/>
              <w:jc w:val="center"/>
              <w:rPr>
                <w:color w:val="000000"/>
                <w:sz w:val="22"/>
                <w:szCs w:val="22"/>
              </w:rPr>
            </w:pPr>
            <w:r w:rsidRPr="00E877FD">
              <w:rPr>
                <w:color w:val="000000"/>
                <w:sz w:val="22"/>
                <w:szCs w:val="22"/>
              </w:rPr>
              <w:t>82.64</w:t>
            </w:r>
          </w:p>
        </w:tc>
        <w:tc>
          <w:tcPr>
            <w:tcW w:w="849" w:type="dxa"/>
            <w:tcBorders>
              <w:top w:val="nil"/>
              <w:left w:val="nil"/>
              <w:bottom w:val="single" w:sz="4" w:space="0" w:color="000000"/>
              <w:right w:val="nil"/>
            </w:tcBorders>
            <w:shd w:val="clear" w:color="auto" w:fill="auto"/>
            <w:vAlign w:val="center"/>
          </w:tcPr>
          <w:p w14:paraId="3353886D" w14:textId="77777777" w:rsidR="006612E1" w:rsidRPr="00E877FD" w:rsidRDefault="006612E1" w:rsidP="00E65544">
            <w:pPr>
              <w:spacing w:line="276" w:lineRule="auto"/>
              <w:ind w:left="-253"/>
              <w:jc w:val="center"/>
              <w:rPr>
                <w:color w:val="000000"/>
                <w:sz w:val="22"/>
                <w:szCs w:val="22"/>
              </w:rPr>
            </w:pPr>
            <w:r w:rsidRPr="00E877FD">
              <w:rPr>
                <w:color w:val="000000"/>
                <w:sz w:val="22"/>
                <w:szCs w:val="22"/>
              </w:rPr>
              <w:t>99.57</w:t>
            </w:r>
          </w:p>
        </w:tc>
        <w:tc>
          <w:tcPr>
            <w:tcW w:w="1418" w:type="dxa"/>
            <w:tcBorders>
              <w:top w:val="nil"/>
              <w:left w:val="nil"/>
              <w:bottom w:val="single" w:sz="4" w:space="0" w:color="000000"/>
              <w:right w:val="nil"/>
            </w:tcBorders>
            <w:shd w:val="clear" w:color="auto" w:fill="auto"/>
            <w:vAlign w:val="center"/>
          </w:tcPr>
          <w:p w14:paraId="26A57D37" w14:textId="77777777" w:rsidR="006612E1" w:rsidRPr="00E877FD" w:rsidRDefault="006612E1" w:rsidP="00E65544">
            <w:pPr>
              <w:spacing w:line="276" w:lineRule="auto"/>
              <w:ind w:left="-252"/>
              <w:jc w:val="center"/>
              <w:rPr>
                <w:color w:val="000000"/>
                <w:sz w:val="22"/>
                <w:szCs w:val="22"/>
              </w:rPr>
            </w:pPr>
            <w:r w:rsidRPr="00E877FD">
              <w:rPr>
                <w:color w:val="000000"/>
                <w:sz w:val="22"/>
                <w:szCs w:val="22"/>
              </w:rPr>
              <w:t>10.628 (.05)</w:t>
            </w:r>
          </w:p>
        </w:tc>
        <w:tc>
          <w:tcPr>
            <w:tcW w:w="236" w:type="dxa"/>
            <w:gridSpan w:val="2"/>
            <w:vAlign w:val="center"/>
          </w:tcPr>
          <w:p w14:paraId="35C162A0" w14:textId="77777777" w:rsidR="006612E1" w:rsidRDefault="006612E1" w:rsidP="005B1A6B">
            <w:pPr>
              <w:spacing w:line="360" w:lineRule="auto"/>
              <w:rPr>
                <w:sz w:val="20"/>
                <w:szCs w:val="20"/>
              </w:rPr>
            </w:pPr>
          </w:p>
        </w:tc>
      </w:tr>
    </w:tbl>
    <w:p w14:paraId="04B309D3" w14:textId="3C3CD32B" w:rsidR="006612E1" w:rsidRPr="00E877FD" w:rsidRDefault="006612E1" w:rsidP="00E65544">
      <w:pPr>
        <w:spacing w:line="276" w:lineRule="auto"/>
        <w:jc w:val="both"/>
      </w:pPr>
      <w:r w:rsidRPr="00E877FD">
        <w:rPr>
          <w:i/>
        </w:rPr>
        <w:t>Nota</w:t>
      </w:r>
      <w:r w:rsidR="00BD535E">
        <w:rPr>
          <w:i/>
        </w:rPr>
        <w:t>.</w:t>
      </w:r>
      <w:r w:rsidRPr="00E877FD">
        <w:t xml:space="preserve"> Estrato socioeconómico = es</w:t>
      </w:r>
      <w:r w:rsidRPr="00E877FD">
        <w:rPr>
          <w:i/>
        </w:rPr>
        <w:t xml:space="preserve"> </w:t>
      </w:r>
      <w:r w:rsidRPr="00E877FD">
        <w:t>una clasificación de los inmuebles residenciales; quienes tienen mayor capacidad económica pagan más por los servicios públicos y contribuyen para que los estratos bajos puedan pagar sus facturas; 1 = bajo-bajo; 2 = bajo; 3 = medio-bajo; 4 = medio; 5 = medio-alto; 6 = alto; *: diferencia estadísticamente significativa (p-valor &lt; 0.05)</w:t>
      </w:r>
    </w:p>
    <w:p w14:paraId="22A23293" w14:textId="3607E0EF" w:rsidR="005A12F4" w:rsidRPr="00471F54" w:rsidRDefault="00F110D9" w:rsidP="00471F54">
      <w:pPr>
        <w:pStyle w:val="Ttulosinternos"/>
        <w:rPr>
          <w:lang w:val="es-AR"/>
        </w:rPr>
      </w:pPr>
      <w:r>
        <w:rPr>
          <w:lang w:val="es-AR"/>
        </w:rPr>
        <w:t>Discusión</w:t>
      </w:r>
    </w:p>
    <w:p w14:paraId="79851998" w14:textId="128752E1" w:rsidR="00C47BE4" w:rsidRPr="00C47BE4" w:rsidRDefault="00C47BE4" w:rsidP="00C47BE4">
      <w:pPr>
        <w:pStyle w:val="Prrafocomn"/>
        <w:spacing w:line="440" w:lineRule="exact"/>
        <w:rPr>
          <w:lang w:val="es"/>
        </w:rPr>
      </w:pPr>
      <w:r w:rsidRPr="00C47BE4">
        <w:rPr>
          <w:lang w:val="es"/>
        </w:rPr>
        <w:t xml:space="preserve">El objetivo de la presente investigación fue evaluar los niveles de desesperanza en universitarios frente a la cuarentena debido al virus SARS-COV-2 en Santander, Colombia. Los resultados concuerdan con otra investigación realizada por García et al. (2009), en la que se obtuvieron hallazgos similares, debido a que el 60.30% de participantes muestran un nivel nulo o mínimo de desesperanza, seguidos de un subgrupo con un nivel leve. Posteriormente, </w:t>
      </w:r>
      <w:proofErr w:type="spellStart"/>
      <w:r w:rsidRPr="00C47BE4">
        <w:rPr>
          <w:lang w:val="es"/>
        </w:rPr>
        <w:t>Pilatasig</w:t>
      </w:r>
      <w:proofErr w:type="spellEnd"/>
      <w:r w:rsidRPr="00C47BE4">
        <w:rPr>
          <w:lang w:val="es"/>
        </w:rPr>
        <w:t xml:space="preserve"> (2018) encontró que estudiantes, entre los 15 y 20 años, el 60% no reportaron desesperanza, el 32% presentó niveles leves, el 7% niveles moderados y solo el 1% presentó desesperanza en niveles altos. Bajo la misma </w:t>
      </w:r>
      <w:r w:rsidRPr="00C47BE4">
        <w:rPr>
          <w:lang w:val="es"/>
        </w:rPr>
        <w:lastRenderedPageBreak/>
        <w:t xml:space="preserve">óptica, Andrade et al., (2017) halló que el grado de desesperanza fue ninguno o mínimo en el 54.9% de la muestra, leve en el 26.8%, moderado en el 19.2% y alto en el 0.9%. </w:t>
      </w:r>
    </w:p>
    <w:p w14:paraId="0233D5D5" w14:textId="77777777" w:rsidR="00C47BE4" w:rsidRPr="00C47BE4" w:rsidRDefault="00C47BE4" w:rsidP="00C47BE4">
      <w:pPr>
        <w:pStyle w:val="Prrafocomn"/>
        <w:spacing w:line="440" w:lineRule="exact"/>
        <w:rPr>
          <w:lang w:val="es"/>
        </w:rPr>
      </w:pPr>
      <w:r w:rsidRPr="00C47BE4">
        <w:rPr>
          <w:lang w:val="es"/>
        </w:rPr>
        <w:t xml:space="preserve">Sin embargo, en la presente investigación se halló un número de casos que presentaron niveles moderados (10.2%) y altos (2.8%) de desesperanza, lo que debe ser foco importante de atención, teniendo en cuenta que en otros estudios se han identificado asociaciones positivas entre altos niveles de desesperanza y altas puntuaciones de riesgo e ideación suicida (Chang, 2017; Gonzales y Hernández, 2012; Gonzáles-Portillo et al., 2016; Honorato et al., 2019; Teruel et al., 2014); depresión (Nunes et al., 2014), agresividad (Vargas, 2017) y consumo de sustancias (Salvo y Castro, 2013). </w:t>
      </w:r>
    </w:p>
    <w:p w14:paraId="199EF85D" w14:textId="77777777" w:rsidR="00C47BE4" w:rsidRPr="00C47BE4" w:rsidRDefault="00C47BE4" w:rsidP="00C47BE4">
      <w:pPr>
        <w:pStyle w:val="Prrafocomn"/>
        <w:spacing w:line="440" w:lineRule="exact"/>
        <w:rPr>
          <w:lang w:val="es"/>
        </w:rPr>
      </w:pPr>
      <w:r w:rsidRPr="00C47BE4">
        <w:rPr>
          <w:lang w:val="es"/>
        </w:rPr>
        <w:t xml:space="preserve">Lo anterior se relaciona con las expectativas del rendimiento académico, debido a que la desesperanza trae como consecuencia que los jóvenes sean pesimistas con respecto a su aprendizaje, experimenten sentimientos negativos y tengan dificultades para potencializar sus habilidades (Castanedo y Bueno, 1998). Sumado a esto, la situación de confinamiento por la pandemia de COVID-19, implica mayor disciplina y compromiso, debido a los cambios en la educación virtual, lo cual genera altos niveles de estrés, incertidumbre, nerviosismo, inquietud y creencias negativas frente al futuro (Organización de las Naciones Unidas para la Educación, la Ciencia y la Cultura, 2020; Sandín et al., 2020).  </w:t>
      </w:r>
    </w:p>
    <w:p w14:paraId="02AAD32B" w14:textId="77777777" w:rsidR="00C47BE4" w:rsidRPr="00C47BE4" w:rsidRDefault="00C47BE4" w:rsidP="00C47BE4">
      <w:pPr>
        <w:pStyle w:val="Prrafocomn"/>
        <w:spacing w:line="440" w:lineRule="exact"/>
        <w:rPr>
          <w:lang w:val="es"/>
        </w:rPr>
      </w:pPr>
      <w:r w:rsidRPr="00C47BE4">
        <w:rPr>
          <w:lang w:val="es"/>
        </w:rPr>
        <w:t xml:space="preserve">Ahora bien, la pandemia del COVID-19 ha tenido profundos efectos en el desarrollo económico y social, especialmente en América Latina y el Caribe, debido a las crecientes tendencias de la pobreza y pobreza extrema, así como por las pérdidas y bajas laborales, lo cual afecta especialmente a la población de estratos socioeconómicos bajos (Organización de Naciones Unidas, 2020). De hecho, la Comisión Económica para América Latina y el Caribe (CEPAL, 2019), proyecta incrementos del índice Gini en todos los países de la región, entre el 0,5 y 6,0 %. </w:t>
      </w:r>
    </w:p>
    <w:p w14:paraId="6E73D8C2" w14:textId="77777777" w:rsidR="00C47BE4" w:rsidRPr="00C47BE4" w:rsidRDefault="00C47BE4" w:rsidP="00C47BE4">
      <w:pPr>
        <w:pStyle w:val="Prrafocomn"/>
        <w:spacing w:line="440" w:lineRule="exact"/>
        <w:rPr>
          <w:lang w:val="es"/>
        </w:rPr>
      </w:pPr>
      <w:r w:rsidRPr="00C47BE4">
        <w:rPr>
          <w:lang w:val="es"/>
        </w:rPr>
        <w:t xml:space="preserve">Esto ha afectado, en gran medida, a estudiantes en condición de vulnerabilidad económica, lo cual ha exacerbado las brechas de acceso a la educación y aprendizaje en los jóvenes. Siendo así, los estudiantes de menores recursos, durante época de pandemia, se encuentran en mayor riesgo de abandono escolar y afectaciones en su salud mental; a su vez, los jóvenes enfrentarán mayores dificultades para la continuidad educativa e </w:t>
      </w:r>
      <w:r w:rsidRPr="00C47BE4">
        <w:rPr>
          <w:lang w:val="es"/>
        </w:rPr>
        <w:lastRenderedPageBreak/>
        <w:t xml:space="preserve">inserción laboral, por lo tanto, generando altos índices de desempleo juvenil (ONU, 2020). </w:t>
      </w:r>
    </w:p>
    <w:p w14:paraId="6D4F76E6" w14:textId="77777777" w:rsidR="00C47BE4" w:rsidRPr="00C47BE4" w:rsidRDefault="00C47BE4" w:rsidP="00C47BE4">
      <w:pPr>
        <w:pStyle w:val="Prrafocomn"/>
        <w:spacing w:line="440" w:lineRule="exact"/>
        <w:rPr>
          <w:lang w:val="es"/>
        </w:rPr>
      </w:pPr>
      <w:r w:rsidRPr="00C47BE4">
        <w:rPr>
          <w:lang w:val="es"/>
        </w:rPr>
        <w:t xml:space="preserve">Por consiguiente, esta situación, afecta la consecución de los Objetivos del Desarrollo Sostenible, específicamente las esferas relacionadas con el fin de la pobreza, educación de calidad, trabajo decente, crecimiento económico y resolución de las desigualdades (OMS, 2020). Así mismo, las medidas de emergencia que han llevado a cabo los gobiernos de América Latina representan desafíos agudos, debido a la reducción drástica en el contacto social y a las dificultades evidentes en el acceso al mercado laboral, teniendo como consecuencia un mayor compromiso en los determinantes sociales de la salud (Hill, 2020). </w:t>
      </w:r>
    </w:p>
    <w:p w14:paraId="1C914008" w14:textId="77777777" w:rsidR="00C47BE4" w:rsidRPr="00C47BE4" w:rsidRDefault="00C47BE4" w:rsidP="00C47BE4">
      <w:pPr>
        <w:pStyle w:val="Prrafocomn"/>
        <w:spacing w:line="440" w:lineRule="exact"/>
        <w:rPr>
          <w:lang w:val="es"/>
        </w:rPr>
      </w:pPr>
      <w:r w:rsidRPr="00C47BE4">
        <w:rPr>
          <w:lang w:val="es"/>
        </w:rPr>
        <w:t xml:space="preserve"> La literatura científica, relaciona negativamente los estratos sociales con indicadores de trastornos mentales, riesgo de suicidio y sintomatología depresiva (Ortiz, 2007). En el presente estudio, se halló una diferencia entre los participantes de acuerdo con el estrato socioeconómico, presentándose mayor desesperanza en el estrato 1 y menor desesperanza en el estrato 5, lo que podría estar relacionado con las oportunidades y condiciones de vida de las personas. Además, estudios han evidenciado altos niveles de desesperanza en estratos socioeconómicos bajos (Galindo y Ardila, 2012; Esguerra et al., 2011; Castro, 2015), señalando como factores de riesgo los siguientes eventos: experiencia de situaciones estresantes, l, haber sido víctimas de situaciones humillantes y sufrir de insuficiencia económica (</w:t>
      </w:r>
      <w:proofErr w:type="spellStart"/>
      <w:r w:rsidRPr="00C47BE4">
        <w:rPr>
          <w:lang w:val="es"/>
        </w:rPr>
        <w:t>Cordova</w:t>
      </w:r>
      <w:proofErr w:type="spellEnd"/>
      <w:r w:rsidRPr="00C47BE4">
        <w:rPr>
          <w:lang w:val="es"/>
        </w:rPr>
        <w:t xml:space="preserve"> y Rosales, citados en Gonzáles y Hernández, 2012). Asimismo, durante eventos críticos y estresantes como el confinamiento por COVID-19, </w:t>
      </w:r>
      <w:proofErr w:type="spellStart"/>
      <w:r w:rsidRPr="00C47BE4">
        <w:rPr>
          <w:lang w:val="es"/>
        </w:rPr>
        <w:t>Balluerka</w:t>
      </w:r>
      <w:proofErr w:type="spellEnd"/>
      <w:r w:rsidRPr="00C47BE4">
        <w:rPr>
          <w:lang w:val="es"/>
        </w:rPr>
        <w:t xml:space="preserve"> et al. (2020) demostraron que los sentimientos de desesperanza aumentaron conforme disminuía la edad y el estrato socioeconómico. </w:t>
      </w:r>
    </w:p>
    <w:p w14:paraId="0B522ABB" w14:textId="77777777" w:rsidR="00C47BE4" w:rsidRPr="00C47BE4" w:rsidRDefault="00C47BE4" w:rsidP="00C47BE4">
      <w:pPr>
        <w:pStyle w:val="Prrafocomn"/>
        <w:spacing w:line="440" w:lineRule="exact"/>
        <w:rPr>
          <w:lang w:val="es"/>
        </w:rPr>
      </w:pPr>
      <w:r w:rsidRPr="00C47BE4">
        <w:rPr>
          <w:lang w:val="es"/>
        </w:rPr>
        <w:t xml:space="preserve">En el presente estudio, fue en el estrato socioeconómico 1 en el cual se encontró la mayor puntuación en la dimensión de expectativa negativa hacia el futuro, mientras que el estrato 5 puntuó más bajo en esta variable, lo que representa mayor desesperanza hacia el futuro y podría estar explicado por la vulnerabilidad económica y social en los estratos bajos. En la literatura, se ha encontrado que el factor cognitivo o expectativas negativas hacia el futuro, junto al factor motivacional bajo son considerados indicadores de riesgo suicida y un componente específico de la depresión (Gonzáles et al., 2016). De forma contraria, Omar et al. (2007) señalan que la expectativa positiva hacia el futuro es </w:t>
      </w:r>
      <w:r w:rsidRPr="00C47BE4">
        <w:rPr>
          <w:lang w:val="es"/>
        </w:rPr>
        <w:lastRenderedPageBreak/>
        <w:t xml:space="preserve">un factor protector debido a que una perspectiva favorable y planes acerca del futuro aumentan la sensación de bienestar y repercuten en la resiliencia. </w:t>
      </w:r>
    </w:p>
    <w:p w14:paraId="6A3E07C5" w14:textId="77777777" w:rsidR="00C47BE4" w:rsidRPr="00C47BE4" w:rsidRDefault="00C47BE4" w:rsidP="00C47BE4">
      <w:pPr>
        <w:pStyle w:val="Prrafocomn"/>
        <w:spacing w:line="440" w:lineRule="exact"/>
        <w:rPr>
          <w:lang w:val="es"/>
        </w:rPr>
      </w:pPr>
      <w:r w:rsidRPr="00C47BE4">
        <w:rPr>
          <w:lang w:val="es"/>
        </w:rPr>
        <w:t xml:space="preserve">En cuanto a las diferencias entre desesperanza y género, en el presente estudio no se encontró una relación entre estas variables, lo que quiere decir que tanto los participantes del género masculino como femenino experimentan niveles similares de desesperanza. Este hallazgo corresponde con lo encontrado en otras investigaciones (García et al., 2009; James et al., 2017; Córdova y Rosales, 2010), en las que se reportó que no existe diferencia significativa entre desesperanza y género; asimismo, estos autores, señalaron factores de riesgo sociodemográficos de acuerdo con el sexo, indicando que las mujeres presentan mayor sensibilidad a aspectos de la esfera familiar y personal. </w:t>
      </w:r>
    </w:p>
    <w:p w14:paraId="68BD077A" w14:textId="77777777" w:rsidR="00C47BE4" w:rsidRPr="00C47BE4" w:rsidRDefault="00C47BE4" w:rsidP="00C47BE4">
      <w:pPr>
        <w:pStyle w:val="Prrafocomn"/>
        <w:spacing w:line="440" w:lineRule="exact"/>
        <w:rPr>
          <w:lang w:val="es"/>
        </w:rPr>
      </w:pPr>
      <w:r w:rsidRPr="00C47BE4">
        <w:rPr>
          <w:lang w:val="es"/>
        </w:rPr>
        <w:t xml:space="preserve">Por el contrario, Valdez et al. (2014), afirman que las mujeres son quienes experimentan desesperanza con mayor frecuencia, lo cual es atribuible a factores internos (falta de atención, distracciones, desconfianza, orgullo y sentimientos negativos), a diferencia de los hombres, cuyas causas se deben a factores externos (la muerte, problemas económicos, dificultades familiares y falta de tiempo). Este mismo hallazgo ha sido reportado por estudios realizados por Rosales et al., (2013) y Cubillas et al., (2012). Sin embargo, Garza et al., (2020), encontraron que los estudiantes hombres presentan mayor desesperanza con respecto a las mujeres, lo cual se relaciona con los hallazgos de la presente investigación, debido a que los participantes del género masculino reportaron mayor nivel de desesperanza, pese a que no se hallaron diferencias significativas. </w:t>
      </w:r>
    </w:p>
    <w:p w14:paraId="36D4B747" w14:textId="77777777" w:rsidR="00C47BE4" w:rsidRPr="00C47BE4" w:rsidRDefault="00C47BE4" w:rsidP="00C47BE4">
      <w:pPr>
        <w:pStyle w:val="Prrafocomn"/>
        <w:spacing w:line="440" w:lineRule="exact"/>
        <w:rPr>
          <w:lang w:val="es"/>
        </w:rPr>
      </w:pPr>
      <w:r w:rsidRPr="00C47BE4">
        <w:rPr>
          <w:lang w:val="es"/>
        </w:rPr>
        <w:t xml:space="preserve">Ahora bien, en Colombia, el </w:t>
      </w:r>
      <w:proofErr w:type="spellStart"/>
      <w:r w:rsidRPr="00C47BE4">
        <w:rPr>
          <w:lang w:val="es"/>
        </w:rPr>
        <w:t>MinSalud</w:t>
      </w:r>
      <w:proofErr w:type="spellEnd"/>
      <w:r w:rsidRPr="00C47BE4">
        <w:rPr>
          <w:lang w:val="es"/>
        </w:rPr>
        <w:t xml:space="preserve"> (2018) reporta que las tasas de suicidio son mayores en mujeres y por cada hombre que tiene un intento de suicidio, aproximadamente dos mujeres lo hacen. En el 2017, 63,3% de los casos de suicidio fueron del género femenino por 100.000 habitantes (Sistema Nacional de Vigilancia en Salud Pública, SIVIGILA, 2018). Además, la OMS (2019), señala el género y la edad como factores de riesgo de suicidio y problemas mentales asociados, siendo las personas LGBTI y los jóvenes con edades entre los 15 y 29 años, los más vulnerables a este evento.  </w:t>
      </w:r>
    </w:p>
    <w:p w14:paraId="1987DE1C" w14:textId="77777777" w:rsidR="00C47BE4" w:rsidRPr="00C47BE4" w:rsidRDefault="00C47BE4" w:rsidP="00C47BE4">
      <w:pPr>
        <w:pStyle w:val="Prrafocomn"/>
        <w:spacing w:line="440" w:lineRule="exact"/>
        <w:rPr>
          <w:lang w:val="es"/>
        </w:rPr>
      </w:pPr>
      <w:r w:rsidRPr="00C47BE4">
        <w:rPr>
          <w:lang w:val="es"/>
        </w:rPr>
        <w:t xml:space="preserve">Teniendo en cuenta lo anterior, es importante considerar los programas de promoción de la salud y de apoyo social formal e informal en jóvenes universitarios, con </w:t>
      </w:r>
      <w:r w:rsidRPr="00C47BE4">
        <w:rPr>
          <w:lang w:val="es"/>
        </w:rPr>
        <w:lastRenderedPageBreak/>
        <w:t xml:space="preserve">respecto al vínculo con instituciones públicas y privadas, familiares y amigos (García y Madrigal, 1999), para facilitar el afrontamiento de problemáticas asociadas a la pandemia de COVID-19. En caso contrario, hay un porcentaje mayor de estudiantes que están en riesgo de desesperanza, lo que lleva a considerar la relación que existe entre el apoyo social, bienestar y condiciones favorables para la salud mental, como menor sintomatología depresiva y ansiosa (Barrera et al., 2019; Feldman et al, 2008). </w:t>
      </w:r>
    </w:p>
    <w:p w14:paraId="492FD1B3" w14:textId="00316F39" w:rsidR="00F110D9" w:rsidRDefault="00C47BE4" w:rsidP="00F110D9">
      <w:pPr>
        <w:pStyle w:val="Ttulosinternos"/>
        <w:rPr>
          <w:lang w:val="es-AR"/>
        </w:rPr>
      </w:pPr>
      <w:r>
        <w:rPr>
          <w:lang w:val="es-AR"/>
        </w:rPr>
        <w:t>Consideraciones finales</w:t>
      </w:r>
    </w:p>
    <w:p w14:paraId="0E64617A" w14:textId="4387A070" w:rsidR="00C47BE4" w:rsidRPr="00DF52C9" w:rsidRDefault="00C47BE4" w:rsidP="00C47BE4">
      <w:pPr>
        <w:pStyle w:val="SubtituloInterno"/>
        <w:rPr>
          <w:bCs/>
          <w:iCs/>
          <w:lang w:val="es"/>
        </w:rPr>
      </w:pPr>
      <w:r w:rsidRPr="00C47BE4">
        <w:rPr>
          <w:bCs/>
          <w:iCs/>
          <w:lang w:val="es"/>
        </w:rPr>
        <w:t>Limitaciones y sugerencias</w:t>
      </w:r>
    </w:p>
    <w:p w14:paraId="192EAE8C" w14:textId="41819259" w:rsidR="00C47BE4" w:rsidRPr="00C47BE4" w:rsidRDefault="005A12F4" w:rsidP="00C47BE4">
      <w:pPr>
        <w:pStyle w:val="Prrafocomn"/>
        <w:spacing w:line="440" w:lineRule="exact"/>
        <w:rPr>
          <w:lang w:val="es"/>
        </w:rPr>
      </w:pPr>
      <w:r w:rsidRPr="005A12F4">
        <w:rPr>
          <w:lang w:val="es-ES_tradnl"/>
        </w:rPr>
        <w:t xml:space="preserve"> </w:t>
      </w:r>
      <w:r w:rsidR="00C47BE4" w:rsidRPr="00C47BE4">
        <w:rPr>
          <w:lang w:val="es"/>
        </w:rPr>
        <w:t xml:space="preserve">El presente estudio tuvo una metodología cuantitativa, directriz que ignora el contexto singular y la historia de desarrollo personal de cada participante, por tal motivo, los datos recolectados no están exclusivamente enmarcados y determinados por las medidas de aislamiento social tomadas por el gobierno de Colombia. Adicionalmente, la estrategia para la recolección de datos a través de medios digitales, puede aumentar la probabilidad de incidir los siguientes sesgos: sesgo en la selección de los sujetos para el estudio, falsedad de los datos, la fatiga y confusión de los ítems. </w:t>
      </w:r>
    </w:p>
    <w:p w14:paraId="6E98B3C3" w14:textId="4E1AE707" w:rsidR="00F110D9" w:rsidRPr="00C47BE4" w:rsidRDefault="00C47BE4" w:rsidP="00C47BE4">
      <w:pPr>
        <w:pStyle w:val="Prrafocomn"/>
        <w:spacing w:line="440" w:lineRule="exact"/>
        <w:rPr>
          <w:lang w:val="es"/>
        </w:rPr>
      </w:pPr>
      <w:r w:rsidRPr="00C47BE4">
        <w:rPr>
          <w:lang w:val="es"/>
        </w:rPr>
        <w:tab/>
        <w:t>Finalmente, es importante considerar los retos que traerá la post-pandemia para los diferentes actores de la sociedad en materia de salud pública y educación, con el fin de elaborar estrategias desde una perspectiva integral y holística, y de este modo, favorecer la transición a una nueva normalidad y prevenir el riesgo de efectos negativos en el bienestar psicológico de jóvenes universitarios y sus familias. Por esta razón, es necesario que el área de psicología, las instituciones educativas y de salud, desarrollen acciones orientadas a informar, atender y contener las consecuencias psicosociales de la población durante y posterior a la pandemia, así como acciones de investigación y observación del comportamiento individual y colectivo, para recopilar información importante y posteriormente tomar decisiones enfocadas a las necesidades de la pobl</w:t>
      </w:r>
      <w:r>
        <w:rPr>
          <w:lang w:val="es"/>
        </w:rPr>
        <w:t>ación (Gallegos et al., 2020)</w:t>
      </w:r>
      <w:r w:rsidR="00F110D9" w:rsidRPr="00F110D9">
        <w:rPr>
          <w:lang w:val="es-CO"/>
        </w:rPr>
        <w:t xml:space="preserve">. </w:t>
      </w:r>
    </w:p>
    <w:p w14:paraId="01C54B13" w14:textId="0836573E" w:rsidR="003A1180" w:rsidRPr="006619D9" w:rsidRDefault="005A12F4" w:rsidP="005A12F4">
      <w:pPr>
        <w:pStyle w:val="Prrafocomn"/>
        <w:spacing w:line="440" w:lineRule="exact"/>
        <w:ind w:firstLine="709"/>
        <w:rPr>
          <w:lang w:val="es-ES"/>
        </w:rPr>
      </w:pPr>
      <w:r w:rsidRPr="006619D9">
        <w:rPr>
          <w:lang w:val="es-ES"/>
        </w:rPr>
        <w:t>.</w:t>
      </w:r>
      <w:r w:rsidR="003A1180" w:rsidRPr="006619D9">
        <w:rPr>
          <w:lang w:val="es-ES" w:eastAsia="en-US"/>
        </w:rPr>
        <w:br w:type="page"/>
      </w:r>
    </w:p>
    <w:p w14:paraId="66876945" w14:textId="5B414171" w:rsidR="003A1180" w:rsidRPr="006619D9" w:rsidRDefault="00BC764F" w:rsidP="00F42476">
      <w:pPr>
        <w:pStyle w:val="Ttulosinternos"/>
        <w:rPr>
          <w:lang w:val="es-ES"/>
        </w:rPr>
      </w:pPr>
      <w:r w:rsidRPr="006619D9">
        <w:rPr>
          <w:lang w:val="es-ES"/>
        </w:rPr>
        <w:lastRenderedPageBreak/>
        <w:t>Referencias</w:t>
      </w:r>
    </w:p>
    <w:p w14:paraId="2F802A27" w14:textId="77777777" w:rsidR="005B1A6B" w:rsidRPr="005B1A6B" w:rsidRDefault="005A29CE" w:rsidP="005B1A6B">
      <w:pPr>
        <w:widowControl w:val="0"/>
        <w:autoSpaceDE w:val="0"/>
        <w:autoSpaceDN w:val="0"/>
        <w:adjustRightInd w:val="0"/>
        <w:spacing w:line="360" w:lineRule="auto"/>
        <w:ind w:left="480" w:hanging="480"/>
        <w:jc w:val="both"/>
        <w:rPr>
          <w:noProof/>
          <w:color w:val="000000"/>
          <w:lang w:val="es"/>
        </w:rPr>
      </w:pPr>
      <w:r w:rsidRPr="005A29CE">
        <w:rPr>
          <w:noProof/>
          <w:color w:val="000000"/>
        </w:rPr>
        <w:t xml:space="preserve">Agerbo, </w:t>
      </w:r>
      <w:r w:rsidR="005B1A6B" w:rsidRPr="005B1A6B">
        <w:rPr>
          <w:noProof/>
          <w:color w:val="000000"/>
          <w:lang w:val="es"/>
        </w:rPr>
        <w:t>Abreu, P., Tejada, G., Velázquez, T., Tamayo, I. y Arjona, B. (2020). Alteraciones psicológicas en estudiantes de medicina durante la pesquisa activa de la COVID-19. </w:t>
      </w:r>
      <w:r w:rsidR="005B1A6B" w:rsidRPr="005B1A6B">
        <w:rPr>
          <w:i/>
          <w:noProof/>
          <w:color w:val="000000"/>
          <w:lang w:val="es"/>
        </w:rPr>
        <w:t>Revista médica de Santiago de Cuba</w:t>
      </w:r>
      <w:r w:rsidR="005B1A6B" w:rsidRPr="005B1A6B">
        <w:rPr>
          <w:noProof/>
          <w:color w:val="000000"/>
          <w:lang w:val="es"/>
        </w:rPr>
        <w:t>, </w:t>
      </w:r>
      <w:r w:rsidR="005B1A6B" w:rsidRPr="005B1A6B">
        <w:rPr>
          <w:i/>
          <w:noProof/>
          <w:color w:val="000000"/>
          <w:lang w:val="es"/>
        </w:rPr>
        <w:t>24</w:t>
      </w:r>
      <w:r w:rsidR="005B1A6B" w:rsidRPr="005B1A6B">
        <w:rPr>
          <w:noProof/>
          <w:color w:val="000000"/>
          <w:lang w:val="es"/>
        </w:rPr>
        <w:t>(4).  </w:t>
      </w:r>
    </w:p>
    <w:p w14:paraId="62DDF31B" w14:textId="442AB5CC"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Alamo, C., Baader, T., Antúnez, Z., Bagladi, V. y Bejer, T. (2019). Escala de desesperanza de Beck como instrumento útil para detectar riesgo de suicidio en universitarios chilenos. </w:t>
      </w:r>
      <w:r w:rsidRPr="005B1A6B">
        <w:rPr>
          <w:i/>
          <w:noProof/>
          <w:color w:val="000000"/>
          <w:lang w:val="es"/>
        </w:rPr>
        <w:t>Revista Chilena de Neuro-psiquiatría, 2</w:t>
      </w:r>
      <w:r w:rsidR="00194ECD">
        <w:rPr>
          <w:noProof/>
          <w:color w:val="000000"/>
          <w:lang w:val="es"/>
        </w:rPr>
        <w:t>, 167-</w:t>
      </w:r>
      <w:r w:rsidRPr="005B1A6B">
        <w:rPr>
          <w:noProof/>
          <w:color w:val="000000"/>
          <w:lang w:val="es"/>
        </w:rPr>
        <w:t xml:space="preserve">175. </w:t>
      </w:r>
      <w:hyperlink r:id="rId20" w:history="1">
        <w:r w:rsidR="00194ECD" w:rsidRPr="00866C11">
          <w:rPr>
            <w:rStyle w:val="Hipervnculo"/>
            <w:noProof/>
            <w:lang w:val="es"/>
          </w:rPr>
          <w:t>http://dx.doi.org/10.4067/S0717-92272019000200167</w:t>
        </w:r>
      </w:hyperlink>
      <w:r w:rsidR="00194ECD">
        <w:rPr>
          <w:noProof/>
          <w:color w:val="000000"/>
          <w:lang w:val="es"/>
        </w:rPr>
        <w:t xml:space="preserve"> </w:t>
      </w:r>
    </w:p>
    <w:p w14:paraId="77C443F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Alarcón, R. (2020). La Salud Mental de los estudiantes universitarios. </w:t>
      </w:r>
      <w:r w:rsidRPr="005B1A6B">
        <w:rPr>
          <w:i/>
          <w:noProof/>
          <w:color w:val="000000"/>
          <w:lang w:val="es"/>
        </w:rPr>
        <w:t>Revista Médica Herediana, 30</w:t>
      </w:r>
      <w:r w:rsidRPr="005B1A6B">
        <w:rPr>
          <w:noProof/>
          <w:color w:val="000000"/>
          <w:lang w:val="es"/>
        </w:rPr>
        <w:t xml:space="preserve">(4), 219-221. </w:t>
      </w:r>
      <w:hyperlink r:id="rId21">
        <w:r w:rsidRPr="005B1A6B">
          <w:rPr>
            <w:rStyle w:val="Hipervnculo"/>
            <w:noProof/>
            <w:lang w:val="es"/>
          </w:rPr>
          <w:t>https://doi.org/10.20453/rmh.v30i4.3655</w:t>
        </w:r>
      </w:hyperlink>
    </w:p>
    <w:p w14:paraId="3F6FA5C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Alarcón, R., &amp; Caycho, T. (2015). Relaciones entre gratitud y felicidad en estudiantes universitarios de lima metropolitana. </w:t>
      </w:r>
      <w:r w:rsidRPr="00194ECD">
        <w:rPr>
          <w:i/>
          <w:noProof/>
          <w:color w:val="000000"/>
          <w:lang w:val="es"/>
        </w:rPr>
        <w:t>Psychologia: avances de la disciplina, 9</w:t>
      </w:r>
      <w:r w:rsidRPr="005B1A6B">
        <w:rPr>
          <w:noProof/>
          <w:color w:val="000000"/>
          <w:lang w:val="es"/>
        </w:rPr>
        <w:t>(1), 59-69.</w:t>
      </w:r>
    </w:p>
    <w:p w14:paraId="3936CD48" w14:textId="4916360E"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 xml:space="preserve">Alloy, L., Kelly, K., Mineka, S., &amp; Clements, C. (1990). </w:t>
      </w:r>
      <w:r w:rsidRPr="005B1A6B">
        <w:rPr>
          <w:noProof/>
          <w:color w:val="000000"/>
          <w:lang w:val="en-US"/>
        </w:rPr>
        <w:t xml:space="preserve">Comorbidity in anxiety and depressive disorders: A helplessness/hopelessness perspective. En J. D. Maser &amp; C. R. Cloninger (Eds.), </w:t>
      </w:r>
      <w:r w:rsidRPr="005B1A6B">
        <w:rPr>
          <w:i/>
          <w:noProof/>
          <w:color w:val="000000"/>
          <w:lang w:val="en-US"/>
        </w:rPr>
        <w:t>Comorbidity of mood and anxiety disorders</w:t>
      </w:r>
      <w:r w:rsidR="00194ECD">
        <w:rPr>
          <w:noProof/>
          <w:color w:val="000000"/>
          <w:lang w:val="en-US"/>
        </w:rPr>
        <w:t xml:space="preserve"> (pp. 499-543). </w:t>
      </w:r>
      <w:r w:rsidRPr="005B1A6B">
        <w:rPr>
          <w:noProof/>
          <w:color w:val="000000"/>
          <w:lang w:val="en-US"/>
        </w:rPr>
        <w:t>American Psychiatry Press.</w:t>
      </w:r>
    </w:p>
    <w:p w14:paraId="066E19C7" w14:textId="757E8502" w:rsidR="005B1A6B" w:rsidRPr="005B1A6B" w:rsidRDefault="005B1A6B" w:rsidP="005B1A6B">
      <w:pPr>
        <w:widowControl w:val="0"/>
        <w:autoSpaceDE w:val="0"/>
        <w:autoSpaceDN w:val="0"/>
        <w:adjustRightInd w:val="0"/>
        <w:spacing w:line="360" w:lineRule="auto"/>
        <w:ind w:left="480" w:hanging="480"/>
        <w:jc w:val="both"/>
        <w:rPr>
          <w:i/>
          <w:noProof/>
          <w:color w:val="000000"/>
          <w:lang w:val="es"/>
        </w:rPr>
      </w:pPr>
      <w:r w:rsidRPr="005B1A6B">
        <w:rPr>
          <w:noProof/>
          <w:color w:val="000000"/>
          <w:lang w:val="en-US"/>
        </w:rPr>
        <w:t xml:space="preserve">Andrade, J., Duffay, L., Ortega, P., Ramirez, E., Carvajal, J. (2017). </w:t>
      </w:r>
      <w:r w:rsidRPr="005B1A6B">
        <w:rPr>
          <w:noProof/>
          <w:color w:val="000000"/>
          <w:lang w:val="es"/>
        </w:rPr>
        <w:t xml:space="preserve">Autoestima y desesperanza en adolescentes de una institución educativa del Quindío. </w:t>
      </w:r>
      <w:r w:rsidRPr="005B1A6B">
        <w:rPr>
          <w:i/>
          <w:noProof/>
          <w:color w:val="000000"/>
          <w:lang w:val="es"/>
        </w:rPr>
        <w:t>Revista Duazary, 14</w:t>
      </w:r>
      <w:r w:rsidR="00194ECD">
        <w:rPr>
          <w:noProof/>
          <w:color w:val="000000"/>
          <w:lang w:val="es"/>
        </w:rPr>
        <w:t>(2), 179-</w:t>
      </w:r>
      <w:r w:rsidRPr="005B1A6B">
        <w:rPr>
          <w:noProof/>
          <w:color w:val="000000"/>
          <w:lang w:val="es"/>
        </w:rPr>
        <w:t xml:space="preserve">187. </w:t>
      </w:r>
    </w:p>
    <w:p w14:paraId="48DF99DF" w14:textId="43FD62FE"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Baader, T., Rojas, C., Molina, J., Gotelli, M., Alamo, C., Fierro, C., Venezian, S. y Dittus, P. (2014). Diagnóstico de la prevalencia de trastornos de la salud mental en estudiantes universitarios y los factores de riesgo emocionales asociados. </w:t>
      </w:r>
      <w:r w:rsidRPr="005B1A6B">
        <w:rPr>
          <w:i/>
          <w:noProof/>
          <w:color w:val="000000"/>
          <w:lang w:val="es"/>
        </w:rPr>
        <w:t>Revista Chilena de Neuro-psiquiatría, 52(</w:t>
      </w:r>
      <w:r w:rsidR="00194ECD">
        <w:rPr>
          <w:noProof/>
          <w:color w:val="000000"/>
          <w:lang w:val="es"/>
        </w:rPr>
        <w:t xml:space="preserve">3), 167-176. </w:t>
      </w:r>
      <w:hyperlink r:id="rId22" w:history="1">
        <w:r w:rsidR="00194ECD" w:rsidRPr="00866C11">
          <w:rPr>
            <w:rStyle w:val="Hipervnculo"/>
            <w:noProof/>
            <w:lang w:val="es"/>
          </w:rPr>
          <w:t>https://doi.org/10.4067/S0717-92272014000300004</w:t>
        </w:r>
      </w:hyperlink>
      <w:r w:rsidR="00194ECD">
        <w:rPr>
          <w:noProof/>
          <w:color w:val="000000"/>
          <w:lang w:val="es"/>
        </w:rPr>
        <w:t xml:space="preserve"> </w:t>
      </w:r>
    </w:p>
    <w:p w14:paraId="451ECACA"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Balluerka, N., Gómez, J., Hidalgo, M., Gorostiaga, A., Espada, J., Padilla, J., Santed, M. (2020). Las Consecuencias Psicológicas De La Covid-19 Y El Confinamiento. Servicio de Publicaciones de la Universidad del País Vasco Euskal Herriko Unibertsitateko Argitalpen Zerbitzua. </w:t>
      </w:r>
      <w:hyperlink r:id="rId23">
        <w:r w:rsidRPr="005B1A6B">
          <w:rPr>
            <w:rStyle w:val="Hipervnculo"/>
            <w:noProof/>
            <w:lang w:val="es"/>
          </w:rPr>
          <w:t>https://www.ciencia.gob.es/stfls/MICINN/Universidades/Ficheros/Consecuencias_psicologicasCOVID19.pdf</w:t>
        </w:r>
      </w:hyperlink>
    </w:p>
    <w:p w14:paraId="49568BDD" w14:textId="5F5AAE33"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Barrera, A., Neira, M., Raipán, P., Ruqelme, P. y Escobar, B. (2019). Apoyo social percibido y factores sociodemográficos en relación con los síntomas de ansiedad, </w:t>
      </w:r>
      <w:r w:rsidRPr="005B1A6B">
        <w:rPr>
          <w:noProof/>
          <w:color w:val="000000"/>
          <w:lang w:val="es"/>
        </w:rPr>
        <w:lastRenderedPageBreak/>
        <w:t xml:space="preserve">depresión y estrés en universitarios chilenos. </w:t>
      </w:r>
      <w:r w:rsidRPr="005B1A6B">
        <w:rPr>
          <w:i/>
          <w:noProof/>
          <w:color w:val="000000"/>
          <w:lang w:val="es"/>
        </w:rPr>
        <w:t>Revista de Psicopatología y Psicología Clínica, 24</w:t>
      </w:r>
      <w:r w:rsidRPr="005B1A6B">
        <w:rPr>
          <w:noProof/>
          <w:color w:val="000000"/>
          <w:lang w:val="es"/>
        </w:rPr>
        <w:t xml:space="preserve">, 105-115. </w:t>
      </w:r>
      <w:hyperlink r:id="rId24" w:history="1">
        <w:r w:rsidR="00194ECD" w:rsidRPr="00866C11">
          <w:rPr>
            <w:rStyle w:val="Hipervnculo"/>
            <w:noProof/>
            <w:lang w:val="es"/>
          </w:rPr>
          <w:t>https://doi.org/10.5944/rppc.23676</w:t>
        </w:r>
      </w:hyperlink>
      <w:r w:rsidR="00194ECD">
        <w:rPr>
          <w:noProof/>
          <w:color w:val="000000"/>
          <w:lang w:val="es"/>
        </w:rPr>
        <w:t xml:space="preserve"> </w:t>
      </w:r>
    </w:p>
    <w:p w14:paraId="18406704"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61504D">
        <w:rPr>
          <w:noProof/>
          <w:color w:val="000000"/>
          <w:lang w:val="en-US"/>
        </w:rPr>
        <w:t xml:space="preserve">Beck, A. &amp; Bredemeier, K. (2016). A unified model of depression: Integrating clinical, cognitive, biological, and evolutionary perspectives. </w:t>
      </w:r>
      <w:r w:rsidRPr="005B1A6B">
        <w:rPr>
          <w:i/>
          <w:noProof/>
          <w:color w:val="000000"/>
          <w:lang w:val="en-US"/>
        </w:rPr>
        <w:t>Clinical Psychological Science, 4,</w:t>
      </w:r>
      <w:r w:rsidRPr="005B1A6B">
        <w:rPr>
          <w:noProof/>
          <w:color w:val="000000"/>
          <w:lang w:val="en-US"/>
        </w:rPr>
        <w:t xml:space="preserve"> 596-619.</w:t>
      </w:r>
    </w:p>
    <w:p w14:paraId="79BCD419"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Beck, A., Steer, R., Kovac, M., Garrison, B. (1985). Hopelessness and eventual suicide: a 10-year prospective study of patients hospitalized with suicidal ideation. </w:t>
      </w:r>
      <w:r w:rsidRPr="005B1A6B">
        <w:rPr>
          <w:i/>
          <w:noProof/>
          <w:color w:val="000000"/>
          <w:lang w:val="en-US"/>
        </w:rPr>
        <w:t>American journal of Psychiatry</w:t>
      </w:r>
      <w:r w:rsidRPr="005B1A6B">
        <w:rPr>
          <w:noProof/>
          <w:color w:val="000000"/>
          <w:lang w:val="en-US"/>
        </w:rPr>
        <w:t xml:space="preserve">, </w:t>
      </w:r>
      <w:r w:rsidRPr="005B1A6B">
        <w:rPr>
          <w:i/>
          <w:noProof/>
          <w:color w:val="000000"/>
          <w:lang w:val="en-US"/>
        </w:rPr>
        <w:t>1</w:t>
      </w:r>
      <w:r w:rsidRPr="005B1A6B">
        <w:rPr>
          <w:noProof/>
          <w:color w:val="000000"/>
          <w:lang w:val="en-US"/>
        </w:rPr>
        <w:t>(42), 559-563.</w:t>
      </w:r>
    </w:p>
    <w:p w14:paraId="5C21C681"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Brooks, S., Webster, R., Smith, L., Woodland, L., Wessely, S., Greenberg, N. &amp; James, G. (2020). The psychological impact of quarantine and how to reduce it: rapid review of the evidence. </w:t>
      </w:r>
      <w:r w:rsidRPr="005B1A6B">
        <w:rPr>
          <w:i/>
          <w:noProof/>
          <w:color w:val="000000"/>
          <w:lang w:val="en-US"/>
        </w:rPr>
        <w:t xml:space="preserve">The Lancet, 395, </w:t>
      </w:r>
      <w:r w:rsidRPr="005B1A6B">
        <w:rPr>
          <w:noProof/>
          <w:color w:val="000000"/>
          <w:lang w:val="en-US"/>
        </w:rPr>
        <w:t xml:space="preserve">912-920. </w:t>
      </w:r>
      <w:hyperlink r:id="rId25">
        <w:r w:rsidRPr="005B1A6B">
          <w:rPr>
            <w:rStyle w:val="Hipervnculo"/>
            <w:noProof/>
            <w:lang w:val="en-US"/>
          </w:rPr>
          <w:t>https://doi.org/10.1016/S0140-6736(20)30460-8</w:t>
        </w:r>
      </w:hyperlink>
    </w:p>
    <w:p w14:paraId="16C933C8"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Brown, G. K., Beck, A. T., Steer, R. A., &amp; Grisham, J. R. (2000). Risk factors for suicide in psychiatric outpatients: a 20-year prospective study. </w:t>
      </w:r>
      <w:r w:rsidRPr="005B1A6B">
        <w:rPr>
          <w:i/>
          <w:noProof/>
          <w:color w:val="000000"/>
          <w:lang w:val="en-US"/>
        </w:rPr>
        <w:t>Journal of consulting and clinical psychology</w:t>
      </w:r>
      <w:r w:rsidRPr="005B1A6B">
        <w:rPr>
          <w:noProof/>
          <w:color w:val="000000"/>
          <w:lang w:val="en-US"/>
        </w:rPr>
        <w:t xml:space="preserve">, </w:t>
      </w:r>
      <w:r w:rsidRPr="005B1A6B">
        <w:rPr>
          <w:i/>
          <w:noProof/>
          <w:color w:val="000000"/>
          <w:lang w:val="en-US"/>
        </w:rPr>
        <w:t>68</w:t>
      </w:r>
      <w:r w:rsidRPr="005B1A6B">
        <w:rPr>
          <w:noProof/>
          <w:color w:val="000000"/>
          <w:lang w:val="en-US"/>
        </w:rPr>
        <w:t>(3), 371.</w:t>
      </w:r>
    </w:p>
    <w:p w14:paraId="3FD44F3B" w14:textId="104BE613"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Burr, E. M., Rahm-Knigge, R. &amp; Conner, B. T. (2018). The differentiating role of state and trait hopelessness in suicidal ideation and suicide attempt. </w:t>
      </w:r>
      <w:r w:rsidRPr="005B1A6B">
        <w:rPr>
          <w:i/>
          <w:noProof/>
          <w:color w:val="000000"/>
          <w:lang w:val="en-US"/>
        </w:rPr>
        <w:t>Archives of Suicide Research, 22</w:t>
      </w:r>
      <w:r w:rsidRPr="005B1A6B">
        <w:rPr>
          <w:noProof/>
          <w:color w:val="000000"/>
          <w:lang w:val="en-US"/>
        </w:rPr>
        <w:t xml:space="preserve">(3), 510-517. </w:t>
      </w:r>
      <w:hyperlink r:id="rId26" w:history="1">
        <w:r w:rsidR="00194ECD" w:rsidRPr="00866C11">
          <w:rPr>
            <w:rStyle w:val="Hipervnculo"/>
            <w:noProof/>
            <w:lang w:val="en-US"/>
          </w:rPr>
          <w:t>https://doi:10.1080/13811118.2017.1366960</w:t>
        </w:r>
      </w:hyperlink>
      <w:r w:rsidR="00194ECD">
        <w:rPr>
          <w:noProof/>
          <w:color w:val="000000"/>
          <w:lang w:val="en-US"/>
        </w:rPr>
        <w:t xml:space="preserve"> </w:t>
      </w:r>
    </w:p>
    <w:p w14:paraId="4EF06087"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n-US"/>
        </w:rPr>
        <w:t xml:space="preserve">Camuñas, N., Mavrou, I. y Miguel-Tobal, J. (2019). </w:t>
      </w:r>
      <w:r w:rsidRPr="005B1A6B">
        <w:rPr>
          <w:noProof/>
          <w:color w:val="000000"/>
          <w:lang w:val="es"/>
        </w:rPr>
        <w:t xml:space="preserve">Ansiedad y tristeza-depresión: Una aproximación desde la teoría de la indefensión-desesperanza. </w:t>
      </w:r>
      <w:r w:rsidRPr="005B1A6B">
        <w:rPr>
          <w:i/>
          <w:noProof/>
          <w:color w:val="000000"/>
          <w:lang w:val="es"/>
        </w:rPr>
        <w:t>Revista de Psicopatología y Psicología Clínica, 24</w:t>
      </w:r>
      <w:r w:rsidRPr="005B1A6B">
        <w:rPr>
          <w:noProof/>
          <w:color w:val="000000"/>
          <w:lang w:val="es"/>
        </w:rPr>
        <w:t>, 19-28.</w:t>
      </w:r>
    </w:p>
    <w:p w14:paraId="76B3E991"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Castanedo Secadas, C., y Bueno, J. A. (1998). </w:t>
      </w:r>
      <w:r w:rsidRPr="005B1A6B">
        <w:rPr>
          <w:i/>
          <w:noProof/>
          <w:color w:val="000000"/>
          <w:lang w:val="es"/>
        </w:rPr>
        <w:t>Psicología de la educación aplicada</w:t>
      </w:r>
      <w:r w:rsidRPr="005B1A6B">
        <w:rPr>
          <w:noProof/>
          <w:color w:val="000000"/>
          <w:lang w:val="es"/>
        </w:rPr>
        <w:t>. Editorial CCS.</w:t>
      </w:r>
    </w:p>
    <w:p w14:paraId="6F14474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Castro, R. (2015). </w:t>
      </w:r>
      <w:r w:rsidRPr="005B1A6B">
        <w:rPr>
          <w:i/>
          <w:noProof/>
          <w:color w:val="000000"/>
          <w:lang w:val="es"/>
        </w:rPr>
        <w:t>Estudio correlacional sobre la participación social y la salud mental de víctimas de desplazamiento forzado por la violencia sociopolítica en Colombia</w:t>
      </w:r>
      <w:r w:rsidRPr="005B1A6B">
        <w:rPr>
          <w:noProof/>
          <w:color w:val="000000"/>
          <w:lang w:val="es"/>
        </w:rPr>
        <w:t> [tesis maestría, Universidad del Norte]. Repositorio Institucional Universidad del Norte. </w:t>
      </w:r>
      <w:hyperlink r:id="rId27">
        <w:r w:rsidRPr="005B1A6B">
          <w:rPr>
            <w:rStyle w:val="Hipervnculo"/>
            <w:noProof/>
            <w:lang w:val="es"/>
          </w:rPr>
          <w:t>http://manglar.uninorte.edu.co/bitstream/handle/10584/8378/134315.pdf?sequence=1&amp;isAllowed=y</w:t>
        </w:r>
      </w:hyperlink>
      <w:r w:rsidRPr="005B1A6B">
        <w:rPr>
          <w:noProof/>
          <w:color w:val="000000"/>
          <w:lang w:val="es"/>
        </w:rPr>
        <w:t> </w:t>
      </w:r>
    </w:p>
    <w:p w14:paraId="780036E7" w14:textId="14043AC0"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Centers for Disease Control and Prevention (2017). </w:t>
      </w:r>
      <w:r w:rsidRPr="005B1A6B">
        <w:rPr>
          <w:i/>
          <w:noProof/>
          <w:color w:val="000000"/>
          <w:lang w:val="en-US"/>
        </w:rPr>
        <w:t>Quarantine and isolation.</w:t>
      </w:r>
      <w:r w:rsidRPr="005B1A6B">
        <w:rPr>
          <w:noProof/>
          <w:color w:val="000000"/>
          <w:lang w:val="en-US"/>
        </w:rPr>
        <w:t xml:space="preserve"> </w:t>
      </w:r>
      <w:hyperlink r:id="rId28" w:history="1">
        <w:r w:rsidR="00194ECD" w:rsidRPr="00866C11">
          <w:rPr>
            <w:rStyle w:val="Hipervnculo"/>
            <w:noProof/>
            <w:lang w:val="en-US"/>
          </w:rPr>
          <w:t>https://www.cdc.gov/quarantine/index.html</w:t>
        </w:r>
      </w:hyperlink>
      <w:r w:rsidR="00194ECD">
        <w:rPr>
          <w:noProof/>
          <w:color w:val="000000"/>
          <w:lang w:val="en-US"/>
        </w:rPr>
        <w:t xml:space="preserve"> </w:t>
      </w:r>
    </w:p>
    <w:p w14:paraId="3B472558" w14:textId="7D03F5D3" w:rsidR="005B1A6B" w:rsidRPr="0061504D"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CEPAL (Comisión Económica para América Latina y el Caribe) (2020). América Latina y el Caribe ante la pandemia del COVID-19</w:t>
      </w:r>
      <w:r w:rsidR="00194ECD">
        <w:rPr>
          <w:noProof/>
          <w:color w:val="000000"/>
          <w:lang w:val="es"/>
        </w:rPr>
        <w:t>: efectos económicos y sociales.</w:t>
      </w:r>
      <w:r w:rsidRPr="005B1A6B">
        <w:rPr>
          <w:noProof/>
          <w:color w:val="000000"/>
          <w:lang w:val="es"/>
        </w:rPr>
        <w:t xml:space="preserve"> </w:t>
      </w:r>
      <w:r w:rsidRPr="0061504D">
        <w:rPr>
          <w:i/>
          <w:noProof/>
          <w:color w:val="000000"/>
          <w:lang w:val="en-US"/>
        </w:rPr>
        <w:t>Infor</w:t>
      </w:r>
      <w:r w:rsidR="00194ECD" w:rsidRPr="0061504D">
        <w:rPr>
          <w:i/>
          <w:noProof/>
          <w:color w:val="000000"/>
          <w:lang w:val="en-US"/>
        </w:rPr>
        <w:t>me Especial COVID-19</w:t>
      </w:r>
      <w:r w:rsidR="00194ECD" w:rsidRPr="0061504D">
        <w:rPr>
          <w:noProof/>
          <w:color w:val="000000"/>
          <w:lang w:val="en-US"/>
        </w:rPr>
        <w:t xml:space="preserve">. </w:t>
      </w:r>
      <w:r w:rsidRPr="0061504D">
        <w:rPr>
          <w:noProof/>
          <w:color w:val="000000"/>
          <w:lang w:val="en-US"/>
        </w:rPr>
        <w:t xml:space="preserve">Recuperado de  </w:t>
      </w:r>
      <w:hyperlink r:id="rId29">
        <w:r w:rsidRPr="0061504D">
          <w:rPr>
            <w:rStyle w:val="Hipervnculo"/>
            <w:noProof/>
            <w:lang w:val="en-US"/>
          </w:rPr>
          <w:t>https://repositorio.cepal.org/bitstream/handle/11362/45337/4/S2000264_es.pdf</w:t>
        </w:r>
      </w:hyperlink>
      <w:r w:rsidRPr="0061504D">
        <w:rPr>
          <w:noProof/>
          <w:color w:val="000000"/>
          <w:lang w:val="en-US"/>
        </w:rPr>
        <w:t>.</w:t>
      </w:r>
    </w:p>
    <w:p w14:paraId="33706A53" w14:textId="617EDD7F"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n-US"/>
        </w:rPr>
        <w:t xml:space="preserve">Chang, E. (2017). Hope and hopelessness as predictors of suicide ideation in Hungarian college students. </w:t>
      </w:r>
      <w:r w:rsidRPr="00194ECD">
        <w:rPr>
          <w:i/>
          <w:noProof/>
          <w:color w:val="000000"/>
          <w:lang w:val="es"/>
        </w:rPr>
        <w:t>Death Studies, 41</w:t>
      </w:r>
      <w:r w:rsidRPr="005B1A6B">
        <w:rPr>
          <w:noProof/>
          <w:color w:val="000000"/>
          <w:lang w:val="es"/>
        </w:rPr>
        <w:t xml:space="preserve">(7), 455-460. </w:t>
      </w:r>
      <w:hyperlink r:id="rId30" w:history="1">
        <w:r w:rsidR="00194ECD" w:rsidRPr="00866C11">
          <w:rPr>
            <w:rStyle w:val="Hipervnculo"/>
            <w:noProof/>
            <w:lang w:val="es"/>
          </w:rPr>
          <w:t>https://doi.org/10.1080/07481187.2017.1299255</w:t>
        </w:r>
      </w:hyperlink>
      <w:r w:rsidR="00194ECD">
        <w:rPr>
          <w:noProof/>
          <w:color w:val="000000"/>
          <w:lang w:val="es"/>
        </w:rPr>
        <w:t xml:space="preserve"> </w:t>
      </w:r>
    </w:p>
    <w:p w14:paraId="7AABC55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Chan-Gamboa, E., Morales-Quintero, L., Ruiz-Pérez, J. y Vaca-Cortés, J. (2017). Factores sociodemográficos asociados a la victimización delictiva en estudiantes universitarios de tres ciudades mexicanas</w:t>
      </w:r>
      <w:r w:rsidRPr="005B1A6B">
        <w:rPr>
          <w:i/>
          <w:noProof/>
          <w:color w:val="000000"/>
          <w:lang w:val="es"/>
        </w:rPr>
        <w:t>. Pensamiento Psicológico, 15</w:t>
      </w:r>
      <w:r w:rsidRPr="005B1A6B">
        <w:rPr>
          <w:noProof/>
          <w:color w:val="000000"/>
          <w:lang w:val="es"/>
        </w:rPr>
        <w:t>(2), 93-107.</w:t>
      </w:r>
    </w:p>
    <w:p w14:paraId="2ABDCC75"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Chau, C. y Vilela, P. (2017). Determinantes de la salud mental en estudiantes universitarios de Lima y Huánuco.</w:t>
      </w:r>
      <w:r w:rsidRPr="005B1A6B">
        <w:rPr>
          <w:i/>
          <w:noProof/>
          <w:color w:val="000000"/>
          <w:lang w:val="es"/>
        </w:rPr>
        <w:t xml:space="preserve"> </w:t>
      </w:r>
      <w:r w:rsidRPr="005B1A6B">
        <w:rPr>
          <w:i/>
          <w:noProof/>
          <w:color w:val="000000"/>
          <w:lang w:val="en-US"/>
        </w:rPr>
        <w:t>Revista de Psicología, 35(</w:t>
      </w:r>
      <w:r w:rsidRPr="005B1A6B">
        <w:rPr>
          <w:noProof/>
          <w:color w:val="000000"/>
          <w:lang w:val="en-US"/>
        </w:rPr>
        <w:t xml:space="preserve">2), 387-422. </w:t>
      </w:r>
      <w:hyperlink r:id="rId31">
        <w:r w:rsidRPr="005B1A6B">
          <w:rPr>
            <w:rStyle w:val="Hipervnculo"/>
            <w:noProof/>
            <w:lang w:val="en-US"/>
          </w:rPr>
          <w:t>https://doi.org/10.18800/psico.201702.001</w:t>
        </w:r>
      </w:hyperlink>
    </w:p>
    <w:p w14:paraId="4E596D1C"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Chen, Q., Liang, M., Li, Y., Guo, J., Fei, D., Wang, L., He, L., Sheng, C., Cai, Y., Li, X., Wang, J. &amp; Zhang, Z. (2020). Mental health care for medical staff in China during the COVID-19 outbreak. </w:t>
      </w:r>
      <w:r w:rsidRPr="005B1A6B">
        <w:rPr>
          <w:i/>
          <w:noProof/>
          <w:color w:val="000000"/>
          <w:lang w:val="en-US"/>
        </w:rPr>
        <w:t>The Lacent Psychiatry, 7</w:t>
      </w:r>
      <w:r w:rsidRPr="005B1A6B">
        <w:rPr>
          <w:noProof/>
          <w:color w:val="000000"/>
          <w:lang w:val="en-US"/>
        </w:rPr>
        <w:t xml:space="preserve">(4), 15-16. </w:t>
      </w:r>
      <w:hyperlink r:id="rId32">
        <w:r w:rsidRPr="005B1A6B">
          <w:rPr>
            <w:rStyle w:val="Hipervnculo"/>
            <w:noProof/>
            <w:lang w:val="en-US"/>
          </w:rPr>
          <w:t>https://www.thelancet.com/journals/lanpsy/article/PIIS2215-0366(20)30078-X/fulltext</w:t>
        </w:r>
      </w:hyperlink>
    </w:p>
    <w:p w14:paraId="57BBA562" w14:textId="49F75AAD"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Córdova, M. y Rosales, J. (2010). La desesperanza de riesgo en jóvenes mexicanos y aspectos sociodemográficos asociados: diferencias por sexo. </w:t>
      </w:r>
      <w:r w:rsidRPr="005B1A6B">
        <w:rPr>
          <w:i/>
          <w:noProof/>
          <w:color w:val="000000"/>
          <w:lang w:val="es"/>
        </w:rPr>
        <w:t>Psicología y Salud, 20</w:t>
      </w:r>
      <w:r w:rsidRPr="005B1A6B">
        <w:rPr>
          <w:noProof/>
          <w:color w:val="000000"/>
          <w:lang w:val="es"/>
        </w:rPr>
        <w:t>(2), 195-201</w:t>
      </w:r>
      <w:r w:rsidR="00BD535E">
        <w:rPr>
          <w:noProof/>
          <w:color w:val="000000"/>
          <w:lang w:val="es"/>
        </w:rPr>
        <w:t>.</w:t>
      </w:r>
    </w:p>
    <w:p w14:paraId="54C4951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Cortés-Cáceres, S., Alvares, P., Llanos, O. M., Castillo, C. L. (2019). CI deserción universitaria: la epidemia que aqueja a los sistemas de educación superior. </w:t>
      </w:r>
      <w:r w:rsidRPr="005B1A6B">
        <w:rPr>
          <w:i/>
          <w:noProof/>
          <w:color w:val="000000"/>
          <w:lang w:val="es"/>
        </w:rPr>
        <w:t>Revista Perspectiva</w:t>
      </w:r>
      <w:r w:rsidRPr="005B1A6B">
        <w:rPr>
          <w:noProof/>
          <w:color w:val="000000"/>
          <w:lang w:val="es"/>
        </w:rPr>
        <w:t xml:space="preserve">, </w:t>
      </w:r>
      <w:r w:rsidRPr="005B1A6B">
        <w:rPr>
          <w:i/>
          <w:noProof/>
          <w:color w:val="000000"/>
          <w:lang w:val="es"/>
        </w:rPr>
        <w:t xml:space="preserve">1, </w:t>
      </w:r>
      <w:r w:rsidRPr="005B1A6B">
        <w:rPr>
          <w:noProof/>
          <w:color w:val="000000"/>
          <w:lang w:val="es"/>
        </w:rPr>
        <w:t>13-25.</w:t>
      </w:r>
      <w:r w:rsidRPr="005B1A6B">
        <w:rPr>
          <w:i/>
          <w:noProof/>
          <w:color w:val="000000"/>
          <w:lang w:val="es"/>
        </w:rPr>
        <w:t xml:space="preserve"> </w:t>
      </w:r>
      <w:hyperlink r:id="rId33">
        <w:r w:rsidRPr="005B1A6B">
          <w:rPr>
            <w:rStyle w:val="Hipervnculo"/>
            <w:noProof/>
            <w:lang w:val="es"/>
          </w:rPr>
          <w:t>https://doi.org/10.33198/rp.v20i1.00017</w:t>
        </w:r>
      </w:hyperlink>
    </w:p>
    <w:p w14:paraId="149964B0" w14:textId="315E78C3"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 xml:space="preserve">Cubillas, M., Román, R., Abril, E.,Galaviz. (2012). Depresión y comportamiento suicida en estudiantes de educación media superior en Sonora. </w:t>
      </w:r>
      <w:r w:rsidRPr="005B1A6B">
        <w:rPr>
          <w:i/>
          <w:noProof/>
          <w:color w:val="000000"/>
          <w:lang w:val="en-US"/>
        </w:rPr>
        <w:t>Salud Mental, 35</w:t>
      </w:r>
      <w:r w:rsidRPr="005B1A6B">
        <w:rPr>
          <w:noProof/>
          <w:color w:val="000000"/>
          <w:lang w:val="en-US"/>
        </w:rPr>
        <w:t>(1), 45-50</w:t>
      </w:r>
      <w:r w:rsidR="00BD535E">
        <w:rPr>
          <w:noProof/>
          <w:color w:val="000000"/>
          <w:lang w:val="en-US"/>
        </w:rPr>
        <w:t>.</w:t>
      </w:r>
    </w:p>
    <w:p w14:paraId="5BB85DAC" w14:textId="422ABF4C" w:rsidR="005B1A6B" w:rsidRPr="0061504D" w:rsidRDefault="005B1A6B" w:rsidP="005B1A6B">
      <w:pPr>
        <w:widowControl w:val="0"/>
        <w:autoSpaceDE w:val="0"/>
        <w:autoSpaceDN w:val="0"/>
        <w:adjustRightInd w:val="0"/>
        <w:spacing w:line="360" w:lineRule="auto"/>
        <w:ind w:left="480" w:hanging="480"/>
        <w:jc w:val="both"/>
        <w:rPr>
          <w:noProof/>
          <w:color w:val="000000"/>
        </w:rPr>
      </w:pPr>
      <w:r w:rsidRPr="005B1A6B">
        <w:rPr>
          <w:noProof/>
          <w:color w:val="000000"/>
          <w:lang w:val="en-US"/>
        </w:rPr>
        <w:t xml:space="preserve">Duan, L., &amp; Zhu, G. (2020).  Psychological interventions for people affected by the COVID-19 epidemic. </w:t>
      </w:r>
      <w:r w:rsidRPr="0061504D">
        <w:rPr>
          <w:i/>
          <w:noProof/>
          <w:color w:val="000000"/>
        </w:rPr>
        <w:t>The Lancet Psychiatry, 7</w:t>
      </w:r>
      <w:r w:rsidRPr="0061504D">
        <w:rPr>
          <w:noProof/>
          <w:color w:val="000000"/>
        </w:rPr>
        <w:t xml:space="preserve">(4), 300-302. </w:t>
      </w:r>
    </w:p>
    <w:p w14:paraId="4AEE6FFE"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Esguerra, M., Molina, L. y Morales, M. (2011). Configuración de la subjetividad en jóvenes de ciudad Bolívar que reciben capacitación laboral (tesis de pregrado, Universidad Pontificia Javeriana). Repositorio. </w:t>
      </w:r>
      <w:hyperlink r:id="rId34">
        <w:r w:rsidRPr="005B1A6B">
          <w:rPr>
            <w:rStyle w:val="Hipervnculo"/>
            <w:noProof/>
            <w:lang w:val="es"/>
          </w:rPr>
          <w:t>https://repository.javeriana.edu.co/bitstream/handle/10554/8026/tesis133.pdf?sequence=1&amp;isAllowed=y</w:t>
        </w:r>
      </w:hyperlink>
    </w:p>
    <w:p w14:paraId="384B3B51" w14:textId="2C3E1AA6" w:rsidR="005B1A6B" w:rsidRPr="005B1A6B" w:rsidRDefault="005B1A6B" w:rsidP="005B1A6B">
      <w:pPr>
        <w:widowControl w:val="0"/>
        <w:autoSpaceDE w:val="0"/>
        <w:autoSpaceDN w:val="0"/>
        <w:adjustRightInd w:val="0"/>
        <w:spacing w:line="360" w:lineRule="auto"/>
        <w:ind w:left="480" w:hanging="480"/>
        <w:jc w:val="both"/>
        <w:rPr>
          <w:i/>
          <w:noProof/>
          <w:color w:val="000000"/>
          <w:lang w:val="es"/>
        </w:rPr>
      </w:pPr>
      <w:r w:rsidRPr="005B1A6B">
        <w:rPr>
          <w:noProof/>
          <w:color w:val="000000"/>
          <w:lang w:val="es"/>
        </w:rPr>
        <w:t xml:space="preserve">Feldman, L., Goncalves, L., Chacón, G., Zaragoza, J., Bagés. y De Pablo, J. (2008). Relaciones entre estrés académico, apoyo social, salud mental y rendimiento académico en estudiantes universitarios venezolanos. </w:t>
      </w:r>
      <w:r w:rsidR="00194ECD">
        <w:rPr>
          <w:i/>
          <w:noProof/>
          <w:color w:val="000000"/>
          <w:lang w:val="es"/>
        </w:rPr>
        <w:t>Universitas Psychologica, (7)</w:t>
      </w:r>
      <w:r w:rsidR="00194ECD">
        <w:rPr>
          <w:noProof/>
          <w:color w:val="000000"/>
          <w:lang w:val="es"/>
        </w:rPr>
        <w:t xml:space="preserve">3, </w:t>
      </w:r>
      <w:r w:rsidRPr="005B1A6B">
        <w:rPr>
          <w:noProof/>
          <w:color w:val="000000"/>
          <w:lang w:val="es"/>
        </w:rPr>
        <w:t>739-751.</w:t>
      </w:r>
    </w:p>
    <w:p w14:paraId="392F5650"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lastRenderedPageBreak/>
        <w:t xml:space="preserve">Ferrel, R., Celis, A. y Hernández, O. (2011). Depresión y factores socio demográficos asociados en estudiantes universitarios de ciencias de la salud de una universidad pública (Colombia). </w:t>
      </w:r>
      <w:r w:rsidRPr="005B1A6B">
        <w:rPr>
          <w:i/>
          <w:noProof/>
          <w:color w:val="000000"/>
          <w:lang w:val="es"/>
        </w:rPr>
        <w:t>Psicología desde el Caribe, 27</w:t>
      </w:r>
      <w:r w:rsidRPr="005B1A6B">
        <w:rPr>
          <w:noProof/>
          <w:color w:val="000000"/>
          <w:lang w:val="es"/>
        </w:rPr>
        <w:t>, 40-60.</w:t>
      </w:r>
    </w:p>
    <w:p w14:paraId="680F0444"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 xml:space="preserve">Galindo, O. y Ardila, R. (2012). Psicología y pobreza. Papel del locus de control, la autoeficacia y la indefensión aprendida. </w:t>
      </w:r>
      <w:r w:rsidRPr="005B1A6B">
        <w:rPr>
          <w:i/>
          <w:noProof/>
          <w:color w:val="000000"/>
          <w:lang w:val="en-US"/>
        </w:rPr>
        <w:t>Avances en Psicología Latinoamericana</w:t>
      </w:r>
      <w:r w:rsidRPr="005B1A6B">
        <w:rPr>
          <w:noProof/>
          <w:color w:val="000000"/>
          <w:lang w:val="en-US"/>
        </w:rPr>
        <w:t xml:space="preserve">, </w:t>
      </w:r>
      <w:r w:rsidRPr="005B1A6B">
        <w:rPr>
          <w:i/>
          <w:noProof/>
          <w:color w:val="000000"/>
          <w:lang w:val="en-US"/>
        </w:rPr>
        <w:t>30</w:t>
      </w:r>
      <w:r w:rsidRPr="005B1A6B">
        <w:rPr>
          <w:noProof/>
          <w:color w:val="000000"/>
          <w:lang w:val="en-US"/>
        </w:rPr>
        <w:t>(2), 381-407.</w:t>
      </w:r>
    </w:p>
    <w:p w14:paraId="2323904D" w14:textId="1312F788"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Gallagher, R. (2014). </w:t>
      </w:r>
      <w:r w:rsidRPr="005B1A6B">
        <w:rPr>
          <w:i/>
          <w:noProof/>
          <w:color w:val="000000"/>
          <w:lang w:val="en-US"/>
        </w:rPr>
        <w:t>National survey of counseling center directors.</w:t>
      </w:r>
      <w:r w:rsidRPr="005B1A6B">
        <w:rPr>
          <w:noProof/>
          <w:color w:val="000000"/>
          <w:lang w:val="en-US"/>
        </w:rPr>
        <w:t xml:space="preserve"> </w:t>
      </w:r>
      <w:hyperlink r:id="rId35" w:history="1">
        <w:r w:rsidR="00BD535E" w:rsidRPr="00AA00F8">
          <w:rPr>
            <w:rStyle w:val="Hipervnculo"/>
            <w:noProof/>
            <w:lang w:val="en-US"/>
          </w:rPr>
          <w:t>http://www.collegecounseling.org/wp-content/uploads/NCCCS2014_v2.pdf</w:t>
        </w:r>
      </w:hyperlink>
      <w:r w:rsidR="00BD535E">
        <w:rPr>
          <w:noProof/>
          <w:color w:val="000000"/>
          <w:lang w:val="en-US"/>
        </w:rPr>
        <w:t xml:space="preserve"> </w:t>
      </w:r>
    </w:p>
    <w:p w14:paraId="2663AD85" w14:textId="57505AAC"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Gallegos, M., Zalaquett, C., Luna Sanchez, S., Mazo-Zea, R., Ortiz-Torres, B., Penagos-Corzo, J., ... &amp; Polanco, F. (2020). Cómo afrontar la pandemia del Coronavirus (Covid-19) en las Américas: recomendaciones y líneas de acción sobre salud mental. </w:t>
      </w:r>
      <w:hyperlink r:id="rId36">
        <w:r w:rsidRPr="00194ECD">
          <w:rPr>
            <w:rStyle w:val="Hipervnculo"/>
            <w:i/>
            <w:noProof/>
            <w:color w:val="auto"/>
            <w:u w:val="none"/>
            <w:lang w:val="es"/>
          </w:rPr>
          <w:t>Revista Interamericana de psicologia/Interamerican Journal of Psychology</w:t>
        </w:r>
      </w:hyperlink>
      <w:r w:rsidR="00194ECD">
        <w:rPr>
          <w:noProof/>
        </w:rPr>
        <w:t>,</w:t>
      </w:r>
      <w:r w:rsidRPr="005B1A6B">
        <w:rPr>
          <w:i/>
          <w:noProof/>
          <w:color w:val="000000"/>
          <w:lang w:val="es"/>
        </w:rPr>
        <w:t xml:space="preserve"> 54</w:t>
      </w:r>
      <w:r w:rsidR="00194ECD">
        <w:rPr>
          <w:noProof/>
          <w:color w:val="000000"/>
          <w:lang w:val="es"/>
        </w:rPr>
        <w:t xml:space="preserve">(1), </w:t>
      </w:r>
      <w:r w:rsidRPr="005B1A6B">
        <w:rPr>
          <w:noProof/>
          <w:color w:val="000000"/>
          <w:lang w:val="es"/>
        </w:rPr>
        <w:t xml:space="preserve">1-28. </w:t>
      </w:r>
    </w:p>
    <w:p w14:paraId="59048F19"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García, J., Gallego, J. y Pérez, E. (2009). Sentido de la vida y desesperanza: un estudio empírico </w:t>
      </w:r>
      <w:r w:rsidRPr="005B1A6B">
        <w:rPr>
          <w:i/>
          <w:noProof/>
          <w:color w:val="000000"/>
          <w:lang w:val="es"/>
        </w:rPr>
        <w:t>Universitas Psychologica</w:t>
      </w:r>
      <w:r w:rsidRPr="00194ECD">
        <w:rPr>
          <w:i/>
          <w:noProof/>
          <w:color w:val="000000"/>
          <w:lang w:val="es"/>
        </w:rPr>
        <w:t>, 8</w:t>
      </w:r>
      <w:r w:rsidRPr="005B1A6B">
        <w:rPr>
          <w:noProof/>
          <w:color w:val="000000"/>
          <w:lang w:val="es"/>
        </w:rPr>
        <w:t>, (2), 447-454.</w:t>
      </w:r>
    </w:p>
    <w:p w14:paraId="1EF28C5F" w14:textId="77777777" w:rsidR="005B1A6B" w:rsidRPr="005B1A6B" w:rsidRDefault="005B1A6B" w:rsidP="005B1A6B">
      <w:pPr>
        <w:widowControl w:val="0"/>
        <w:autoSpaceDE w:val="0"/>
        <w:autoSpaceDN w:val="0"/>
        <w:adjustRightInd w:val="0"/>
        <w:spacing w:line="360" w:lineRule="auto"/>
        <w:ind w:left="480" w:hanging="480"/>
        <w:jc w:val="both"/>
        <w:rPr>
          <w:i/>
          <w:noProof/>
          <w:color w:val="000000"/>
          <w:lang w:val="es"/>
        </w:rPr>
      </w:pPr>
      <w:r w:rsidRPr="005B1A6B">
        <w:rPr>
          <w:noProof/>
          <w:color w:val="000000"/>
          <w:lang w:val="es"/>
        </w:rPr>
        <w:t xml:space="preserve">García, H. y Madrigal, R. (1999). Redes sociales y vejez: apoyos formales e informales en el área metropolitana de Monterrey. </w:t>
      </w:r>
      <w:r w:rsidRPr="005B1A6B">
        <w:rPr>
          <w:i/>
          <w:noProof/>
          <w:color w:val="000000"/>
          <w:lang w:val="es"/>
        </w:rPr>
        <w:t xml:space="preserve">Papeles de Población, 5, </w:t>
      </w:r>
      <w:r w:rsidRPr="005B1A6B">
        <w:rPr>
          <w:noProof/>
          <w:color w:val="000000"/>
          <w:lang w:val="es"/>
        </w:rPr>
        <w:t xml:space="preserve">(19), 217-242. </w:t>
      </w:r>
    </w:p>
    <w:p w14:paraId="59FFEDA1"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Garza, R., Castro, L., Calderon, S. (2020). Estructura familiar, ideación suicida y desesperanza en el adolescente. </w:t>
      </w:r>
      <w:r w:rsidRPr="005B1A6B">
        <w:rPr>
          <w:i/>
          <w:noProof/>
          <w:color w:val="000000"/>
          <w:lang w:val="es"/>
        </w:rPr>
        <w:t>Psicología desde el Caribe, 36</w:t>
      </w:r>
      <w:r w:rsidRPr="005B1A6B">
        <w:rPr>
          <w:noProof/>
          <w:color w:val="000000"/>
          <w:lang w:val="es"/>
        </w:rPr>
        <w:t>(2), 228-247.</w:t>
      </w:r>
    </w:p>
    <w:p w14:paraId="4A4C2084"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Gómez, Y., Ángel, J., Cañizares, C., Latting, M., Agudelo, D., Arenas, A., y Ferro. (2018). El papel de la valoración de los sucesos vitales estresantes en el Trastorno Depresivo Mayor. En A. Melús (Presidencia) </w:t>
      </w:r>
      <w:r w:rsidRPr="00BD535E">
        <w:rPr>
          <w:i/>
          <w:iCs/>
          <w:noProof/>
          <w:color w:val="000000"/>
          <w:lang w:val="es"/>
        </w:rPr>
        <w:t>VIII Congreso Nacional de Psicología</w:t>
      </w:r>
      <w:r w:rsidRPr="005B1A6B">
        <w:rPr>
          <w:noProof/>
          <w:color w:val="000000"/>
          <w:lang w:val="es"/>
        </w:rPr>
        <w:t>. Congreso llevado a cabo en Santiago, Chile.</w:t>
      </w:r>
    </w:p>
    <w:p w14:paraId="6588386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Gonzales, J., Gil, J., Hernández, D. y Henao, L. (2016). Evaluación de las expectativas negativas y tipo de riesgo suicida en estudiantes de 9°, 10° y 11° de una institución educativa del departamento del Quindío. </w:t>
      </w:r>
      <w:r w:rsidRPr="005B1A6B">
        <w:rPr>
          <w:i/>
          <w:noProof/>
          <w:color w:val="000000"/>
          <w:lang w:val="es"/>
        </w:rPr>
        <w:t>Revista Duazary</w:t>
      </w:r>
      <w:r w:rsidRPr="005B1A6B">
        <w:rPr>
          <w:noProof/>
          <w:color w:val="000000"/>
          <w:lang w:val="es"/>
        </w:rPr>
        <w:t>, </w:t>
      </w:r>
      <w:r w:rsidRPr="005B1A6B">
        <w:rPr>
          <w:i/>
          <w:noProof/>
          <w:color w:val="000000"/>
          <w:lang w:val="es"/>
        </w:rPr>
        <w:t>13</w:t>
      </w:r>
      <w:r w:rsidRPr="005B1A6B">
        <w:rPr>
          <w:noProof/>
          <w:color w:val="000000"/>
          <w:lang w:val="es"/>
        </w:rPr>
        <w:t>(1), 7-14. </w:t>
      </w:r>
    </w:p>
    <w:p w14:paraId="35E98A96"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Gonzáles-Jaimes, N., Tejada-Alcántara, A., Espinosa-Mélendez, C. y Ontiveros-Hernández, Z. (2020). Impacto psicológico en estudiantes universitarios mexicanos por confinamiento durante la pandemia por Covid-19. </w:t>
      </w:r>
      <w:r w:rsidRPr="005B1A6B">
        <w:rPr>
          <w:i/>
          <w:noProof/>
          <w:color w:val="000000"/>
          <w:lang w:val="es"/>
        </w:rPr>
        <w:t>Health Sciences, 1, </w:t>
      </w:r>
      <w:r w:rsidRPr="005B1A6B">
        <w:rPr>
          <w:noProof/>
          <w:color w:val="000000"/>
          <w:lang w:val="es"/>
        </w:rPr>
        <w:t>1-17</w:t>
      </w:r>
      <w:r w:rsidRPr="005B1A6B">
        <w:rPr>
          <w:b/>
          <w:i/>
          <w:noProof/>
          <w:color w:val="000000"/>
          <w:lang w:val="es"/>
        </w:rPr>
        <w:t>. </w:t>
      </w:r>
      <w:hyperlink r:id="rId37">
        <w:r w:rsidRPr="005B1A6B">
          <w:rPr>
            <w:rStyle w:val="Hipervnculo"/>
            <w:noProof/>
            <w:lang w:val="es"/>
          </w:rPr>
          <w:t>https://doi.org/10.1590/SciELOPreprints.756</w:t>
        </w:r>
      </w:hyperlink>
      <w:r w:rsidRPr="005B1A6B">
        <w:rPr>
          <w:noProof/>
          <w:color w:val="000000"/>
          <w:lang w:val="es"/>
        </w:rPr>
        <w:t>  </w:t>
      </w:r>
    </w:p>
    <w:p w14:paraId="5B765FE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Gonzales-Portillo, J., Gil-Arévalo, J., Hernández-Botero, D., y Henao-Sánchez, L. M. (2016). Evaluación de las expectativas negativas y tipo de riesgo suicida en estudiantes de 9, 10 y 11 de una institución educativa del departamento del Quindío. </w:t>
      </w:r>
      <w:r w:rsidRPr="005B1A6B">
        <w:rPr>
          <w:i/>
          <w:noProof/>
          <w:color w:val="000000"/>
          <w:lang w:val="es"/>
        </w:rPr>
        <w:t>Duazary</w:t>
      </w:r>
      <w:r w:rsidRPr="005B1A6B">
        <w:rPr>
          <w:noProof/>
          <w:color w:val="000000"/>
          <w:lang w:val="es"/>
        </w:rPr>
        <w:t>, </w:t>
      </w:r>
      <w:r w:rsidRPr="005B1A6B">
        <w:rPr>
          <w:i/>
          <w:noProof/>
          <w:color w:val="000000"/>
          <w:lang w:val="es"/>
        </w:rPr>
        <w:t>13</w:t>
      </w:r>
      <w:r w:rsidRPr="005B1A6B">
        <w:rPr>
          <w:noProof/>
          <w:color w:val="000000"/>
          <w:lang w:val="es"/>
        </w:rPr>
        <w:t>(1), 7-14.</w:t>
      </w:r>
    </w:p>
    <w:p w14:paraId="674AF338" w14:textId="5B69064F"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lastRenderedPageBreak/>
        <w:t xml:space="preserve">González, G. y Guadalupe, E. (2017). Factores que inciden en el rendimiento académico de los estudiantes de la Universidad Politécnica del Valle de Toluca. </w:t>
      </w:r>
      <w:r w:rsidRPr="005B1A6B">
        <w:rPr>
          <w:i/>
          <w:noProof/>
          <w:color w:val="000000"/>
          <w:lang w:val="es"/>
        </w:rPr>
        <w:t>Revista Latino</w:t>
      </w:r>
      <w:r w:rsidR="00194ECD">
        <w:rPr>
          <w:i/>
          <w:noProof/>
          <w:color w:val="000000"/>
          <w:lang w:val="es"/>
        </w:rPr>
        <w:t>americana de Estudios Educativos</w:t>
      </w:r>
      <w:r w:rsidRPr="005B1A6B">
        <w:rPr>
          <w:noProof/>
          <w:color w:val="000000"/>
          <w:lang w:val="es"/>
        </w:rPr>
        <w:t xml:space="preserve">, </w:t>
      </w:r>
      <w:r w:rsidRPr="005B1A6B">
        <w:rPr>
          <w:i/>
          <w:noProof/>
          <w:color w:val="000000"/>
          <w:lang w:val="es"/>
        </w:rPr>
        <w:t>47</w:t>
      </w:r>
      <w:r w:rsidRPr="005B1A6B">
        <w:rPr>
          <w:noProof/>
          <w:color w:val="000000"/>
          <w:lang w:val="es"/>
        </w:rPr>
        <w:t xml:space="preserve">(1), 91-108. </w:t>
      </w:r>
    </w:p>
    <w:p w14:paraId="4161894E"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González, J. y Hernández, M. (2012). La desesperanza aprendida y sus predictores en jóvenes: análisis desde el modelo de Beck. </w:t>
      </w:r>
      <w:r w:rsidRPr="005B1A6B">
        <w:rPr>
          <w:i/>
          <w:noProof/>
          <w:color w:val="000000"/>
          <w:lang w:val="es"/>
        </w:rPr>
        <w:t>Enseñanza e Investigación en Psicolog</w:t>
      </w:r>
      <w:r w:rsidRPr="005B1A6B">
        <w:rPr>
          <w:noProof/>
          <w:color w:val="000000"/>
          <w:lang w:val="es"/>
        </w:rPr>
        <w:t xml:space="preserve">ía, </w:t>
      </w:r>
      <w:r w:rsidRPr="005B1A6B">
        <w:rPr>
          <w:i/>
          <w:noProof/>
          <w:color w:val="000000"/>
          <w:lang w:val="es"/>
        </w:rPr>
        <w:t>17</w:t>
      </w:r>
      <w:r w:rsidRPr="005B1A6B">
        <w:rPr>
          <w:noProof/>
          <w:color w:val="000000"/>
          <w:lang w:val="es"/>
        </w:rPr>
        <w:t>(2), 313-327.</w:t>
      </w:r>
    </w:p>
    <w:p w14:paraId="55DD46A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González, T., Martín, A. y Garza, R. (2019). Estructura interna de la Escala de Desesperanza para Adultos Mayores de México. </w:t>
      </w:r>
      <w:r w:rsidRPr="005B1A6B">
        <w:rPr>
          <w:i/>
          <w:noProof/>
          <w:color w:val="000000"/>
          <w:lang w:val="es"/>
        </w:rPr>
        <w:t>Pensamiento Psicológico, 17</w:t>
      </w:r>
      <w:r w:rsidRPr="005B1A6B">
        <w:rPr>
          <w:noProof/>
          <w:color w:val="000000"/>
          <w:lang w:val="es"/>
        </w:rPr>
        <w:t>(1), 61-72. </w:t>
      </w:r>
    </w:p>
    <w:p w14:paraId="24EB91C4"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González-Jaramillo, V., González-Jaramillo., N., Gómez-Restrepo, C., Franco, O., Palacio-Acosta. y Gómez-López, A. (2020). Proyecciones de impacto de la pandemia COVID-19 en la población colombiana, según medidas de mitigación. Datos preliminares de modelos epidemiológicos para el periodo del 18 de marzo al 18 de abril de 2020. </w:t>
      </w:r>
      <w:r w:rsidRPr="005B1A6B">
        <w:rPr>
          <w:i/>
          <w:noProof/>
          <w:color w:val="000000"/>
          <w:lang w:val="es"/>
        </w:rPr>
        <w:t>Revista de Salud Pública, 22</w:t>
      </w:r>
      <w:r w:rsidRPr="005B1A6B">
        <w:rPr>
          <w:noProof/>
          <w:color w:val="000000"/>
          <w:lang w:val="es"/>
        </w:rPr>
        <w:t>(2), 1-6.</w:t>
      </w:r>
    </w:p>
    <w:p w14:paraId="7C43C8AB"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pt-BR"/>
        </w:rPr>
      </w:pPr>
      <w:r w:rsidRPr="005B1A6B">
        <w:rPr>
          <w:noProof/>
          <w:color w:val="000000"/>
          <w:lang w:val="es"/>
        </w:rPr>
        <w:t xml:space="preserve">Guerra-Domínguez, E., Morales-Blanco, I., Fernández-Ramos, K., Miranda-Hernández, N., &amp; Fombellida Valdés, M. (2020). La depresión del Adolescente. </w:t>
      </w:r>
      <w:r w:rsidRPr="005B1A6B">
        <w:rPr>
          <w:noProof/>
          <w:color w:val="000000"/>
          <w:lang w:val="pt-BR"/>
        </w:rPr>
        <w:t xml:space="preserve">Policlínico Universitario Jimmy Hirtzel. </w:t>
      </w:r>
      <w:r w:rsidRPr="005B1A6B">
        <w:rPr>
          <w:i/>
          <w:noProof/>
          <w:color w:val="000000"/>
          <w:lang w:val="pt-BR"/>
        </w:rPr>
        <w:t>Revista Médica</w:t>
      </w:r>
      <w:r w:rsidRPr="005B1A6B">
        <w:rPr>
          <w:noProof/>
          <w:color w:val="000000"/>
          <w:lang w:val="pt-BR"/>
        </w:rPr>
        <w:t xml:space="preserve"> </w:t>
      </w:r>
      <w:r w:rsidRPr="005B1A6B">
        <w:rPr>
          <w:i/>
          <w:noProof/>
          <w:color w:val="000000"/>
          <w:lang w:val="pt-BR"/>
        </w:rPr>
        <w:t>Multimed, 15</w:t>
      </w:r>
      <w:r w:rsidRPr="005B1A6B">
        <w:rPr>
          <w:noProof/>
          <w:color w:val="000000"/>
          <w:lang w:val="pt-BR"/>
        </w:rPr>
        <w:t xml:space="preserve">(1), 1-11.   </w:t>
      </w:r>
      <w:hyperlink r:id="rId38">
        <w:r w:rsidRPr="005B1A6B">
          <w:rPr>
            <w:rStyle w:val="Hipervnculo"/>
            <w:noProof/>
            <w:lang w:val="pt-BR"/>
          </w:rPr>
          <w:t>http://www.revmultimed.sld.cu/index.php/mtm/article/view/1513/1638</w:t>
        </w:r>
      </w:hyperlink>
    </w:p>
    <w:p w14:paraId="4F76385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n-US"/>
        </w:rPr>
        <w:t xml:space="preserve">Hanna, D., White, R., Lyons, K., McParland, M., Shannon, C., &amp; Mulholland, C. (2011). The Structure of the Beck Hopelessness Scale: A Confi rmatory Factor Analysis in UK Students. </w:t>
      </w:r>
      <w:r w:rsidRPr="005B1A6B">
        <w:rPr>
          <w:i/>
          <w:noProof/>
          <w:color w:val="000000"/>
          <w:lang w:val="es"/>
        </w:rPr>
        <w:t>Personality and Individual Differences, 51</w:t>
      </w:r>
      <w:r w:rsidRPr="005B1A6B">
        <w:rPr>
          <w:noProof/>
          <w:color w:val="000000"/>
          <w:lang w:val="es"/>
        </w:rPr>
        <w:t xml:space="preserve">(1), 17-22. </w:t>
      </w:r>
    </w:p>
    <w:p w14:paraId="055D2586" w14:textId="166A30D9"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Hernández-Sampieri, R., Fernández, C y Baptista, P. (2014).</w:t>
      </w:r>
      <w:r w:rsidRPr="005B1A6B">
        <w:rPr>
          <w:i/>
          <w:noProof/>
          <w:color w:val="000000"/>
          <w:lang w:val="es"/>
        </w:rPr>
        <w:t> Metodología de la investigación.</w:t>
      </w:r>
      <w:r w:rsidRPr="005B1A6B">
        <w:rPr>
          <w:noProof/>
          <w:color w:val="000000"/>
          <w:lang w:val="es"/>
        </w:rPr>
        <w:t> </w:t>
      </w:r>
      <w:r w:rsidR="00194ECD">
        <w:rPr>
          <w:noProof/>
          <w:color w:val="000000"/>
          <w:lang w:val="en-US"/>
        </w:rPr>
        <w:t>Mc Graw Hill Education.</w:t>
      </w:r>
    </w:p>
    <w:p w14:paraId="6175421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n-US"/>
        </w:rPr>
        <w:t xml:space="preserve">Hill, S. (2020-03-27). Covid-19 and the social determinants of health (conferencia). </w:t>
      </w:r>
      <w:hyperlink r:id="rId39">
        <w:r w:rsidRPr="005B1A6B">
          <w:rPr>
            <w:rStyle w:val="Hipervnculo"/>
            <w:noProof/>
            <w:lang w:val="es"/>
          </w:rPr>
          <w:t>https://repositorioacademico.upc.edu.pe/handle/10757/651622</w:t>
        </w:r>
      </w:hyperlink>
    </w:p>
    <w:p w14:paraId="6A7495D0"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Honorato, T., González, N., Ruiz, A. y Andrade, P. (2019). Desesperanza y autoestima en adolescentes con y sin riesgo suicida. </w:t>
      </w:r>
      <w:r w:rsidRPr="005B1A6B">
        <w:rPr>
          <w:i/>
          <w:noProof/>
          <w:color w:val="000000"/>
          <w:lang w:val="es"/>
        </w:rPr>
        <w:t>Nova Scientia</w:t>
      </w:r>
      <w:r w:rsidRPr="005B1A6B">
        <w:rPr>
          <w:noProof/>
          <w:color w:val="000000"/>
          <w:lang w:val="es"/>
        </w:rPr>
        <w:t xml:space="preserve">, </w:t>
      </w:r>
      <w:r w:rsidRPr="005B1A6B">
        <w:rPr>
          <w:i/>
          <w:noProof/>
          <w:color w:val="000000"/>
          <w:lang w:val="es"/>
        </w:rPr>
        <w:t>11</w:t>
      </w:r>
      <w:r w:rsidRPr="005B1A6B">
        <w:rPr>
          <w:noProof/>
          <w:color w:val="000000"/>
          <w:lang w:val="es"/>
        </w:rPr>
        <w:t>(22), 413-432.</w:t>
      </w:r>
    </w:p>
    <w:p w14:paraId="15A42E46"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Huarcaya-Victoria, J. (2020). Consideraciones sobre la salud mental en la pandemia de COVID-19. </w:t>
      </w:r>
      <w:r w:rsidRPr="005B1A6B">
        <w:rPr>
          <w:i/>
          <w:noProof/>
          <w:color w:val="000000"/>
          <w:lang w:val="es"/>
        </w:rPr>
        <w:t>Revista Peruana de Medicina Experimental y Salud Pública, 37</w:t>
      </w:r>
      <w:r w:rsidRPr="005B1A6B">
        <w:rPr>
          <w:noProof/>
          <w:color w:val="000000"/>
          <w:lang w:val="es"/>
        </w:rPr>
        <w:t>(2), 327-334. </w:t>
      </w:r>
      <w:hyperlink r:id="rId40">
        <w:r w:rsidRPr="005B1A6B">
          <w:rPr>
            <w:rStyle w:val="Hipervnculo"/>
            <w:noProof/>
            <w:lang w:val="es"/>
          </w:rPr>
          <w:t>https://doi.org/10.17843/rpmesp.2020.372.5419</w:t>
        </w:r>
      </w:hyperlink>
      <w:r w:rsidRPr="005B1A6B">
        <w:rPr>
          <w:noProof/>
          <w:color w:val="000000"/>
          <w:lang w:val="es"/>
        </w:rPr>
        <w:t>  </w:t>
      </w:r>
    </w:p>
    <w:p w14:paraId="568FE18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James, S., Reddy, P., Ellahebokus, A., Sewpaul, R. &amp; Naidoo, P. (2017). The association between adolescent risk behaviours and feelings of sadness or hopelessness: a cross-sectional survey of South African secondary school learners. </w:t>
      </w:r>
      <w:r w:rsidRPr="005B1A6B">
        <w:rPr>
          <w:i/>
          <w:noProof/>
          <w:color w:val="000000"/>
          <w:lang w:val="en-US"/>
        </w:rPr>
        <w:t>Psychology, Health and Medicine</w:t>
      </w:r>
      <w:r w:rsidRPr="00194ECD">
        <w:rPr>
          <w:i/>
          <w:noProof/>
          <w:color w:val="000000"/>
          <w:lang w:val="en-US"/>
        </w:rPr>
        <w:t>, 22</w:t>
      </w:r>
      <w:r w:rsidRPr="005B1A6B">
        <w:rPr>
          <w:noProof/>
          <w:color w:val="000000"/>
          <w:lang w:val="en-US"/>
        </w:rPr>
        <w:t xml:space="preserve">(7), 778-789. </w:t>
      </w:r>
      <w:hyperlink r:id="rId41">
        <w:r w:rsidRPr="005B1A6B">
          <w:rPr>
            <w:rStyle w:val="Hipervnculo"/>
            <w:noProof/>
            <w:lang w:val="en-US"/>
          </w:rPr>
          <w:t>https://doi.org/10.1080/13548506.2017.1300669</w:t>
        </w:r>
      </w:hyperlink>
    </w:p>
    <w:p w14:paraId="68CB2D43"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lastRenderedPageBreak/>
        <w:t xml:space="preserve">Jiménez-García, G., y Miguel-Tobal, J. (2003). </w:t>
      </w:r>
      <w:r w:rsidRPr="005B1A6B">
        <w:rPr>
          <w:noProof/>
          <w:color w:val="000000"/>
          <w:lang w:val="es"/>
        </w:rPr>
        <w:t>El cuestionario tridimensional para la depresión (CTD): Un nuevo instrumento para medir la tristeza/depresión. </w:t>
      </w:r>
      <w:r w:rsidRPr="005B1A6B">
        <w:rPr>
          <w:i/>
          <w:noProof/>
          <w:color w:val="000000"/>
          <w:lang w:val="en-US"/>
        </w:rPr>
        <w:t>Ansiedad y Estrés, 9,</w:t>
      </w:r>
      <w:r w:rsidRPr="005B1A6B">
        <w:rPr>
          <w:noProof/>
          <w:color w:val="000000"/>
          <w:lang w:val="en-US"/>
        </w:rPr>
        <w:t> 17–34. </w:t>
      </w:r>
    </w:p>
    <w:p w14:paraId="559458E7" w14:textId="413B6134"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Lane, R. &amp; Miranda, R. (2018). The effects of familial acculturative stress and hopelessness on suicidal ideation by immigration status among college students.</w:t>
      </w:r>
      <w:r w:rsidRPr="005B1A6B">
        <w:rPr>
          <w:i/>
          <w:noProof/>
          <w:color w:val="000000"/>
          <w:lang w:val="en-US"/>
        </w:rPr>
        <w:t xml:space="preserve"> Journal of American College Health, 66</w:t>
      </w:r>
      <w:r w:rsidRPr="005B1A6B">
        <w:rPr>
          <w:noProof/>
          <w:color w:val="000000"/>
          <w:lang w:val="en-US"/>
        </w:rPr>
        <w:t xml:space="preserve">(2), 76-86. </w:t>
      </w:r>
      <w:hyperlink r:id="rId42" w:history="1">
        <w:r w:rsidR="00194ECD" w:rsidRPr="00866C11">
          <w:rPr>
            <w:rStyle w:val="Hipervnculo"/>
            <w:noProof/>
            <w:lang w:val="en-US"/>
          </w:rPr>
          <w:t>http://doi.org/10.1080/0744848 1.2017.1376673</w:t>
        </w:r>
      </w:hyperlink>
      <w:r w:rsidR="00194ECD">
        <w:rPr>
          <w:noProof/>
          <w:color w:val="000000"/>
          <w:lang w:val="en-US"/>
        </w:rPr>
        <w:t xml:space="preserve"> </w:t>
      </w:r>
    </w:p>
    <w:p w14:paraId="37236F88"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Li, Z., Ge, J., Yang, M., Feng, J., Qiao, M., Jiang, R., &amp; Yang, C. (2020). Vicarious traumatization in the general public, members, and non-members of medical teams aiding in COVID-19 control. </w:t>
      </w:r>
      <w:r w:rsidRPr="005B1A6B">
        <w:rPr>
          <w:i/>
          <w:noProof/>
          <w:color w:val="000000"/>
          <w:lang w:val="en-US"/>
        </w:rPr>
        <w:t>Brain, Behavior, and Immunity, 2</w:t>
      </w:r>
      <w:r w:rsidRPr="005B1A6B">
        <w:rPr>
          <w:noProof/>
          <w:color w:val="000000"/>
          <w:lang w:val="en-US"/>
        </w:rPr>
        <w:t>, 1-4.</w:t>
      </w:r>
    </w:p>
    <w:p w14:paraId="657A9789" w14:textId="1A865186"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61504D">
        <w:rPr>
          <w:noProof/>
          <w:color w:val="000000"/>
          <w:lang w:val="en-US"/>
        </w:rPr>
        <w:t>Lozano-Díaz, A., Fernández-Prados, J., Figueredo-Canosa, V. &amp; Martínez-Martínez, A. (2020</w:t>
      </w:r>
      <w:r w:rsidR="00194ECD" w:rsidRPr="0061504D">
        <w:rPr>
          <w:noProof/>
          <w:color w:val="000000"/>
          <w:lang w:val="en-US"/>
        </w:rPr>
        <w:t>).</w:t>
      </w:r>
      <w:r w:rsidRPr="0061504D">
        <w:rPr>
          <w:noProof/>
          <w:color w:val="000000"/>
          <w:lang w:val="en-US"/>
        </w:rPr>
        <w:t xml:space="preserve"> Impactos del confinamiento por el COVID-19 entre universitarios: Satisfacción Vital, Resiliencia y Capital Social Online, </w:t>
      </w:r>
      <w:r w:rsidRPr="0061504D">
        <w:rPr>
          <w:i/>
          <w:noProof/>
          <w:color w:val="000000"/>
          <w:lang w:val="en-US"/>
        </w:rPr>
        <w:t>International Journal of Sociology of Education, Special Issue: COVID-19 Crisis and Socioeducative Inequalities and Strategies to Overcome them</w:t>
      </w:r>
      <w:r w:rsidRPr="0061504D">
        <w:rPr>
          <w:noProof/>
          <w:color w:val="000000"/>
          <w:lang w:val="en-US"/>
        </w:rPr>
        <w:t xml:space="preserve">, 79-104. </w:t>
      </w:r>
      <w:hyperlink r:id="rId43">
        <w:r w:rsidRPr="005B1A6B">
          <w:rPr>
            <w:rStyle w:val="Hipervnculo"/>
            <w:noProof/>
            <w:lang w:val="es"/>
          </w:rPr>
          <w:t>http://doi.org/10.17583/rise.2020.5925</w:t>
        </w:r>
      </w:hyperlink>
    </w:p>
    <w:p w14:paraId="2B144886" w14:textId="13BDB370"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Ministerio de Salud. (1993, 4 de Octubre). </w:t>
      </w:r>
      <w:r w:rsidRPr="005B1A6B">
        <w:rPr>
          <w:i/>
          <w:noProof/>
          <w:color w:val="000000"/>
          <w:lang w:val="es"/>
        </w:rPr>
        <w:t xml:space="preserve">Resolución 8430 de 1993. </w:t>
      </w:r>
      <w:r w:rsidRPr="005B1A6B">
        <w:rPr>
          <w:noProof/>
          <w:color w:val="000000"/>
          <w:lang w:val="es"/>
        </w:rPr>
        <w:t xml:space="preserve">Diario Oficial 49427. </w:t>
      </w:r>
      <w:hyperlink r:id="rId44" w:history="1">
        <w:r w:rsidR="00194ECD" w:rsidRPr="00866C11">
          <w:rPr>
            <w:rStyle w:val="Hipervnculo"/>
            <w:noProof/>
            <w:lang w:val="es"/>
          </w:rPr>
          <w:t>https://www.minsalud.gov.co/sites/rid/Lists/BibliotecaDigital/RIDE/DE/DIJ/RESOLUCION-8430-DE-1993.PDF</w:t>
        </w:r>
      </w:hyperlink>
      <w:r w:rsidR="00194ECD">
        <w:rPr>
          <w:noProof/>
          <w:color w:val="000000"/>
          <w:lang w:val="es"/>
        </w:rPr>
        <w:t xml:space="preserve"> </w:t>
      </w:r>
    </w:p>
    <w:p w14:paraId="442F09C8"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Ministerio de Salud y Protección Social. (2018). Boletín de salud mental Conducta suicida Subdirección de Enfermedades No Transmisibles. </w:t>
      </w:r>
      <w:hyperlink r:id="rId45">
        <w:r w:rsidRPr="005B1A6B">
          <w:rPr>
            <w:rStyle w:val="Hipervnculo"/>
            <w:noProof/>
            <w:lang w:val="es"/>
          </w:rPr>
          <w:t>https://www.minsalud.gov.co/sites/rid/Lists/BibliotecaDigital/RIDE/VS/PP/ENT/boletin-conducta-suicida.pdf</w:t>
        </w:r>
      </w:hyperlink>
    </w:p>
    <w:p w14:paraId="5B9713F9"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Ministerio de Salud y Protección Social. (2020). </w:t>
      </w:r>
      <w:r w:rsidRPr="005B1A6B">
        <w:rPr>
          <w:i/>
          <w:noProof/>
          <w:color w:val="000000"/>
          <w:lang w:val="es"/>
        </w:rPr>
        <w:t>Resolución 380 de 2020, por la cual se adoptan medidas preventivas sanitarias en el país, por causa del coronavirus COVID2019 y se dictan otras disposiciones.</w:t>
      </w:r>
      <w:r w:rsidRPr="005B1A6B">
        <w:rPr>
          <w:noProof/>
          <w:color w:val="000000"/>
          <w:lang w:val="es"/>
        </w:rPr>
        <w:t> Bogotá D.C. </w:t>
      </w:r>
    </w:p>
    <w:p w14:paraId="4DE61AE3" w14:textId="343C1ED9"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Nunes, M., Munhoz, A. y Ferrari, H. (2014). </w:t>
      </w:r>
      <w:r w:rsidRPr="005B1A6B">
        <w:rPr>
          <w:noProof/>
          <w:color w:val="000000"/>
          <w:lang w:val="en-US"/>
        </w:rPr>
        <w:t xml:space="preserve">Depression, family support and hopelessness: A correlated study. </w:t>
      </w:r>
      <w:r w:rsidRPr="005B1A6B">
        <w:rPr>
          <w:i/>
          <w:noProof/>
          <w:color w:val="000000"/>
          <w:lang w:val="es"/>
        </w:rPr>
        <w:t>Universitas Psychologica, 13</w:t>
      </w:r>
      <w:r w:rsidRPr="005B1A6B">
        <w:rPr>
          <w:noProof/>
          <w:color w:val="000000"/>
          <w:lang w:val="es"/>
        </w:rPr>
        <w:t xml:space="preserve">(2), 693-702. </w:t>
      </w:r>
      <w:hyperlink r:id="rId46" w:history="1">
        <w:r w:rsidR="00194ECD" w:rsidRPr="00866C11">
          <w:rPr>
            <w:rStyle w:val="Hipervnculo"/>
            <w:noProof/>
            <w:lang w:val="es"/>
          </w:rPr>
          <w:t>https://10.11144/Javeriana.UPSY13-2.dfsh</w:t>
        </w:r>
      </w:hyperlink>
      <w:r w:rsidR="00194ECD">
        <w:rPr>
          <w:noProof/>
          <w:color w:val="000000"/>
          <w:lang w:val="es"/>
        </w:rPr>
        <w:t xml:space="preserve">  </w:t>
      </w:r>
    </w:p>
    <w:p w14:paraId="0FA251BB"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Omar, A. (2007). Las perspectivas de futuro y sus vinculaciones con el bienestar y la resiliencia en adolescentes. </w:t>
      </w:r>
      <w:r w:rsidRPr="005B1A6B">
        <w:rPr>
          <w:i/>
          <w:noProof/>
          <w:color w:val="000000"/>
          <w:lang w:val="es"/>
        </w:rPr>
        <w:t>Psicodebate</w:t>
      </w:r>
      <w:r w:rsidRPr="005B1A6B">
        <w:rPr>
          <w:noProof/>
          <w:color w:val="000000"/>
          <w:lang w:val="es"/>
        </w:rPr>
        <w:t xml:space="preserve">, </w:t>
      </w:r>
      <w:r w:rsidRPr="005B1A6B">
        <w:rPr>
          <w:i/>
          <w:noProof/>
          <w:color w:val="000000"/>
          <w:lang w:val="es"/>
        </w:rPr>
        <w:t>7</w:t>
      </w:r>
      <w:r w:rsidRPr="005B1A6B">
        <w:rPr>
          <w:noProof/>
          <w:color w:val="000000"/>
          <w:lang w:val="es"/>
        </w:rPr>
        <w:t xml:space="preserve">, 141-154. </w:t>
      </w:r>
      <w:hyperlink r:id="rId47">
        <w:r w:rsidRPr="005B1A6B">
          <w:rPr>
            <w:rStyle w:val="Hipervnculo"/>
            <w:noProof/>
            <w:lang w:val="es"/>
          </w:rPr>
          <w:t>https://doi.org/10.18682/pd.v7i0.432</w:t>
        </w:r>
      </w:hyperlink>
    </w:p>
    <w:p w14:paraId="61262F8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Organización de las Naciones Unidas para la Educación, la Ciencia y la Cultura, </w:t>
      </w:r>
      <w:r w:rsidRPr="005B1A6B">
        <w:rPr>
          <w:noProof/>
          <w:color w:val="000000"/>
          <w:lang w:val="es"/>
        </w:rPr>
        <w:lastRenderedPageBreak/>
        <w:t xml:space="preserve">UNESCO. (2020). </w:t>
      </w:r>
      <w:r w:rsidRPr="00194ECD">
        <w:rPr>
          <w:i/>
          <w:noProof/>
          <w:color w:val="000000"/>
          <w:lang w:val="es"/>
        </w:rPr>
        <w:t>COVID-19 y educación superior: De los efectos inmediatos al día después.</w:t>
      </w:r>
      <w:r w:rsidRPr="005B1A6B">
        <w:rPr>
          <w:noProof/>
          <w:color w:val="000000"/>
          <w:lang w:val="es"/>
        </w:rPr>
        <w:t xml:space="preserve"> </w:t>
      </w:r>
      <w:hyperlink r:id="rId48">
        <w:r w:rsidRPr="005B1A6B">
          <w:rPr>
            <w:rStyle w:val="Hipervnculo"/>
            <w:noProof/>
            <w:lang w:val="es"/>
          </w:rPr>
          <w:t>http://www.iesalc.unesco.org/wp-content/uploads/2020/04/COVID-19-060420-ES-2.pdf</w:t>
        </w:r>
      </w:hyperlink>
    </w:p>
    <w:p w14:paraId="10FB0C0B" w14:textId="0FD61413"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Organización de Naciones Unidas, (2020). </w:t>
      </w:r>
      <w:r w:rsidRPr="005B1A6B">
        <w:rPr>
          <w:i/>
          <w:noProof/>
          <w:color w:val="000000"/>
          <w:lang w:val="es"/>
        </w:rPr>
        <w:t>El desafío social en tiempos del COVID-19</w:t>
      </w:r>
      <w:r w:rsidR="00194ECD">
        <w:rPr>
          <w:noProof/>
          <w:color w:val="000000"/>
          <w:lang w:val="es"/>
        </w:rPr>
        <w:t>.</w:t>
      </w:r>
      <w:r w:rsidRPr="005B1A6B">
        <w:rPr>
          <w:noProof/>
          <w:color w:val="000000"/>
          <w:lang w:val="es"/>
        </w:rPr>
        <w:t xml:space="preserve"> Recuperado de </w:t>
      </w:r>
      <w:hyperlink r:id="rId49">
        <w:r w:rsidRPr="005B1A6B">
          <w:rPr>
            <w:rStyle w:val="Hipervnculo"/>
            <w:noProof/>
            <w:lang w:val="es"/>
          </w:rPr>
          <w:t>https://repositorio.cepal.org/handle/11362/45527</w:t>
        </w:r>
      </w:hyperlink>
    </w:p>
    <w:p w14:paraId="0A09B0FB" w14:textId="397FF77D"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Organización Mundial de la Salud. (2019). </w:t>
      </w:r>
      <w:r w:rsidRPr="005B1A6B">
        <w:rPr>
          <w:i/>
          <w:noProof/>
          <w:color w:val="000000"/>
          <w:lang w:val="es"/>
        </w:rPr>
        <w:t>Suicidio</w:t>
      </w:r>
      <w:r w:rsidRPr="005B1A6B">
        <w:rPr>
          <w:noProof/>
          <w:color w:val="000000"/>
          <w:lang w:val="es"/>
        </w:rPr>
        <w:t xml:space="preserve">. Recuperado de </w:t>
      </w:r>
      <w:hyperlink r:id="rId50">
        <w:r w:rsidRPr="005B1A6B">
          <w:rPr>
            <w:rStyle w:val="Hipervnculo"/>
            <w:noProof/>
            <w:lang w:val="es"/>
          </w:rPr>
          <w:t>https://www.who.int/es/news-room/fact-sheets/detail/suicide</w:t>
        </w:r>
      </w:hyperlink>
    </w:p>
    <w:p w14:paraId="30D73C64" w14:textId="3E130824"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Organización Mundial de la Salud. (2020). </w:t>
      </w:r>
      <w:r w:rsidRPr="00194ECD">
        <w:rPr>
          <w:i/>
          <w:noProof/>
          <w:color w:val="000000"/>
          <w:lang w:val="es"/>
        </w:rPr>
        <w:t>Objetivos</w:t>
      </w:r>
      <w:r w:rsidR="00194ECD">
        <w:rPr>
          <w:i/>
          <w:noProof/>
          <w:color w:val="000000"/>
          <w:lang w:val="es"/>
        </w:rPr>
        <w:t xml:space="preserve"> de Desarrollo Sostenible (ODS)</w:t>
      </w:r>
      <w:r w:rsidRPr="005B1A6B">
        <w:rPr>
          <w:noProof/>
          <w:color w:val="000000"/>
          <w:lang w:val="es"/>
        </w:rPr>
        <w:t xml:space="preserve">. Recuperado de </w:t>
      </w:r>
      <w:hyperlink r:id="rId51">
        <w:r w:rsidRPr="005B1A6B">
          <w:rPr>
            <w:rStyle w:val="Hipervnculo"/>
            <w:noProof/>
            <w:lang w:val="es"/>
          </w:rPr>
          <w:t>https://www.who.int/topics/sustainable-development-goals/es/</w:t>
        </w:r>
      </w:hyperlink>
    </w:p>
    <w:p w14:paraId="4C348C70" w14:textId="0F46062C"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Ortiz, L., López, S., Borges, G. (2007). Desigualdad socioeconómica y salud mental: revisión de la literatura latinoamericana. </w:t>
      </w:r>
      <w:r w:rsidRPr="005B1A6B">
        <w:rPr>
          <w:i/>
          <w:noProof/>
          <w:color w:val="000000"/>
          <w:lang w:val="es"/>
        </w:rPr>
        <w:t>Cadernos de Saúde Pública, 23</w:t>
      </w:r>
      <w:r w:rsidRPr="005B1A6B">
        <w:rPr>
          <w:noProof/>
          <w:color w:val="000000"/>
          <w:lang w:val="es"/>
        </w:rPr>
        <w:t xml:space="preserve">(6), 1255-1272. </w:t>
      </w:r>
      <w:hyperlink r:id="rId52" w:history="1">
        <w:r w:rsidR="00BD535E" w:rsidRPr="00AA00F8">
          <w:rPr>
            <w:rStyle w:val="Hipervnculo"/>
            <w:noProof/>
            <w:lang w:val="es"/>
          </w:rPr>
          <w:t>https://doi.org/10.1590/S0102-311X2007000600002</w:t>
        </w:r>
      </w:hyperlink>
      <w:r w:rsidR="00BD535E">
        <w:rPr>
          <w:noProof/>
          <w:color w:val="000000"/>
          <w:lang w:val="es"/>
        </w:rPr>
        <w:t xml:space="preserve"> </w:t>
      </w:r>
    </w:p>
    <w:p w14:paraId="16FC82C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pt-BR"/>
        </w:rPr>
      </w:pPr>
      <w:r w:rsidRPr="005B1A6B">
        <w:rPr>
          <w:noProof/>
          <w:color w:val="000000"/>
          <w:lang w:val="es"/>
        </w:rPr>
        <w:t xml:space="preserve">Paricio del Castillo, R. y Pando, M. (2020). Salud mental infanto-juvenil y pandemia de Covid-19 en España: cuestiones y retos. </w:t>
      </w:r>
      <w:r w:rsidRPr="005B1A6B">
        <w:rPr>
          <w:i/>
          <w:noProof/>
          <w:color w:val="000000"/>
          <w:lang w:val="pt-BR"/>
        </w:rPr>
        <w:t>Revista de Psiquiatria Infato-juvenil, 37</w:t>
      </w:r>
      <w:r w:rsidRPr="005B1A6B">
        <w:rPr>
          <w:noProof/>
          <w:color w:val="000000"/>
          <w:lang w:val="pt-BR"/>
        </w:rPr>
        <w:t>(2), 30-44.</w:t>
      </w:r>
    </w:p>
    <w:p w14:paraId="7032AB57" w14:textId="6362C482"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pt-BR"/>
        </w:rPr>
        <w:t xml:space="preserve">Pérez, S., Marco, J. &amp; García-Alandete, J. (2017). </w:t>
      </w:r>
      <w:r w:rsidRPr="005B1A6B">
        <w:rPr>
          <w:noProof/>
          <w:color w:val="000000"/>
          <w:lang w:val="en-US"/>
        </w:rPr>
        <w:t xml:space="preserve">The role of hopelessness and meaning in life in a clinical sample with non-suicidal self-injury and suicide attempts. </w:t>
      </w:r>
      <w:r w:rsidRPr="005B1A6B">
        <w:rPr>
          <w:i/>
          <w:noProof/>
          <w:color w:val="000000"/>
          <w:lang w:val="es"/>
        </w:rPr>
        <w:t>Psicothema, 29</w:t>
      </w:r>
      <w:r w:rsidRPr="005B1A6B">
        <w:rPr>
          <w:noProof/>
          <w:color w:val="000000"/>
          <w:lang w:val="es"/>
        </w:rPr>
        <w:t xml:space="preserve">(3), 323-328. </w:t>
      </w:r>
      <w:hyperlink r:id="rId53" w:history="1">
        <w:r w:rsidRPr="00866C11">
          <w:rPr>
            <w:rStyle w:val="Hipervnculo"/>
            <w:noProof/>
            <w:lang w:val="es"/>
          </w:rPr>
          <w:t>https://doi:10.7334/psicothema2016.2</w:t>
        </w:r>
      </w:hyperlink>
      <w:r>
        <w:rPr>
          <w:noProof/>
          <w:color w:val="000000"/>
          <w:lang w:val="es"/>
        </w:rPr>
        <w:t xml:space="preserve"> </w:t>
      </w:r>
    </w:p>
    <w:p w14:paraId="62E423A3" w14:textId="78234C30"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Pilatasig, M. (2018</w:t>
      </w:r>
      <w:r w:rsidRPr="005B1A6B">
        <w:rPr>
          <w:i/>
          <w:noProof/>
          <w:color w:val="000000"/>
          <w:lang w:val="es"/>
        </w:rPr>
        <w:t>). Desesperanza en estudiantes de segundo y tercero de Bachillerato General Unificado en la Institución Educativa Fiscal Calderón II</w:t>
      </w:r>
      <w:r>
        <w:rPr>
          <w:noProof/>
          <w:color w:val="000000"/>
          <w:lang w:val="es"/>
        </w:rPr>
        <w:t xml:space="preserve"> (Bachelor's thesis), Quito, </w:t>
      </w:r>
      <w:r w:rsidRPr="005B1A6B">
        <w:rPr>
          <w:noProof/>
          <w:color w:val="000000"/>
          <w:lang w:val="es"/>
        </w:rPr>
        <w:t>Universidad Central del Ecuador.</w:t>
      </w:r>
    </w:p>
    <w:p w14:paraId="653807F1" w14:textId="15C6628A"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Quiceno, J., Alpi, V. y González, C. (2014). Influencia de los factores salutogénicos y patogénicos sobre la calidad de vida de adolescentes colombianos. </w:t>
      </w:r>
      <w:r w:rsidRPr="005B1A6B">
        <w:rPr>
          <w:i/>
          <w:noProof/>
          <w:color w:val="000000"/>
          <w:lang w:val="es"/>
        </w:rPr>
        <w:t>Revista Argentina de Clínica Psicológica, 23</w:t>
      </w:r>
      <w:r>
        <w:rPr>
          <w:noProof/>
          <w:color w:val="000000"/>
          <w:lang w:val="es"/>
        </w:rPr>
        <w:t>, 81-</w:t>
      </w:r>
      <w:r w:rsidRPr="005B1A6B">
        <w:rPr>
          <w:noProof/>
          <w:color w:val="000000"/>
          <w:lang w:val="es"/>
        </w:rPr>
        <w:t>93.</w:t>
      </w:r>
    </w:p>
    <w:p w14:paraId="31959FB0"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Quiñonez-Tapia, F., Méndez, T. y Castañeda-Camet, N. (2019). Análisis factorial confirmatorio y propiedades psicométricas de la Escala de Desesperanza de Beck en estudiantes en contextos de pobreza en México. </w:t>
      </w:r>
      <w:r w:rsidRPr="005B1A6B">
        <w:rPr>
          <w:i/>
          <w:noProof/>
          <w:color w:val="000000"/>
          <w:lang w:val="es"/>
        </w:rPr>
        <w:t>Revista de Psicopatología y Psicología Clínica, 24,</w:t>
      </w:r>
      <w:r w:rsidRPr="005B1A6B">
        <w:rPr>
          <w:noProof/>
          <w:color w:val="000000"/>
          <w:lang w:val="es"/>
        </w:rPr>
        <w:t xml:space="preserve"> 59-70. </w:t>
      </w:r>
      <w:hyperlink r:id="rId54">
        <w:r w:rsidRPr="005B1A6B">
          <w:rPr>
            <w:rStyle w:val="Hipervnculo"/>
            <w:noProof/>
            <w:lang w:val="es"/>
          </w:rPr>
          <w:t>https://doi.org/10.5944/rppc.24104</w:t>
        </w:r>
      </w:hyperlink>
    </w:p>
    <w:p w14:paraId="541BF56F"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Riveros, F. y Vinaccio-Alphi. (2017). Relación entre variables sociodemográficas, patogénicas y salutogénicas, con la calidad de vida en estudiantes universitarios colombianos. </w:t>
      </w:r>
      <w:r w:rsidRPr="005B1A6B">
        <w:rPr>
          <w:i/>
          <w:noProof/>
          <w:color w:val="000000"/>
          <w:lang w:val="es"/>
        </w:rPr>
        <w:t>Revista de Psicopatología y Psicología Clínica, 22,</w:t>
      </w:r>
      <w:r w:rsidRPr="005B1A6B">
        <w:rPr>
          <w:noProof/>
          <w:color w:val="000000"/>
          <w:lang w:val="es"/>
        </w:rPr>
        <w:t xml:space="preserve"> 229-241.</w:t>
      </w:r>
    </w:p>
    <w:p w14:paraId="4FA37CA3" w14:textId="186294EE"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Rosales, J., Córdova, M. y Osnaya, D. (2013).</w:t>
      </w:r>
      <w:r w:rsidRPr="005B1A6B">
        <w:rPr>
          <w:i/>
          <w:noProof/>
          <w:color w:val="000000"/>
          <w:lang w:val="es"/>
        </w:rPr>
        <w:t> </w:t>
      </w:r>
      <w:r w:rsidRPr="005B1A6B">
        <w:rPr>
          <w:noProof/>
          <w:color w:val="000000"/>
          <w:lang w:val="es"/>
        </w:rPr>
        <w:t>Ideación suicida y variables asociadas, conforme al sexo, en estudiantes de la universidad tecnológica del estado de Puebla, México. </w:t>
      </w:r>
      <w:r w:rsidRPr="005B1A6B">
        <w:rPr>
          <w:i/>
          <w:noProof/>
          <w:color w:val="000000"/>
          <w:lang w:val="es"/>
        </w:rPr>
        <w:t>Revista electrónica de psicología de Iztalaca</w:t>
      </w:r>
      <w:r w:rsidRPr="005B1A6B">
        <w:rPr>
          <w:noProof/>
          <w:color w:val="000000"/>
          <w:lang w:val="es"/>
        </w:rPr>
        <w:t>, </w:t>
      </w:r>
      <w:r>
        <w:rPr>
          <w:i/>
          <w:noProof/>
          <w:color w:val="000000"/>
          <w:lang w:val="es"/>
        </w:rPr>
        <w:t>16</w:t>
      </w:r>
      <w:r w:rsidRPr="005B1A6B">
        <w:rPr>
          <w:noProof/>
          <w:color w:val="000000"/>
          <w:lang w:val="es"/>
        </w:rPr>
        <w:t>(2). 390-406. </w:t>
      </w:r>
    </w:p>
    <w:p w14:paraId="4DF166D6"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lastRenderedPageBreak/>
        <w:t xml:space="preserve">Rosario-Rodríguez, A., González-Rivera, J. A., Cruz-Santos, A., &amp; Rodríguez-Ríos, L. (2020). Demandas tecno-lógicas, académicas y psicológicas en estudiantes universitarios durante la pandemia por COVID-19. </w:t>
      </w:r>
      <w:r w:rsidRPr="005B1A6B">
        <w:rPr>
          <w:i/>
          <w:noProof/>
          <w:color w:val="000000"/>
          <w:lang w:val="es"/>
        </w:rPr>
        <w:t>Revista Caribeña de Psicología</w:t>
      </w:r>
      <w:r w:rsidRPr="005B1A6B">
        <w:rPr>
          <w:noProof/>
          <w:color w:val="000000"/>
          <w:lang w:val="es"/>
        </w:rPr>
        <w:t xml:space="preserve">, </w:t>
      </w:r>
      <w:r w:rsidRPr="005B1A6B">
        <w:rPr>
          <w:i/>
          <w:noProof/>
          <w:color w:val="000000"/>
          <w:lang w:val="es"/>
        </w:rPr>
        <w:t>4</w:t>
      </w:r>
      <w:r w:rsidRPr="005B1A6B">
        <w:rPr>
          <w:noProof/>
          <w:color w:val="000000"/>
          <w:lang w:val="es"/>
        </w:rPr>
        <w:t xml:space="preserve">(2), 176-185. </w:t>
      </w:r>
      <w:hyperlink r:id="rId55">
        <w:r w:rsidRPr="005B1A6B">
          <w:rPr>
            <w:rStyle w:val="Hipervnculo"/>
            <w:noProof/>
            <w:lang w:val="es"/>
          </w:rPr>
          <w:t>https://doi.org/10.37226/rcp.v4i2.4915</w:t>
        </w:r>
      </w:hyperlink>
      <w:r w:rsidRPr="005B1A6B">
        <w:rPr>
          <w:noProof/>
          <w:color w:val="000000"/>
          <w:lang w:val="es"/>
        </w:rPr>
        <w:t> </w:t>
      </w:r>
    </w:p>
    <w:p w14:paraId="4102EF9E"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Rueda-Jaimes, G., Castro-Rueda, V., Rangel-Martínez-Villalba, A., Moreno-Quijano, C., Martinez-Salazar, G. A. y Camacho, P. (2018). Validación de la Escala de Desesperanza de Beck en pacientes con riesgo suicida. </w:t>
      </w:r>
      <w:r w:rsidRPr="005B1A6B">
        <w:rPr>
          <w:i/>
          <w:noProof/>
          <w:color w:val="000000"/>
          <w:lang w:val="es"/>
        </w:rPr>
        <w:t>Revista de Psiquiatría y Salud Mental, 11</w:t>
      </w:r>
      <w:r w:rsidRPr="005B1A6B">
        <w:rPr>
          <w:noProof/>
          <w:color w:val="000000"/>
          <w:lang w:val="es"/>
        </w:rPr>
        <w:t xml:space="preserve">(2), 86–93. </w:t>
      </w:r>
      <w:hyperlink r:id="rId56">
        <w:r w:rsidRPr="005B1A6B">
          <w:rPr>
            <w:rStyle w:val="Hipervnculo"/>
            <w:noProof/>
            <w:lang w:val="es"/>
          </w:rPr>
          <w:t>https://doi.org/10.1016/j.rpsm.2016.09.004</w:t>
        </w:r>
      </w:hyperlink>
    </w:p>
    <w:p w14:paraId="28AF4C01"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Salvo, L., y Castro, A. (2013). Soledad, impulsividad, consumo de alcohol y su relación con suicidalidad en adolescentes. </w:t>
      </w:r>
      <w:r w:rsidRPr="005B1A6B">
        <w:rPr>
          <w:i/>
          <w:noProof/>
          <w:color w:val="000000"/>
          <w:lang w:val="es"/>
        </w:rPr>
        <w:t>Revista Médica de Chile</w:t>
      </w:r>
      <w:r w:rsidRPr="005B1A6B">
        <w:rPr>
          <w:noProof/>
          <w:color w:val="000000"/>
          <w:lang w:val="es"/>
        </w:rPr>
        <w:t xml:space="preserve">, </w:t>
      </w:r>
      <w:r w:rsidRPr="005B1A6B">
        <w:rPr>
          <w:i/>
          <w:noProof/>
          <w:color w:val="000000"/>
          <w:lang w:val="es"/>
        </w:rPr>
        <w:t>141</w:t>
      </w:r>
      <w:r w:rsidRPr="005B1A6B">
        <w:rPr>
          <w:noProof/>
          <w:color w:val="000000"/>
          <w:lang w:val="es"/>
        </w:rPr>
        <w:t>(4), 428-434.</w:t>
      </w:r>
    </w:p>
    <w:p w14:paraId="68038067"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Sánchez-Teruel, D., Muela-Martínez, J. y García-León, A. (2018). Variables de riesgo y protección relacionadas con la tentativa de suicidio. </w:t>
      </w:r>
      <w:r w:rsidRPr="005B1A6B">
        <w:rPr>
          <w:i/>
          <w:noProof/>
          <w:color w:val="000000"/>
          <w:lang w:val="es"/>
        </w:rPr>
        <w:t>Revista de Psicopatología y Psicología Clínica, 23</w:t>
      </w:r>
      <w:r w:rsidRPr="005B1A6B">
        <w:rPr>
          <w:noProof/>
          <w:color w:val="000000"/>
          <w:lang w:val="es"/>
        </w:rPr>
        <w:t xml:space="preserve">(3), 221-229. </w:t>
      </w:r>
      <w:hyperlink r:id="rId57">
        <w:r w:rsidRPr="005B1A6B">
          <w:rPr>
            <w:rStyle w:val="Hipervnculo"/>
            <w:noProof/>
            <w:lang w:val="es"/>
          </w:rPr>
          <w:t>https://doi.org/10.5944/rppc</w:t>
        </w:r>
      </w:hyperlink>
      <w:r w:rsidRPr="005B1A6B">
        <w:rPr>
          <w:noProof/>
          <w:color w:val="000000"/>
          <w:lang w:val="es"/>
        </w:rPr>
        <w:t>.</w:t>
      </w:r>
    </w:p>
    <w:p w14:paraId="6961D88A"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Sandín, B. Valiente, R. M., García-Escalera, J. y Chorot, P. (2020). Impacto psicológico de la pandemia de COVID-19: Efectos negativos y positivos en población española asociados al periodo de confinamiento nacional. </w:t>
      </w:r>
      <w:r w:rsidRPr="005B1A6B">
        <w:rPr>
          <w:i/>
          <w:noProof/>
          <w:color w:val="000000"/>
          <w:lang w:val="es"/>
        </w:rPr>
        <w:t>Revista de Psicopatología y Psicología Clínica</w:t>
      </w:r>
      <w:r w:rsidRPr="005B1A6B">
        <w:rPr>
          <w:noProof/>
          <w:color w:val="000000"/>
          <w:lang w:val="es"/>
        </w:rPr>
        <w:t xml:space="preserve">, </w:t>
      </w:r>
      <w:r w:rsidRPr="005B1A6B">
        <w:rPr>
          <w:i/>
          <w:noProof/>
          <w:color w:val="000000"/>
          <w:lang w:val="es"/>
        </w:rPr>
        <w:t>25</w:t>
      </w:r>
      <w:r w:rsidRPr="005B1A6B">
        <w:rPr>
          <w:noProof/>
          <w:color w:val="000000"/>
          <w:lang w:val="es"/>
        </w:rPr>
        <w:t xml:space="preserve">(1), 1-22.  </w:t>
      </w:r>
      <w:hyperlink r:id="rId58">
        <w:r w:rsidRPr="005B1A6B">
          <w:rPr>
            <w:rStyle w:val="Hipervnculo"/>
            <w:noProof/>
            <w:lang w:val="es"/>
          </w:rPr>
          <w:t>https://doi.org/10.5944/rppc.27569</w:t>
        </w:r>
      </w:hyperlink>
    </w:p>
    <w:p w14:paraId="69BD2044" w14:textId="3CCE6026"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Sanjuán, P., Magallares, A., González, J., y Pérez-García, A. (2013). Estudio de la validez de la versión española del cuestionario de estilo atribucional ante situaciones negativas. </w:t>
      </w:r>
      <w:r w:rsidRPr="005B1A6B">
        <w:rPr>
          <w:i/>
          <w:noProof/>
          <w:color w:val="000000"/>
          <w:lang w:val="es"/>
        </w:rPr>
        <w:t>Revista de Psicopatología y Psicología Clínica, 18</w:t>
      </w:r>
      <w:r>
        <w:rPr>
          <w:noProof/>
          <w:color w:val="000000"/>
          <w:lang w:val="es"/>
        </w:rPr>
        <w:t>, 61-</w:t>
      </w:r>
      <w:r w:rsidRPr="005B1A6B">
        <w:rPr>
          <w:noProof/>
          <w:color w:val="000000"/>
          <w:lang w:val="es"/>
        </w:rPr>
        <w:t>71.</w:t>
      </w:r>
    </w:p>
    <w:p w14:paraId="178BAD64" w14:textId="006EE4E0"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Silva, D., Valdivia, M., Vicente, B., Arévalo, E., Dapelo, R. y Soto, C. (2017). Intento de suicidio y factores de riesgo en una muestra de adolescentes escolarizados de Chile. </w:t>
      </w:r>
      <w:r w:rsidRPr="005B1A6B">
        <w:rPr>
          <w:i/>
          <w:noProof/>
          <w:color w:val="000000"/>
          <w:lang w:val="es"/>
        </w:rPr>
        <w:t>Revista de Psicopatología y Psicología Clínica, 22</w:t>
      </w:r>
      <w:r w:rsidRPr="005B1A6B">
        <w:rPr>
          <w:noProof/>
          <w:color w:val="000000"/>
          <w:lang w:val="es"/>
        </w:rPr>
        <w:t xml:space="preserve">(1), 33-42. </w:t>
      </w:r>
      <w:hyperlink r:id="rId59" w:history="1">
        <w:r w:rsidR="00BD535E" w:rsidRPr="00AA00F8">
          <w:rPr>
            <w:rStyle w:val="Hipervnculo"/>
            <w:noProof/>
            <w:lang w:val="es"/>
          </w:rPr>
          <w:t>https://doi.org/10.5944/rppc.vol.22.num.1.2017.16170</w:t>
        </w:r>
      </w:hyperlink>
      <w:r w:rsidR="00BD535E">
        <w:rPr>
          <w:noProof/>
          <w:color w:val="000000"/>
          <w:lang w:val="es"/>
        </w:rPr>
        <w:t xml:space="preserve"> </w:t>
      </w:r>
    </w:p>
    <w:p w14:paraId="6487A340"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Sistema Nacional de Vigilancia en Salud Pública. (2018). Informe del evento intento de suicidio, colombia. </w:t>
      </w:r>
      <w:hyperlink r:id="rId60">
        <w:r w:rsidRPr="005B1A6B">
          <w:rPr>
            <w:rStyle w:val="Hipervnculo"/>
            <w:noProof/>
            <w:lang w:val="es"/>
          </w:rPr>
          <w:t>https://www.ins.gov.co/buscador-eventos/Informesdeevento/INTENTO%20DE%20SUICIDIO_2018.pdf</w:t>
        </w:r>
      </w:hyperlink>
    </w:p>
    <w:p w14:paraId="428ECADB"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n-US"/>
        </w:rPr>
        <w:t xml:space="preserve">Taylor, S. (2019). </w:t>
      </w:r>
      <w:r w:rsidRPr="005B1A6B">
        <w:rPr>
          <w:i/>
          <w:noProof/>
          <w:color w:val="000000"/>
          <w:lang w:val="en-US"/>
        </w:rPr>
        <w:t>The psychology of pandemics: Preparing for the next global outbreak of infectious disease.</w:t>
      </w:r>
      <w:r w:rsidRPr="005B1A6B">
        <w:rPr>
          <w:noProof/>
          <w:color w:val="000000"/>
          <w:lang w:val="en-US"/>
        </w:rPr>
        <w:t xml:space="preserve"> </w:t>
      </w:r>
      <w:r w:rsidRPr="005B1A6B">
        <w:rPr>
          <w:noProof/>
          <w:color w:val="000000"/>
          <w:lang w:val="es"/>
        </w:rPr>
        <w:t>Cambridge Scholars.</w:t>
      </w:r>
    </w:p>
    <w:p w14:paraId="7B091004"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Teruel, D., Martínez, J. y León, A. (2014). Variables psicológicas asociadas a la ideación suicida en estudiantes. </w:t>
      </w:r>
      <w:r w:rsidRPr="005B1A6B">
        <w:rPr>
          <w:i/>
          <w:noProof/>
          <w:color w:val="000000"/>
          <w:lang w:val="es"/>
        </w:rPr>
        <w:t>International Journal of Psychology and Psychological Therapy</w:t>
      </w:r>
      <w:r w:rsidRPr="005B1A6B">
        <w:rPr>
          <w:noProof/>
          <w:color w:val="000000"/>
          <w:lang w:val="es"/>
        </w:rPr>
        <w:t xml:space="preserve">, </w:t>
      </w:r>
      <w:r w:rsidRPr="005B1A6B">
        <w:rPr>
          <w:i/>
          <w:noProof/>
          <w:color w:val="000000"/>
          <w:lang w:val="es"/>
        </w:rPr>
        <w:t>14</w:t>
      </w:r>
      <w:r w:rsidRPr="005B1A6B">
        <w:rPr>
          <w:noProof/>
          <w:color w:val="000000"/>
          <w:lang w:val="es"/>
        </w:rPr>
        <w:t>(2), 277-290.</w:t>
      </w:r>
    </w:p>
    <w:p w14:paraId="25B86F34"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Tijerina, L., González, E., Gómez, M., Cisneros, M., Rodríguez, K. y Ramos, P. (2018). Depresión, ansiedad y estrés en estudiantes de nuevo ingreso a la educación superior.</w:t>
      </w:r>
      <w:r w:rsidRPr="005B1A6B">
        <w:rPr>
          <w:i/>
          <w:noProof/>
          <w:color w:val="000000"/>
          <w:lang w:val="es"/>
        </w:rPr>
        <w:t xml:space="preserve"> </w:t>
      </w:r>
      <w:r w:rsidRPr="005B1A6B">
        <w:rPr>
          <w:i/>
          <w:noProof/>
          <w:color w:val="000000"/>
          <w:lang w:val="es"/>
        </w:rPr>
        <w:lastRenderedPageBreak/>
        <w:t>Revista Salud Pública y Nutrición, 4</w:t>
      </w:r>
      <w:r w:rsidRPr="005B1A6B">
        <w:rPr>
          <w:noProof/>
          <w:color w:val="000000"/>
          <w:lang w:val="es"/>
        </w:rPr>
        <w:t xml:space="preserve">, 41-47. </w:t>
      </w:r>
      <w:hyperlink r:id="rId61">
        <w:r w:rsidRPr="005B1A6B">
          <w:rPr>
            <w:rStyle w:val="Hipervnculo"/>
            <w:noProof/>
            <w:lang w:val="es"/>
          </w:rPr>
          <w:t>https://www.medigraphic.com/cgi-bin/new/resumenI.cgi?IDARTICULO=84412</w:t>
        </w:r>
      </w:hyperlink>
    </w:p>
    <w:p w14:paraId="2F8EDA36"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Usuga-Jerez, A., Lemos, N., Pinzón, L., Pérez, P. y Uribe, A. (en prensa). Sucesos vitales estresantes, ansiedad y depresión en estudiantes de una universidad privada de Bucaramanga. </w:t>
      </w:r>
      <w:r w:rsidRPr="005B1A6B">
        <w:rPr>
          <w:i/>
          <w:noProof/>
          <w:color w:val="000000"/>
          <w:lang w:val="es"/>
        </w:rPr>
        <w:t>Informes Psicológicos.</w:t>
      </w:r>
      <w:r w:rsidRPr="005B1A6B">
        <w:rPr>
          <w:noProof/>
          <w:color w:val="000000"/>
          <w:lang w:val="es"/>
        </w:rPr>
        <w:t xml:space="preserve"> </w:t>
      </w:r>
    </w:p>
    <w:p w14:paraId="16560590" w14:textId="37654E48"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Valdez, J., Ulises, M., Aguilar, Y., Bustillos, R., Antonio, P., Valdés, A., Gonzáles, M. (2014). </w:t>
      </w:r>
      <w:r w:rsidRPr="005B1A6B">
        <w:rPr>
          <w:i/>
          <w:noProof/>
          <w:color w:val="000000"/>
          <w:lang w:val="es"/>
        </w:rPr>
        <w:t>Av.psicol, 22</w:t>
      </w:r>
      <w:r w:rsidRPr="005B1A6B">
        <w:rPr>
          <w:noProof/>
          <w:color w:val="000000"/>
          <w:lang w:val="es"/>
        </w:rPr>
        <w:t>(2)</w:t>
      </w:r>
      <w:r w:rsidR="00BD535E">
        <w:rPr>
          <w:noProof/>
          <w:color w:val="000000"/>
          <w:lang w:val="es"/>
        </w:rPr>
        <w:t xml:space="preserve">, </w:t>
      </w:r>
      <w:r w:rsidRPr="005B1A6B">
        <w:rPr>
          <w:noProof/>
          <w:color w:val="000000"/>
          <w:lang w:val="es"/>
        </w:rPr>
        <w:t>222- 232.</w:t>
      </w:r>
    </w:p>
    <w:p w14:paraId="7D2024C6"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Vargas, M. (2017). Desesperanza y agresividad en estudiantes de secundaria de instituciones educativas nacionales de Comas (tesis pregrado, Universidad César Vallejo). Repositorio. </w:t>
      </w:r>
      <w:hyperlink r:id="rId62">
        <w:r w:rsidRPr="005B1A6B">
          <w:rPr>
            <w:rStyle w:val="Hipervnculo"/>
            <w:noProof/>
            <w:lang w:val="es"/>
          </w:rPr>
          <w:t>http://repositorio.ucv.edu.pe/bitstream/handle/20.500.12692/3209/Celestino_VMC.pdf?sequence=1&amp;isAllowed=y</w:t>
        </w:r>
      </w:hyperlink>
    </w:p>
    <w:p w14:paraId="552FBA5D"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s"/>
        </w:rPr>
      </w:pPr>
      <w:r w:rsidRPr="005B1A6B">
        <w:rPr>
          <w:noProof/>
          <w:color w:val="000000"/>
          <w:lang w:val="es"/>
        </w:rPr>
        <w:t xml:space="preserve">Vera-Cala, L., Niño García, J., Porras-Saldarriaga, A., Durán-Sandoval, J., Delgado-Chávez, P. A., Caballero-Badillo, M. y Navarro Rueda, J. (2020). Salud mental y deserción en una población universitaria con bajo rendimiento académico. </w:t>
      </w:r>
      <w:r w:rsidRPr="005B1A6B">
        <w:rPr>
          <w:i/>
          <w:noProof/>
          <w:color w:val="000000"/>
          <w:lang w:val="es"/>
        </w:rPr>
        <w:t>Revista Virtual Universidad Católica del Norte, 60</w:t>
      </w:r>
      <w:r w:rsidRPr="005B1A6B">
        <w:rPr>
          <w:noProof/>
          <w:color w:val="000000"/>
          <w:lang w:val="es"/>
        </w:rPr>
        <w:t xml:space="preserve">, 137-158. </w:t>
      </w:r>
      <w:hyperlink r:id="rId63">
        <w:r w:rsidRPr="005B1A6B">
          <w:rPr>
            <w:rStyle w:val="Hipervnculo"/>
            <w:noProof/>
            <w:lang w:val="es"/>
          </w:rPr>
          <w:t>https://www.doi.org/10.35575/rvucn.n60a8</w:t>
        </w:r>
      </w:hyperlink>
    </w:p>
    <w:p w14:paraId="230D5422"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s"/>
        </w:rPr>
        <w:t xml:space="preserve">Vinaccia, S., Contreras, F., Restrepo, L., Cadena, J. y Anaya, J. (2005). Autoeficacia, desesperanza aprendida e incapacidad funcional en pacientes con diagnóstico de artritis reumatoide. </w:t>
      </w:r>
      <w:r w:rsidRPr="005B1A6B">
        <w:rPr>
          <w:i/>
          <w:noProof/>
          <w:color w:val="000000"/>
          <w:lang w:val="en-US"/>
        </w:rPr>
        <w:t>International Journal of Clinical and Health Psychology, 5</w:t>
      </w:r>
      <w:r w:rsidRPr="005B1A6B">
        <w:rPr>
          <w:noProof/>
          <w:color w:val="000000"/>
          <w:lang w:val="en-US"/>
        </w:rPr>
        <w:t>(1),129-142.</w:t>
      </w:r>
    </w:p>
    <w:p w14:paraId="516167BB"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Wang, C., Zhang, K., &amp; Zhang, M. (2017). Dysfunctional attitudes, learned helplessness, and coping styles among men with substance use disorders.</w:t>
      </w:r>
      <w:r w:rsidRPr="005B1A6B">
        <w:rPr>
          <w:i/>
          <w:noProof/>
          <w:color w:val="000000"/>
          <w:lang w:val="en-US"/>
        </w:rPr>
        <w:t xml:space="preserve"> Social Behavior and Personality: an international journal, 45</w:t>
      </w:r>
      <w:r w:rsidRPr="005B1A6B">
        <w:rPr>
          <w:noProof/>
          <w:color w:val="000000"/>
          <w:lang w:val="en-US"/>
        </w:rPr>
        <w:t>(2), 269-280.</w:t>
      </w:r>
    </w:p>
    <w:p w14:paraId="20D5406F"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Xiao, C. (2020). A Novel Approach of Consultation on 2019 Novel Coronavirus (COVID-19)-Related Psychological and Mental Problems: Structured Letter Therapy. </w:t>
      </w:r>
      <w:r w:rsidRPr="005B1A6B">
        <w:rPr>
          <w:i/>
          <w:noProof/>
          <w:color w:val="000000"/>
          <w:lang w:val="en-US"/>
        </w:rPr>
        <w:t>Psychiatry Investigation, 17</w:t>
      </w:r>
      <w:r w:rsidRPr="005B1A6B">
        <w:rPr>
          <w:noProof/>
          <w:color w:val="000000"/>
          <w:lang w:val="en-US"/>
        </w:rPr>
        <w:t xml:space="preserve">(2), 175-176. </w:t>
      </w:r>
      <w:hyperlink r:id="rId64">
        <w:r w:rsidRPr="005B1A6B">
          <w:rPr>
            <w:rStyle w:val="Hipervnculo"/>
            <w:noProof/>
            <w:lang w:val="en-US"/>
          </w:rPr>
          <w:t>https://www.psychiatryinvestigation.org/journal/view.php?doi=10.30773/pi.2020.0047</w:t>
        </w:r>
      </w:hyperlink>
    </w:p>
    <w:p w14:paraId="3015B173" w14:textId="77777777" w:rsidR="005B1A6B" w:rsidRPr="005B1A6B"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t xml:space="preserve">Xiao, J., Qiu, Y., He, Y., Cui, L., Auerbach, R., McWhinnie, C. &amp; Yao, S. (2016). “Weakest Link” as a Cognitive Vulnerability within the Hopelessness Theory of Depression in Chinese University Students. Stress and Health. </w:t>
      </w:r>
      <w:r w:rsidRPr="005B1A6B">
        <w:rPr>
          <w:i/>
          <w:noProof/>
          <w:color w:val="000000"/>
          <w:lang w:val="en-US"/>
        </w:rPr>
        <w:t>Journal ofthe International Society for the Investigation of Stress, 32</w:t>
      </w:r>
      <w:r w:rsidRPr="005B1A6B">
        <w:rPr>
          <w:noProof/>
          <w:color w:val="000000"/>
          <w:lang w:val="en-US"/>
        </w:rPr>
        <w:t xml:space="preserve">(1), 20-27. </w:t>
      </w:r>
      <w:hyperlink r:id="rId65">
        <w:r w:rsidRPr="005B1A6B">
          <w:rPr>
            <w:rStyle w:val="Hipervnculo"/>
            <w:noProof/>
            <w:lang w:val="en-US"/>
          </w:rPr>
          <w:t>http://doi.org/10.1002/smi.2571</w:t>
        </w:r>
      </w:hyperlink>
    </w:p>
    <w:p w14:paraId="4CE799E3" w14:textId="4478E65D" w:rsidR="005A29CE" w:rsidRPr="005A29CE" w:rsidRDefault="005B1A6B" w:rsidP="005B1A6B">
      <w:pPr>
        <w:widowControl w:val="0"/>
        <w:autoSpaceDE w:val="0"/>
        <w:autoSpaceDN w:val="0"/>
        <w:adjustRightInd w:val="0"/>
        <w:spacing w:line="360" w:lineRule="auto"/>
        <w:ind w:left="480" w:hanging="480"/>
        <w:jc w:val="both"/>
        <w:rPr>
          <w:noProof/>
          <w:color w:val="000000"/>
          <w:lang w:val="en-US"/>
        </w:rPr>
      </w:pPr>
      <w:r w:rsidRPr="005B1A6B">
        <w:rPr>
          <w:noProof/>
          <w:color w:val="000000"/>
          <w:lang w:val="en-US"/>
        </w:rPr>
        <w:lastRenderedPageBreak/>
        <w:t xml:space="preserve">Yang, Y., Li, W., Zhang, Q., Zhang, L., Cheung, T. &amp; Xiang, Y. (2020). Mental health services for older adults in China during the COVID-19 outbreak. </w:t>
      </w:r>
      <w:r w:rsidRPr="005B1A6B">
        <w:rPr>
          <w:i/>
          <w:noProof/>
          <w:color w:val="000000"/>
          <w:lang w:val="en-US"/>
        </w:rPr>
        <w:t>Lancet Psychiatry. 7</w:t>
      </w:r>
      <w:r w:rsidRPr="005B1A6B">
        <w:rPr>
          <w:noProof/>
          <w:color w:val="000000"/>
          <w:lang w:val="en-US"/>
        </w:rPr>
        <w:t>(4), 1</w:t>
      </w:r>
      <w:r w:rsidR="00BD535E">
        <w:rPr>
          <w:noProof/>
          <w:color w:val="000000"/>
          <w:lang w:val="en-US"/>
        </w:rPr>
        <w:t>.</w:t>
      </w:r>
      <w:r w:rsidRPr="005B1A6B">
        <w:rPr>
          <w:noProof/>
          <w:color w:val="000000"/>
          <w:lang w:val="en-US"/>
        </w:rPr>
        <w:t xml:space="preserve"> </w:t>
      </w:r>
      <w:hyperlink r:id="rId66">
        <w:r w:rsidRPr="005B1A6B">
          <w:rPr>
            <w:rStyle w:val="Hipervnculo"/>
            <w:noProof/>
            <w:lang w:val="en-US"/>
          </w:rPr>
          <w:t>https://www.thelancet.com/pdfs/journals/lanpsy/PIIS2215-0366(20)30079-1.pdf</w:t>
        </w:r>
      </w:hyperlink>
      <w:r w:rsidR="005A29CE" w:rsidRPr="005A29CE">
        <w:rPr>
          <w:noProof/>
          <w:color w:val="000000"/>
          <w:lang w:val="en-US"/>
        </w:rPr>
        <w:t xml:space="preserve"> </w:t>
      </w: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0534EF43" w:rsidR="00147EED" w:rsidRPr="005347C7" w:rsidRDefault="00147EED" w:rsidP="005A12F4">
      <w:pPr>
        <w:shd w:val="clear" w:color="auto" w:fill="FFFFFF"/>
        <w:spacing w:line="260" w:lineRule="exact"/>
        <w:jc w:val="right"/>
        <w:rPr>
          <w:i/>
          <w:iCs/>
          <w:sz w:val="20"/>
          <w:szCs w:val="20"/>
          <w:lang w:val="en-US"/>
        </w:rPr>
      </w:pPr>
      <w:r w:rsidRPr="005347C7">
        <w:rPr>
          <w:i/>
          <w:iCs/>
          <w:sz w:val="20"/>
          <w:szCs w:val="20"/>
          <w:lang w:val="en-US"/>
        </w:rPr>
        <w:t xml:space="preserve">Received: </w:t>
      </w:r>
      <w:r w:rsidR="005347C7" w:rsidRPr="005347C7">
        <w:rPr>
          <w:i/>
          <w:iCs/>
          <w:sz w:val="20"/>
          <w:szCs w:val="20"/>
          <w:lang w:val="en-US"/>
        </w:rPr>
        <w:t>2020-08-02</w:t>
      </w:r>
    </w:p>
    <w:p w14:paraId="312A8921" w14:textId="3BACD615" w:rsidR="00147EED" w:rsidRPr="00493400" w:rsidRDefault="00147EED" w:rsidP="003507BC">
      <w:pPr>
        <w:shd w:val="clear" w:color="auto" w:fill="FFFFFF"/>
        <w:spacing w:line="260" w:lineRule="exact"/>
        <w:jc w:val="right"/>
        <w:rPr>
          <w:i/>
          <w:iCs/>
          <w:sz w:val="20"/>
          <w:szCs w:val="20"/>
          <w:lang w:eastAsia="es-ES_tradnl"/>
        </w:rPr>
      </w:pPr>
      <w:r w:rsidRPr="005347C7">
        <w:rPr>
          <w:i/>
          <w:iCs/>
          <w:sz w:val="20"/>
          <w:szCs w:val="20"/>
          <w:lang w:val="en-US"/>
        </w:rPr>
        <w:t xml:space="preserve">Accepted: </w:t>
      </w:r>
      <w:r w:rsidR="005347C7" w:rsidRPr="005347C7">
        <w:rPr>
          <w:i/>
          <w:iCs/>
          <w:sz w:val="20"/>
          <w:szCs w:val="20"/>
          <w:lang w:eastAsia="es-ES_tradnl"/>
        </w:rPr>
        <w:t>2023-10-11</w:t>
      </w:r>
    </w:p>
    <w:sectPr w:rsidR="00147EED" w:rsidRPr="00493400" w:rsidSect="00686DA9">
      <w:headerReference w:type="even" r:id="rId67"/>
      <w:headerReference w:type="default" r:id="rId68"/>
      <w:footerReference w:type="even" r:id="rId69"/>
      <w:footerReference w:type="default" r:id="rId7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3A55" w14:textId="77777777" w:rsidR="00660D79" w:rsidRDefault="00660D79" w:rsidP="00C413D4">
      <w:r>
        <w:separator/>
      </w:r>
    </w:p>
  </w:endnote>
  <w:endnote w:type="continuationSeparator" w:id="0">
    <w:p w14:paraId="1AD973D1" w14:textId="77777777" w:rsidR="00660D79" w:rsidRDefault="00660D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DAA5C66" w:rsidR="005B1A6B" w:rsidRDefault="005B1A6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94ECD">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5B1A6B" w:rsidRDefault="005B1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07B04FD" w:rsidR="005B1A6B" w:rsidRDefault="005B1A6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94ECD">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5B1A6B" w:rsidRDefault="005B1A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CBA1" w14:textId="77777777" w:rsidR="00660D79" w:rsidRDefault="00660D79" w:rsidP="00C413D4">
      <w:r>
        <w:separator/>
      </w:r>
    </w:p>
  </w:footnote>
  <w:footnote w:type="continuationSeparator" w:id="0">
    <w:p w14:paraId="2E690A1B" w14:textId="77777777" w:rsidR="00660D79" w:rsidRDefault="00660D79" w:rsidP="00C413D4">
      <w:r>
        <w:continuationSeparator/>
      </w:r>
    </w:p>
  </w:footnote>
  <w:footnote w:id="1">
    <w:p w14:paraId="2AEA1A29" w14:textId="30F60CB0" w:rsidR="00622C1E" w:rsidRPr="005E205D" w:rsidRDefault="00622C1E" w:rsidP="00622C1E">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622C1E">
        <w:rPr>
          <w:rFonts w:ascii="Times" w:hAnsi="Times"/>
          <w:b/>
          <w:bCs/>
          <w:sz w:val="16"/>
          <w:szCs w:val="16"/>
          <w:lang w:val="en-US"/>
        </w:rPr>
        <w:t>Silvia Nathalia Vanegas Mendez</w:t>
      </w:r>
      <w:r>
        <w:rPr>
          <w:rFonts w:ascii="Times" w:hAnsi="Times"/>
          <w:b/>
          <w:bCs/>
          <w:sz w:val="16"/>
          <w:szCs w:val="16"/>
          <w:lang w:val="en-US"/>
        </w:rPr>
        <w:t xml:space="preserve">: </w:t>
      </w:r>
      <w:hyperlink r:id="rId1" w:history="1">
        <w:r>
          <w:rPr>
            <w:rStyle w:val="Hipervnculo"/>
            <w:sz w:val="16"/>
            <w:szCs w:val="16"/>
            <w:lang w:val="en-GB"/>
          </w:rPr>
          <w:t>nathalia.vanegas.2020@gmail.com</w:t>
        </w:r>
      </w:hyperlink>
      <w:r>
        <w:rPr>
          <w:sz w:val="16"/>
          <w:szCs w:val="16"/>
          <w:lang w:val="en-GB"/>
        </w:rPr>
        <w:t xml:space="preserve"> </w:t>
      </w:r>
    </w:p>
  </w:footnote>
  <w:footnote w:id="2">
    <w:p w14:paraId="379CAF8A" w14:textId="4BF91772" w:rsidR="005B1A6B" w:rsidRPr="00CC7D22" w:rsidRDefault="005B1A6B"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1DA2A9E8" w:rsidR="005B1A6B" w:rsidRPr="00714485" w:rsidRDefault="005B1A6B" w:rsidP="00714485">
    <w:pPr>
      <w:pStyle w:val="Encabezado"/>
      <w:jc w:val="center"/>
      <w:rPr>
        <w:rFonts w:ascii="Times" w:hAnsi="Times" w:cs="Times New Roman (Body CS)"/>
        <w:b/>
        <w:bCs/>
        <w:smallCaps/>
        <w:sz w:val="20"/>
        <w:szCs w:val="20"/>
        <w:lang w:val="es-ES_tradnl"/>
      </w:rPr>
    </w:pPr>
    <w:proofErr w:type="spellStart"/>
    <w:r w:rsidRPr="00F21C33">
      <w:rPr>
        <w:rFonts w:ascii="Times" w:hAnsi="Times" w:cs="Times New Roman (Body CS)"/>
        <w:b/>
        <w:bCs/>
        <w:smallCaps/>
        <w:sz w:val="20"/>
        <w:szCs w:val="20"/>
        <w:lang w:val="es-AR"/>
      </w:rPr>
      <w:t>Usuga</w:t>
    </w:r>
    <w:proofErr w:type="spellEnd"/>
    <w:r w:rsidRPr="00F21C33">
      <w:rPr>
        <w:rFonts w:ascii="Times" w:hAnsi="Times" w:cs="Times New Roman (Body CS)"/>
        <w:b/>
        <w:bCs/>
        <w:smallCaps/>
        <w:sz w:val="20"/>
        <w:szCs w:val="20"/>
        <w:lang w:val="es-AR"/>
      </w:rPr>
      <w:t>-Jerez</w:t>
    </w:r>
    <w:r w:rsidRPr="00F21C33">
      <w:rPr>
        <w:rFonts w:ascii="Times" w:hAnsi="Times" w:cs="Times New Roman (Body CS)"/>
        <w:b/>
        <w:bCs/>
        <w:smallCaps/>
        <w:sz w:val="20"/>
        <w:szCs w:val="20"/>
        <w:lang w:val="es-ES"/>
      </w:rPr>
      <w:t xml:space="preserve">, </w:t>
    </w:r>
    <w:r w:rsidRPr="00F21C33">
      <w:rPr>
        <w:rFonts w:ascii="Times" w:hAnsi="Times" w:cs="Times New Roman (Body CS)"/>
        <w:b/>
        <w:bCs/>
        <w:smallCaps/>
        <w:sz w:val="20"/>
        <w:szCs w:val="20"/>
        <w:lang w:val="es-AR"/>
      </w:rPr>
      <w:t xml:space="preserve">Vanegas </w:t>
    </w:r>
    <w:proofErr w:type="spellStart"/>
    <w:r w:rsidRPr="00F21C33">
      <w:rPr>
        <w:rFonts w:ascii="Times" w:hAnsi="Times" w:cs="Times New Roman (Body CS)"/>
        <w:b/>
        <w:bCs/>
        <w:smallCaps/>
        <w:sz w:val="20"/>
        <w:szCs w:val="20"/>
        <w:lang w:val="es-AR"/>
      </w:rPr>
      <w:t>Mendez</w:t>
    </w:r>
    <w:proofErr w:type="spellEnd"/>
    <w:r w:rsidRPr="00F21C33">
      <w:rPr>
        <w:rFonts w:ascii="Times" w:hAnsi="Times" w:cs="Times New Roman (Body CS)"/>
        <w:b/>
        <w:bCs/>
        <w:smallCaps/>
        <w:sz w:val="20"/>
        <w:szCs w:val="20"/>
        <w:vertAlign w:val="superscript"/>
        <w:lang w:val="es-AR"/>
      </w:rPr>
      <w:t xml:space="preserve"> </w:t>
    </w:r>
    <w:r w:rsidRPr="00F21C33">
      <w:rPr>
        <w:rFonts w:ascii="Times" w:hAnsi="Times" w:cs="Times New Roman (Body CS)"/>
        <w:b/>
        <w:bCs/>
        <w:smallCaps/>
        <w:sz w:val="20"/>
        <w:szCs w:val="20"/>
        <w:lang w:val="es-AR"/>
      </w:rPr>
      <w:t>, Tapias Soto</w:t>
    </w:r>
    <w:r w:rsidRPr="00F21C33">
      <w:rPr>
        <w:rFonts w:ascii="Times" w:hAnsi="Times" w:cs="Times New Roman (Body CS)"/>
        <w:b/>
        <w:bCs/>
        <w:smallCaps/>
        <w:sz w:val="20"/>
        <w:szCs w:val="20"/>
        <w:vertAlign w:val="superscript"/>
        <w:lang w:val="es-AR"/>
      </w:rPr>
      <w:t xml:space="preserve"> </w:t>
    </w:r>
    <w:r w:rsidRPr="00F21C33">
      <w:rPr>
        <w:rFonts w:ascii="Times" w:hAnsi="Times" w:cs="Times New Roman (Body CS)"/>
        <w:b/>
        <w:bCs/>
        <w:smallCaps/>
        <w:sz w:val="20"/>
        <w:szCs w:val="20"/>
        <w:lang w:val="es-AR"/>
      </w:rPr>
      <w:t xml:space="preserve">, Villabona </w:t>
    </w:r>
    <w:proofErr w:type="spellStart"/>
    <w:r w:rsidRPr="00F21C33">
      <w:rPr>
        <w:rFonts w:ascii="Times" w:hAnsi="Times" w:cs="Times New Roman (Body CS)"/>
        <w:b/>
        <w:bCs/>
        <w:smallCaps/>
        <w:sz w:val="20"/>
        <w:szCs w:val="20"/>
        <w:lang w:val="es-AR"/>
      </w:rPr>
      <w:t>Perez</w:t>
    </w:r>
    <w:proofErr w:type="spellEnd"/>
    <w:r w:rsidRPr="00F21C33">
      <w:rPr>
        <w:rFonts w:ascii="Times" w:hAnsi="Times" w:cs="Times New Roman (Body CS)"/>
        <w:b/>
        <w:bCs/>
        <w:smallCaps/>
        <w:sz w:val="20"/>
        <w:szCs w:val="20"/>
        <w:lang w:val="es-AR"/>
      </w:rPr>
      <w:t xml:space="preserve">, &amp; </w:t>
    </w:r>
    <w:r w:rsidR="007B011B" w:rsidRPr="007B011B">
      <w:rPr>
        <w:rFonts w:ascii="Times" w:hAnsi="Times" w:cs="Times New Roman (Body CS)"/>
        <w:b/>
        <w:bCs/>
        <w:smallCaps/>
        <w:sz w:val="20"/>
        <w:szCs w:val="20"/>
        <w:lang w:val="es-AR"/>
      </w:rPr>
      <w:t>Lemos Ramírez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5B1A6B" w:rsidRDefault="005B1A6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392F0CE3" w:rsidR="005B1A6B" w:rsidRDefault="005B1A6B" w:rsidP="00C413D4">
    <w:pPr>
      <w:pStyle w:val="Encabezado"/>
      <w:jc w:val="right"/>
      <w:rPr>
        <w:rFonts w:ascii="Times" w:hAnsi="Times"/>
        <w:i/>
        <w:sz w:val="18"/>
        <w:szCs w:val="18"/>
        <w:lang w:val="es-ES"/>
      </w:rPr>
    </w:pPr>
    <w:r>
      <w:rPr>
        <w:rFonts w:ascii="Times" w:hAnsi="Times"/>
        <w:i/>
        <w:sz w:val="18"/>
        <w:szCs w:val="18"/>
        <w:lang w:val="es-ES"/>
      </w:rPr>
      <w:t>2023, Vol., 57, No. 2, e1397</w:t>
    </w:r>
  </w:p>
  <w:p w14:paraId="1AAB67EA" w14:textId="77777777" w:rsidR="005B1A6B" w:rsidRDefault="005B1A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3604"/>
    <w:rsid w:val="0005428C"/>
    <w:rsid w:val="000547D8"/>
    <w:rsid w:val="00056CA1"/>
    <w:rsid w:val="00063582"/>
    <w:rsid w:val="000636EC"/>
    <w:rsid w:val="00064F18"/>
    <w:rsid w:val="00067898"/>
    <w:rsid w:val="000715BB"/>
    <w:rsid w:val="000733FA"/>
    <w:rsid w:val="00075F71"/>
    <w:rsid w:val="000815D5"/>
    <w:rsid w:val="00085FC2"/>
    <w:rsid w:val="000928CA"/>
    <w:rsid w:val="00094513"/>
    <w:rsid w:val="0009689D"/>
    <w:rsid w:val="000A22C8"/>
    <w:rsid w:val="000A323A"/>
    <w:rsid w:val="000A6ECE"/>
    <w:rsid w:val="000B01FD"/>
    <w:rsid w:val="000B1FE0"/>
    <w:rsid w:val="000B32F6"/>
    <w:rsid w:val="000B3371"/>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4ECD"/>
    <w:rsid w:val="00197853"/>
    <w:rsid w:val="001A2835"/>
    <w:rsid w:val="001A3023"/>
    <w:rsid w:val="001A4444"/>
    <w:rsid w:val="001A695F"/>
    <w:rsid w:val="001B589B"/>
    <w:rsid w:val="001C41E9"/>
    <w:rsid w:val="001C4490"/>
    <w:rsid w:val="001C4E1C"/>
    <w:rsid w:val="001C7D0A"/>
    <w:rsid w:val="001D354F"/>
    <w:rsid w:val="001D5030"/>
    <w:rsid w:val="001E0A61"/>
    <w:rsid w:val="001E1F5C"/>
    <w:rsid w:val="001E1F61"/>
    <w:rsid w:val="001E4251"/>
    <w:rsid w:val="001E4CD1"/>
    <w:rsid w:val="001E55FA"/>
    <w:rsid w:val="001F7920"/>
    <w:rsid w:val="001F7DA4"/>
    <w:rsid w:val="002012E8"/>
    <w:rsid w:val="00201E32"/>
    <w:rsid w:val="002036DA"/>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813D9"/>
    <w:rsid w:val="003839C1"/>
    <w:rsid w:val="00384E6B"/>
    <w:rsid w:val="0039161E"/>
    <w:rsid w:val="00393ECF"/>
    <w:rsid w:val="003A1180"/>
    <w:rsid w:val="003A6E05"/>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47C7"/>
    <w:rsid w:val="00537714"/>
    <w:rsid w:val="00541F7B"/>
    <w:rsid w:val="0054384D"/>
    <w:rsid w:val="0054793D"/>
    <w:rsid w:val="00552412"/>
    <w:rsid w:val="005544E5"/>
    <w:rsid w:val="00564CD9"/>
    <w:rsid w:val="00565DA0"/>
    <w:rsid w:val="00582881"/>
    <w:rsid w:val="00585FC4"/>
    <w:rsid w:val="0059034C"/>
    <w:rsid w:val="00590387"/>
    <w:rsid w:val="00591A0D"/>
    <w:rsid w:val="00595C9D"/>
    <w:rsid w:val="00596803"/>
    <w:rsid w:val="00597EA0"/>
    <w:rsid w:val="005A0ADC"/>
    <w:rsid w:val="005A12F4"/>
    <w:rsid w:val="005A29CE"/>
    <w:rsid w:val="005A32E2"/>
    <w:rsid w:val="005B1A6B"/>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1504D"/>
    <w:rsid w:val="00622C1E"/>
    <w:rsid w:val="00623C7A"/>
    <w:rsid w:val="006250A6"/>
    <w:rsid w:val="00625A9A"/>
    <w:rsid w:val="0063089C"/>
    <w:rsid w:val="00633E2D"/>
    <w:rsid w:val="006348EE"/>
    <w:rsid w:val="00644037"/>
    <w:rsid w:val="006451FC"/>
    <w:rsid w:val="006515FB"/>
    <w:rsid w:val="00654ABE"/>
    <w:rsid w:val="0065510C"/>
    <w:rsid w:val="00660D5E"/>
    <w:rsid w:val="00660D79"/>
    <w:rsid w:val="00661016"/>
    <w:rsid w:val="006612E1"/>
    <w:rsid w:val="006619C0"/>
    <w:rsid w:val="006619D9"/>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08D4"/>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34F8"/>
    <w:rsid w:val="007741C9"/>
    <w:rsid w:val="007757C7"/>
    <w:rsid w:val="00781E79"/>
    <w:rsid w:val="007848F7"/>
    <w:rsid w:val="00785339"/>
    <w:rsid w:val="007858E4"/>
    <w:rsid w:val="00795D57"/>
    <w:rsid w:val="007A015E"/>
    <w:rsid w:val="007A7C7C"/>
    <w:rsid w:val="007B011B"/>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32AB1"/>
    <w:rsid w:val="009401BC"/>
    <w:rsid w:val="00943B5C"/>
    <w:rsid w:val="009446F0"/>
    <w:rsid w:val="00950BD4"/>
    <w:rsid w:val="0095579B"/>
    <w:rsid w:val="00964CC6"/>
    <w:rsid w:val="009703F5"/>
    <w:rsid w:val="00970D91"/>
    <w:rsid w:val="00971421"/>
    <w:rsid w:val="0097188A"/>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0744"/>
    <w:rsid w:val="00A234ED"/>
    <w:rsid w:val="00A34FAC"/>
    <w:rsid w:val="00A411A9"/>
    <w:rsid w:val="00A457D0"/>
    <w:rsid w:val="00A516C7"/>
    <w:rsid w:val="00A61B22"/>
    <w:rsid w:val="00A64E60"/>
    <w:rsid w:val="00A70AE3"/>
    <w:rsid w:val="00A72239"/>
    <w:rsid w:val="00A80283"/>
    <w:rsid w:val="00A85C05"/>
    <w:rsid w:val="00A95630"/>
    <w:rsid w:val="00A97C99"/>
    <w:rsid w:val="00AA6E2E"/>
    <w:rsid w:val="00AA735D"/>
    <w:rsid w:val="00AB1AC5"/>
    <w:rsid w:val="00AB277A"/>
    <w:rsid w:val="00AB2CE6"/>
    <w:rsid w:val="00AB3BF6"/>
    <w:rsid w:val="00AB45ED"/>
    <w:rsid w:val="00AB5679"/>
    <w:rsid w:val="00AC3E22"/>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300F9"/>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68A6"/>
    <w:rsid w:val="00B67695"/>
    <w:rsid w:val="00B7151E"/>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D535E"/>
    <w:rsid w:val="00BE1FBF"/>
    <w:rsid w:val="00BE399B"/>
    <w:rsid w:val="00BE7162"/>
    <w:rsid w:val="00BF2953"/>
    <w:rsid w:val="00BF6737"/>
    <w:rsid w:val="00BF6A48"/>
    <w:rsid w:val="00C01611"/>
    <w:rsid w:val="00C02FC7"/>
    <w:rsid w:val="00C06D6D"/>
    <w:rsid w:val="00C12A53"/>
    <w:rsid w:val="00C14765"/>
    <w:rsid w:val="00C21471"/>
    <w:rsid w:val="00C2267F"/>
    <w:rsid w:val="00C413D4"/>
    <w:rsid w:val="00C45E73"/>
    <w:rsid w:val="00C47BE4"/>
    <w:rsid w:val="00C51C25"/>
    <w:rsid w:val="00C55B07"/>
    <w:rsid w:val="00C57D5C"/>
    <w:rsid w:val="00C672C3"/>
    <w:rsid w:val="00C71414"/>
    <w:rsid w:val="00C7239B"/>
    <w:rsid w:val="00C86D23"/>
    <w:rsid w:val="00C879CD"/>
    <w:rsid w:val="00C92787"/>
    <w:rsid w:val="00CA4236"/>
    <w:rsid w:val="00CA4688"/>
    <w:rsid w:val="00CB3863"/>
    <w:rsid w:val="00CB62C5"/>
    <w:rsid w:val="00CC05DE"/>
    <w:rsid w:val="00CC4527"/>
    <w:rsid w:val="00CC7D22"/>
    <w:rsid w:val="00CD3708"/>
    <w:rsid w:val="00CF3DAF"/>
    <w:rsid w:val="00CF44A4"/>
    <w:rsid w:val="00CF4B56"/>
    <w:rsid w:val="00CF5D21"/>
    <w:rsid w:val="00CF66ED"/>
    <w:rsid w:val="00D02897"/>
    <w:rsid w:val="00D10390"/>
    <w:rsid w:val="00D10976"/>
    <w:rsid w:val="00D13238"/>
    <w:rsid w:val="00D14026"/>
    <w:rsid w:val="00D224FA"/>
    <w:rsid w:val="00D33385"/>
    <w:rsid w:val="00D347EE"/>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2C9"/>
    <w:rsid w:val="00DF799A"/>
    <w:rsid w:val="00E04437"/>
    <w:rsid w:val="00E05D7F"/>
    <w:rsid w:val="00E07DEA"/>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475B0"/>
    <w:rsid w:val="00E51EA2"/>
    <w:rsid w:val="00E5202D"/>
    <w:rsid w:val="00E52901"/>
    <w:rsid w:val="00E53313"/>
    <w:rsid w:val="00E5425D"/>
    <w:rsid w:val="00E62B05"/>
    <w:rsid w:val="00E65544"/>
    <w:rsid w:val="00E70B5F"/>
    <w:rsid w:val="00E72E8C"/>
    <w:rsid w:val="00E74675"/>
    <w:rsid w:val="00E76958"/>
    <w:rsid w:val="00E7723C"/>
    <w:rsid w:val="00E81056"/>
    <w:rsid w:val="00E8359E"/>
    <w:rsid w:val="00E877FD"/>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4252"/>
    <w:rsid w:val="00FA7CFE"/>
    <w:rsid w:val="00FB1095"/>
    <w:rsid w:val="00FB1587"/>
    <w:rsid w:val="00FC099C"/>
    <w:rsid w:val="00FC66DA"/>
    <w:rsid w:val="00FD0BF4"/>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styleId="Mencinsinresolver">
    <w:name w:val="Unresolved Mention"/>
    <w:basedOn w:val="Fuentedeprrafopredeter"/>
    <w:uiPriority w:val="99"/>
    <w:semiHidden/>
    <w:unhideWhenUsed/>
    <w:rsid w:val="00B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10.1080/13811118.2017.1366960" TargetMode="External"/><Relationship Id="rId21" Type="http://schemas.openxmlformats.org/officeDocument/2006/relationships/hyperlink" Target="https://doi.org/10.20453/rmh.v30i4.3655" TargetMode="External"/><Relationship Id="rId42" Type="http://schemas.openxmlformats.org/officeDocument/2006/relationships/hyperlink" Target="http://doi.org/10.1080/0744848%201.2017.1376673" TargetMode="External"/><Relationship Id="rId47" Type="http://schemas.openxmlformats.org/officeDocument/2006/relationships/hyperlink" Target="https://doi.org/10.18682/pd.v7i0.432" TargetMode="External"/><Relationship Id="rId63" Type="http://schemas.openxmlformats.org/officeDocument/2006/relationships/hyperlink" Target="https://www.doi.org/10.35575/rvucn.n60a8" TargetMode="External"/><Relationship Id="rId68" Type="http://schemas.openxmlformats.org/officeDocument/2006/relationships/header" Target="header2.xml"/><Relationship Id="rId7" Type="http://schemas.openxmlformats.org/officeDocument/2006/relationships/hyperlink" Target="https://doi.org/10.30849/ripijp.v57i2.1397"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1-8664-8761" TargetMode="External"/><Relationship Id="rId29" Type="http://schemas.openxmlformats.org/officeDocument/2006/relationships/hyperlink" Target="https://repositorio.cepal.org/bitstream/handle/11362/45337/4/S2000264_es.pdf" TargetMode="External"/><Relationship Id="rId11" Type="http://schemas.openxmlformats.org/officeDocument/2006/relationships/hyperlink" Target="https://orcid.org/0000-0003-1836-5537" TargetMode="External"/><Relationship Id="rId24" Type="http://schemas.openxmlformats.org/officeDocument/2006/relationships/hyperlink" Target="https://doi.org/10.5944/rppc.23676" TargetMode="External"/><Relationship Id="rId32" Type="http://schemas.openxmlformats.org/officeDocument/2006/relationships/hyperlink" Target="https://www.thelancet.com/journals/lanpsy/article/PIIS2215-0366(20)30078-X/fulltext" TargetMode="External"/><Relationship Id="rId37" Type="http://schemas.openxmlformats.org/officeDocument/2006/relationships/hyperlink" Target="https://doi.org/10.1590/SciELOPreprints.756" TargetMode="External"/><Relationship Id="rId40" Type="http://schemas.openxmlformats.org/officeDocument/2006/relationships/hyperlink" Target="https://doi.org/10.17843/rpmesp.2020.372.5419" TargetMode="External"/><Relationship Id="rId45" Type="http://schemas.openxmlformats.org/officeDocument/2006/relationships/hyperlink" Target="https://www.minsalud.gov.co/sites/rid/Lists/BibliotecaDigital/RIDE/VS/PP/ENT/boletin-conducta-suicida.pdf" TargetMode="External"/><Relationship Id="rId53" Type="http://schemas.openxmlformats.org/officeDocument/2006/relationships/hyperlink" Target="https://doi:10.7334/psicothema2016.2" TargetMode="External"/><Relationship Id="rId58" Type="http://schemas.openxmlformats.org/officeDocument/2006/relationships/hyperlink" Target="https://doi.org/10.5944/rppc.27569" TargetMode="External"/><Relationship Id="rId66" Type="http://schemas.openxmlformats.org/officeDocument/2006/relationships/hyperlink" Target="https://www.thelancet.com/pdfs/journals/lanpsy/PIIS2215-0366(20)30079-1.pdf" TargetMode="External"/><Relationship Id="rId5" Type="http://schemas.openxmlformats.org/officeDocument/2006/relationships/footnotes" Target="footnotes.xml"/><Relationship Id="rId61" Type="http://schemas.openxmlformats.org/officeDocument/2006/relationships/hyperlink" Target="https://www.medigraphic.com/cgi-bin/new/resumenI.cgi?IDARTICULO=84412" TargetMode="External"/><Relationship Id="rId19" Type="http://schemas.openxmlformats.org/officeDocument/2006/relationships/image" Target="media/image4.svg"/><Relationship Id="rId14" Type="http://schemas.openxmlformats.org/officeDocument/2006/relationships/hyperlink" Target="https://orcid.org/0000-0002-0547-4315" TargetMode="External"/><Relationship Id="rId22" Type="http://schemas.openxmlformats.org/officeDocument/2006/relationships/hyperlink" Target="https://doi.org/10.4067/S0717-92272014000300004" TargetMode="External"/><Relationship Id="rId27" Type="http://schemas.openxmlformats.org/officeDocument/2006/relationships/hyperlink" Target="http://manglar.uninorte.edu.co/bitstream/handle/10584/8378/134315.pdf?sequence=1&amp;isAllowed=y" TargetMode="External"/><Relationship Id="rId30" Type="http://schemas.openxmlformats.org/officeDocument/2006/relationships/hyperlink" Target="https://doi.org/10.1080/07481187.2017.1299255" TargetMode="External"/><Relationship Id="rId35" Type="http://schemas.openxmlformats.org/officeDocument/2006/relationships/hyperlink" Target="http://www.collegecounseling.org/wp-content/uploads/NCCCS2014_v2.pdf" TargetMode="External"/><Relationship Id="rId43" Type="http://schemas.openxmlformats.org/officeDocument/2006/relationships/hyperlink" Target="http://doi.org/10.17583/rise.2020.5925" TargetMode="External"/><Relationship Id="rId48" Type="http://schemas.openxmlformats.org/officeDocument/2006/relationships/hyperlink" Target="http://www.iesalc.unesco.org/wp-content/uploads/2020/04/COVID-19-060420-ES-2.pdf" TargetMode="External"/><Relationship Id="rId56" Type="http://schemas.openxmlformats.org/officeDocument/2006/relationships/hyperlink" Target="https://doi.org/10.1016/j.rpsm.2016.09.004" TargetMode="External"/><Relationship Id="rId64" Type="http://schemas.openxmlformats.org/officeDocument/2006/relationships/hyperlink" Target="https://www.psychiatryinvestigation.org/journal/view.php?doi=10.30773/pi.2020.0047"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who.int/topics/sustainable-development-goals/e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rcid.org/0000-0001-6647-4696" TargetMode="External"/><Relationship Id="rId17" Type="http://schemas.openxmlformats.org/officeDocument/2006/relationships/hyperlink" Target="https://sipsych.org/" TargetMode="External"/><Relationship Id="rId25" Type="http://schemas.openxmlformats.org/officeDocument/2006/relationships/hyperlink" Target="https://doi.org/10.1016/S0140-6736(20)30460-8" TargetMode="External"/><Relationship Id="rId33" Type="http://schemas.openxmlformats.org/officeDocument/2006/relationships/hyperlink" Target="https://doi.org/10.33198/rp.v20i1.00017" TargetMode="External"/><Relationship Id="rId38" Type="http://schemas.openxmlformats.org/officeDocument/2006/relationships/hyperlink" Target="http://www.revmultimed.sld.cu/index.php/mtm/article/view/1513/1638" TargetMode="External"/><Relationship Id="rId46" Type="http://schemas.openxmlformats.org/officeDocument/2006/relationships/hyperlink" Target="https://10.11144/Javeriana.UPSY13-2.dfsh" TargetMode="External"/><Relationship Id="rId59" Type="http://schemas.openxmlformats.org/officeDocument/2006/relationships/hyperlink" Target="https://doi.org/10.5944/rppc.vol.22.num.1.2017.16170" TargetMode="External"/><Relationship Id="rId67" Type="http://schemas.openxmlformats.org/officeDocument/2006/relationships/header" Target="header1.xml"/><Relationship Id="rId20" Type="http://schemas.openxmlformats.org/officeDocument/2006/relationships/hyperlink" Target="http://dx.doi.org/10.4067/S0717-92272019000200167" TargetMode="External"/><Relationship Id="rId41" Type="http://schemas.openxmlformats.org/officeDocument/2006/relationships/hyperlink" Target="https://doi.org/10.1080/13548506.2017.1300669" TargetMode="External"/><Relationship Id="rId54" Type="http://schemas.openxmlformats.org/officeDocument/2006/relationships/hyperlink" Target="https://doi.org/10.5944/rppc.24104" TargetMode="External"/><Relationship Id="rId62" Type="http://schemas.openxmlformats.org/officeDocument/2006/relationships/hyperlink" Target="http://repositorio.ucv.edu.pe/bitstream/handle/20.500.12692/3209/Celestino_VMC.pdf?sequence=1&amp;isAllowed=y"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2-3019-5190" TargetMode="External"/><Relationship Id="rId23" Type="http://schemas.openxmlformats.org/officeDocument/2006/relationships/hyperlink" Target="https://www.ciencia.gob.es/stfls/MICINN/Universidades/Ficheros/Consecuencias_psicologicasCOVID19.pdf" TargetMode="External"/><Relationship Id="rId28" Type="http://schemas.openxmlformats.org/officeDocument/2006/relationships/hyperlink" Target="https://www.cdc.gov/quarantine/index.html" TargetMode="External"/><Relationship Id="rId36" Type="http://schemas.openxmlformats.org/officeDocument/2006/relationships/hyperlink" Target="https://www.researchgate.net/journal/0034-9690_Revista_Interamericana_de_psicologia_Interamerican_Journal_of_Psychology" TargetMode="External"/><Relationship Id="rId49" Type="http://schemas.openxmlformats.org/officeDocument/2006/relationships/hyperlink" Target="https://repositorio.cepal.org/handle/11362/45527" TargetMode="External"/><Relationship Id="rId57" Type="http://schemas.openxmlformats.org/officeDocument/2006/relationships/hyperlink" Target="https://doi.org/10.5944/rppc" TargetMode="External"/><Relationship Id="rId10" Type="http://schemas.openxmlformats.org/officeDocument/2006/relationships/image" Target="media/image2.png"/><Relationship Id="rId31" Type="http://schemas.openxmlformats.org/officeDocument/2006/relationships/hyperlink" Target="https://doi.org/10.18800/psico.201702.001" TargetMode="External"/><Relationship Id="rId44" Type="http://schemas.openxmlformats.org/officeDocument/2006/relationships/hyperlink" Target="https://www.minsalud.gov.co/sites/rid/Lists/BibliotecaDigital/RIDE/DE/DIJ/RESOLUCION-8430-DE-1993.PDF" TargetMode="External"/><Relationship Id="rId52" Type="http://schemas.openxmlformats.org/officeDocument/2006/relationships/hyperlink" Target="https://doi.org/10.1590/S0102-311X2007000600002" TargetMode="External"/><Relationship Id="rId60" Type="http://schemas.openxmlformats.org/officeDocument/2006/relationships/hyperlink" Target="https://www.ins.gov.co/buscador-eventos/Informesdeevento/INTENTO%20DE%20SUICIDIO_2018.pdf" TargetMode="External"/><Relationship Id="rId65" Type="http://schemas.openxmlformats.org/officeDocument/2006/relationships/hyperlink" Target="http://doi.org/10.1002/smi.2571" TargetMode="External"/><Relationship Id="rId4" Type="http://schemas.openxmlformats.org/officeDocument/2006/relationships/webSettings" Target="webSettings.xml"/><Relationship Id="rId9" Type="http://schemas.openxmlformats.org/officeDocument/2006/relationships/hyperlink" Target="https://orcid.org/0000-0002-2498-7642" TargetMode="External"/><Relationship Id="rId13" Type="http://schemas.openxmlformats.org/officeDocument/2006/relationships/hyperlink" Target="https://orcid.org/0000-0002-5376-0244" TargetMode="External"/><Relationship Id="rId18" Type="http://schemas.openxmlformats.org/officeDocument/2006/relationships/image" Target="media/image3.png"/><Relationship Id="rId39" Type="http://schemas.openxmlformats.org/officeDocument/2006/relationships/hyperlink" Target="https://repositorioacademico.upc.edu.pe/handle/10757/651622" TargetMode="External"/><Relationship Id="rId34" Type="http://schemas.openxmlformats.org/officeDocument/2006/relationships/hyperlink" Target="https://repository.javeriana.edu.co/bitstream/handle/10554/8026/tesis133.pdf?sequence=1&amp;isAllowed=y" TargetMode="External"/><Relationship Id="rId50" Type="http://schemas.openxmlformats.org/officeDocument/2006/relationships/hyperlink" Target="https://www.who.int/es/news-room/fact-sheets/detail/suicide" TargetMode="External"/><Relationship Id="rId55" Type="http://schemas.openxmlformats.org/officeDocument/2006/relationships/hyperlink" Target="https://doi.org/10.37226/rcp.v4i2.491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athalia.vanegas.2020@gmail.com?subject=RIP/IJP:Desesperanza%20en%20universitarios%20durante%20la%20cuarentena%20ante%20el%20virus%20SARS-COV-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E9C4-1452-4ABB-94B8-B361B3B4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7524</Words>
  <Characters>41384</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2020-05-06T22:26:00Z</cp:lastPrinted>
  <dcterms:created xsi:type="dcterms:W3CDTF">2023-10-26T15:14:00Z</dcterms:created>
  <dcterms:modified xsi:type="dcterms:W3CDTF">2023-10-26T15:16:00Z</dcterms:modified>
</cp:coreProperties>
</file>