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bookmarkStart w:colFirst="0" w:colLast="0" w:name="_heading=h.1fob9te" w:id="0"/>
      <w:bookmarkEnd w:id="0"/>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Before and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 Alcohol Consumption and Related Problems in Argentina</w:t>
      </w:r>
    </w:p>
    <w:p w:rsidR="00000000" w:rsidDel="00000000" w:rsidP="00000000" w:rsidRDefault="00000000" w:rsidRPr="00000000" w14:paraId="00000006">
      <w:pPr>
        <w:spacing w:after="0"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COVID-19; pandemic; alcohol; problems; consumption; Argentina</w:t>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the COVID-19 pandemic and isolation measures on alcohol consumption remains unknown among Latin-American countries. This paper characterizes differences in alcohol consumption and related problems before and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 among Argentinians from different genders, age groups, income levels, and behaviors regarding the acquisition of alcoholic beverages. Through an online survey 1446 participants were assessed regarding four alcohol consumption dimensions (frequency, quantity, heavy episodic drinking -HED- and alcohol-related problems) three months prior and after the first cases in the country and subsequent lockdown measures. Overall, participants reported small reductions for usual consumption and moderate ones for HED and related problems. As expected, very high reductions were found for those underage (14 to 18 years), and young adults (19 to 24 years). Those who had an increase in income after the pandemic did not report changes in consumption, while those whose income remained equal or lowered reported reductions. Those who did not report special behaviors to acquire alcohol (e.g. pre-stocking) informed decreases in consumption compared to those who did. This study provides new evidence on the impact of environmental factors in public health, suggesting restricted access to alcohol generates a significant decrease in alcohol consumption and related problems.</w:t>
      </w:r>
    </w:p>
    <w:p w:rsidR="00000000" w:rsidDel="00000000" w:rsidP="00000000" w:rsidRDefault="00000000" w:rsidRPr="00000000" w14:paraId="00000016">
      <w:pPr>
        <w:tabs>
          <w:tab w:val="left" w:pos="312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Antes y </w:t>
      </w:r>
      <w:r w:rsidDel="00000000" w:rsidR="00000000" w:rsidRPr="00000000">
        <w:rPr>
          <w:rFonts w:ascii="Times New Roman" w:cs="Times New Roman" w:eastAsia="Times New Roman" w:hAnsi="Times New Roman"/>
          <w:color w:val="ff0000"/>
          <w:sz w:val="24"/>
          <w:szCs w:val="24"/>
          <w:rtl w:val="0"/>
        </w:rPr>
        <w:t xml:space="preserve">durante</w:t>
      </w:r>
      <w:r w:rsidDel="00000000" w:rsidR="00000000" w:rsidRPr="00000000">
        <w:rPr>
          <w:rFonts w:ascii="Times New Roman" w:cs="Times New Roman" w:eastAsia="Times New Roman" w:hAnsi="Times New Roman"/>
          <w:sz w:val="24"/>
          <w:szCs w:val="24"/>
          <w:rtl w:val="0"/>
        </w:rPr>
        <w:t xml:space="preserve"> la Pandemia: Consumo de Alcohol y Problemas Asociados en Argentina</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COVID-19; pandemia; alcohol; problemas; consumo; Argentina</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impacto de la pandemia por COVID-19 y el aislamiento sobre el consumo de alcohol en Latinoamérica es aún desconocido. Este artículo caracteriza los cambios en el consumo de alcohol y problemas asociados antes y </w:t>
      </w:r>
      <w:r w:rsidDel="00000000" w:rsidR="00000000" w:rsidRPr="00000000">
        <w:rPr>
          <w:rFonts w:ascii="Times New Roman" w:cs="Times New Roman" w:eastAsia="Times New Roman" w:hAnsi="Times New Roman"/>
          <w:color w:val="ff0000"/>
          <w:sz w:val="24"/>
          <w:szCs w:val="24"/>
          <w:rtl w:val="0"/>
        </w:rPr>
        <w:t xml:space="preserve">durante</w:t>
      </w:r>
      <w:r w:rsidDel="00000000" w:rsidR="00000000" w:rsidRPr="00000000">
        <w:rPr>
          <w:rFonts w:ascii="Times New Roman" w:cs="Times New Roman" w:eastAsia="Times New Roman" w:hAnsi="Times New Roman"/>
          <w:sz w:val="24"/>
          <w:szCs w:val="24"/>
          <w:rtl w:val="0"/>
        </w:rPr>
        <w:t xml:space="preserve"> la pandemia, diferenciando según género, edad, ingresos y comportamientos de compra de alcohol. 1446 argentinos completaron una encuesta online sobre cuatro dimensiones del consumo de alcohol (frecuencia, cantidad, consumo excesivo episódico -CEE- y problemas asociados) tres meses antes y después del comienzo del aislamiento. Se registraron pequeñas reducciones en el consumo de alcohol, y moderadas en el CEE y los problemas asociados. Se encontraron grandes reducciones del consumo en menores (14 a 18 años) y jóvenes (19 a 24 años). Quienes aumentaron sus ingresos durante la pandemia no reportaron cambios, mientras que quienes mantuvieron o redujeron sus ingresos consumieron menos. Quienes no reportaron comportamientos especiales en la compra de bebidas alcohólicas (por ejemplo, acopiar antes de las medidas de aislamiento) informaron reducciones en el consumo comparado con quienes sí lo hicieron. Este estudio aporta evidencia acerca del impacto de los factores ambientales sobre la salud pública, sugiriendo que restringir el acceso al alcohol genera una reducción significativa del consumo y los problemas asociados.</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COVID-19 pandemic changed almost every life area in people all over the world. Different countries coped with this new threat with a wide variety of approaches and policies. In Argentina, the main strategy promoted by the national government consisted of a system of five phases of strict social isolation (lockdown), beginning on March, 20th, when the country had 158 active cases and 3 deaths (Ministerio de Salud de la Nación [MSN], 2020a). This first phase allowed only essential workers (e.g.: physicians, nurses, basic supplies providers, security forces) to leave their homes. Since then, different provinces and departments have advanced to other phases, depending on the number of registered cases and the case duplication time (MSN, 2020b). But despite the strict policies taken by the national government, the pandemic’s impact in Argentina is far from being over. On July 22th, the country registered its highest number of cases in one day (5872) and reached a total of 2588 deaths since the pandemic started (MSN, 2020c). </w:t>
      </w:r>
    </w:p>
    <w:p w:rsidR="00000000" w:rsidDel="00000000" w:rsidP="00000000" w:rsidRDefault="00000000" w:rsidRPr="00000000" w14:paraId="0000003C">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consumption has been a worldwide health problem even before the COVID-19 pandemic, being an important risk factor for death and disabilities. In Argentina, alcohol consumption is highly accepted and widespread among the population. Nearly 9 liters of pure alcohol are consumed per person per year (World Health Organization [WHO], 2018). </w:t>
      </w:r>
    </w:p>
    <w:p w:rsidR="00000000" w:rsidDel="00000000" w:rsidP="00000000" w:rsidRDefault="00000000" w:rsidRPr="00000000" w14:paraId="0000003D">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impact of the COVID-19 pandemic and isolation on alcohol consumption remains unknown, experts urged to investigate and monitor this issue (García-Álvarez et al., 2020; Rehm et al., 2020). Because alcohol consumption has been associated with respiratory diseases, such as respiratory distress syndrome or pneumonia </w:t>
      </w:r>
      <w:r w:rsidDel="00000000" w:rsidR="00000000" w:rsidRPr="00000000">
        <w:rPr>
          <w:rFonts w:ascii="Times New Roman" w:cs="Times New Roman" w:eastAsia="Times New Roman" w:hAnsi="Times New Roman"/>
          <w:color w:val="ff0000"/>
          <w:sz w:val="24"/>
          <w:szCs w:val="24"/>
          <w:rtl w:val="0"/>
        </w:rPr>
        <w:t xml:space="preserve">(Thakur et al., 2009)</w:t>
      </w:r>
      <w:r w:rsidDel="00000000" w:rsidR="00000000" w:rsidRPr="00000000">
        <w:rPr>
          <w:rFonts w:ascii="Times New Roman" w:cs="Times New Roman" w:eastAsia="Times New Roman" w:hAnsi="Times New Roman"/>
          <w:sz w:val="24"/>
          <w:szCs w:val="24"/>
          <w:rtl w:val="0"/>
        </w:rPr>
        <w:t xml:space="preserve">, it is considered a risk factor for COVID-19 (Saengow et al., 2020). Furthermore, the immunologic system is depressed by alcohol (Szabo &amp; Saha, 2015), increasing the chances of a worse outcome once infected (Testino, 2020). Additionally, those with an alcohol use disorder, besides a higher risk of infection due to a depressed immune system could also present underlying high-risk comorbidities </w:t>
      </w:r>
      <w:r w:rsidDel="00000000" w:rsidR="00000000" w:rsidRPr="00000000">
        <w:rPr>
          <w:rFonts w:ascii="Times New Roman" w:cs="Times New Roman" w:eastAsia="Times New Roman" w:hAnsi="Times New Roman"/>
          <w:color w:val="ff0000"/>
          <w:sz w:val="24"/>
          <w:szCs w:val="24"/>
          <w:rtl w:val="0"/>
        </w:rPr>
        <w:t xml:space="preserve">(Schuckit, 2009). </w:t>
      </w:r>
      <w:r w:rsidDel="00000000" w:rsidR="00000000" w:rsidRPr="00000000">
        <w:rPr>
          <w:rFonts w:ascii="Times New Roman" w:cs="Times New Roman" w:eastAsia="Times New Roman" w:hAnsi="Times New Roman"/>
          <w:sz w:val="24"/>
          <w:szCs w:val="24"/>
          <w:rtl w:val="0"/>
        </w:rPr>
        <w:t xml:space="preserve">Even more, they could face extraordinary obstacles to reach or remain abstinent, </w:t>
      </w:r>
      <w:r w:rsidDel="00000000" w:rsidR="00000000" w:rsidRPr="00000000">
        <w:rPr>
          <w:rFonts w:ascii="Times New Roman" w:cs="Times New Roman" w:eastAsia="Times New Roman" w:hAnsi="Times New Roman"/>
          <w:color w:val="ff0000"/>
          <w:sz w:val="24"/>
          <w:szCs w:val="24"/>
          <w:rtl w:val="0"/>
        </w:rPr>
        <w:t xml:space="preserve">due to the pandemic impact on mental health and rehab services (e.g. temporary suspension of twelve step groups meetings)</w:t>
      </w:r>
      <w:r w:rsidDel="00000000" w:rsidR="00000000" w:rsidRPr="00000000">
        <w:rPr>
          <w:rFonts w:ascii="Times New Roman" w:cs="Times New Roman" w:eastAsia="Times New Roman" w:hAnsi="Times New Roman"/>
          <w:sz w:val="24"/>
          <w:szCs w:val="24"/>
          <w:rtl w:val="0"/>
        </w:rPr>
        <w:t xml:space="preserve">. Medical and/or psychological support could be harder to obtain because health resources are focused on COVID-19 patients; rehab institutions and support groups could be inactive due to the isolation measures (The Lancet, 2020a), and that scenario could translate into an overload of public health services. </w:t>
      </w:r>
    </w:p>
    <w:p w:rsidR="00000000" w:rsidDel="00000000" w:rsidP="00000000" w:rsidRDefault="00000000" w:rsidRPr="00000000" w14:paraId="0000003E">
      <w:pPr>
        <w:spacing w:after="0" w:line="360" w:lineRule="auto"/>
        <w:ind w:firstLine="709"/>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Little is known about the possible changes in alcohol consumption </w:t>
      </w:r>
      <w:r w:rsidDel="00000000" w:rsidR="00000000" w:rsidRPr="00000000">
        <w:rPr>
          <w:rFonts w:ascii="Times New Roman" w:cs="Times New Roman" w:eastAsia="Times New Roman" w:hAnsi="Times New Roman"/>
          <w:color w:val="ff0000"/>
          <w:sz w:val="24"/>
          <w:szCs w:val="24"/>
          <w:rtl w:val="0"/>
        </w:rPr>
        <w:t xml:space="preserve">during the pandemic</w:t>
      </w:r>
      <w:r w:rsidDel="00000000" w:rsidR="00000000" w:rsidRPr="00000000">
        <w:rPr>
          <w:rFonts w:ascii="Times New Roman" w:cs="Times New Roman" w:eastAsia="Times New Roman" w:hAnsi="Times New Roman"/>
          <w:sz w:val="24"/>
          <w:szCs w:val="24"/>
          <w:rtl w:val="0"/>
        </w:rPr>
        <w:t xml:space="preserve">, since, to our best knowledge very few empirical studies have been conducted. In China, levels of harmful use and dependence increased during the pandemic, especially among men (Ahmed, et al., 2020). In the USA, psychological distress due to the COVID-19 pandemic was positively associated with drinking, especially among women, as they would use alcohol to cope with this stressful situation more than men (Rodriguez et al., 2020). </w:t>
      </w:r>
      <w:r w:rsidDel="00000000" w:rsidR="00000000" w:rsidRPr="00000000">
        <w:rPr>
          <w:rFonts w:ascii="Times New Roman" w:cs="Times New Roman" w:eastAsia="Times New Roman" w:hAnsi="Times New Roman"/>
          <w:color w:val="ff0000"/>
          <w:sz w:val="24"/>
          <w:szCs w:val="24"/>
          <w:rtl w:val="0"/>
        </w:rPr>
        <w:t xml:space="preserve">Similar results have been found in Poland, where people who drank more alcohol also showed worse strategies to cope with stress (Chodkiewicz et al., 2020). Moreover, in Australia people who adversely changed their alcohol consumption during the pandemic also reported higher levels of anxiety, depression and stress (Stanton et al., 2020). In this line, a study from Canada showed that diverse stressors during the pandemic (e.g. social isolation, having children at home or income loss) predicted higher alcohol consumption (Wardell et al., 2020). </w:t>
      </w:r>
    </w:p>
    <w:p w:rsidR="00000000" w:rsidDel="00000000" w:rsidP="00000000" w:rsidRDefault="00000000" w:rsidRPr="00000000" w14:paraId="0000003F">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those studies prove, changes in consumption due to this universal stressor may differ among different groups and situations. On the one hand,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adolescents and young adults drinking may decrease, since social meetings and other events associated with youth drinking are restricted or forbidden. </w:t>
      </w:r>
      <w:r w:rsidDel="00000000" w:rsidR="00000000" w:rsidRPr="00000000">
        <w:rPr>
          <w:rFonts w:ascii="Times New Roman" w:cs="Times New Roman" w:eastAsia="Times New Roman" w:hAnsi="Times New Roman"/>
          <w:color w:val="ff0000"/>
          <w:sz w:val="24"/>
          <w:szCs w:val="24"/>
          <w:rtl w:val="0"/>
        </w:rPr>
        <w:t xml:space="preserve">For example, a study from Poland showed that people who decreased their alcohol consumption during the pandemic were more likely to be younger (Chodkiewicz et al., 2020). Similarly, a study performed with Canadian adolescents showed a significant decrease in binge drinking during the pandemic (Dumas, Ellis, &amp; Litt, 2020). </w:t>
      </w:r>
      <w:r w:rsidDel="00000000" w:rsidR="00000000" w:rsidRPr="00000000">
        <w:rPr>
          <w:rFonts w:ascii="Times New Roman" w:cs="Times New Roman" w:eastAsia="Times New Roman" w:hAnsi="Times New Roman"/>
          <w:sz w:val="24"/>
          <w:szCs w:val="24"/>
          <w:rtl w:val="0"/>
        </w:rPr>
        <w:t xml:space="preserve">On the other hand, the pandemic and the isolation have affected the labor situation and income level among many, also retraining access to alcohol. This last group might have followed one of two possible paths: either reduced their consumption due to lack of economic resources or increased it due to an additional source of psychological distress (Rehm, et al., 2020).</w:t>
      </w:r>
    </w:p>
    <w:p w:rsidR="00000000" w:rsidDel="00000000" w:rsidP="00000000" w:rsidRDefault="00000000" w:rsidRPr="00000000" w14:paraId="00000040">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time, the impact of COVID-19 is growing in Latin America as the number of cases continues to increase, leading experts to consider some countries of the region as the new hot spots of the pandemic (Dyer, 2020). This scenario highlights the need to assess the impact of the pandemic and social distancing/isolation on alcohol consumption. Thus, this paper characterizes differences in alcohol consumption and related problems before and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 </w:t>
      </w:r>
      <w:r w:rsidDel="00000000" w:rsidR="00000000" w:rsidRPr="00000000">
        <w:rPr>
          <w:rFonts w:ascii="Times New Roman" w:cs="Times New Roman" w:eastAsia="Times New Roman" w:hAnsi="Times New Roman"/>
          <w:color w:val="ff0000"/>
          <w:sz w:val="24"/>
          <w:szCs w:val="24"/>
          <w:rtl w:val="0"/>
        </w:rPr>
        <w:t xml:space="preserve">(three months prior and three months after the first cases were reported and lockdown measures started)</w:t>
      </w:r>
      <w:r w:rsidDel="00000000" w:rsidR="00000000" w:rsidRPr="00000000">
        <w:rPr>
          <w:rFonts w:ascii="Times New Roman" w:cs="Times New Roman" w:eastAsia="Times New Roman" w:hAnsi="Times New Roman"/>
          <w:sz w:val="24"/>
          <w:szCs w:val="24"/>
          <w:rtl w:val="0"/>
        </w:rPr>
        <w:t xml:space="preserve"> among Argentinians from different genders, age groups, and income levels.</w:t>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w:t>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Participants</w:t>
      </w:r>
    </w:p>
    <w:p w:rsidR="00000000" w:rsidDel="00000000" w:rsidP="00000000" w:rsidRDefault="00000000" w:rsidRPr="00000000" w14:paraId="00000045">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was collected from a non-probabilistic, convenience sample. More information about data collection can be found in the procedure. Of the 2373 people who started the survey, 2127 (90%) gave their consent to participate. Of them, 305 (14%) left mostly uncompleted questionnaires; as drinking in the last 12 months was an inclusion criterion, 259 (12%) abstainers were excluded, and an additional 177 responses (8%) were deleted due to inconsistencies (e.g. reporting drinking more than 100 alcohol standard units per occasion), making the final sample N=1446. The majority came from Buenos Aires province (55%), followed by Cordoba province (8%), the autonomous city of Buenos Aires (7%), Santa Fe province (6%), Rio Negro province (4%), Mendoza and Entre Rios provinces (3% each), Neuquén and Chubut provinces (2% each), and finally Catamarca, Chaco, Corrientes, Formosa, Jujuy, La Pampa, La Rioja, Misiones, Salta, San Juan, San Luis, Santa Cruz, Santiago del Estero, Tierra del Fuego </w:t>
      </w:r>
      <w:r w:rsidDel="00000000" w:rsidR="00000000" w:rsidRPr="00000000">
        <w:rPr>
          <w:rFonts w:ascii="Times New Roman" w:cs="Times New Roman" w:eastAsia="Times New Roman" w:hAnsi="Times New Roman"/>
          <w:color w:val="ff0000"/>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Tucumán provinces, (1% or less each). Descriptive data is presented in Table 1.</w:t>
      </w:r>
    </w:p>
    <w:p w:rsidR="00000000" w:rsidDel="00000000" w:rsidP="00000000" w:rsidRDefault="00000000" w:rsidRPr="00000000" w14:paraId="00000046">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1"/>
        <w:tblW w:w="88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1305"/>
        <w:gridCol w:w="2130"/>
        <w:gridCol w:w="1995"/>
        <w:tblGridChange w:id="0">
          <w:tblGrid>
            <w:gridCol w:w="3450"/>
            <w:gridCol w:w="1305"/>
            <w:gridCol w:w="2130"/>
            <w:gridCol w:w="1995"/>
          </w:tblGrid>
        </w:tblGridChange>
      </w:tblGrid>
      <w:tr>
        <w:trPr>
          <w:trHeight w:val="20" w:hRule="atLeast"/>
        </w:trPr>
        <w:tc>
          <w:tcPr>
            <w:gridSpan w:val="4"/>
            <w:tcBorders>
              <w:top w:color="000000" w:space="0" w:sz="0" w:val="nil"/>
              <w:left w:color="000000" w:space="0" w:sz="0" w:val="nil"/>
              <w:bottom w:color="000000" w:space="0" w:sz="0" w:val="nil"/>
              <w:right w:color="000000" w:space="0" w:sz="0" w:val="nil"/>
            </w:tcBorders>
            <w:tcMar>
              <w:top w:w="142.0" w:type="dxa"/>
              <w:left w:w="142.0" w:type="dxa"/>
              <w:bottom w:w="142.0" w:type="dxa"/>
              <w:right w:w="142.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w:t>
            </w:r>
          </w:p>
        </w:tc>
      </w:tr>
      <w:tr>
        <w:trPr>
          <w:trHeight w:val="20" w:hRule="atLeast"/>
        </w:trPr>
        <w:tc>
          <w:tcPr>
            <w:gridSpan w:val="4"/>
            <w:tcBorders>
              <w:top w:color="000000" w:space="0" w:sz="0" w:val="nil"/>
              <w:left w:color="000000" w:space="0" w:sz="0" w:val="nil"/>
              <w:bottom w:color="000000" w:space="0" w:sz="8" w:val="single"/>
              <w:right w:color="000000" w:space="0" w:sz="0" w:val="nil"/>
            </w:tcBorders>
            <w:tcMar>
              <w:top w:w="142.0" w:type="dxa"/>
              <w:left w:w="142.0" w:type="dxa"/>
              <w:bottom w:w="142.0" w:type="dxa"/>
              <w:right w:w="142.0" w:type="dxa"/>
            </w:tcMar>
          </w:tcPr>
          <w:p w:rsidR="00000000" w:rsidDel="00000000" w:rsidP="00000000" w:rsidRDefault="00000000" w:rsidRPr="00000000" w14:paraId="0000004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Descriptive data, general population, N=1446.</w:t>
            </w:r>
          </w:p>
        </w:tc>
      </w:tr>
      <w:tr>
        <w:trPr>
          <w:trHeight w:val="20" w:hRule="atLeast"/>
        </w:trPr>
        <w:tc>
          <w:tcPr>
            <w:tcBorders>
              <w:top w:color="000000" w:space="0" w:sz="8" w:val="single"/>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4F">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c>
          <w:tcPr>
            <w:tcBorders>
              <w:top w:color="000000" w:space="0" w:sz="8" w:val="single"/>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 (%)</w:t>
            </w:r>
          </w:p>
        </w:tc>
        <w:tc>
          <w:tcPr>
            <w:tcBorders>
              <w:top w:color="000000" w:space="0" w:sz="8" w:val="single"/>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 (DS)</w:t>
            </w:r>
          </w:p>
        </w:tc>
        <w:tc>
          <w:tcPr>
            <w:tcBorders>
              <w:top w:color="000000" w:space="0" w:sz="8" w:val="single"/>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IC95%</w:t>
            </w:r>
          </w:p>
        </w:tc>
      </w:tr>
      <w:tr>
        <w:trPr>
          <w:trHeight w:val="20" w:hRule="atLeast"/>
        </w:trPr>
        <w:tc>
          <w:tcPr>
            <w:tcBorders>
              <w:top w:color="000000" w:space="0" w:sz="8" w:val="single"/>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3">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Gender</w:t>
            </w:r>
          </w:p>
        </w:tc>
        <w:tc>
          <w:tcPr>
            <w:tcBorders>
              <w:top w:color="000000" w:space="0" w:sz="8" w:val="single"/>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7">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Female</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1107(77)</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74-79</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B">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325(22)</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5F">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Transgender/Non-binary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3">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36.01(13.46)</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35.34-36.75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7">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Changes in Income</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B">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Higher</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64(4)</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6F">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Equal</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729(50)</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48-53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3">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Lower</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634(44)</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41-46</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7">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Alcohol related purchases</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B">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Pre-stocking</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449(31)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28-33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7F">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250(17)</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15-19</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3">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store</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556(38)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36-41</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7">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Alcohol use and related problems before the pandemic</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B">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Quantity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2.53(2.71)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2.4-.2.68</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8F">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Frequency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3">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once a month</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263(18)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16-20</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7">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times a month</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550(38)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35-40</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B">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times a week</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447(31)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28-33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9F">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or more a week</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186(13)</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3">
            <w:pPr>
              <w:spacing w:after="0" w:line="360" w:lineRule="auto"/>
              <w:ind w:firstLine="14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Heavy Episodic Drinking</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4">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5">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6">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7">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9">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40-45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B">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monthly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D">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21-25</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AF">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Monthly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1">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12-16</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3">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5">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16-20</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7">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9">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B">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Alcohol related problems</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5.75(4.62)</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5.51-5.99</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BF">
            <w:pPr>
              <w:spacing w:after="0" w:line="36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Alcohol use and related problems after the pandemic</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3">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Quantity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2.10(2.28)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1.99-2.23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7">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Frequency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B">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99(7)</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CF">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once a month</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323(22)</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3">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times a month</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421(29)</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27-31</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7">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times a week</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340(23)</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21-26</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B">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or more a week</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263(18)</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D">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16-20</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DF">
            <w:pPr>
              <w:spacing w:after="0" w:line="360" w:lineRule="auto"/>
              <w:ind w:firstLine="14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Heavy Episodic Drinking</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0">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1">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2">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3">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893(61)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5">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59-64</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7">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monthly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240(17)</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9">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15-18</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B">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Monthly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107(7)</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D">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EF">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166(11)</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1">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10-13</w:t>
            </w:r>
          </w:p>
        </w:tc>
      </w:tr>
      <w:tr>
        <w:trPr>
          <w:trHeight w:val="20" w:hRule="atLeast"/>
        </w:trPr>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3">
            <w:pPr>
              <w:spacing w:after="0" w:line="360" w:lineRule="auto"/>
              <w:ind w:firstLine="3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45(3)</w:t>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5">
            <w:pPr>
              <w:spacing w:after="0" w:line="36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r>
      <w:tr>
        <w:trPr>
          <w:trHeight w:val="20" w:hRule="atLeast"/>
        </w:trPr>
        <w:tc>
          <w:tcPr>
            <w:tcBorders>
              <w:top w:color="000000" w:space="0" w:sz="0" w:val="nil"/>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7">
            <w:pPr>
              <w:spacing w:after="0" w:line="360" w:lineRule="auto"/>
              <w:ind w:firstLine="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Alcohol related problems</w:t>
            </w:r>
          </w:p>
        </w:tc>
        <w:tc>
          <w:tcPr>
            <w:tcBorders>
              <w:top w:color="000000" w:space="0" w:sz="0" w:val="nil"/>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8">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4.42(4.38)</w:t>
            </w:r>
          </w:p>
        </w:tc>
        <w:tc>
          <w:tcPr>
            <w:tcBorders>
              <w:top w:color="000000" w:space="0" w:sz="0" w:val="nil"/>
              <w:left w:color="000000" w:space="0" w:sz="0" w:val="nil"/>
              <w:bottom w:color="000000" w:space="0" w:sz="8" w:val="single"/>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4.19-4.65</w:t>
            </w:r>
          </w:p>
        </w:tc>
      </w:tr>
      <w:tr>
        <w:trPr>
          <w:trHeight w:val="20" w:hRule="atLeast"/>
        </w:trPr>
        <w:tc>
          <w:tcPr>
            <w:gridSpan w:val="4"/>
            <w:tcBorders>
              <w:top w:color="000000" w:space="0" w:sz="0" w:val="nil"/>
              <w:left w:color="000000" w:space="0" w:sz="0" w:val="nil"/>
              <w:bottom w:color="000000" w:space="0" w:sz="0" w:val="nil"/>
              <w:right w:color="000000" w:space="0" w:sz="0" w:val="nil"/>
            </w:tcBorders>
            <w:shd w:fill="auto" w:val="clear"/>
            <w:tcMar>
              <w:top w:w="142.0" w:type="dxa"/>
              <w:left w:w="142.0" w:type="dxa"/>
              <w:bottom w:w="142.0" w:type="dxa"/>
              <w:right w:w="142.0" w:type="dxa"/>
            </w:tcMar>
          </w:tcPr>
          <w:p w:rsidR="00000000" w:rsidDel="00000000" w:rsidP="00000000" w:rsidRDefault="00000000" w:rsidRPr="00000000" w14:paraId="000000F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Note. </w:t>
            </w:r>
            <w:r w:rsidDel="00000000" w:rsidR="00000000" w:rsidRPr="00000000">
              <w:rPr>
                <w:rFonts w:ascii="Times New Roman" w:cs="Times New Roman" w:eastAsia="Times New Roman" w:hAnsi="Times New Roman"/>
                <w:sz w:val="20"/>
                <w:szCs w:val="20"/>
                <w:rtl w:val="0"/>
              </w:rPr>
              <w:t xml:space="preserve">CI= Confidence Interval. </w:t>
            </w:r>
          </w:p>
        </w:tc>
      </w:tr>
    </w:tbl>
    <w:p w:rsidR="00000000" w:rsidDel="00000000" w:rsidP="00000000" w:rsidRDefault="00000000" w:rsidRPr="00000000" w14:paraId="000000F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Materials</w:t>
      </w:r>
      <w:r w:rsidDel="00000000" w:rsidR="00000000" w:rsidRPr="00000000">
        <w:rPr>
          <w:rtl w:val="0"/>
        </w:rPr>
      </w:r>
    </w:p>
    <w:p w:rsidR="00000000" w:rsidDel="00000000" w:rsidP="00000000" w:rsidRDefault="00000000" w:rsidRPr="00000000" w14:paraId="0000010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Alcohol use: </w:t>
      </w:r>
      <w:r w:rsidDel="00000000" w:rsidR="00000000" w:rsidRPr="00000000">
        <w:rPr>
          <w:rFonts w:ascii="Times New Roman" w:cs="Times New Roman" w:eastAsia="Times New Roman" w:hAnsi="Times New Roman"/>
          <w:i w:val="1"/>
          <w:color w:val="ff0000"/>
          <w:sz w:val="24"/>
          <w:szCs w:val="24"/>
          <w:rtl w:val="0"/>
        </w:rPr>
        <w:t xml:space="preserve">Quantity and Frequency of usual alcohol use and frequency of Heavy Episodic Drinking.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asked about the usual quantity of drinking in standard units (any beverage with about 12 </w:t>
      </w:r>
      <w:r w:rsidDel="00000000" w:rsidR="00000000" w:rsidRPr="00000000">
        <w:rPr>
          <w:rFonts w:ascii="Times New Roman" w:cs="Times New Roman" w:eastAsia="Times New Roman" w:hAnsi="Times New Roman"/>
          <w:color w:val="ff0000"/>
          <w:sz w:val="24"/>
          <w:szCs w:val="24"/>
          <w:rtl w:val="0"/>
        </w:rPr>
        <w:t xml:space="preserve">grams</w:t>
      </w:r>
      <w:r w:rsidDel="00000000" w:rsidR="00000000" w:rsidRPr="00000000">
        <w:rPr>
          <w:rFonts w:ascii="Times New Roman" w:cs="Times New Roman" w:eastAsia="Times New Roman" w:hAnsi="Times New Roman"/>
          <w:sz w:val="24"/>
          <w:szCs w:val="24"/>
          <w:rtl w:val="0"/>
        </w:rPr>
        <w:t xml:space="preserve"> of pure alcohol)</w:t>
      </w:r>
      <w:r w:rsidDel="00000000" w:rsidR="00000000" w:rsidRPr="00000000">
        <w:rPr>
          <w:rFonts w:ascii="Times New Roman" w:cs="Times New Roman" w:eastAsia="Times New Roman" w:hAnsi="Times New Roman"/>
          <w:color w:val="ff0000"/>
          <w:sz w:val="24"/>
          <w:szCs w:val="24"/>
          <w:rtl w:val="0"/>
        </w:rPr>
        <w:t xml:space="preserve">(Cremonte, Cherpitel, et al., 2010)</w:t>
      </w:r>
      <w:r w:rsidDel="00000000" w:rsidR="00000000" w:rsidRPr="00000000">
        <w:rPr>
          <w:rFonts w:ascii="Times New Roman" w:cs="Times New Roman" w:eastAsia="Times New Roman" w:hAnsi="Times New Roman"/>
          <w:sz w:val="24"/>
          <w:szCs w:val="24"/>
          <w:rtl w:val="0"/>
        </w:rPr>
        <w:t xml:space="preserve">. Frequency of drinking and heavy episodic drinking (HED) were assessed as in the Alcohol Use Disorder Identification Test (AUDIT) (Babor et al., 2001). This instrument was created by the World Health Organization and showed good psychometric performance in our country (Conde, et al., 2018; Cremonte, Ledesma, et al., 2010). The answer scale for the frequency of drinking was: never (0), less than once a month (1), 2-4 times a month (2), 2-3 times a week (3), 4 or more a week (4). For excessive episodic drinking, we asked the frequency in which the person had more than 5/4 drinks (male/female): never (0), less than monthly (1), monthly (2), weekly (3), daily or almost daily (4). </w:t>
      </w:r>
    </w:p>
    <w:p w:rsidR="00000000" w:rsidDel="00000000" w:rsidP="00000000" w:rsidRDefault="00000000" w:rsidRPr="00000000" w14:paraId="0000010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Alcohol related problems.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They were measured with the AUDIT items assessing alcohol related problems, sometimes referred to as the AUDIT-P (Johnson et al, 2020). Those 7 items evaluate alcohol related problems, with total scores between 0 and 28.</w:t>
      </w:r>
    </w:p>
    <w:p w:rsidR="00000000" w:rsidDel="00000000" w:rsidP="00000000" w:rsidRDefault="00000000" w:rsidRPr="00000000" w14:paraId="000001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Socio-demographic characteristics.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inquired about sex </w:t>
      </w:r>
      <w:r w:rsidDel="00000000" w:rsidR="00000000" w:rsidRPr="00000000">
        <w:rPr>
          <w:rFonts w:ascii="Times New Roman" w:cs="Times New Roman" w:eastAsia="Times New Roman" w:hAnsi="Times New Roman"/>
          <w:color w:val="ff0000"/>
          <w:sz w:val="24"/>
          <w:szCs w:val="24"/>
          <w:rtl w:val="0"/>
        </w:rPr>
        <w:t xml:space="preserve">(women/man)</w:t>
      </w:r>
      <w:r w:rsidDel="00000000" w:rsidR="00000000" w:rsidRPr="00000000">
        <w:rPr>
          <w:rFonts w:ascii="Times New Roman" w:cs="Times New Roman" w:eastAsia="Times New Roman" w:hAnsi="Times New Roman"/>
          <w:sz w:val="24"/>
          <w:szCs w:val="24"/>
          <w:rtl w:val="0"/>
        </w:rPr>
        <w:t xml:space="preserve">, gender (female/male/non-binary), age (in years), and changes in income during the lockdown (higher, equal, or lower).  </w:t>
      </w:r>
    </w:p>
    <w:p w:rsidR="00000000" w:rsidDel="00000000" w:rsidP="00000000" w:rsidRDefault="00000000" w:rsidRPr="00000000" w14:paraId="0000010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Alcohol related purchases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 asked if the participant had stocked up alcoholic beverages before the lockdown started (yes/no), had used online delivery systems to purchase alcoholic beverages during lockdown (yes/no), or if he/she had violated the measures to acquire alcoholic beverages (yes/no).</w:t>
      </w:r>
    </w:p>
    <w:p w:rsidR="00000000" w:rsidDel="00000000" w:rsidP="00000000" w:rsidRDefault="00000000" w:rsidRPr="00000000" w14:paraId="00000105">
      <w:pPr>
        <w:spacing w:after="0" w:line="36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6">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Procedure</w:t>
      </w:r>
    </w:p>
    <w:p w:rsidR="00000000" w:rsidDel="00000000" w:rsidP="00000000" w:rsidRDefault="00000000" w:rsidRPr="00000000" w14:paraId="00000107">
      <w:pPr>
        <w:spacing w:after="0" w:line="360" w:lineRule="auto"/>
        <w:ind w:firstLine="709"/>
        <w:rPr>
          <w:rFonts w:ascii="Arial" w:cs="Arial" w:eastAsia="Arial" w:hAnsi="Arial"/>
          <w:color w:val="202124"/>
          <w:sz w:val="42"/>
          <w:szCs w:val="42"/>
          <w:shd w:fill="f8f9fa" w:val="clear"/>
        </w:rPr>
      </w:pPr>
      <w:r w:rsidDel="00000000" w:rsidR="00000000" w:rsidRPr="00000000">
        <w:rPr>
          <w:rFonts w:ascii="Times New Roman" w:cs="Times New Roman" w:eastAsia="Times New Roman" w:hAnsi="Times New Roman"/>
          <w:color w:val="ff0000"/>
          <w:sz w:val="24"/>
          <w:szCs w:val="24"/>
          <w:rtl w:val="0"/>
        </w:rPr>
        <w:t xml:space="preserve">Data collection began on June 30th and was carried out until July 20th, 2020. In this cross-sectional study we measured alcohol use and related problems in two periods: the three months prior and after the first confirmed cases in Argentina, and subsequent lockdown. Specifically, participants were asked: “</w:t>
      </w:r>
      <w:r w:rsidDel="00000000" w:rsidR="00000000" w:rsidRPr="00000000">
        <w:rPr>
          <w:rFonts w:ascii="Times New Roman" w:cs="Times New Roman" w:eastAsia="Times New Roman" w:hAnsi="Times New Roman"/>
          <w:color w:val="ff0000"/>
          <w:sz w:val="24"/>
          <w:szCs w:val="24"/>
          <w:rtl w:val="0"/>
        </w:rPr>
        <w:t xml:space="preserve">Next, we are going to ask you about your consumption of alcoholic beverages during the 3 months prior to the beginning of isolation (between 20-12-2019 and 19-03-2020)”. The following instruction was: “Now, we are going to ask you about your consumption of alcoholic beverages since the beginning of the isolation (20-03-2020) until today or during the time you were isolated”. </w:t>
      </w:r>
      <w:r w:rsidDel="00000000" w:rsidR="00000000" w:rsidRPr="00000000">
        <w:rPr>
          <w:rtl w:val="0"/>
        </w:rPr>
      </w:r>
    </w:p>
    <w:p w:rsidR="00000000" w:rsidDel="00000000" w:rsidP="00000000" w:rsidRDefault="00000000" w:rsidRPr="00000000" w14:paraId="00000108">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was collected online using the LimeSurvey platform. A link to the questionnaire was sent through different social networks (Facebook, Instagram, and Twitter). Completing the survey took approximately 15 minutes. People 14 years of age and older were invited to participate. Before accessing the questionnaire, participants had to complete a captcha and provide informed consent. The voluntary, anonymous, confidential, and unrewarded status of participation was explained. Besides, contact information regarding the project team and services tending to alcohol use problems were provided. </w:t>
      </w:r>
    </w:p>
    <w:p w:rsidR="00000000" w:rsidDel="00000000" w:rsidP="00000000" w:rsidRDefault="00000000" w:rsidRPr="00000000" w14:paraId="00000109">
      <w:pP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Data Analysis</w:t>
      </w:r>
    </w:p>
    <w:p w:rsidR="00000000" w:rsidDel="00000000" w:rsidP="00000000" w:rsidRDefault="00000000" w:rsidRPr="00000000" w14:paraId="0000010B">
      <w:pPr>
        <w:spacing w:after="0" w:line="360" w:lineRule="auto"/>
        <w:ind w:firstLine="709"/>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We performed descriptive and group difference analyse</w:t>
      </w:r>
      <w:r w:rsidDel="00000000" w:rsidR="00000000" w:rsidRPr="00000000">
        <w:rPr>
          <w:rFonts w:ascii="Times New Roman" w:cs="Times New Roman" w:eastAsia="Times New Roman" w:hAnsi="Times New Roman"/>
          <w:color w:val="ff0000"/>
          <w:sz w:val="24"/>
          <w:szCs w:val="24"/>
          <w:rtl w:val="0"/>
        </w:rPr>
        <w:t xml:space="preserve">s with those who had had at least one drink in the past twelve months</w:t>
      </w:r>
      <w:r w:rsidDel="00000000" w:rsidR="00000000" w:rsidRPr="00000000">
        <w:rPr>
          <w:rFonts w:ascii="Times New Roman" w:cs="Times New Roman" w:eastAsia="Times New Roman" w:hAnsi="Times New Roman"/>
          <w:sz w:val="24"/>
          <w:szCs w:val="24"/>
          <w:rtl w:val="0"/>
        </w:rPr>
        <w:t xml:space="preserve">. As the normality </w:t>
      </w:r>
      <w:r w:rsidDel="00000000" w:rsidR="00000000" w:rsidRPr="00000000">
        <w:rPr>
          <w:rFonts w:ascii="Times New Roman" w:cs="Times New Roman" w:eastAsia="Times New Roman" w:hAnsi="Times New Roman"/>
          <w:color w:val="ff0000"/>
          <w:sz w:val="24"/>
          <w:szCs w:val="24"/>
          <w:rtl w:val="0"/>
        </w:rPr>
        <w:t xml:space="preserve">(estimated by Shapiro–Wilk test on residuals, p&gt;.05)</w:t>
      </w:r>
      <w:r w:rsidDel="00000000" w:rsidR="00000000" w:rsidRPr="00000000">
        <w:rPr>
          <w:rFonts w:ascii="Times New Roman" w:cs="Times New Roman" w:eastAsia="Times New Roman" w:hAnsi="Times New Roman"/>
          <w:sz w:val="24"/>
          <w:szCs w:val="24"/>
          <w:rtl w:val="0"/>
        </w:rPr>
        <w:t xml:space="preserve"> and homoscedasticity </w:t>
      </w:r>
      <w:r w:rsidDel="00000000" w:rsidR="00000000" w:rsidRPr="00000000">
        <w:rPr>
          <w:rFonts w:ascii="Times New Roman" w:cs="Times New Roman" w:eastAsia="Times New Roman" w:hAnsi="Times New Roman"/>
          <w:color w:val="ff0000"/>
          <w:sz w:val="24"/>
          <w:szCs w:val="24"/>
          <w:rtl w:val="0"/>
        </w:rPr>
        <w:t xml:space="preserve">(estimated by Bartlett's test, p&gt;.05) </w:t>
      </w:r>
      <w:r w:rsidDel="00000000" w:rsidR="00000000" w:rsidRPr="00000000">
        <w:rPr>
          <w:rFonts w:ascii="Times New Roman" w:cs="Times New Roman" w:eastAsia="Times New Roman" w:hAnsi="Times New Roman"/>
          <w:sz w:val="24"/>
          <w:szCs w:val="24"/>
          <w:rtl w:val="0"/>
        </w:rPr>
        <w:t xml:space="preserve">assumptions for ANOVA were violated, we used Kruskal-Wallis H to establish differences in consumption and related problems </w:t>
      </w:r>
      <w:r w:rsidDel="00000000" w:rsidR="00000000" w:rsidRPr="00000000">
        <w:rPr>
          <w:rFonts w:ascii="Times New Roman" w:cs="Times New Roman" w:eastAsia="Times New Roman" w:hAnsi="Times New Roman"/>
          <w:color w:val="ff0000"/>
          <w:sz w:val="24"/>
          <w:szCs w:val="24"/>
          <w:rtl w:val="0"/>
        </w:rPr>
        <w:t xml:space="preserve">in two time frames: 1) before and 2) during </w:t>
      </w:r>
      <w:r w:rsidDel="00000000" w:rsidR="00000000" w:rsidRPr="00000000">
        <w:rPr>
          <w:rFonts w:ascii="Times New Roman" w:cs="Times New Roman" w:eastAsia="Times New Roman" w:hAnsi="Times New Roman"/>
          <w:sz w:val="24"/>
          <w:szCs w:val="24"/>
          <w:rtl w:val="0"/>
        </w:rPr>
        <w:t xml:space="preserve">the COVID-19’s pandemic. Analyses </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omparing the before and during pandemic consumption</w:t>
      </w:r>
      <w:r w:rsidDel="00000000" w:rsidR="00000000" w:rsidRPr="00000000">
        <w:rPr>
          <w:rFonts w:ascii="Times New Roman" w:cs="Times New Roman" w:eastAsia="Times New Roman" w:hAnsi="Times New Roman"/>
          <w:sz w:val="24"/>
          <w:szCs w:val="24"/>
          <w:rtl w:val="0"/>
        </w:rPr>
        <w:t xml:space="preserve"> were replicated with the sample segmented by gender, age group, changes in income, and alcoholic beverages purchase behaviors (stocking before lockdown, use of an online delivery system to purchase, or violating lockdown to acquire). </w:t>
      </w:r>
      <w:r w:rsidDel="00000000" w:rsidR="00000000" w:rsidRPr="00000000">
        <w:rPr>
          <w:rFonts w:ascii="Times New Roman" w:cs="Times New Roman" w:eastAsia="Times New Roman" w:hAnsi="Times New Roman"/>
          <w:color w:val="ff0000"/>
          <w:sz w:val="24"/>
          <w:szCs w:val="24"/>
          <w:rtl w:val="0"/>
        </w:rPr>
        <w:t xml:space="preserve">Age groups were classified according to the country’s illegal age of purchase and consumption (under 18 years), age until alcohol sensitive brain regions develop (24 years), early adulthood (35-30 years), adulthood (31-60 years), and elderly (more than 60 years).</w:t>
      </w:r>
      <w:r w:rsidDel="00000000" w:rsidR="00000000" w:rsidRPr="00000000">
        <w:rPr>
          <w:rFonts w:ascii="Times New Roman" w:cs="Times New Roman" w:eastAsia="Times New Roman" w:hAnsi="Times New Roman"/>
          <w:sz w:val="24"/>
          <w:szCs w:val="24"/>
          <w:rtl w:val="0"/>
        </w:rPr>
        <w:t xml:space="preserve"> We estimated changes in percentages by calculating the percentage in which each participant reduced/increased her/his alcohol use or alcohol use problems. </w:t>
      </w:r>
      <w:r w:rsidDel="00000000" w:rsidR="00000000" w:rsidRPr="00000000">
        <w:rPr>
          <w:rFonts w:ascii="Times New Roman" w:cs="Times New Roman" w:eastAsia="Times New Roman" w:hAnsi="Times New Roman"/>
          <w:color w:val="ff0000"/>
          <w:sz w:val="24"/>
          <w:szCs w:val="24"/>
          <w:rtl w:val="0"/>
        </w:rPr>
        <w:t xml:space="preserve">For each participant, we subtracted the quantity, frequency, HED and alcohol related problems during the pandemic to the same characteristics before the pandemic.</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color w:val="ff0000"/>
          <w:sz w:val="24"/>
          <w:szCs w:val="24"/>
          <w:rtl w:val="0"/>
        </w:rPr>
        <w:t xml:space="preserve">hen, we estimated the percentage of such differences regarding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 quantity, frequency, HED and alcohol related problems before the pandemic.  Later, we performed d</w:t>
      </w:r>
      <w:r w:rsidDel="00000000" w:rsidR="00000000" w:rsidRPr="00000000">
        <w:rPr>
          <w:rFonts w:ascii="Times New Roman" w:cs="Times New Roman" w:eastAsia="Times New Roman" w:hAnsi="Times New Roman"/>
          <w:sz w:val="24"/>
          <w:szCs w:val="24"/>
          <w:rtl w:val="0"/>
        </w:rPr>
        <w:t xml:space="preserve">escriptive analysis (mean of percentage) by the groups. We used SPSS 19 version for the tests (IBM Corp., 2010). To estimate the effect size we calculated Cohen’s d with an online calculator (</w:t>
      </w:r>
      <w:hyperlink r:id="rId7">
        <w:r w:rsidDel="00000000" w:rsidR="00000000" w:rsidRPr="00000000">
          <w:rPr>
            <w:rFonts w:ascii="Times New Roman" w:cs="Times New Roman" w:eastAsia="Times New Roman" w:hAnsi="Times New Roman"/>
            <w:color w:val="0000ff"/>
            <w:sz w:val="24"/>
            <w:szCs w:val="24"/>
            <w:u w:val="single"/>
            <w:rtl w:val="0"/>
          </w:rPr>
          <w:t xml:space="preserve">www.psychometrica.de/effect_size.html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Traditionally, size effects are considered: small d=.20, medium d=.50, and large d=.80.</w:t>
      </w:r>
    </w:p>
    <w:p w:rsidR="00000000" w:rsidDel="00000000" w:rsidP="00000000" w:rsidRDefault="00000000" w:rsidRPr="00000000" w14:paraId="0000010C">
      <w:pPr>
        <w:spacing w:after="0" w:line="360" w:lineRule="auto"/>
        <w:ind w:firstLine="709"/>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D">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Ethical considerations</w:t>
      </w:r>
    </w:p>
    <w:p w:rsidR="00000000" w:rsidDel="00000000" w:rsidP="00000000" w:rsidRDefault="00000000" w:rsidRPr="00000000" w14:paraId="0000010E">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following the ethical standards required in Argentina, the Universal Declaration of Ethical Principles for Psychologists, the International Ethical Guidelines for Biomedical Research Involving Human Subjects, and the declarations of the Interamerican Society of Psychology regarding ethical behavior. The project was approved by the Ethics Committee of the Universidad Nacional de Mar del Plata, Argentina.</w:t>
      </w:r>
    </w:p>
    <w:p w:rsidR="00000000" w:rsidDel="00000000" w:rsidP="00000000" w:rsidRDefault="00000000" w:rsidRPr="00000000" w14:paraId="0000010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11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tabs>
          <w:tab w:val="left" w:pos="6629"/>
        </w:tabs>
        <w:spacing w:after="0" w:line="360"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Changes on alcohol consumption before and during the pandemic for total sample  </w:t>
      </w:r>
    </w:p>
    <w:p w:rsidR="00000000" w:rsidDel="00000000" w:rsidP="00000000" w:rsidRDefault="00000000" w:rsidRPr="00000000" w14:paraId="00000113">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total sample significant reductions were found in the four consumption dimensions (quantity, frequency, HED, and related problems) before and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 </w:t>
      </w:r>
      <w:r w:rsidDel="00000000" w:rsidR="00000000" w:rsidRPr="00000000">
        <w:rPr>
          <w:rFonts w:ascii="Times New Roman" w:cs="Times New Roman" w:eastAsia="Times New Roman" w:hAnsi="Times New Roman"/>
          <w:color w:val="ff0000"/>
          <w:sz w:val="24"/>
          <w:szCs w:val="24"/>
          <w:rtl w:val="0"/>
        </w:rPr>
        <w:t xml:space="preserve">We observed medium size effects</w:t>
      </w:r>
      <w:r w:rsidDel="00000000" w:rsidR="00000000" w:rsidRPr="00000000">
        <w:rPr>
          <w:rFonts w:ascii="Times New Roman" w:cs="Times New Roman" w:eastAsia="Times New Roman" w:hAnsi="Times New Roman"/>
          <w:color w:val="434343"/>
          <w:sz w:val="24"/>
          <w:szCs w:val="24"/>
          <w:rtl w:val="0"/>
        </w:rPr>
        <w:t xml:space="preserve"> in</w:t>
      </w:r>
      <w:r w:rsidDel="00000000" w:rsidR="00000000" w:rsidRPr="00000000">
        <w:rPr>
          <w:rFonts w:ascii="Times New Roman" w:cs="Times New Roman" w:eastAsia="Times New Roman" w:hAnsi="Times New Roman"/>
          <w:sz w:val="24"/>
          <w:szCs w:val="24"/>
          <w:rtl w:val="0"/>
        </w:rPr>
        <w:t xml:space="preserve"> quantity H(df)=50.30(1), p=.001, Cohen’s d=.26,</w:t>
      </w:r>
      <w:r w:rsidDel="00000000" w:rsidR="00000000" w:rsidRPr="00000000">
        <w:rPr>
          <w:rFonts w:ascii="Times New Roman" w:cs="Times New Roman" w:eastAsia="Times New Roman" w:hAnsi="Times New Roman"/>
          <w:color w:val="ff0000"/>
          <w:sz w:val="24"/>
          <w:szCs w:val="24"/>
          <w:rtl w:val="0"/>
        </w:rPr>
        <w:t xml:space="preserve"> and small in frequency</w:t>
      </w:r>
      <w:r w:rsidDel="00000000" w:rsidR="00000000" w:rsidRPr="00000000">
        <w:rPr>
          <w:rFonts w:ascii="Times New Roman" w:cs="Times New Roman" w:eastAsia="Times New Roman" w:hAnsi="Times New Roman"/>
          <w:sz w:val="24"/>
          <w:szCs w:val="24"/>
          <w:rtl w:val="0"/>
        </w:rPr>
        <w:t xml:space="preserve"> H(df)=8.43(1), p=.004, Cohen’s d=.10, HED H(df)=94.34(1), p=.001, Cohen’s d=.36. </w:t>
      </w:r>
      <w:r w:rsidDel="00000000" w:rsidR="00000000" w:rsidRPr="00000000">
        <w:rPr>
          <w:rFonts w:ascii="Times New Roman" w:cs="Times New Roman" w:eastAsia="Times New Roman" w:hAnsi="Times New Roman"/>
          <w:color w:val="ff0000"/>
          <w:sz w:val="24"/>
          <w:szCs w:val="24"/>
          <w:rtl w:val="0"/>
        </w:rPr>
        <w:t xml:space="preserve">A medium size effect </w:t>
      </w:r>
      <w:r w:rsidDel="00000000" w:rsidR="00000000" w:rsidRPr="00000000">
        <w:rPr>
          <w:rFonts w:ascii="Times New Roman" w:cs="Times New Roman" w:eastAsia="Times New Roman" w:hAnsi="Times New Roman"/>
          <w:sz w:val="24"/>
          <w:szCs w:val="24"/>
          <w:rtl w:val="0"/>
        </w:rPr>
        <w:t xml:space="preserve">was found in alcohol related problems H(df)=105.58(1), p=.001, Cohen’s d=.39. The mean reduction on each variable was: quantity 12%, frequency 6%, HED 30%, and alcohol related problems 49% (not shown in tables).</w:t>
      </w:r>
    </w:p>
    <w:p w:rsidR="00000000" w:rsidDel="00000000" w:rsidP="00000000" w:rsidRDefault="00000000" w:rsidRPr="00000000" w14:paraId="00000114">
      <w:pPr>
        <w:tabs>
          <w:tab w:val="left" w:pos="6629"/>
        </w:tabs>
        <w:spacing w:after="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shows the Kruskal-Wallis H test and Cohen’s d coefficients to assess changes in the four consumption dimensions (quantity, frequency, HED, and related problems) before and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 for each gender, age, changes in income, and purchasing behavior groups.</w:t>
      </w:r>
    </w:p>
    <w:p w:rsidR="00000000" w:rsidDel="00000000" w:rsidP="00000000" w:rsidRDefault="00000000" w:rsidRPr="00000000" w14:paraId="00000116">
      <w:pPr>
        <w:tabs>
          <w:tab w:val="left" w:pos="6629"/>
        </w:tabs>
        <w:spacing w:after="0" w:line="360"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17">
      <w:pPr>
        <w:tabs>
          <w:tab w:val="left" w:pos="6629"/>
        </w:tabs>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Changes on alcohol consumption before and during the pandemic considering gender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females, reductions were found, as follows: quantity (12%), frequency (5%), HED (29%), and alcohol related problems (44%),</w:t>
      </w:r>
      <w:r w:rsidDel="00000000" w:rsidR="00000000" w:rsidRPr="00000000">
        <w:rPr>
          <w:rFonts w:ascii="Times New Roman" w:cs="Times New Roman" w:eastAsia="Times New Roman" w:hAnsi="Times New Roman"/>
          <w:color w:val="ff0000"/>
          <w:sz w:val="24"/>
          <w:szCs w:val="24"/>
          <w:rtl w:val="0"/>
        </w:rPr>
        <w:t xml:space="preserve"> with mostly medium size effects</w:t>
      </w:r>
      <w:r w:rsidDel="00000000" w:rsidR="00000000" w:rsidRPr="00000000">
        <w:rPr>
          <w:rFonts w:ascii="Times New Roman" w:cs="Times New Roman" w:eastAsia="Times New Roman" w:hAnsi="Times New Roman"/>
          <w:sz w:val="24"/>
          <w:szCs w:val="24"/>
          <w:rtl w:val="0"/>
        </w:rPr>
        <w:t xml:space="preserve">. For males, statistically significant reductions were found in quantity (14%, </w:t>
      </w:r>
      <w:r w:rsidDel="00000000" w:rsidR="00000000" w:rsidRPr="00000000">
        <w:rPr>
          <w:rFonts w:ascii="Times New Roman" w:cs="Times New Roman" w:eastAsia="Times New Roman" w:hAnsi="Times New Roman"/>
          <w:color w:val="ff0000"/>
          <w:sz w:val="24"/>
          <w:szCs w:val="24"/>
          <w:rtl w:val="0"/>
        </w:rPr>
        <w:t xml:space="preserve">small size effect</w:t>
      </w:r>
      <w:r w:rsidDel="00000000" w:rsidR="00000000" w:rsidRPr="00000000">
        <w:rPr>
          <w:rFonts w:ascii="Times New Roman" w:cs="Times New Roman" w:eastAsia="Times New Roman" w:hAnsi="Times New Roman"/>
          <w:sz w:val="24"/>
          <w:szCs w:val="24"/>
          <w:rtl w:val="0"/>
        </w:rPr>
        <w:t xml:space="preserve">), HED (32%, </w:t>
      </w:r>
      <w:r w:rsidDel="00000000" w:rsidR="00000000" w:rsidRPr="00000000">
        <w:rPr>
          <w:rFonts w:ascii="Times New Roman" w:cs="Times New Roman" w:eastAsia="Times New Roman" w:hAnsi="Times New Roman"/>
          <w:color w:val="ff0000"/>
          <w:sz w:val="24"/>
          <w:szCs w:val="24"/>
          <w:rtl w:val="0"/>
        </w:rPr>
        <w:t xml:space="preserve">medium size effect</w:t>
      </w:r>
      <w:r w:rsidDel="00000000" w:rsidR="00000000" w:rsidRPr="00000000">
        <w:rPr>
          <w:rFonts w:ascii="Times New Roman" w:cs="Times New Roman" w:eastAsia="Times New Roman" w:hAnsi="Times New Roman"/>
          <w:sz w:val="24"/>
          <w:szCs w:val="24"/>
          <w:rtl w:val="0"/>
        </w:rPr>
        <w:t xml:space="preserve">), and alcohol related problems (64%,</w:t>
      </w:r>
      <w:r w:rsidDel="00000000" w:rsidR="00000000" w:rsidRPr="00000000">
        <w:rPr>
          <w:rFonts w:ascii="Times New Roman" w:cs="Times New Roman" w:eastAsia="Times New Roman" w:hAnsi="Times New Roman"/>
          <w:color w:val="ff0000"/>
          <w:sz w:val="24"/>
          <w:szCs w:val="24"/>
          <w:rtl w:val="0"/>
        </w:rPr>
        <w:t xml:space="preserve"> medium size effect)</w:t>
      </w:r>
      <w:r w:rsidDel="00000000" w:rsidR="00000000" w:rsidRPr="00000000">
        <w:rPr>
          <w:rFonts w:ascii="Times New Roman" w:cs="Times New Roman" w:eastAsia="Times New Roman" w:hAnsi="Times New Roman"/>
          <w:sz w:val="24"/>
          <w:szCs w:val="24"/>
          <w:rtl w:val="0"/>
        </w:rPr>
        <w:t xml:space="preserve">. Alcohol consumption and related problems did not differ before and </w:t>
      </w:r>
      <w:r w:rsidDel="00000000" w:rsidR="00000000" w:rsidRPr="00000000">
        <w:rPr>
          <w:rFonts w:ascii="Times New Roman" w:cs="Times New Roman" w:eastAsia="Times New Roman" w:hAnsi="Times New Roman"/>
          <w:color w:val="ff0000"/>
          <w:sz w:val="24"/>
          <w:szCs w:val="24"/>
          <w:rtl w:val="0"/>
        </w:rPr>
        <w:t xml:space="preserve">during </w:t>
      </w:r>
      <w:r w:rsidDel="00000000" w:rsidR="00000000" w:rsidRPr="00000000">
        <w:rPr>
          <w:rFonts w:ascii="Times New Roman" w:cs="Times New Roman" w:eastAsia="Times New Roman" w:hAnsi="Times New Roman"/>
          <w:sz w:val="24"/>
          <w:szCs w:val="24"/>
          <w:rtl w:val="0"/>
        </w:rPr>
        <w:t xml:space="preserve">the pandemic for transgender/non-binary participants. </w:t>
      </w:r>
    </w:p>
    <w:p w:rsidR="00000000" w:rsidDel="00000000" w:rsidP="00000000" w:rsidRDefault="00000000" w:rsidRPr="00000000" w14:paraId="00000119">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tl w:val="0"/>
        </w:rPr>
      </w:r>
    </w:p>
    <w:tbl>
      <w:tblPr>
        <w:tblStyle w:val="Table2"/>
        <w:tblW w:w="9408.999999999998"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3"/>
        <w:gridCol w:w="1276"/>
        <w:gridCol w:w="567"/>
        <w:gridCol w:w="1276"/>
        <w:gridCol w:w="567"/>
        <w:gridCol w:w="1347"/>
        <w:gridCol w:w="605"/>
        <w:gridCol w:w="1323"/>
        <w:gridCol w:w="605"/>
        <w:tblGridChange w:id="0">
          <w:tblGrid>
            <w:gridCol w:w="1843"/>
            <w:gridCol w:w="1276"/>
            <w:gridCol w:w="567"/>
            <w:gridCol w:w="1276"/>
            <w:gridCol w:w="567"/>
            <w:gridCol w:w="1347"/>
            <w:gridCol w:w="605"/>
            <w:gridCol w:w="1323"/>
            <w:gridCol w:w="605"/>
          </w:tblGrid>
        </w:tblGridChange>
      </w:tblGrid>
      <w:tr>
        <w:trPr>
          <w:trHeight w:val="750" w:hRule="atLeast"/>
        </w:trPr>
        <w:tc>
          <w:tcPr>
            <w:gridSpan w:val="9"/>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1A">
            <w:pPr>
              <w:widowControl w:val="0"/>
              <w:spacing w:after="0" w:line="360" w:lineRule="auto"/>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w:t>
            </w:r>
          </w:p>
          <w:p w:rsidR="00000000" w:rsidDel="00000000" w:rsidP="00000000" w:rsidRDefault="00000000" w:rsidRPr="00000000" w14:paraId="0000011B">
            <w:pPr>
              <w:widowControl w:val="0"/>
              <w:spacing w:after="0" w:line="360" w:lineRule="auto"/>
              <w:ind w:right="1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Differences in alcohol consumption and related problems before and after the COVID-19 pandemic among groups, general population, N=1446.</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Quantity</w:t>
            </w:r>
          </w:p>
        </w:tc>
        <w:tc>
          <w:tcPr>
            <w:gridSpan w:val="2"/>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Frequency</w:t>
            </w:r>
          </w:p>
        </w:tc>
        <w:tc>
          <w:tcPr>
            <w:gridSpan w:val="2"/>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Heavy Episodic Drinking</w:t>
            </w:r>
          </w:p>
        </w:tc>
        <w:tc>
          <w:tcPr>
            <w:gridSpan w:val="2"/>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Alcohol related problems</w:t>
            </w:r>
          </w:p>
        </w:tc>
      </w:tr>
      <w:tr>
        <w:trPr>
          <w:trHeight w:val="25" w:hRule="atLeast"/>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360" w:lineRule="auto"/>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i w:val="1"/>
                <w:sz w:val="20"/>
                <w:szCs w:val="20"/>
                <w:rtl w:val="0"/>
              </w:rPr>
              <w:t xml:space="preserve">df</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360" w:lineRule="auto"/>
              <w:ind w:right="10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i w:val="1"/>
                <w:sz w:val="20"/>
                <w:szCs w:val="20"/>
                <w:rtl w:val="0"/>
              </w:rPr>
              <w:t xml:space="preserve">df</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360" w:lineRule="auto"/>
              <w:ind w:right="10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i w:val="1"/>
                <w:sz w:val="20"/>
                <w:szCs w:val="20"/>
                <w:rtl w:val="0"/>
              </w:rPr>
              <w:t xml:space="preserve">df</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360" w:lineRule="auto"/>
              <w:ind w:right="10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i w:val="1"/>
                <w:sz w:val="20"/>
                <w:szCs w:val="20"/>
                <w:rtl w:val="0"/>
              </w:rPr>
              <w:t xml:space="preserve">df</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360" w:lineRule="auto"/>
              <w:ind w:right="10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w:t>
            </w:r>
          </w:p>
        </w:tc>
      </w:tr>
      <w:tr>
        <w:trPr>
          <w:trHeight w:val="51"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360" w:lineRule="auto"/>
              <w:ind w:right="10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r>
      <w:tr>
        <w:trPr>
          <w:trHeight w:val="171"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Female</w:t>
            </w:r>
            <w:r w:rsidDel="00000000" w:rsidR="00000000" w:rsidRPr="00000000">
              <w:rPr>
                <w:rFonts w:ascii="Times New Roman" w:cs="Times New Roman" w:eastAsia="Times New Roman" w:hAnsi="Times New Roman"/>
                <w:color w:val="ff0000"/>
                <w:sz w:val="20"/>
                <w:szCs w:val="20"/>
                <w:rtl w:val="0"/>
              </w:rPr>
              <w:t xml:space="preserve"> (n=1107)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70.46(1)**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r>
      <w:tr>
        <w:trPr>
          <w:trHeight w:val="30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Male </w:t>
            </w:r>
            <w:r w:rsidDel="00000000" w:rsidR="00000000" w:rsidRPr="00000000">
              <w:rPr>
                <w:rFonts w:ascii="Times New Roman" w:cs="Times New Roman" w:eastAsia="Times New Roman" w:hAnsi="Times New Roman"/>
                <w:color w:val="ff0000"/>
                <w:sz w:val="20"/>
                <w:szCs w:val="20"/>
                <w:rtl w:val="0"/>
              </w:rPr>
              <w:t xml:space="preserve">(n=325)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31.92(1)**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Transgender/Non-binary</w:t>
            </w:r>
            <w:r w:rsidDel="00000000" w:rsidR="00000000" w:rsidRPr="00000000">
              <w:rPr>
                <w:rFonts w:ascii="Times New Roman" w:cs="Times New Roman" w:eastAsia="Times New Roman" w:hAnsi="Times New Roman"/>
                <w:color w:val="ff0000"/>
                <w:sz w:val="20"/>
                <w:szCs w:val="20"/>
                <w:rtl w:val="0"/>
              </w:rPr>
              <w:t xml:space="preserve"> (n=14)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360" w:lineRule="auto"/>
              <w:ind w:right="10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Age in years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14-18 (n=89)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23.92(1)**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19-24 (n=215)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61.43(1)**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59.48(1)**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r>
      <w:tr>
        <w:trPr>
          <w:trHeight w:val="173"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25-30 (n=278)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30.18(1)**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14.65(1)**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31-60 (n=743)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r>
      <w:tr>
        <w:trPr>
          <w:trHeight w:val="3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61 or more (n=81)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360" w:lineRule="auto"/>
              <w:ind w:right="10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Changes in Income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r>
      <w:tr>
        <w:trPr>
          <w:trHeight w:val="117"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Higher (n=64)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Equal (n=729)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29.47(1)**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Lower (n=634)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30.41(1)**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r>
      <w:tr>
        <w:trPr>
          <w:trHeight w:val="108"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360" w:lineRule="auto"/>
              <w:ind w:right="10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Alcohol related purchases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tl w:val="0"/>
              </w:rPr>
            </w:r>
          </w:p>
        </w:tc>
      </w:tr>
      <w:tr>
        <w:trPr>
          <w:trHeight w:val="2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Pre-stocking YES (n=449)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r>
      <w:tr>
        <w:trPr>
          <w:trHeight w:val="211"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Pre-stocking NO</w:t>
            </w:r>
          </w:p>
          <w:p w:rsidR="00000000" w:rsidDel="00000000" w:rsidP="00000000" w:rsidRDefault="00000000" w:rsidRPr="00000000" w14:paraId="000001C7">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(n=997)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88.04(1)**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50.74(1)**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122.11(1)**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117.39(1)**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C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trHeight w:val="178"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Delivery YES (n=250)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r>
      <w:tr>
        <w:trPr>
          <w:trHeight w:val="118"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Delivery NO</w:t>
            </w:r>
          </w:p>
          <w:p w:rsidR="00000000" w:rsidDel="00000000" w:rsidP="00000000" w:rsidRDefault="00000000" w:rsidRPr="00000000" w14:paraId="000001DA">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(n=1196)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D">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16.96(1)**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E">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D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90.49(1)**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r>
      <w:tr>
        <w:trPr>
          <w:trHeight w:val="227"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In store YES</w:t>
            </w:r>
          </w:p>
          <w:p w:rsidR="00000000" w:rsidDel="00000000" w:rsidP="00000000" w:rsidRDefault="00000000" w:rsidRPr="00000000" w14:paraId="000001E4">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(n=556)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7">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8">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9">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23.44(1)**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A">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B">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C">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r>
      <w:tr>
        <w:trPr>
          <w:trHeight w:val="25" w:hRule="atLeast"/>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In store NO</w:t>
            </w:r>
          </w:p>
          <w:p w:rsidR="00000000" w:rsidDel="00000000" w:rsidP="00000000" w:rsidRDefault="00000000" w:rsidRPr="00000000" w14:paraId="000001EE">
            <w:pPr>
              <w:widowControl w:val="0"/>
              <w:spacing w:after="0" w:line="360" w:lineRule="auto"/>
              <w:ind w:right="10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(n=890)</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F">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59.90(1)**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1">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18.87(1)**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3">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86.22(1)**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4">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82.39(1)**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spacing w:after="0" w:line="360" w:lineRule="auto"/>
              <w:ind w:right="1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r>
      <w:tr>
        <w:trPr>
          <w:trHeight w:val="674" w:hRule="atLeast"/>
        </w:trPr>
        <w:tc>
          <w:tcPr>
            <w:gridSpan w:val="9"/>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0" w:line="360" w:lineRule="auto"/>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Note. </w:t>
            </w:r>
            <w:r w:rsidDel="00000000" w:rsidR="00000000" w:rsidRPr="00000000">
              <w:rPr>
                <w:rFonts w:ascii="Times New Roman" w:cs="Times New Roman" w:eastAsia="Times New Roman" w:hAnsi="Times New Roman"/>
                <w:sz w:val="20"/>
                <w:szCs w:val="20"/>
                <w:rtl w:val="0"/>
              </w:rPr>
              <w:t xml:space="preserve">H= Kruskal-Wallis H test</w:t>
            </w:r>
          </w:p>
          <w:p w:rsidR="00000000" w:rsidDel="00000000" w:rsidP="00000000" w:rsidRDefault="00000000" w:rsidRPr="00000000" w14:paraId="000001F8">
            <w:pPr>
              <w:widowControl w:val="0"/>
              <w:spacing w:after="0" w:line="360" w:lineRule="auto"/>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d</w:t>
            </w:r>
            <w:r w:rsidDel="00000000" w:rsidR="00000000" w:rsidRPr="00000000">
              <w:rPr>
                <w:rFonts w:ascii="Times New Roman" w:cs="Times New Roman" w:eastAsia="Times New Roman" w:hAnsi="Times New Roman"/>
                <w:sz w:val="20"/>
                <w:szCs w:val="20"/>
                <w:rtl w:val="0"/>
              </w:rPr>
              <w:t xml:space="preserve">= Cohen’s d. </w:t>
            </w:r>
          </w:p>
          <w:p w:rsidR="00000000" w:rsidDel="00000000" w:rsidP="00000000" w:rsidRDefault="00000000" w:rsidRPr="00000000" w14:paraId="000001F9">
            <w:pPr>
              <w:widowControl w:val="0"/>
              <w:spacing w:after="0" w:line="360" w:lineRule="auto"/>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p</w:t>
            </w:r>
            <w:r w:rsidDel="00000000" w:rsidR="00000000" w:rsidRPr="00000000">
              <w:rPr>
                <w:rFonts w:ascii="Times New Roman" w:cs="Times New Roman" w:eastAsia="Times New Roman" w:hAnsi="Times New Roman"/>
                <w:sz w:val="20"/>
                <w:szCs w:val="20"/>
                <w:rtl w:val="0"/>
              </w:rPr>
              <w:t xml:space="preserve">&lt;.05</w:t>
            </w:r>
          </w:p>
          <w:p w:rsidR="00000000" w:rsidDel="00000000" w:rsidP="00000000" w:rsidRDefault="00000000" w:rsidRPr="00000000" w14:paraId="000001FA">
            <w:pPr>
              <w:widowControl w:val="0"/>
              <w:spacing w:after="0" w:line="360" w:lineRule="auto"/>
              <w:ind w:right="10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p&lt;.01</w:t>
            </w:r>
          </w:p>
        </w:tc>
      </w:tr>
    </w:tbl>
    <w:p w:rsidR="00000000" w:rsidDel="00000000" w:rsidP="00000000" w:rsidRDefault="00000000" w:rsidRPr="00000000" w14:paraId="00000203">
      <w:pPr>
        <w:tabs>
          <w:tab w:val="left" w:pos="6629"/>
        </w:tabs>
        <w:spacing w:after="0" w:line="360"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204">
      <w:pPr>
        <w:tabs>
          <w:tab w:val="left" w:pos="6629"/>
        </w:tabs>
        <w:spacing w:after="0" w:line="360"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Changes on alcohol consumption during the pandemic considering age </w:t>
      </w:r>
    </w:p>
    <w:p w:rsidR="00000000" w:rsidDel="00000000" w:rsidP="00000000" w:rsidRDefault="00000000" w:rsidRPr="00000000" w14:paraId="00000205">
      <w:pPr>
        <w:tabs>
          <w:tab w:val="left" w:pos="6629"/>
        </w:tabs>
        <w:spacing w:after="0" w:line="360" w:lineRule="auto"/>
        <w:ind w:firstLine="709"/>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Alcohol consumption and related problems decreased markedly </w:t>
      </w:r>
      <w:r w:rsidDel="00000000" w:rsidR="00000000" w:rsidRPr="00000000">
        <w:rPr>
          <w:rFonts w:ascii="Times New Roman" w:cs="Times New Roman" w:eastAsia="Times New Roman" w:hAnsi="Times New Roman"/>
          <w:color w:val="ff0000"/>
          <w:sz w:val="24"/>
          <w:szCs w:val="24"/>
          <w:rtl w:val="0"/>
        </w:rPr>
        <w:t xml:space="preserve">during </w:t>
      </w:r>
      <w:r w:rsidDel="00000000" w:rsidR="00000000" w:rsidRPr="00000000">
        <w:rPr>
          <w:rFonts w:ascii="Times New Roman" w:cs="Times New Roman" w:eastAsia="Times New Roman" w:hAnsi="Times New Roman"/>
          <w:sz w:val="24"/>
          <w:szCs w:val="24"/>
          <w:rtl w:val="0"/>
        </w:rPr>
        <w:t xml:space="preserve">the pandemic/lockdown among those 30 or younger; </w:t>
      </w:r>
      <w:r w:rsidDel="00000000" w:rsidR="00000000" w:rsidRPr="00000000">
        <w:rPr>
          <w:rFonts w:ascii="Times New Roman" w:cs="Times New Roman" w:eastAsia="Times New Roman" w:hAnsi="Times New Roman"/>
          <w:color w:val="ff0000"/>
          <w:sz w:val="24"/>
          <w:szCs w:val="24"/>
          <w:rtl w:val="0"/>
        </w:rPr>
        <w:t xml:space="preserve">with very large size effects, </w:t>
      </w:r>
      <w:r w:rsidDel="00000000" w:rsidR="00000000" w:rsidRPr="00000000">
        <w:rPr>
          <w:rFonts w:ascii="Times New Roman" w:cs="Times New Roman" w:eastAsia="Times New Roman" w:hAnsi="Times New Roman"/>
          <w:sz w:val="24"/>
          <w:szCs w:val="24"/>
          <w:rtl w:val="0"/>
        </w:rPr>
        <w:t xml:space="preserve">quantity, frequency, HED, and related problems were 89%, 42%, 71%, and 143% lower in those aged 15-18 years. For those between 19-24 years the mean reduction was quantity 41%, frequency 18%, HED 67%, and alcohol related problems 122%; and for those between 25-30 years the mean reduction was quantity 10%, frequency 10%, HED 40% and alcohol related problems 38%. Participants between 31 and 60 years reported reductions only in HED (11%) and alcohol related problems (23%), </w:t>
      </w:r>
      <w:r w:rsidDel="00000000" w:rsidR="00000000" w:rsidRPr="00000000">
        <w:rPr>
          <w:rFonts w:ascii="Times New Roman" w:cs="Times New Roman" w:eastAsia="Times New Roman" w:hAnsi="Times New Roman"/>
          <w:color w:val="ff0000"/>
          <w:sz w:val="24"/>
          <w:szCs w:val="24"/>
          <w:rtl w:val="0"/>
        </w:rPr>
        <w:t xml:space="preserve">with small size effects.</w:t>
      </w:r>
    </w:p>
    <w:p w:rsidR="00000000" w:rsidDel="00000000" w:rsidP="00000000" w:rsidRDefault="00000000" w:rsidRPr="00000000" w14:paraId="00000206">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tabs>
          <w:tab w:val="left" w:pos="6629"/>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Changes on alcohol consumption during the pandemic considering changes in income </w:t>
      </w:r>
      <w:r w:rsidDel="00000000" w:rsidR="00000000" w:rsidRPr="00000000">
        <w:rPr>
          <w:rtl w:val="0"/>
        </w:rPr>
      </w:r>
    </w:p>
    <w:p w:rsidR="00000000" w:rsidDel="00000000" w:rsidP="00000000" w:rsidRDefault="00000000" w:rsidRPr="00000000" w14:paraId="00000208">
      <w:pPr>
        <w:tabs>
          <w:tab w:val="left" w:pos="6629"/>
        </w:tabs>
        <w:spacing w:after="0" w:line="360" w:lineRule="auto"/>
        <w:ind w:firstLine="709"/>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Participants whose income increased </w:t>
      </w:r>
      <w:r w:rsidDel="00000000" w:rsidR="00000000" w:rsidRPr="00000000">
        <w:rPr>
          <w:rFonts w:ascii="Times New Roman" w:cs="Times New Roman" w:eastAsia="Times New Roman" w:hAnsi="Times New Roman"/>
          <w:color w:val="ff0000"/>
          <w:sz w:val="24"/>
          <w:szCs w:val="24"/>
          <w:rtl w:val="0"/>
        </w:rPr>
        <w:t xml:space="preserve">during </w:t>
      </w:r>
      <w:r w:rsidDel="00000000" w:rsidR="00000000" w:rsidRPr="00000000">
        <w:rPr>
          <w:rFonts w:ascii="Times New Roman" w:cs="Times New Roman" w:eastAsia="Times New Roman" w:hAnsi="Times New Roman"/>
          <w:sz w:val="24"/>
          <w:szCs w:val="24"/>
          <w:rtl w:val="0"/>
        </w:rPr>
        <w:t xml:space="preserve">the pandemic/lockdown did not report changes in quantity and frequency of drinking, however, HED (34%) and alcohol related problems (80%) diminished; those participants whose income remained equal reported decreases in quantity (10%), HED (32%) and alcohol related problems (50%), while those whose income lowered diminished all alcohol use dimensions (quantity 12%, frequency 5%, HED 32%) and alcohol related problems (45%). </w:t>
      </w:r>
      <w:r w:rsidDel="00000000" w:rsidR="00000000" w:rsidRPr="00000000">
        <w:rPr>
          <w:rFonts w:ascii="Times New Roman" w:cs="Times New Roman" w:eastAsia="Times New Roman" w:hAnsi="Times New Roman"/>
          <w:color w:val="ff0000"/>
          <w:sz w:val="24"/>
          <w:szCs w:val="24"/>
          <w:rtl w:val="0"/>
        </w:rPr>
        <w:t xml:space="preserve">Size effects were mostly medium.</w:t>
      </w:r>
    </w:p>
    <w:p w:rsidR="00000000" w:rsidDel="00000000" w:rsidP="00000000" w:rsidRDefault="00000000" w:rsidRPr="00000000" w14:paraId="00000209">
      <w:pPr>
        <w:tabs>
          <w:tab w:val="left" w:pos="6629"/>
        </w:tabs>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tabs>
          <w:tab w:val="left" w:pos="6629"/>
        </w:tabs>
        <w:spacing w:after="0" w:line="360"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Changes during the pandemic considering purchasing behavior</w:t>
      </w:r>
    </w:p>
    <w:p w:rsidR="00000000" w:rsidDel="00000000" w:rsidP="00000000" w:rsidRDefault="00000000" w:rsidRPr="00000000" w14:paraId="0000020B">
      <w:pPr>
        <w:tabs>
          <w:tab w:val="left" w:pos="6629"/>
        </w:tabs>
        <w:spacing w:after="0" w:line="360" w:lineRule="auto"/>
        <w:ind w:firstLine="709"/>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Regarding alcohol related purchases, the frequency of alcohol consumption was higher (21%) </w:t>
      </w:r>
      <w:r w:rsidDel="00000000" w:rsidR="00000000" w:rsidRPr="00000000">
        <w:rPr>
          <w:rFonts w:ascii="Times New Roman" w:cs="Times New Roman" w:eastAsia="Times New Roman" w:hAnsi="Times New Roman"/>
          <w:color w:val="ff0000"/>
          <w:sz w:val="24"/>
          <w:szCs w:val="24"/>
          <w:rtl w:val="0"/>
        </w:rPr>
        <w:t xml:space="preserve">during</w:t>
      </w:r>
      <w:r w:rsidDel="00000000" w:rsidR="00000000" w:rsidRPr="00000000">
        <w:rPr>
          <w:rFonts w:ascii="Times New Roman" w:cs="Times New Roman" w:eastAsia="Times New Roman" w:hAnsi="Times New Roman"/>
          <w:sz w:val="24"/>
          <w:szCs w:val="24"/>
          <w:rtl w:val="0"/>
        </w:rPr>
        <w:t xml:space="preserve"> the pandemic/lockdown among those who stocked up alcoholic beverages, but alcohol related problems lowered (25%). Among those who used an online delivery system to purchase alcohol, HED (20%) and alcohol related problems (50%) decreased. While those who reported violating the lockdown to purchase alcohol reported an increase in quantity (1%), but a decrease in HED (24%) and alcohol related problems (51%). Diminished consumption was found among those who did not purchase alcoholic beverages either through stocking (quantity 26%, frequency 18%, HED 40%, and alcohol related problems 60%), or the use of an alcohol delivery system, (quantity 17%, frequency 9%, HED 32%, and alcohol related problems 49%) or violated the lockdown to purchase (quantity 19%, frequency 12%, HED 33%, and alcohol-related problems 47%). </w:t>
      </w:r>
      <w:r w:rsidDel="00000000" w:rsidR="00000000" w:rsidRPr="00000000">
        <w:rPr>
          <w:rFonts w:ascii="Times New Roman" w:cs="Times New Roman" w:eastAsia="Times New Roman" w:hAnsi="Times New Roman"/>
          <w:color w:val="ff0000"/>
          <w:sz w:val="24"/>
          <w:szCs w:val="24"/>
          <w:rtl w:val="0"/>
        </w:rPr>
        <w:t xml:space="preserve">Here again, size effects were mostly medium, with the exception of frequency of alcohol consumption in those who did not use delivery or bought in stores, where it was small. </w:t>
      </w:r>
    </w:p>
    <w:p w:rsidR="00000000" w:rsidDel="00000000" w:rsidP="00000000" w:rsidRDefault="00000000" w:rsidRPr="00000000" w14:paraId="0000020C">
      <w:pPr>
        <w:tabs>
          <w:tab w:val="left" w:pos="6629"/>
        </w:tabs>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tabs>
          <w:tab w:val="left" w:pos="6629"/>
        </w:tabs>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w:t>
      </w:r>
      <w:r w:rsidDel="00000000" w:rsidR="00000000" w:rsidRPr="00000000">
        <w:rPr>
          <w:rFonts w:ascii="Times New Roman" w:cs="Times New Roman" w:eastAsia="Times New Roman" w:hAnsi="Times New Roman"/>
          <w:b w:val="1"/>
          <w:sz w:val="24"/>
          <w:szCs w:val="24"/>
          <w:rtl w:val="0"/>
        </w:rPr>
        <w:t xml:space="preserve">sio</w:t>
      </w:r>
      <w:r w:rsidDel="00000000" w:rsidR="00000000" w:rsidRPr="00000000">
        <w:rPr>
          <w:rFonts w:ascii="Times New Roman" w:cs="Times New Roman" w:eastAsia="Times New Roman" w:hAnsi="Times New Roman"/>
          <w:b w:val="1"/>
          <w:color w:val="000000"/>
          <w:sz w:val="24"/>
          <w:szCs w:val="24"/>
          <w:rtl w:val="0"/>
        </w:rPr>
        <w:t xml:space="preserve">n</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reductions were found in the whole sample for the four consumption dimensions, usual quantity and frequency of drinking, HED, and alcohol related problems. Findings for the whole sample, and in general for most subgroups, indicate small to null decreases in frequency of consumption, followed by moderate diminutions in quantity of consumption, and moderate to large reductions for HED and alcohol related-problems. Although the international literature has shown HED behavior to be related to social gatherings and outings (both prohibited with the social isolation measures) (Piontek et al., 2013), this pandemic/lockdown is an excellent opportunity to bring into light new evidence about the effect of social environment on drinking behaviors and problems. Besides important reductions in HED we also observed important decreases in alcohol related problems. Such diminishing of the negative consequences of drinking could be attributed in the first place, to the quantity and frequency decreases (i.e. people drinking less, and less often). Secondly, there were large reductions in HED, which in turn is strongly related to a wide array of other risky behaviors, such as drinking and driving (Quinn, &amp; Fromme, 2012) or harmful consequences, like blackouts (Conde et al., 2016). Furthermore, some environmental factors that could expand drinkers' vulnerability, or result in cumulative risk exposures, were also modified during the pandemic/lockdown; for instance, lack or reductions in mobility could have contributed to reducing alcohol related crashes and injuries. </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indicate decreases in consumption among women were similar to those of the whole sample, unsurprisingly since a large proportion of our sample was female. Males reported a similar decrease in quantity than females, but no changes in frequency. However, males had greater reductions than females on HED and alcohol related problems. These results could be due to males’ consumption patterns before the pandemic/lockdown. Although the gender gap is diminishing among youth in Argentina (MSN, 2019), traditional gender differences are still observed, with males exhibiting a higher frequency of risky drinking, like HED, and harmful consequences (Erol &amp; Karpyak, 2015; Secretaría de Programación para la Prevención de la Drogadicción y la Lucha contra el Narcotráfico, 2012). Although we did not detect any differences for those transgender or non-binary participants, the proportion of the sample who reported those gender categories was small, and thus, the statistical power (i.e. 15) insufficient to detect changes in consumption before and after the pandemic/lockdown. </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we found outstanding reductions in consumption among those under 18 years old, and although not so high, also substantial reductions in all four alcohol consumption dimensions among emerging adults (19 to 24 years). Reductions diminished among older aged individuals. On one hand, older people might have maintained a Mediterranean pattern, typical for those groups in Argentina (Savic et al., 2016), while on the other, consumption among youth, characterized often by HED, may be more influenced by other social factors. Since in Argentina alcoholic beverages are mostly sold in supermarkets and food retails stores (Conde et al., n/d), considered essential business and thus open through the lockdown measures, our findings suggest that youth drinking is highly related to the social context. Previous studies indicate that it is in on-premises outlets mostly, where alcohol is sold to and consumed by adolescents and young adults (Conde et al., n/d). Even more, our findings suggest that restricting access to alcohol (either through on or off-premises points of sale) would be an effective measure to reduce consumption and related problems among adolescents and young adults. Although there is a compelling list of evidence coming from the northern hemisphere (Popova et al., 2009), evidence in this regard is still scarce in LAC (Conde et al., n/d), and findings presented here are a valuable contribution in that direction.</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results reveal that those who suffered a decrease in income due to the pandemic and/or lockdown acknowledged even higher reductions in all consumption measures and alcohol related problems. These findings are in agreement with the international evidence which indicates that limiting the physical availability of alcoholic beverages through rising prices (Monteiro, 2016; Xin Xu et al., 2011), and the national evidence which shows a price elasticity for alcoholic beverages of around 6% (Bardach et al., 2019). Taken together, these last results suggest that measures that restrict the physical availability of alcoholic beverages would be successful to limit consumption and its associated toll on death and disease among young persons. </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Results presented here also have policy implications beyond those strictly applied to alcoholic beverages (such as price increases and limiting the number of points of sale). Nations have taken different approaches to cope with the pandemic, and they could be roughly classified as either liberal, protecting economies and imposing few restrictions on social mobility and distancing (such as </w:t>
      </w:r>
      <w:r w:rsidDel="00000000" w:rsidR="00000000" w:rsidRPr="00000000">
        <w:rPr>
          <w:rFonts w:ascii="Times New Roman" w:cs="Times New Roman" w:eastAsia="Times New Roman" w:hAnsi="Times New Roman"/>
          <w:color w:val="ff0000"/>
          <w:sz w:val="24"/>
          <w:szCs w:val="24"/>
          <w:rtl w:val="0"/>
        </w:rPr>
        <w:t xml:space="preserve">Brazil</w:t>
      </w:r>
      <w:r w:rsidDel="00000000" w:rsidR="00000000" w:rsidRPr="00000000">
        <w:rPr>
          <w:rFonts w:ascii="Times New Roman" w:cs="Times New Roman" w:eastAsia="Times New Roman" w:hAnsi="Times New Roman"/>
          <w:sz w:val="24"/>
          <w:szCs w:val="24"/>
          <w:rtl w:val="0"/>
        </w:rPr>
        <w:t xml:space="preserve">) (The Lancet, 2020b), or prioritizing collective health and thus, putting restrictive lockdown measures on place (such as Argentina) (Gemelli, 2020). Since the pandemic is a global stressor itself and the economic crisis that follows is an additional one, many detractors of the more restrictive isolation measures have argued that the toll in mental health could cause an escalation of substance consumption and problems. However, as some have predicted (Rehm et al., 2020) our findings indicate the contrary. Despite the stressful events and the possible anxiety arising from social isolation itself, restricted access (either through the closing of on-premises business or through lowered income) resulted in a decrease of consumption and related problems, and social distancing greatly diminished drinking and its negative consequences. </w:t>
      </w:r>
    </w:p>
    <w:p w:rsidR="00000000" w:rsidDel="00000000" w:rsidP="00000000" w:rsidRDefault="00000000" w:rsidRPr="00000000" w14:paraId="00000214">
      <w:pPr>
        <w:tabs>
          <w:tab w:val="left" w:pos="6629"/>
        </w:tabs>
        <w:spacing w:after="0" w:line="360" w:lineRule="auto"/>
        <w:ind w:firstLine="709"/>
        <w:rPr>
          <w:rFonts w:ascii="Times New Roman" w:cs="Times New Roman" w:eastAsia="Times New Roman" w:hAnsi="Times New Roman"/>
          <w:color w:val="000000"/>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The present findings, must, however, be interpreted with caution and some limitations should be noted. First of all, we cannot preclude a self-selection bias due to the non-probabilistic nature of the sample. The larger proportion of women found in the sample might be a result of this bias, as women are more likely to answer online surveys (Conde &amp; Cremonte, 2015). Thus, generalizing these results merits careful attention. A second limitation pertains to self-reported data. Although usually employed in the alcohol field, and while the instruments and data collection procedures have been used successfully before (Conde &amp; Cremonte, 2015), some bias, such as recall bias could have affected the information obtained. Additionally, this was a cross-sectional study and a seasonal effect (i.e. consumption could have decreased due to seasonal fluctuations) could have affected the results. Last, the statistical power in same groups underrepresented in our sample (namely participants transgender/non-binary gender, or older than 61 years) was low, and thus, more research in these groups is needed.</w:t>
      </w:r>
      <w:r w:rsidDel="00000000" w:rsidR="00000000" w:rsidRPr="00000000">
        <w:rPr>
          <w:rFonts w:ascii="Times New Roman" w:cs="Times New Roman" w:eastAsia="Times New Roman" w:hAnsi="Times New Roman"/>
          <w:color w:val="000000"/>
          <w:sz w:val="24"/>
          <w:szCs w:val="24"/>
          <w:rtl w:val="0"/>
        </w:rPr>
        <w:t xml:space="preserve"> Future studies should expand the number of participants and their sociodemographic composition and evaluate changes while the pandemic progresses. Information from other sources, such as alcoholic beverages sales volume before and after the pandemic, could further complement self-reported data.</w:t>
      </w:r>
    </w:p>
    <w:p w:rsidR="00000000" w:rsidDel="00000000" w:rsidP="00000000" w:rsidRDefault="00000000" w:rsidRPr="00000000" w14:paraId="00000215">
      <w:pPr>
        <w:tabs>
          <w:tab w:val="left" w:pos="6629"/>
        </w:tabs>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Despite those limitations, this is, to the best of our knowledge, the first report of changes in alcohol consumption and related problems in a Latin American country, before and after the COVID-19 pandemic. As such, our findings shed light on the impact of the COVID-19 pandemic and the isolation measures put in place to deter it, on alcohol drinking and its consequences. They indicate clearly, and in agreement with other international evidence, that two alcohol policies, namely price increases, and physical restrictions could be effective to avoid youth drinking and related problems. </w:t>
      </w:r>
      <w:r w:rsidDel="00000000" w:rsidR="00000000" w:rsidRPr="00000000">
        <w:rPr>
          <w:rtl w:val="0"/>
        </w:rPr>
      </w:r>
    </w:p>
    <w:p w:rsidR="00000000" w:rsidDel="00000000" w:rsidP="00000000" w:rsidRDefault="00000000" w:rsidRPr="00000000" w14:paraId="00000216">
      <w:pPr>
        <w:tabs>
          <w:tab w:val="left" w:pos="6629"/>
        </w:tabs>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This study takes advantage of the current exceptional circumstances to bring forward information for decision making once the pandemic is concluded. Findings clarify the value of measures aimed at reducing youth acquisition of alcoholic beverages by modifying their physical and social contexts. They also emphasize the power of city level authorities to put in place and enforce policies that reduce youth exposure to alcohol consumption. Nighttime policies, control of sales to minors, reduction of sale outlets, promotion of environments and alcohol-free events should be prioritized for the protection of young people.  </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 of interest</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to declare</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Ahmed, M. Z., Ahmed, O., Aibao, Z., Hanbin, S., Siyu, L., &amp; Ahmad, A. (2020). Epidemic of COVID-19 in China and associated psychological problems.</w:t>
      </w:r>
      <w:r w:rsidDel="00000000" w:rsidR="00000000" w:rsidRPr="00000000">
        <w:rPr>
          <w:rFonts w:ascii="Times New Roman" w:cs="Times New Roman" w:eastAsia="Times New Roman" w:hAnsi="Times New Roman"/>
          <w:i w:val="1"/>
          <w:color w:val="000000"/>
          <w:sz w:val="24"/>
          <w:szCs w:val="24"/>
          <w:rtl w:val="0"/>
        </w:rPr>
        <w:t xml:space="preserve"> Asian Journal of Psychiatry, 51</w:t>
      </w:r>
      <w:r w:rsidDel="00000000" w:rsidR="00000000" w:rsidRPr="00000000">
        <w:rPr>
          <w:rFonts w:ascii="Times New Roman" w:cs="Times New Roman" w:eastAsia="Times New Roman" w:hAnsi="Times New Roman"/>
          <w:color w:val="000000"/>
          <w:sz w:val="24"/>
          <w:szCs w:val="24"/>
          <w:rtl w:val="0"/>
        </w:rPr>
        <w:t xml:space="preserve">, 102092.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https://doi.org/10.1016/j.ajp.2020.102092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Babor, T. F., Higgins-Biddle, J. C., Saunders, J. B., &amp; Monteiro, M. G. (2001). The Alcohol Use Disorders Identification Test.</w:t>
      </w:r>
      <w:r w:rsidDel="00000000" w:rsidR="00000000" w:rsidRPr="00000000">
        <w:rPr>
          <w:rFonts w:ascii="Times New Roman" w:cs="Times New Roman" w:eastAsia="Times New Roman" w:hAnsi="Times New Roman"/>
          <w:i w:val="1"/>
          <w:color w:val="000000"/>
          <w:sz w:val="24"/>
          <w:szCs w:val="24"/>
          <w:rtl w:val="0"/>
        </w:rPr>
        <w:t xml:space="preserve"> Guidelines for use in Primary Care. </w:t>
      </w:r>
      <w:r w:rsidDel="00000000" w:rsidR="00000000" w:rsidRPr="00000000">
        <w:rPr>
          <w:rFonts w:ascii="Times New Roman" w:cs="Times New Roman" w:eastAsia="Times New Roman" w:hAnsi="Times New Roman"/>
          <w:color w:val="000000"/>
          <w:sz w:val="24"/>
          <w:szCs w:val="24"/>
          <w:rtl w:val="0"/>
        </w:rPr>
        <w:t xml:space="preserve">Geneva: World Health Organization. Retrieved from: </w:t>
      </w:r>
      <w:hyperlink r:id="rId9">
        <w:r w:rsidDel="00000000" w:rsidR="00000000" w:rsidRPr="00000000">
          <w:rPr>
            <w:rFonts w:ascii="Times New Roman" w:cs="Times New Roman" w:eastAsia="Times New Roman" w:hAnsi="Times New Roman"/>
            <w:color w:val="0000ff"/>
            <w:sz w:val="24"/>
            <w:szCs w:val="24"/>
            <w:u w:val="single"/>
            <w:rtl w:val="0"/>
          </w:rPr>
          <w:t xml:space="preserve">https://www.paho.org/hq/dmdocuments/2009/AUDIT_spa.pdf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Bardach, A., Ciapponi, A., Pizarro, M. E., Ríos, B., Palacios, A., Espínola, N., ... &amp; Cremonte, M. (2019). </w:t>
      </w:r>
      <w:r w:rsidDel="00000000" w:rsidR="00000000" w:rsidRPr="00000000">
        <w:rPr>
          <w:rFonts w:ascii="Times New Roman" w:cs="Times New Roman" w:eastAsia="Times New Roman" w:hAnsi="Times New Roman"/>
          <w:sz w:val="24"/>
          <w:szCs w:val="24"/>
          <w:rtl w:val="0"/>
        </w:rPr>
        <w:t xml:space="preserve">Caracterización de aspectos económicos, jurídico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legales y epidemiológicos útiles para impulsar una agenda pública orientada a disminuir el consumo de alcohol en Argentina. </w:t>
      </w:r>
      <w:r w:rsidDel="00000000" w:rsidR="00000000" w:rsidRPr="00000000">
        <w:rPr>
          <w:rFonts w:ascii="Times New Roman" w:cs="Times New Roman" w:eastAsia="Times New Roman" w:hAnsi="Times New Roman"/>
          <w:i w:val="1"/>
          <w:color w:val="000000"/>
          <w:sz w:val="24"/>
          <w:szCs w:val="24"/>
          <w:rtl w:val="0"/>
        </w:rPr>
        <w:t xml:space="preserve">Revista Argentina de Salud Pública,</w:t>
      </w:r>
      <w:r w:rsidDel="00000000" w:rsidR="00000000" w:rsidRPr="00000000">
        <w:rPr>
          <w:rFonts w:ascii="Times New Roman" w:cs="Times New Roman" w:eastAsia="Times New Roman" w:hAnsi="Times New Roman"/>
          <w:color w:val="000000"/>
          <w:sz w:val="24"/>
          <w:szCs w:val="24"/>
          <w:rtl w:val="0"/>
        </w:rPr>
        <w:t xml:space="preserve"> 8-15. Retrieved from: </w:t>
      </w:r>
      <w:hyperlink r:id="rId10">
        <w:r w:rsidDel="00000000" w:rsidR="00000000" w:rsidRPr="00000000">
          <w:rPr>
            <w:rFonts w:ascii="Times New Roman" w:cs="Times New Roman" w:eastAsia="Times New Roman" w:hAnsi="Times New Roman"/>
            <w:color w:val="0000ff"/>
            <w:sz w:val="24"/>
            <w:szCs w:val="24"/>
            <w:u w:val="single"/>
            <w:rtl w:val="0"/>
          </w:rPr>
          <w:t xml:space="preserve">http://rasp.msal.gov.ar/rasp/articulos/volumen38/8-15.pdf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color w:val="ff0000"/>
          <w:sz w:val="24"/>
          <w:szCs w:val="24"/>
          <w:rtl w:val="0"/>
        </w:rPr>
        <w:t xml:space="preserve">Chodkiewicz, J., Talarowska, M., Miniszewska, J., Nawrocka, N., &amp; Bilinski, P. (2020). Alcohol Consumption Reported during the COVID-19 Pandemic: The Initial Stage. </w:t>
      </w:r>
      <w:r w:rsidDel="00000000" w:rsidR="00000000" w:rsidRPr="00000000">
        <w:rPr>
          <w:rFonts w:ascii="Times New Roman" w:cs="Times New Roman" w:eastAsia="Times New Roman" w:hAnsi="Times New Roman"/>
          <w:i w:val="1"/>
          <w:color w:val="ff0000"/>
          <w:sz w:val="24"/>
          <w:szCs w:val="24"/>
          <w:rtl w:val="0"/>
        </w:rPr>
        <w:t xml:space="preserve">International journal of environmental research and public health, 17</w:t>
      </w:r>
      <w:r w:rsidDel="00000000" w:rsidR="00000000" w:rsidRPr="00000000">
        <w:rPr>
          <w:rFonts w:ascii="Times New Roman" w:cs="Times New Roman" w:eastAsia="Times New Roman" w:hAnsi="Times New Roman"/>
          <w:color w:val="ff0000"/>
          <w:sz w:val="24"/>
          <w:szCs w:val="24"/>
          <w:rtl w:val="0"/>
        </w:rPr>
        <w:t xml:space="preserve">(13), 4677. </w:t>
      </w:r>
      <w:r w:rsidDel="00000000" w:rsidR="00000000" w:rsidRPr="00000000">
        <w:rPr>
          <w:rFonts w:ascii="Times New Roman" w:cs="Times New Roman" w:eastAsia="Times New Roman" w:hAnsi="Times New Roman"/>
          <w:color w:val="ff0000"/>
          <w:sz w:val="24"/>
          <w:szCs w:val="24"/>
          <w:u w:val="single"/>
          <w:rtl w:val="0"/>
        </w:rPr>
        <w:t xml:space="preserve">https://doi.org/10.3390/ijerph17134677</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Conde, K., Brandariz, R. A., &amp; Cremonte, M. (2016). Problemas por uso de alcohol en estudiantes secundarios y universitarios. </w:t>
      </w:r>
      <w:r w:rsidDel="00000000" w:rsidR="00000000" w:rsidRPr="00000000">
        <w:rPr>
          <w:rFonts w:ascii="Times New Roman" w:cs="Times New Roman" w:eastAsia="Times New Roman" w:hAnsi="Times New Roman"/>
          <w:i w:val="1"/>
          <w:color w:val="000000"/>
          <w:sz w:val="24"/>
          <w:szCs w:val="24"/>
          <w:rtl w:val="0"/>
        </w:rPr>
        <w:t xml:space="preserve">Revista Chilena De Neuro-Psiquiatría, 54</w:t>
      </w:r>
      <w:r w:rsidDel="00000000" w:rsidR="00000000" w:rsidRPr="00000000">
        <w:rPr>
          <w:rFonts w:ascii="Times New Roman" w:cs="Times New Roman" w:eastAsia="Times New Roman" w:hAnsi="Times New Roman"/>
          <w:color w:val="000000"/>
          <w:sz w:val="24"/>
          <w:szCs w:val="24"/>
          <w:rtl w:val="0"/>
        </w:rPr>
        <w:t xml:space="preserve">(2), 84-93. </w:t>
      </w:r>
      <w:hyperlink r:id="rId11">
        <w:r w:rsidDel="00000000" w:rsidR="00000000" w:rsidRPr="00000000">
          <w:rPr>
            <w:rFonts w:ascii="Times New Roman" w:cs="Times New Roman" w:eastAsia="Times New Roman" w:hAnsi="Times New Roman"/>
            <w:color w:val="0000ff"/>
            <w:sz w:val="24"/>
            <w:szCs w:val="24"/>
            <w:u w:val="single"/>
            <w:rtl w:val="0"/>
          </w:rPr>
          <w:t xml:space="preserve">http://dx.doi.org/10.4067/S0717-92272016000200002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Conde, K., &amp; Cremonte, M. (2015). Calidad de los datos de encuestas sobre consumo de alcohol en estudiantes universitarios Data Quality in Surveys on Alcohol Consumption among University Students.</w:t>
      </w:r>
      <w:r w:rsidDel="00000000" w:rsidR="00000000" w:rsidRPr="00000000">
        <w:rPr>
          <w:rFonts w:ascii="Times New Roman" w:cs="Times New Roman" w:eastAsia="Times New Roman" w:hAnsi="Times New Roman"/>
          <w:i w:val="1"/>
          <w:color w:val="000000"/>
          <w:sz w:val="24"/>
          <w:szCs w:val="24"/>
          <w:rtl w:val="0"/>
        </w:rPr>
        <w:t xml:space="preserve"> Cadernos de Saúde Pública, 31</w:t>
      </w:r>
      <w:r w:rsidDel="00000000" w:rsidR="00000000" w:rsidRPr="00000000">
        <w:rPr>
          <w:rFonts w:ascii="Times New Roman" w:cs="Times New Roman" w:eastAsia="Times New Roman" w:hAnsi="Times New Roman"/>
          <w:color w:val="000000"/>
          <w:sz w:val="24"/>
          <w:szCs w:val="24"/>
          <w:rtl w:val="0"/>
        </w:rPr>
        <w:t xml:space="preserve">(1), 39-47.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https://doi.org/10.1590/0102-311X00061114</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Conde, K., Nesoff, E. D., Peltzer, R. I., &amp; Cremonte, M. (n/d). Multilevel Model of Alcohol Outlet Density, Individual Characteristics and Alcohol-Related Injury in Argentinean Young Adults. </w:t>
      </w:r>
      <w:r w:rsidDel="00000000" w:rsidR="00000000" w:rsidRPr="00000000">
        <w:rPr>
          <w:rFonts w:ascii="Times New Roman" w:cs="Times New Roman" w:eastAsia="Times New Roman" w:hAnsi="Times New Roman"/>
          <w:i w:val="1"/>
          <w:color w:val="000000"/>
          <w:sz w:val="24"/>
          <w:szCs w:val="24"/>
          <w:rtl w:val="0"/>
        </w:rPr>
        <w:t xml:space="preserve">Canadian Journal of Addiction</w:t>
      </w:r>
      <w:r w:rsidDel="00000000" w:rsidR="00000000" w:rsidRPr="00000000">
        <w:rPr>
          <w:rFonts w:ascii="Times New Roman" w:cs="Times New Roman" w:eastAsia="Times New Roman" w:hAnsi="Times New Roman"/>
          <w:color w:val="000000"/>
          <w:sz w:val="24"/>
          <w:szCs w:val="24"/>
          <w:rtl w:val="0"/>
        </w:rPr>
        <w:t xml:space="preserve"> (Accepted 7/2020). </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Cremonte, M., Ledesma, R. D., Cherpitel, C. J., &amp; Borges, G. (2010). Psychometric properties of alcohol screening tests in the emergency department in Argentina, Mexico and the United States.</w:t>
      </w:r>
      <w:r w:rsidDel="00000000" w:rsidR="00000000" w:rsidRPr="00000000">
        <w:rPr>
          <w:rFonts w:ascii="Times New Roman" w:cs="Times New Roman" w:eastAsia="Times New Roman" w:hAnsi="Times New Roman"/>
          <w:i w:val="1"/>
          <w:color w:val="000000"/>
          <w:sz w:val="24"/>
          <w:szCs w:val="24"/>
          <w:rtl w:val="0"/>
        </w:rPr>
        <w:t xml:space="preserve"> Addictive Behaviors, 35</w:t>
      </w:r>
      <w:r w:rsidDel="00000000" w:rsidR="00000000" w:rsidRPr="00000000">
        <w:rPr>
          <w:rFonts w:ascii="Times New Roman" w:cs="Times New Roman" w:eastAsia="Times New Roman" w:hAnsi="Times New Roman"/>
          <w:color w:val="000000"/>
          <w:sz w:val="24"/>
          <w:szCs w:val="24"/>
          <w:rtl w:val="0"/>
        </w:rPr>
        <w:t xml:space="preserve">(9), 818-825.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https://doi.org/10.1016/j.addbeh.2010.03.021</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Cremonte, M., Cherpitel, C. J., Borges, G., Peltzer, R. I., &amp; Santángelo, P. R. (2010). Drinking patterns and DSM-IV alcohol use disorders' criteria in argentinean emergency department patients. J</w:t>
      </w:r>
      <w:r w:rsidDel="00000000" w:rsidR="00000000" w:rsidRPr="00000000">
        <w:rPr>
          <w:rFonts w:ascii="Times New Roman" w:cs="Times New Roman" w:eastAsia="Times New Roman" w:hAnsi="Times New Roman"/>
          <w:i w:val="1"/>
          <w:sz w:val="24"/>
          <w:szCs w:val="24"/>
          <w:rtl w:val="0"/>
        </w:rPr>
        <w:t xml:space="preserve">ournal of drug addiction, education, and eradication, 6</w:t>
      </w:r>
      <w:r w:rsidDel="00000000" w:rsidR="00000000" w:rsidRPr="00000000">
        <w:rPr>
          <w:rFonts w:ascii="Times New Roman" w:cs="Times New Roman" w:eastAsia="Times New Roman" w:hAnsi="Times New Roman"/>
          <w:sz w:val="24"/>
          <w:szCs w:val="24"/>
          <w:rtl w:val="0"/>
        </w:rPr>
        <w:t xml:space="preserve">(3), 209–220.</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color w:val="ff0000"/>
          <w:sz w:val="24"/>
          <w:szCs w:val="24"/>
          <w:rtl w:val="0"/>
        </w:rPr>
        <w:t xml:space="preserve">Dumas, T. M., Ellis, W., &amp; Litt, D. M. (2020). What Does Adolescent Substance Use Look Like During the COVID-19 Pandemic? Examining Changes in Frequency, Social Contexts, and Pandemic-Related Predictors. </w:t>
      </w:r>
      <w:r w:rsidDel="00000000" w:rsidR="00000000" w:rsidRPr="00000000">
        <w:rPr>
          <w:rFonts w:ascii="Times New Roman" w:cs="Times New Roman" w:eastAsia="Times New Roman" w:hAnsi="Times New Roman"/>
          <w:i w:val="1"/>
          <w:color w:val="ff0000"/>
          <w:sz w:val="24"/>
          <w:szCs w:val="24"/>
          <w:rtl w:val="0"/>
        </w:rPr>
        <w:t xml:space="preserve">The Journal of adolescent health: official publication of the Society for Adolescent Medicine, 67</w:t>
      </w:r>
      <w:r w:rsidDel="00000000" w:rsidR="00000000" w:rsidRPr="00000000">
        <w:rPr>
          <w:rFonts w:ascii="Times New Roman" w:cs="Times New Roman" w:eastAsia="Times New Roman" w:hAnsi="Times New Roman"/>
          <w:color w:val="ff0000"/>
          <w:sz w:val="24"/>
          <w:szCs w:val="24"/>
          <w:rtl w:val="0"/>
        </w:rPr>
        <w:t xml:space="preserve">(3), 354–361. </w:t>
      </w:r>
      <w:r w:rsidDel="00000000" w:rsidR="00000000" w:rsidRPr="00000000">
        <w:rPr>
          <w:rFonts w:ascii="Times New Roman" w:cs="Times New Roman" w:eastAsia="Times New Roman" w:hAnsi="Times New Roman"/>
          <w:color w:val="ff0000"/>
          <w:sz w:val="24"/>
          <w:szCs w:val="24"/>
          <w:u w:val="single"/>
          <w:rtl w:val="0"/>
        </w:rPr>
        <w:t xml:space="preserve">https://doi.org/10.1016/j.jadohealth.2020.06.018</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Dyer, O. (2020). Covid-19 hot spots appear across Latin America. </w:t>
      </w:r>
      <w:r w:rsidDel="00000000" w:rsidR="00000000" w:rsidRPr="00000000">
        <w:rPr>
          <w:rFonts w:ascii="Times New Roman" w:cs="Times New Roman" w:eastAsia="Times New Roman" w:hAnsi="Times New Roman"/>
          <w:i w:val="1"/>
          <w:color w:val="000000"/>
          <w:sz w:val="24"/>
          <w:szCs w:val="24"/>
          <w:rtl w:val="0"/>
        </w:rPr>
        <w:t xml:space="preserve">BMJ (Clinical resea</w:t>
      </w:r>
      <w:r w:rsidDel="00000000" w:rsidR="00000000" w:rsidRPr="00000000">
        <w:rPr>
          <w:rFonts w:ascii="Times New Roman" w:cs="Times New Roman" w:eastAsia="Times New Roman" w:hAnsi="Times New Roman"/>
          <w:i w:val="1"/>
          <w:sz w:val="24"/>
          <w:szCs w:val="24"/>
          <w:rtl w:val="0"/>
        </w:rPr>
        <w:t xml:space="preserve">rch ed.), 369, m2182.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https://doi.org/10.1136/bmj.m2182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Erol, A., &amp; Karpyak, V. M. (2015). Sex and gender-related differences in alcohol use and its consequences: Contemporary knowledge and future research considerations.</w:t>
      </w:r>
      <w:r w:rsidDel="00000000" w:rsidR="00000000" w:rsidRPr="00000000">
        <w:rPr>
          <w:rFonts w:ascii="Times New Roman" w:cs="Times New Roman" w:eastAsia="Times New Roman" w:hAnsi="Times New Roman"/>
          <w:i w:val="1"/>
          <w:color w:val="000000"/>
          <w:sz w:val="24"/>
          <w:szCs w:val="24"/>
          <w:rtl w:val="0"/>
        </w:rPr>
        <w:t xml:space="preserve"> Drug and Alcohol Dependence, 156</w:t>
      </w:r>
      <w:r w:rsidDel="00000000" w:rsidR="00000000" w:rsidRPr="00000000">
        <w:rPr>
          <w:rFonts w:ascii="Times New Roman" w:cs="Times New Roman" w:eastAsia="Times New Roman" w:hAnsi="Times New Roman"/>
          <w:color w:val="000000"/>
          <w:sz w:val="24"/>
          <w:szCs w:val="24"/>
          <w:rtl w:val="0"/>
        </w:rPr>
        <w:t xml:space="preserve">, 1-13.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https://doi.org/10.1016/j.drugalcdep.2015.08.023</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García-Álvarez, L., de la Fuente-Tomás, L., Sáiz, P. A., García-Portilla, M. P., &amp; Bobes, J. (2020). ¿Se observarán cambios en el consumo de alcohol y tabaco durante el confinamiento por COVID-19?</w:t>
      </w:r>
      <w:r w:rsidDel="00000000" w:rsidR="00000000" w:rsidRPr="00000000">
        <w:rPr>
          <w:rFonts w:ascii="Times New Roman" w:cs="Times New Roman" w:eastAsia="Times New Roman" w:hAnsi="Times New Roman"/>
          <w:i w:val="1"/>
          <w:color w:val="000000"/>
          <w:sz w:val="24"/>
          <w:szCs w:val="24"/>
          <w:rtl w:val="0"/>
        </w:rPr>
        <w:t xml:space="preserve"> Adicciones, 32</w:t>
      </w:r>
      <w:r w:rsidDel="00000000" w:rsidR="00000000" w:rsidRPr="00000000">
        <w:rPr>
          <w:rFonts w:ascii="Times New Roman" w:cs="Times New Roman" w:eastAsia="Times New Roman" w:hAnsi="Times New Roman"/>
          <w:color w:val="000000"/>
          <w:sz w:val="24"/>
          <w:szCs w:val="24"/>
          <w:rtl w:val="0"/>
        </w:rPr>
        <w:t xml:space="preserve">(2), 85-89.</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Gemelli, N. A. (2020). Management of COVID-19 outbreak in Argentina: The beginning.</w:t>
      </w:r>
      <w:r w:rsidDel="00000000" w:rsidR="00000000" w:rsidRPr="00000000">
        <w:rPr>
          <w:rFonts w:ascii="Times New Roman" w:cs="Times New Roman" w:eastAsia="Times New Roman" w:hAnsi="Times New Roman"/>
          <w:i w:val="1"/>
          <w:color w:val="000000"/>
          <w:sz w:val="24"/>
          <w:szCs w:val="24"/>
          <w:rtl w:val="0"/>
        </w:rPr>
        <w:t xml:space="preserve"> Disaster Medicine and Public Health Preparedness,</w:t>
      </w:r>
      <w:r w:rsidDel="00000000" w:rsidR="00000000" w:rsidRPr="00000000">
        <w:rPr>
          <w:rFonts w:ascii="Times New Roman" w:cs="Times New Roman" w:eastAsia="Times New Roman" w:hAnsi="Times New Roman"/>
          <w:color w:val="000000"/>
          <w:sz w:val="24"/>
          <w:szCs w:val="24"/>
          <w:rtl w:val="0"/>
        </w:rPr>
        <w:t xml:space="preserve"> 1-3. </w:t>
      </w:r>
      <w:hyperlink r:id="rId16">
        <w:r w:rsidDel="00000000" w:rsidR="00000000" w:rsidRPr="00000000">
          <w:rPr>
            <w:rFonts w:ascii="Times New Roman" w:cs="Times New Roman" w:eastAsia="Times New Roman" w:hAnsi="Times New Roman"/>
            <w:color w:val="0000ff"/>
            <w:sz w:val="24"/>
            <w:szCs w:val="24"/>
            <w:u w:val="single"/>
            <w:rtl w:val="0"/>
          </w:rPr>
          <w:t xml:space="preserve">https://doi.org/10.1017/dmp.2020.116</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IBM Corp. (2010). </w:t>
      </w:r>
      <w:r w:rsidDel="00000000" w:rsidR="00000000" w:rsidRPr="00000000">
        <w:rPr>
          <w:rFonts w:ascii="Times New Roman" w:cs="Times New Roman" w:eastAsia="Times New Roman" w:hAnsi="Times New Roman"/>
          <w:i w:val="1"/>
          <w:color w:val="000000"/>
          <w:sz w:val="24"/>
          <w:szCs w:val="24"/>
          <w:rtl w:val="0"/>
        </w:rPr>
        <w:t xml:space="preserve">IBM SPSS Statistics for Windows</w:t>
      </w:r>
      <w:r w:rsidDel="00000000" w:rsidR="00000000" w:rsidRPr="00000000">
        <w:rPr>
          <w:rFonts w:ascii="Times New Roman" w:cs="Times New Roman" w:eastAsia="Times New Roman" w:hAnsi="Times New Roman"/>
          <w:color w:val="000000"/>
          <w:sz w:val="24"/>
          <w:szCs w:val="24"/>
          <w:rtl w:val="0"/>
        </w:rPr>
        <w:t xml:space="preserve"> (Version 19.0). Armonk, NY: IBM Corp. </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Johnson, E. C., Sanchez-Roige, S., Acion, L., Adams, M. J., Bucholz, K. K., Chan, G., . . . Edenberg, H. J. (2020). Polygenic contributions to alcohol use and alcohol use disorders across population-based and clinically ascertained samples. </w:t>
      </w:r>
      <w:r w:rsidDel="00000000" w:rsidR="00000000" w:rsidRPr="00000000">
        <w:rPr>
          <w:rFonts w:ascii="Times New Roman" w:cs="Times New Roman" w:eastAsia="Times New Roman" w:hAnsi="Times New Roman"/>
          <w:i w:val="1"/>
          <w:color w:val="000000"/>
          <w:sz w:val="24"/>
          <w:szCs w:val="24"/>
          <w:rtl w:val="0"/>
        </w:rPr>
        <w:t xml:space="preserve">Psychological Medicine,</w:t>
      </w:r>
      <w:r w:rsidDel="00000000" w:rsidR="00000000" w:rsidRPr="00000000">
        <w:rPr>
          <w:rFonts w:ascii="Times New Roman" w:cs="Times New Roman" w:eastAsia="Times New Roman" w:hAnsi="Times New Roman"/>
          <w:color w:val="000000"/>
          <w:sz w:val="24"/>
          <w:szCs w:val="24"/>
          <w:rtl w:val="0"/>
        </w:rPr>
        <w:t xml:space="preserve"> 1–10. </w:t>
      </w:r>
      <w:hyperlink r:id="rId17">
        <w:r w:rsidDel="00000000" w:rsidR="00000000" w:rsidRPr="00000000">
          <w:rPr>
            <w:rFonts w:ascii="Times New Roman" w:cs="Times New Roman" w:eastAsia="Times New Roman" w:hAnsi="Times New Roman"/>
            <w:color w:val="0000ff"/>
            <w:sz w:val="24"/>
            <w:szCs w:val="24"/>
            <w:u w:val="single"/>
            <w:rtl w:val="0"/>
          </w:rPr>
          <w:t xml:space="preserve">https://doi.org/10.1017/S0033291719004045</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Ministerio de Salud de la Nación. (2019). </w:t>
      </w:r>
      <w:r w:rsidDel="00000000" w:rsidR="00000000" w:rsidRPr="00000000">
        <w:rPr>
          <w:rFonts w:ascii="Times New Roman" w:cs="Times New Roman" w:eastAsia="Times New Roman" w:hAnsi="Times New Roman"/>
          <w:i w:val="1"/>
          <w:color w:val="000000"/>
          <w:sz w:val="24"/>
          <w:szCs w:val="24"/>
          <w:rtl w:val="0"/>
        </w:rPr>
        <w:t xml:space="preserve">Diagnóstico de situación sobre el consumo de alcohol en Argentina y recomendaciones para la puesta en marcha de políticas sanitarias.</w:t>
      </w:r>
      <w:r w:rsidDel="00000000" w:rsidR="00000000" w:rsidRPr="00000000">
        <w:rPr>
          <w:rFonts w:ascii="Times New Roman" w:cs="Times New Roman" w:eastAsia="Times New Roman" w:hAnsi="Times New Roman"/>
          <w:color w:val="000000"/>
          <w:sz w:val="24"/>
          <w:szCs w:val="24"/>
          <w:rtl w:val="0"/>
        </w:rPr>
        <w:t xml:space="preserve"> Retrieved from: </w:t>
      </w:r>
      <w:hyperlink r:id="rId18">
        <w:r w:rsidDel="00000000" w:rsidR="00000000" w:rsidRPr="00000000">
          <w:rPr>
            <w:rFonts w:ascii="Times New Roman" w:cs="Times New Roman" w:eastAsia="Times New Roman" w:hAnsi="Times New Roman"/>
            <w:color w:val="0000ff"/>
            <w:sz w:val="24"/>
            <w:szCs w:val="24"/>
            <w:u w:val="single"/>
            <w:rtl w:val="0"/>
          </w:rPr>
          <w:t xml:space="preserve">http://www.msal.gob.ar/images/stories/bes/graficos/0000001747cnt-consumo_alcohol_argentina-11-2019.pdf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Ministerio de Salud de la Nación. (2020a). </w:t>
      </w:r>
      <w:r w:rsidDel="00000000" w:rsidR="00000000" w:rsidRPr="00000000">
        <w:rPr>
          <w:rFonts w:ascii="Times New Roman" w:cs="Times New Roman" w:eastAsia="Times New Roman" w:hAnsi="Times New Roman"/>
          <w:i w:val="1"/>
          <w:color w:val="000000"/>
          <w:sz w:val="24"/>
          <w:szCs w:val="24"/>
          <w:rtl w:val="0"/>
        </w:rPr>
        <w:t xml:space="preserve">Situación de COVID-19 en argentina.</w:t>
      </w:r>
      <w:r w:rsidDel="00000000" w:rsidR="00000000" w:rsidRPr="00000000">
        <w:rPr>
          <w:rFonts w:ascii="Times New Roman" w:cs="Times New Roman" w:eastAsia="Times New Roman" w:hAnsi="Times New Roman"/>
          <w:color w:val="000000"/>
          <w:sz w:val="24"/>
          <w:szCs w:val="24"/>
          <w:rtl w:val="0"/>
        </w:rPr>
        <w:t xml:space="preserve"> (Reporte diario No. 16). Argentina: Retrieved from </w:t>
      </w:r>
      <w:hyperlink r:id="rId19">
        <w:r w:rsidDel="00000000" w:rsidR="00000000" w:rsidRPr="00000000">
          <w:rPr>
            <w:rFonts w:ascii="Times New Roman" w:cs="Times New Roman" w:eastAsia="Times New Roman" w:hAnsi="Times New Roman"/>
            <w:color w:val="0000ff"/>
            <w:sz w:val="24"/>
            <w:szCs w:val="24"/>
            <w:u w:val="single"/>
            <w:rtl w:val="0"/>
          </w:rPr>
          <w:t xml:space="preserve">https://www.argentina.gob.ar/coronavirus/informes-diarios/reportes/marzo2020</w:t>
        </w:r>
      </w:hyperlink>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Ministerio de Salud de la Nación. (2020b). Nuevo coronavirus COVID-19:</w:t>
      </w:r>
      <w:r w:rsidDel="00000000" w:rsidR="00000000" w:rsidRPr="00000000">
        <w:rPr>
          <w:rFonts w:ascii="Times New Roman" w:cs="Times New Roman" w:eastAsia="Times New Roman" w:hAnsi="Times New Roman"/>
          <w:i w:val="1"/>
          <w:color w:val="000000"/>
          <w:sz w:val="24"/>
          <w:szCs w:val="24"/>
          <w:rtl w:val="0"/>
        </w:rPr>
        <w:t xml:space="preserve"> Fases de administración del aislamiento. </w:t>
      </w:r>
      <w:r w:rsidDel="00000000" w:rsidR="00000000" w:rsidRPr="00000000">
        <w:rPr>
          <w:rFonts w:ascii="Times New Roman" w:cs="Times New Roman" w:eastAsia="Times New Roman" w:hAnsi="Times New Roman"/>
          <w:color w:val="000000"/>
          <w:sz w:val="24"/>
          <w:szCs w:val="24"/>
          <w:rtl w:val="0"/>
        </w:rPr>
        <w:t xml:space="preserve">Argentina: Retrieved from </w:t>
      </w:r>
      <w:r w:rsidDel="00000000" w:rsidR="00000000" w:rsidRPr="00000000">
        <w:rPr>
          <w:rFonts w:ascii="Times New Roman" w:cs="Times New Roman" w:eastAsia="Times New Roman" w:hAnsi="Times New Roman"/>
          <w:i w:val="1"/>
          <w:color w:val="000000"/>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https://www.argentina.gob.ar/coronavirus/aislamiento/fases</w:t>
        </w:r>
      </w:hyperlink>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00"/>
          <w:sz w:val="24"/>
          <w:szCs w:val="24"/>
          <w:rtl w:val="0"/>
        </w:rPr>
        <w:t xml:space="preserve">Ministerio de Salud de la Nación. (2020c). </w:t>
      </w:r>
      <w:r w:rsidDel="00000000" w:rsidR="00000000" w:rsidRPr="00000000">
        <w:rPr>
          <w:rFonts w:ascii="Times New Roman" w:cs="Times New Roman" w:eastAsia="Times New Roman" w:hAnsi="Times New Roman"/>
          <w:i w:val="1"/>
          <w:color w:val="000000"/>
          <w:sz w:val="24"/>
          <w:szCs w:val="24"/>
          <w:rtl w:val="0"/>
        </w:rPr>
        <w:t xml:space="preserve">Situación de COVID-19 en argentina.</w:t>
      </w:r>
      <w:r w:rsidDel="00000000" w:rsidR="00000000" w:rsidRPr="00000000">
        <w:rPr>
          <w:rFonts w:ascii="Times New Roman" w:cs="Times New Roman" w:eastAsia="Times New Roman" w:hAnsi="Times New Roman"/>
          <w:color w:val="000000"/>
          <w:sz w:val="24"/>
          <w:szCs w:val="24"/>
          <w:rtl w:val="0"/>
        </w:rPr>
        <w:t xml:space="preserve"> (Reporte diario No. 260). Argentina: Retrieved from </w:t>
      </w:r>
      <w:hyperlink r:id="rId21">
        <w:r w:rsidDel="00000000" w:rsidR="00000000" w:rsidRPr="00000000">
          <w:rPr>
            <w:rFonts w:ascii="Times New Roman" w:cs="Times New Roman" w:eastAsia="Times New Roman" w:hAnsi="Times New Roman"/>
            <w:color w:val="0000ff"/>
            <w:sz w:val="24"/>
            <w:szCs w:val="24"/>
            <w:u w:val="single"/>
            <w:rtl w:val="0"/>
          </w:rPr>
          <w:t xml:space="preserve">https://www.argentina.gob.ar/coronavirus/informes-diarios/reportes/julio2020</w:t>
        </w:r>
      </w:hyperlink>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00"/>
          <w:sz w:val="24"/>
          <w:szCs w:val="24"/>
          <w:rtl w:val="0"/>
        </w:rPr>
        <w:t xml:space="preserve">Monteiro, M. G. (2016). Public policies to prevent alcohol-related harm. </w:t>
      </w:r>
      <w:r w:rsidDel="00000000" w:rsidR="00000000" w:rsidRPr="00000000">
        <w:rPr>
          <w:rFonts w:ascii="Times New Roman" w:cs="Times New Roman" w:eastAsia="Times New Roman" w:hAnsi="Times New Roman"/>
          <w:i w:val="1"/>
          <w:color w:val="000000"/>
          <w:sz w:val="24"/>
          <w:szCs w:val="24"/>
          <w:rtl w:val="0"/>
        </w:rPr>
        <w:t xml:space="preserve">Epidemiologia e</w:t>
      </w:r>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Serviços de Saúde,</w:t>
      </w:r>
      <w:r w:rsidDel="00000000" w:rsidR="00000000" w:rsidRPr="00000000">
        <w:rPr>
          <w:rFonts w:ascii="Times New Roman" w:cs="Times New Roman" w:eastAsia="Times New Roman" w:hAnsi="Times New Roman"/>
          <w:color w:val="000000"/>
          <w:sz w:val="24"/>
          <w:szCs w:val="24"/>
          <w:rtl w:val="0"/>
        </w:rPr>
        <w:t xml:space="preserve"> 25, 171-174. </w:t>
      </w:r>
      <w:hyperlink r:id="rId22">
        <w:r w:rsidDel="00000000" w:rsidR="00000000" w:rsidRPr="00000000">
          <w:rPr>
            <w:rFonts w:ascii="Times New Roman" w:cs="Times New Roman" w:eastAsia="Times New Roman" w:hAnsi="Times New Roman"/>
            <w:color w:val="0000ff"/>
            <w:sz w:val="24"/>
            <w:szCs w:val="24"/>
            <w:u w:val="single"/>
            <w:rtl w:val="0"/>
          </w:rPr>
          <w:t xml:space="preserve">https://doi.org/10.5123/S1679-49742016000100017</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Piontek, D., Kraus, L., &amp; Rist, F. (2013). Social contexts and the occurrence of episodic heavy drinking. </w:t>
      </w:r>
      <w:r w:rsidDel="00000000" w:rsidR="00000000" w:rsidRPr="00000000">
        <w:rPr>
          <w:rFonts w:ascii="Times New Roman" w:cs="Times New Roman" w:eastAsia="Times New Roman" w:hAnsi="Times New Roman"/>
          <w:i w:val="1"/>
          <w:color w:val="000000"/>
          <w:sz w:val="24"/>
          <w:szCs w:val="24"/>
          <w:rtl w:val="0"/>
        </w:rPr>
        <w:t xml:space="preserve">The International Journal of Alcohol and Drug Research, 2</w:t>
      </w:r>
      <w:r w:rsidDel="00000000" w:rsidR="00000000" w:rsidRPr="00000000">
        <w:rPr>
          <w:rFonts w:ascii="Times New Roman" w:cs="Times New Roman" w:eastAsia="Times New Roman" w:hAnsi="Times New Roman"/>
          <w:color w:val="000000"/>
          <w:sz w:val="24"/>
          <w:szCs w:val="24"/>
          <w:rtl w:val="0"/>
        </w:rPr>
        <w:t xml:space="preserve">(2), 45-52. </w:t>
      </w:r>
      <w:hyperlink r:id="rId23">
        <w:r w:rsidDel="00000000" w:rsidR="00000000" w:rsidRPr="00000000">
          <w:rPr>
            <w:rFonts w:ascii="Times New Roman" w:cs="Times New Roman" w:eastAsia="Times New Roman" w:hAnsi="Times New Roman"/>
            <w:color w:val="0000ff"/>
            <w:sz w:val="24"/>
            <w:szCs w:val="24"/>
            <w:u w:val="single"/>
            <w:rtl w:val="0"/>
          </w:rPr>
          <w:t xml:space="preserve">https://doi.org/10.7895/ijadr.v2i2.106</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Popova, S., Giesbrecht, N., Bekmuradov, D., &amp; Patra, J. (2009). Hours and days of sale and density of alcohol outlets: Impacts on alcohol consumption and damage: A systematic review.</w:t>
      </w:r>
      <w:r w:rsidDel="00000000" w:rsidR="00000000" w:rsidRPr="00000000">
        <w:rPr>
          <w:rFonts w:ascii="Times New Roman" w:cs="Times New Roman" w:eastAsia="Times New Roman" w:hAnsi="Times New Roman"/>
          <w:i w:val="1"/>
          <w:color w:val="000000"/>
          <w:sz w:val="24"/>
          <w:szCs w:val="24"/>
          <w:rtl w:val="0"/>
        </w:rPr>
        <w:t xml:space="preserve"> Alcohol &amp; Alcoholism, 44</w:t>
      </w:r>
      <w:r w:rsidDel="00000000" w:rsidR="00000000" w:rsidRPr="00000000">
        <w:rPr>
          <w:rFonts w:ascii="Times New Roman" w:cs="Times New Roman" w:eastAsia="Times New Roman" w:hAnsi="Times New Roman"/>
          <w:color w:val="000000"/>
          <w:sz w:val="24"/>
          <w:szCs w:val="24"/>
          <w:rtl w:val="0"/>
        </w:rPr>
        <w:t xml:space="preserve">(5), 500-516. </w:t>
      </w:r>
      <w:hyperlink r:id="rId24">
        <w:r w:rsidDel="00000000" w:rsidR="00000000" w:rsidRPr="00000000">
          <w:rPr>
            <w:rFonts w:ascii="Times New Roman" w:cs="Times New Roman" w:eastAsia="Times New Roman" w:hAnsi="Times New Roman"/>
            <w:color w:val="0000ff"/>
            <w:sz w:val="24"/>
            <w:szCs w:val="24"/>
            <w:u w:val="single"/>
            <w:rtl w:val="0"/>
          </w:rPr>
          <w:t xml:space="preserve">https://doi.org/10.1093/alcalc/agp054</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Quinn, P. D., &amp; Fromme, K. (2012). Event-level associations between objective and subjective alcohol intoxication and driving after drinking across the college years.</w:t>
      </w:r>
      <w:r w:rsidDel="00000000" w:rsidR="00000000" w:rsidRPr="00000000">
        <w:rPr>
          <w:rFonts w:ascii="Times New Roman" w:cs="Times New Roman" w:eastAsia="Times New Roman" w:hAnsi="Times New Roman"/>
          <w:i w:val="1"/>
          <w:color w:val="000000"/>
          <w:sz w:val="24"/>
          <w:szCs w:val="24"/>
          <w:rtl w:val="0"/>
        </w:rPr>
        <w:t xml:space="preserve"> Psychology of Addictive Behaviors, 26</w:t>
      </w:r>
      <w:r w:rsidDel="00000000" w:rsidR="00000000" w:rsidRPr="00000000">
        <w:rPr>
          <w:rFonts w:ascii="Times New Roman" w:cs="Times New Roman" w:eastAsia="Times New Roman" w:hAnsi="Times New Roman"/>
          <w:color w:val="000000"/>
          <w:sz w:val="24"/>
          <w:szCs w:val="24"/>
          <w:rtl w:val="0"/>
        </w:rPr>
        <w:t xml:space="preserve">(3), 384. </w:t>
      </w:r>
      <w:hyperlink r:id="rId25">
        <w:r w:rsidDel="00000000" w:rsidR="00000000" w:rsidRPr="00000000">
          <w:rPr>
            <w:rFonts w:ascii="Times New Roman" w:cs="Times New Roman" w:eastAsia="Times New Roman" w:hAnsi="Times New Roman"/>
            <w:color w:val="0000ff"/>
            <w:sz w:val="24"/>
            <w:szCs w:val="24"/>
            <w:u w:val="single"/>
            <w:rtl w:val="0"/>
          </w:rPr>
          <w:t xml:space="preserve">https://doi.org/10.1037/a0024275</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Rehm, J., Kilian, C., Ferreira‐Borges, C., Jernigan, D., Monteiro, M., Parry, C. D., . . . Manthey, J. (2020). Alcohol use in times of the COVID 19: Implications for monitoring and policy.</w:t>
      </w:r>
      <w:r w:rsidDel="00000000" w:rsidR="00000000" w:rsidRPr="00000000">
        <w:rPr>
          <w:rFonts w:ascii="Times New Roman" w:cs="Times New Roman" w:eastAsia="Times New Roman" w:hAnsi="Times New Roman"/>
          <w:i w:val="1"/>
          <w:color w:val="000000"/>
          <w:sz w:val="24"/>
          <w:szCs w:val="24"/>
          <w:rtl w:val="0"/>
        </w:rPr>
        <w:t xml:space="preserve"> Drug and Alcohol Review, 39</w:t>
      </w:r>
      <w:r w:rsidDel="00000000" w:rsidR="00000000" w:rsidRPr="00000000">
        <w:rPr>
          <w:rFonts w:ascii="Times New Roman" w:cs="Times New Roman" w:eastAsia="Times New Roman" w:hAnsi="Times New Roman"/>
          <w:color w:val="000000"/>
          <w:sz w:val="24"/>
          <w:szCs w:val="24"/>
          <w:rtl w:val="0"/>
        </w:rPr>
        <w:t xml:space="preserve">(4). </w:t>
      </w:r>
      <w:hyperlink r:id="rId26">
        <w:r w:rsidDel="00000000" w:rsidR="00000000" w:rsidRPr="00000000">
          <w:rPr>
            <w:rFonts w:ascii="Times New Roman" w:cs="Times New Roman" w:eastAsia="Times New Roman" w:hAnsi="Times New Roman"/>
            <w:color w:val="0000ff"/>
            <w:sz w:val="24"/>
            <w:szCs w:val="24"/>
            <w:u w:val="single"/>
            <w:rtl w:val="0"/>
          </w:rPr>
          <w:t xml:space="preserve">https://doi.org/10.1111/dar.13074</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Rodriguez, L. M., Litt, D. M., &amp; Stewart, S. H. (2020). Drinking to cope with the pandemic: The unique associations of COVID-19-related perceived threat and psychological distress to drinking behaviors in American men and women.</w:t>
      </w:r>
      <w:r w:rsidDel="00000000" w:rsidR="00000000" w:rsidRPr="00000000">
        <w:rPr>
          <w:rFonts w:ascii="Times New Roman" w:cs="Times New Roman" w:eastAsia="Times New Roman" w:hAnsi="Times New Roman"/>
          <w:i w:val="1"/>
          <w:color w:val="000000"/>
          <w:sz w:val="24"/>
          <w:szCs w:val="24"/>
          <w:rtl w:val="0"/>
        </w:rPr>
        <w:t xml:space="preserve"> Addictive Behaviors, 110</w:t>
      </w:r>
      <w:r w:rsidDel="00000000" w:rsidR="00000000" w:rsidRPr="00000000">
        <w:rPr>
          <w:rFonts w:ascii="Times New Roman" w:cs="Times New Roman" w:eastAsia="Times New Roman" w:hAnsi="Times New Roman"/>
          <w:color w:val="000000"/>
          <w:sz w:val="24"/>
          <w:szCs w:val="24"/>
          <w:rtl w:val="0"/>
        </w:rPr>
        <w:t xml:space="preserve">, 106532. </w:t>
      </w:r>
      <w:hyperlink r:id="rId27">
        <w:r w:rsidDel="00000000" w:rsidR="00000000" w:rsidRPr="00000000">
          <w:rPr>
            <w:rFonts w:ascii="Times New Roman" w:cs="Times New Roman" w:eastAsia="Times New Roman" w:hAnsi="Times New Roman"/>
            <w:color w:val="0000ff"/>
            <w:sz w:val="24"/>
            <w:szCs w:val="24"/>
            <w:u w:val="single"/>
            <w:rtl w:val="0"/>
          </w:rPr>
          <w:t xml:space="preserve">https://doi.org/10.1016/j.addbeh.2020.106532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Saengow, U., Assanangkornchai, S., &amp; Casswell, S. (2020). Alcohol: A probable risk factor of COVID-19 severity.</w:t>
      </w:r>
      <w:r w:rsidDel="00000000" w:rsidR="00000000" w:rsidRPr="00000000">
        <w:rPr>
          <w:rFonts w:ascii="Times New Roman" w:cs="Times New Roman" w:eastAsia="Times New Roman" w:hAnsi="Times New Roman"/>
          <w:i w:val="1"/>
          <w:color w:val="000000"/>
          <w:sz w:val="24"/>
          <w:szCs w:val="24"/>
          <w:rtl w:val="0"/>
        </w:rPr>
        <w:t xml:space="preserve"> Addiction (Abingdon, England), </w:t>
      </w:r>
      <w:r w:rsidDel="00000000" w:rsidR="00000000" w:rsidRPr="00000000">
        <w:rPr>
          <w:rFonts w:ascii="Times New Roman" w:cs="Times New Roman" w:eastAsia="Times New Roman" w:hAnsi="Times New Roman"/>
          <w:color w:val="000000"/>
          <w:sz w:val="24"/>
          <w:szCs w:val="24"/>
          <w:rtl w:val="0"/>
        </w:rPr>
        <w:t xml:space="preserve">10.1111/add.15194. Advance online publication.</w:t>
      </w:r>
      <w:r w:rsidDel="00000000" w:rsidR="00000000" w:rsidRPr="00000000">
        <w:rPr>
          <w:rFonts w:ascii="Times New Roman" w:cs="Times New Roman" w:eastAsia="Times New Roman" w:hAnsi="Times New Roman"/>
          <w:i w:val="1"/>
          <w:color w:val="000000"/>
          <w:sz w:val="24"/>
          <w:szCs w:val="24"/>
          <w:rtl w:val="0"/>
        </w:rPr>
        <w:t xml:space="preserve"> </w:t>
      </w:r>
      <w:hyperlink r:id="rId28">
        <w:r w:rsidDel="00000000" w:rsidR="00000000" w:rsidRPr="00000000">
          <w:rPr>
            <w:rFonts w:ascii="Times New Roman" w:cs="Times New Roman" w:eastAsia="Times New Roman" w:hAnsi="Times New Roman"/>
            <w:color w:val="0000ff"/>
            <w:sz w:val="24"/>
            <w:szCs w:val="24"/>
            <w:u w:val="single"/>
            <w:rtl w:val="0"/>
          </w:rPr>
          <w:t xml:space="preserve">https://doi.org/10.1111/add.15194</w:t>
        </w:r>
      </w:hyperlink>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Savic, M., Room, R., Mugavin, J., Pennay, A., &amp; Livingston, M. (2016). Defining “drinking culture”: A critical review of its meaning and connotation in social research on alcohol problems.</w:t>
      </w:r>
      <w:r w:rsidDel="00000000" w:rsidR="00000000" w:rsidRPr="00000000">
        <w:rPr>
          <w:rFonts w:ascii="Times New Roman" w:cs="Times New Roman" w:eastAsia="Times New Roman" w:hAnsi="Times New Roman"/>
          <w:i w:val="1"/>
          <w:color w:val="000000"/>
          <w:sz w:val="24"/>
          <w:szCs w:val="24"/>
          <w:rtl w:val="0"/>
        </w:rPr>
        <w:t xml:space="preserve"> Drugs: Education, Prevention and Policy, 23</w:t>
      </w:r>
      <w:r w:rsidDel="00000000" w:rsidR="00000000" w:rsidRPr="00000000">
        <w:rPr>
          <w:rFonts w:ascii="Times New Roman" w:cs="Times New Roman" w:eastAsia="Times New Roman" w:hAnsi="Times New Roman"/>
          <w:color w:val="000000"/>
          <w:sz w:val="24"/>
          <w:szCs w:val="24"/>
          <w:rtl w:val="0"/>
        </w:rPr>
        <w:t xml:space="preserve">(4), 270-282. </w:t>
      </w:r>
      <w:hyperlink r:id="rId29">
        <w:r w:rsidDel="00000000" w:rsidR="00000000" w:rsidRPr="00000000">
          <w:rPr>
            <w:rFonts w:ascii="Times New Roman" w:cs="Times New Roman" w:eastAsia="Times New Roman" w:hAnsi="Times New Roman"/>
            <w:color w:val="0000ff"/>
            <w:sz w:val="24"/>
            <w:szCs w:val="24"/>
            <w:u w:val="single"/>
            <w:rtl w:val="0"/>
          </w:rPr>
          <w:t xml:space="preserve">https://doi.org/10.3109/09687637.2016.1153602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Secretaría de Programación para la Prevención de la Drogadicción y la Lucha contra el Narcotráfico (2012). </w:t>
      </w:r>
      <w:r w:rsidDel="00000000" w:rsidR="00000000" w:rsidRPr="00000000">
        <w:rPr>
          <w:rFonts w:ascii="Times New Roman" w:cs="Times New Roman" w:eastAsia="Times New Roman" w:hAnsi="Times New Roman"/>
          <w:i w:val="1"/>
          <w:color w:val="000000"/>
          <w:sz w:val="24"/>
          <w:szCs w:val="24"/>
          <w:rtl w:val="0"/>
        </w:rPr>
        <w:t xml:space="preserve">La situación epidemiológica en Argentina al 2012.</w:t>
      </w:r>
      <w:r w:rsidDel="00000000" w:rsidR="00000000" w:rsidRPr="00000000">
        <w:rPr>
          <w:rFonts w:ascii="Times New Roman" w:cs="Times New Roman" w:eastAsia="Times New Roman" w:hAnsi="Times New Roman"/>
          <w:color w:val="000000"/>
          <w:sz w:val="24"/>
          <w:szCs w:val="24"/>
          <w:rtl w:val="0"/>
        </w:rPr>
        <w:t xml:space="preserve"> Retrieved from: </w:t>
      </w:r>
      <w:hyperlink r:id="rId30">
        <w:r w:rsidDel="00000000" w:rsidR="00000000" w:rsidRPr="00000000">
          <w:rPr>
            <w:rFonts w:ascii="Times New Roman" w:cs="Times New Roman" w:eastAsia="Times New Roman" w:hAnsi="Times New Roman"/>
            <w:color w:val="0000ff"/>
            <w:sz w:val="24"/>
            <w:szCs w:val="24"/>
            <w:u w:val="single"/>
            <w:rtl w:val="0"/>
          </w:rPr>
          <w:t xml:space="preserve">http://observatorio.gob.ar/media/k2/attachments/poblacionZgeneral.pdf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Schuckit, M. A. (2009). Alcohol-use disorders. </w:t>
      </w:r>
      <w:r w:rsidDel="00000000" w:rsidR="00000000" w:rsidRPr="00000000">
        <w:rPr>
          <w:rFonts w:ascii="Times New Roman" w:cs="Times New Roman" w:eastAsia="Times New Roman" w:hAnsi="Times New Roman"/>
          <w:i w:val="1"/>
          <w:color w:val="ff0000"/>
          <w:sz w:val="24"/>
          <w:szCs w:val="24"/>
          <w:rtl w:val="0"/>
        </w:rPr>
        <w:t xml:space="preserve">The Lancet, 373</w:t>
      </w:r>
      <w:r w:rsidDel="00000000" w:rsidR="00000000" w:rsidRPr="00000000">
        <w:rPr>
          <w:rFonts w:ascii="Times New Roman" w:cs="Times New Roman" w:eastAsia="Times New Roman" w:hAnsi="Times New Roman"/>
          <w:color w:val="ff0000"/>
          <w:sz w:val="24"/>
          <w:szCs w:val="24"/>
          <w:rtl w:val="0"/>
        </w:rPr>
        <w:t xml:space="preserve">(9662), 492-501. </w:t>
      </w:r>
      <w:hyperlink r:id="rId31">
        <w:r w:rsidDel="00000000" w:rsidR="00000000" w:rsidRPr="00000000">
          <w:rPr>
            <w:rFonts w:ascii="Times New Roman" w:cs="Times New Roman" w:eastAsia="Times New Roman" w:hAnsi="Times New Roman"/>
            <w:color w:val="ff0000"/>
            <w:sz w:val="24"/>
            <w:szCs w:val="24"/>
            <w:u w:val="single"/>
            <w:rtl w:val="0"/>
          </w:rPr>
          <w:t xml:space="preserve">https://doi.org/10.1016/S0140-6736(09)60009-X</w:t>
        </w:r>
      </w:hyperlink>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3C">
      <w:pPr>
        <w:spacing w:after="0" w:line="360" w:lineRule="auto"/>
        <w:ind w:left="447.8740157480315" w:hanging="447.8740157480315"/>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Stanton, R., To, Q. G., Khalesi, S., Williams, S. L., Alley, S. J., Thwaite, T. L., Fenning, A. S., &amp; Vandelanotte, C. (2020). Depression, Anxiety and Stress during COVID-19: Associations with Changes in Physical Activity, Sleep, Tobacco and Alcohol Use in Australian Adults. </w:t>
      </w:r>
      <w:r w:rsidDel="00000000" w:rsidR="00000000" w:rsidRPr="00000000">
        <w:rPr>
          <w:rFonts w:ascii="Times New Roman" w:cs="Times New Roman" w:eastAsia="Times New Roman" w:hAnsi="Times New Roman"/>
          <w:i w:val="1"/>
          <w:color w:val="ff0000"/>
          <w:sz w:val="24"/>
          <w:szCs w:val="24"/>
          <w:rtl w:val="0"/>
        </w:rPr>
        <w:t xml:space="preserve">International journal of environmental research and public health, 17</w:t>
      </w:r>
      <w:r w:rsidDel="00000000" w:rsidR="00000000" w:rsidRPr="00000000">
        <w:rPr>
          <w:rFonts w:ascii="Times New Roman" w:cs="Times New Roman" w:eastAsia="Times New Roman" w:hAnsi="Times New Roman"/>
          <w:color w:val="ff0000"/>
          <w:sz w:val="24"/>
          <w:szCs w:val="24"/>
          <w:rtl w:val="0"/>
        </w:rPr>
        <w:t xml:space="preserve">(11), 4065. </w:t>
      </w:r>
      <w:hyperlink r:id="rId32">
        <w:r w:rsidDel="00000000" w:rsidR="00000000" w:rsidRPr="00000000">
          <w:rPr>
            <w:rFonts w:ascii="Times New Roman" w:cs="Times New Roman" w:eastAsia="Times New Roman" w:hAnsi="Times New Roman"/>
            <w:color w:val="ff0000"/>
            <w:sz w:val="24"/>
            <w:szCs w:val="24"/>
            <w:u w:val="single"/>
            <w:rtl w:val="0"/>
          </w:rPr>
          <w:t xml:space="preserve">https://doi.org/10.3390/ijerph17114065</w:t>
        </w:r>
      </w:hyperlink>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Szabo, G., &amp; Saha, B. (2015). Alcohol’s effect on host defense. </w:t>
      </w:r>
      <w:r w:rsidDel="00000000" w:rsidR="00000000" w:rsidRPr="00000000">
        <w:rPr>
          <w:rFonts w:ascii="Times New Roman" w:cs="Times New Roman" w:eastAsia="Times New Roman" w:hAnsi="Times New Roman"/>
          <w:i w:val="1"/>
          <w:color w:val="000000"/>
          <w:sz w:val="24"/>
          <w:szCs w:val="24"/>
          <w:rtl w:val="0"/>
        </w:rPr>
        <w:t xml:space="preserve">Alcohol research: current reviews, 37</w:t>
      </w:r>
      <w:r w:rsidDel="00000000" w:rsidR="00000000" w:rsidRPr="00000000">
        <w:rPr>
          <w:rFonts w:ascii="Times New Roman" w:cs="Times New Roman" w:eastAsia="Times New Roman" w:hAnsi="Times New Roman"/>
          <w:color w:val="000000"/>
          <w:sz w:val="24"/>
          <w:szCs w:val="24"/>
          <w:rtl w:val="0"/>
        </w:rPr>
        <w:t xml:space="preserve">(2), 159. Retrieved from: </w:t>
      </w:r>
      <w:hyperlink r:id="rId33">
        <w:r w:rsidDel="00000000" w:rsidR="00000000" w:rsidRPr="00000000">
          <w:rPr>
            <w:rFonts w:ascii="Times New Roman" w:cs="Times New Roman" w:eastAsia="Times New Roman" w:hAnsi="Times New Roman"/>
            <w:color w:val="0000ff"/>
            <w:sz w:val="24"/>
            <w:szCs w:val="24"/>
            <w:u w:val="single"/>
            <w:rtl w:val="0"/>
          </w:rPr>
          <w:t xml:space="preserve">https://www.arcr.niaaa.nih.gov/arcr372/article01.pdf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Lancet (2020a). Drinking alone: COVID-19, lockdown, and alcohol-related harm. </w:t>
      </w:r>
      <w:r w:rsidDel="00000000" w:rsidR="00000000" w:rsidRPr="00000000">
        <w:rPr>
          <w:rFonts w:ascii="Times New Roman" w:cs="Times New Roman" w:eastAsia="Times New Roman" w:hAnsi="Times New Roman"/>
          <w:i w:val="1"/>
          <w:color w:val="000000"/>
          <w:sz w:val="24"/>
          <w:szCs w:val="24"/>
          <w:rtl w:val="0"/>
        </w:rPr>
        <w:t xml:space="preserve">The Lancet Gastroenterology &amp; Hepatology, 5</w:t>
      </w:r>
      <w:r w:rsidDel="00000000" w:rsidR="00000000" w:rsidRPr="00000000">
        <w:rPr>
          <w:rFonts w:ascii="Times New Roman" w:cs="Times New Roman" w:eastAsia="Times New Roman" w:hAnsi="Times New Roman"/>
          <w:color w:val="000000"/>
          <w:sz w:val="24"/>
          <w:szCs w:val="24"/>
          <w:rtl w:val="0"/>
        </w:rPr>
        <w:t xml:space="preserve">(7), 625.</w:t>
      </w:r>
      <w:r w:rsidDel="00000000" w:rsidR="00000000" w:rsidRPr="00000000">
        <w:rPr>
          <w:rFonts w:ascii="Times New Roman" w:cs="Times New Roman" w:eastAsia="Times New Roman" w:hAnsi="Times New Roman"/>
          <w:i w:val="1"/>
          <w:color w:val="000000"/>
          <w:sz w:val="24"/>
          <w:szCs w:val="24"/>
          <w:rtl w:val="0"/>
        </w:rPr>
        <w:t xml:space="preserve"> </w:t>
      </w:r>
      <w:hyperlink r:id="rId34">
        <w:r w:rsidDel="00000000" w:rsidR="00000000" w:rsidRPr="00000000">
          <w:rPr>
            <w:rFonts w:ascii="Times New Roman" w:cs="Times New Roman" w:eastAsia="Times New Roman" w:hAnsi="Times New Roman"/>
            <w:color w:val="0000ff"/>
            <w:sz w:val="24"/>
            <w:szCs w:val="24"/>
            <w:u w:val="single"/>
            <w:rtl w:val="0"/>
          </w:rPr>
          <w:t xml:space="preserve">https://doi.org/10.1016/S2468-1253(20)30159-X</w:t>
        </w:r>
      </w:hyperlink>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Lancet (2020b). COVID-19 in Brazil: "so what?”. </w:t>
      </w:r>
      <w:r w:rsidDel="00000000" w:rsidR="00000000" w:rsidRPr="00000000">
        <w:rPr>
          <w:rFonts w:ascii="Times New Roman" w:cs="Times New Roman" w:eastAsia="Times New Roman" w:hAnsi="Times New Roman"/>
          <w:i w:val="1"/>
          <w:color w:val="000000"/>
          <w:sz w:val="24"/>
          <w:szCs w:val="24"/>
          <w:rtl w:val="0"/>
        </w:rPr>
        <w:t xml:space="preserve">The Lancet, 395</w:t>
      </w:r>
      <w:r w:rsidDel="00000000" w:rsidR="00000000" w:rsidRPr="00000000">
        <w:rPr>
          <w:rFonts w:ascii="Times New Roman" w:cs="Times New Roman" w:eastAsia="Times New Roman" w:hAnsi="Times New Roman"/>
          <w:color w:val="000000"/>
          <w:sz w:val="24"/>
          <w:szCs w:val="24"/>
          <w:rtl w:val="0"/>
        </w:rPr>
        <w:t xml:space="preserve">(10235), 1461. </w:t>
      </w:r>
      <w:hyperlink r:id="rId35">
        <w:r w:rsidDel="00000000" w:rsidR="00000000" w:rsidRPr="00000000">
          <w:rPr>
            <w:rFonts w:ascii="Times New Roman" w:cs="Times New Roman" w:eastAsia="Times New Roman" w:hAnsi="Times New Roman"/>
            <w:color w:val="0000ff"/>
            <w:sz w:val="24"/>
            <w:szCs w:val="24"/>
            <w:u w:val="single"/>
            <w:rtl w:val="0"/>
          </w:rPr>
          <w:t xml:space="preserve">https://doi.org/10.1016/S0140-6736(20)31095-3</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Testino, G. (2020). Are patients with alcohol use disorders at increased risk for Covid-19 infection?</w:t>
      </w:r>
      <w:r w:rsidDel="00000000" w:rsidR="00000000" w:rsidRPr="00000000">
        <w:rPr>
          <w:rFonts w:ascii="Times New Roman" w:cs="Times New Roman" w:eastAsia="Times New Roman" w:hAnsi="Times New Roman"/>
          <w:i w:val="1"/>
          <w:color w:val="000000"/>
          <w:sz w:val="24"/>
          <w:szCs w:val="24"/>
          <w:rtl w:val="0"/>
        </w:rPr>
        <w:t xml:space="preserve"> Alcohol and Alcoholism, 55</w:t>
      </w:r>
      <w:r w:rsidDel="00000000" w:rsidR="00000000" w:rsidRPr="00000000">
        <w:rPr>
          <w:rFonts w:ascii="Times New Roman" w:cs="Times New Roman" w:eastAsia="Times New Roman" w:hAnsi="Times New Roman"/>
          <w:color w:val="000000"/>
          <w:sz w:val="24"/>
          <w:szCs w:val="24"/>
          <w:rtl w:val="0"/>
        </w:rPr>
        <w:t xml:space="preserve">(4), 344-346. </w:t>
      </w:r>
      <w:hyperlink r:id="rId36">
        <w:r w:rsidDel="00000000" w:rsidR="00000000" w:rsidRPr="00000000">
          <w:rPr>
            <w:rFonts w:ascii="Times New Roman" w:cs="Times New Roman" w:eastAsia="Times New Roman" w:hAnsi="Times New Roman"/>
            <w:color w:val="0000ff"/>
            <w:sz w:val="24"/>
            <w:szCs w:val="24"/>
            <w:u w:val="single"/>
            <w:rtl w:val="0"/>
          </w:rPr>
          <w:t xml:space="preserve">https://doi.org/10.1093/alcalc/agaa037</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4"/>
          <w:szCs w:val="24"/>
          <w:highlight w:val="white"/>
          <w:rtl w:val="0"/>
        </w:rPr>
        <w:t xml:space="preserve">Thakur, L., Kojicic, M., Thakur, S. J., Pieper, M. S., Kashyap, R., Trillo-Alvarez, C. A., ... &amp; Gajic, O. (2009). Alcohol consumption and development of acute respiratory distress syndrome: a population-based study. </w:t>
      </w:r>
      <w:r w:rsidDel="00000000" w:rsidR="00000000" w:rsidRPr="00000000">
        <w:rPr>
          <w:rFonts w:ascii="Times New Roman" w:cs="Times New Roman" w:eastAsia="Times New Roman" w:hAnsi="Times New Roman"/>
          <w:i w:val="1"/>
          <w:color w:val="ff0000"/>
          <w:sz w:val="24"/>
          <w:szCs w:val="24"/>
          <w:highlight w:val="white"/>
          <w:rtl w:val="0"/>
        </w:rPr>
        <w:t xml:space="preserve">International journal of environmental research and public health</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i w:val="1"/>
          <w:color w:val="ff0000"/>
          <w:sz w:val="24"/>
          <w:szCs w:val="24"/>
          <w:highlight w:val="white"/>
          <w:rtl w:val="0"/>
        </w:rPr>
        <w:t xml:space="preserve">6</w:t>
      </w:r>
      <w:r w:rsidDel="00000000" w:rsidR="00000000" w:rsidRPr="00000000">
        <w:rPr>
          <w:rFonts w:ascii="Times New Roman" w:cs="Times New Roman" w:eastAsia="Times New Roman" w:hAnsi="Times New Roman"/>
          <w:color w:val="ff0000"/>
          <w:sz w:val="24"/>
          <w:szCs w:val="24"/>
          <w:highlight w:val="white"/>
          <w:rtl w:val="0"/>
        </w:rPr>
        <w:t xml:space="preserve">(9), 2426-2435. </w:t>
      </w:r>
      <w:hyperlink r:id="rId37">
        <w:r w:rsidDel="00000000" w:rsidR="00000000" w:rsidRPr="00000000">
          <w:rPr>
            <w:rFonts w:ascii="Times New Roman" w:cs="Times New Roman" w:eastAsia="Times New Roman" w:hAnsi="Times New Roman"/>
            <w:color w:val="ff0000"/>
            <w:sz w:val="24"/>
            <w:szCs w:val="24"/>
            <w:highlight w:val="white"/>
            <w:u w:val="single"/>
            <w:rtl w:val="0"/>
          </w:rPr>
          <w:t xml:space="preserve">https://doi.org/10.3390/ijerph6092426</w:t>
        </w:r>
      </w:hyperlink>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color w:val="ff0000"/>
          <w:sz w:val="24"/>
          <w:szCs w:val="24"/>
          <w:rtl w:val="0"/>
        </w:rPr>
        <w:t xml:space="preserve">Wardell, J. D., Kempe, T., Rapinda, K. K., Single, A., Bilevicius, E., Frohlich, J. R., Hendershot, C. S., &amp; Keough, M. T. (2020). Drinking to Cope During COVID-19 Pandemic: The Role of External and Internal Factors in Coping Motive Pathways to Alcohol Use, Solitary Drinking, and Alcohol Problems. </w:t>
      </w:r>
      <w:r w:rsidDel="00000000" w:rsidR="00000000" w:rsidRPr="00000000">
        <w:rPr>
          <w:rFonts w:ascii="Times New Roman" w:cs="Times New Roman" w:eastAsia="Times New Roman" w:hAnsi="Times New Roman"/>
          <w:i w:val="1"/>
          <w:color w:val="ff0000"/>
          <w:sz w:val="24"/>
          <w:szCs w:val="24"/>
          <w:rtl w:val="0"/>
        </w:rPr>
        <w:t xml:space="preserve">Alcoholism, clinical and experimental research, 44</w:t>
      </w:r>
      <w:r w:rsidDel="00000000" w:rsidR="00000000" w:rsidRPr="00000000">
        <w:rPr>
          <w:rFonts w:ascii="Times New Roman" w:cs="Times New Roman" w:eastAsia="Times New Roman" w:hAnsi="Times New Roman"/>
          <w:color w:val="ff0000"/>
          <w:sz w:val="24"/>
          <w:szCs w:val="24"/>
          <w:rtl w:val="0"/>
        </w:rPr>
        <w:t xml:space="preserve">(10), 2073-2083. </w:t>
      </w:r>
      <w:r w:rsidDel="00000000" w:rsidR="00000000" w:rsidRPr="00000000">
        <w:rPr>
          <w:rFonts w:ascii="Times New Roman" w:cs="Times New Roman" w:eastAsia="Times New Roman" w:hAnsi="Times New Roman"/>
          <w:color w:val="ff0000"/>
          <w:sz w:val="24"/>
          <w:szCs w:val="24"/>
          <w:u w:val="single"/>
          <w:rtl w:val="0"/>
        </w:rPr>
        <w:t xml:space="preserve">https://doi.org/10.1111/acer.1442</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color w:val="000000"/>
          <w:sz w:val="24"/>
          <w:szCs w:val="24"/>
        </w:rPr>
      </w:pPr>
      <w:bookmarkStart w:colFirst="0" w:colLast="0" w:name="_heading=h.30j0zll" w:id="2"/>
      <w:bookmarkEnd w:id="2"/>
      <w:r w:rsidDel="00000000" w:rsidR="00000000" w:rsidRPr="00000000">
        <w:rPr>
          <w:rFonts w:ascii="Times New Roman" w:cs="Times New Roman" w:eastAsia="Times New Roman" w:hAnsi="Times New Roman"/>
          <w:color w:val="000000"/>
          <w:sz w:val="24"/>
          <w:szCs w:val="24"/>
          <w:rtl w:val="0"/>
        </w:rPr>
        <w:t xml:space="preserve">World Health Organization. (2019). </w:t>
      </w:r>
      <w:r w:rsidDel="00000000" w:rsidR="00000000" w:rsidRPr="00000000">
        <w:rPr>
          <w:rFonts w:ascii="Times New Roman" w:cs="Times New Roman" w:eastAsia="Times New Roman" w:hAnsi="Times New Roman"/>
          <w:i w:val="1"/>
          <w:color w:val="000000"/>
          <w:sz w:val="24"/>
          <w:szCs w:val="24"/>
          <w:rtl w:val="0"/>
        </w:rPr>
        <w:t xml:space="preserve">Global status report on alcohol and health 2018.</w:t>
      </w:r>
      <w:r w:rsidDel="00000000" w:rsidR="00000000" w:rsidRPr="00000000">
        <w:rPr>
          <w:rFonts w:ascii="Times New Roman" w:cs="Times New Roman" w:eastAsia="Times New Roman" w:hAnsi="Times New Roman"/>
          <w:color w:val="000000"/>
          <w:sz w:val="24"/>
          <w:szCs w:val="24"/>
          <w:rtl w:val="0"/>
        </w:rPr>
        <w:t xml:space="preserve"> World Health Organization. Retrieved from: </w:t>
      </w:r>
      <w:hyperlink r:id="rId38">
        <w:r w:rsidDel="00000000" w:rsidR="00000000" w:rsidRPr="00000000">
          <w:rPr>
            <w:rFonts w:ascii="Times New Roman" w:cs="Times New Roman" w:eastAsia="Times New Roman" w:hAnsi="Times New Roman"/>
            <w:color w:val="0000ff"/>
            <w:sz w:val="24"/>
            <w:szCs w:val="24"/>
            <w:u w:val="single"/>
            <w:rtl w:val="0"/>
          </w:rPr>
          <w:t xml:space="preserve">https://apps.who.int/iris/bitstream/handle/10665/274603/9789241565639-eng.pdf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280" w:before="280" w:line="360" w:lineRule="auto"/>
        <w:ind w:left="450" w:hanging="4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Xu, X., &amp; Chaloupka, F. J. (2011). The effects of prices on alcohol use and its consequences. </w:t>
      </w:r>
      <w:r w:rsidDel="00000000" w:rsidR="00000000" w:rsidRPr="00000000">
        <w:rPr>
          <w:rFonts w:ascii="Times New Roman" w:cs="Times New Roman" w:eastAsia="Times New Roman" w:hAnsi="Times New Roman"/>
          <w:i w:val="1"/>
          <w:color w:val="000000"/>
          <w:sz w:val="24"/>
          <w:szCs w:val="24"/>
          <w:rtl w:val="0"/>
        </w:rPr>
        <w:t xml:space="preserve">Alcohol Research &amp; Health, 34</w:t>
      </w:r>
      <w:r w:rsidDel="00000000" w:rsidR="00000000" w:rsidRPr="00000000">
        <w:rPr>
          <w:rFonts w:ascii="Times New Roman" w:cs="Times New Roman" w:eastAsia="Times New Roman" w:hAnsi="Times New Roman"/>
          <w:color w:val="000000"/>
          <w:sz w:val="24"/>
          <w:szCs w:val="24"/>
          <w:rtl w:val="0"/>
        </w:rPr>
        <w:t xml:space="preserve">(2), 236. Retrieved from: </w:t>
      </w:r>
      <w:hyperlink r:id="rId39">
        <w:r w:rsidDel="00000000" w:rsidR="00000000" w:rsidRPr="00000000">
          <w:rPr>
            <w:rFonts w:ascii="Times New Roman" w:cs="Times New Roman" w:eastAsia="Times New Roman" w:hAnsi="Times New Roman"/>
            <w:color w:val="0000ff"/>
            <w:sz w:val="24"/>
            <w:szCs w:val="24"/>
            <w:u w:val="single"/>
            <w:rtl w:val="0"/>
          </w:rPr>
          <w:t xml:space="preserve">https://www.ncbi.nlm.nih.gov/pmc/articles/PMC3860576/pdf/arh-34-2-236.pdf</w:t>
        </w:r>
      </w:hyperlink>
      <w:r w:rsidDel="00000000" w:rsidR="00000000" w:rsidRPr="00000000">
        <w:rPr>
          <w:rtl w:val="0"/>
        </w:rPr>
      </w:r>
    </w:p>
    <w:sectPr>
      <w:headerReference r:id="rId40" w:type="default"/>
      <w:headerReference r:id="rId41" w:type="first"/>
      <w:headerReference r:id="rId42" w:type="even"/>
      <w:footerReference r:id="rId43" w:type="default"/>
      <w:footerReference r:id="rId44" w:type="first"/>
      <w:footerReference r:id="rId45" w:type="even"/>
      <w:pgSz w:h="16840" w:w="11907"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center" w:pos="4419"/>
        <w:tab w:val="right" w:pos="8838"/>
        <w:tab w:val="left" w:pos="1239"/>
        <w:tab w:val="right" w:pos="9404"/>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w:t>
    </w: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center" w:pos="4419"/>
        <w:tab w:val="right" w:pos="8838"/>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5B3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1D239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D239B"/>
  </w:style>
  <w:style w:type="paragraph" w:styleId="Piedepgina">
    <w:name w:val="footer"/>
    <w:basedOn w:val="Normal"/>
    <w:link w:val="PiedepginaCar"/>
    <w:uiPriority w:val="99"/>
    <w:unhideWhenUsed w:val="1"/>
    <w:rsid w:val="001D239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D239B"/>
  </w:style>
  <w:style w:type="character" w:styleId="Hipervnculo">
    <w:name w:val="Hyperlink"/>
    <w:basedOn w:val="Fuentedeprrafopredeter"/>
    <w:uiPriority w:val="99"/>
    <w:rsid w:val="001D239B"/>
    <w:rPr>
      <w:color w:val="0000ff"/>
      <w:u w:val="single"/>
    </w:rPr>
  </w:style>
  <w:style w:type="paragraph" w:styleId="Textosinformato1" w:customStyle="1">
    <w:name w:val="Texto sin formato1"/>
    <w:basedOn w:val="Normal"/>
    <w:rsid w:val="001D239B"/>
    <w:pPr>
      <w:suppressAutoHyphens w:val="1"/>
      <w:spacing w:after="0" w:line="240" w:lineRule="auto"/>
    </w:pPr>
    <w:rPr>
      <w:rFonts w:ascii="Consolas" w:cs="Consolas" w:hAnsi="Consolas"/>
      <w:sz w:val="21"/>
      <w:szCs w:val="21"/>
      <w:lang w:eastAsia="ar-SA"/>
    </w:rPr>
  </w:style>
  <w:style w:type="paragraph" w:styleId="NormalWeb">
    <w:name w:val="Normal (Web)"/>
    <w:basedOn w:val="Normal"/>
    <w:uiPriority w:val="99"/>
    <w:unhideWhenUsed w:val="1"/>
    <w:rsid w:val="009B3425"/>
    <w:pPr>
      <w:spacing w:after="100" w:afterAutospacing="1" w:before="100" w:beforeAutospacing="1" w:line="240" w:lineRule="auto"/>
    </w:pPr>
    <w:rPr>
      <w:rFonts w:ascii="Times New Roman" w:cs="Times New Roman" w:hAnsi="Times New Roman" w:eastAsiaTheme="minorEastAsia"/>
      <w:sz w:val="24"/>
      <w:szCs w:val="24"/>
    </w:rPr>
  </w:style>
  <w:style w:type="paragraph" w:styleId="Textoindependiente">
    <w:name w:val="Body Text"/>
    <w:basedOn w:val="Normal"/>
    <w:link w:val="TextoindependienteCar"/>
    <w:rsid w:val="00137EE9"/>
    <w:pPr>
      <w:spacing w:after="120" w:line="240" w:lineRule="auto"/>
    </w:pPr>
    <w:rPr>
      <w:rFonts w:ascii="Times New Roman" w:cs="Times New Roman" w:eastAsia="Times New Roman" w:hAnsi="Times New Roman"/>
      <w:sz w:val="24"/>
      <w:szCs w:val="24"/>
    </w:rPr>
  </w:style>
  <w:style w:type="character" w:styleId="TextoindependienteCar" w:customStyle="1">
    <w:name w:val="Texto independiente Car"/>
    <w:basedOn w:val="Fuentedeprrafopredeter"/>
    <w:link w:val="Textoindependiente"/>
    <w:rsid w:val="00137EE9"/>
    <w:rPr>
      <w:rFonts w:ascii="Times New Roman" w:cs="Times New Roman" w:eastAsia="Times New Roman" w:hAnsi="Times New Roman"/>
      <w:sz w:val="24"/>
      <w:szCs w:val="24"/>
      <w:lang w:eastAsia="es-ES" w:val="es-ES"/>
    </w:rPr>
  </w:style>
  <w:style w:type="table" w:styleId="Tablaconcuadrcula">
    <w:name w:val="Table Grid"/>
    <w:basedOn w:val="Tablanormal"/>
    <w:uiPriority w:val="59"/>
    <w:rsid w:val="004854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EE14F1"/>
    <w:pPr>
      <w:ind w:left="720"/>
      <w:contextualSpacing w:val="1"/>
    </w:pPr>
  </w:style>
  <w:style w:type="paragraph" w:styleId="Textonotaalfinal">
    <w:name w:val="endnote text"/>
    <w:basedOn w:val="Normal"/>
    <w:link w:val="TextonotaalfinalCar"/>
    <w:uiPriority w:val="99"/>
    <w:semiHidden w:val="1"/>
    <w:unhideWhenUsed w:val="1"/>
    <w:rsid w:val="00EE14F1"/>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EE14F1"/>
    <w:rPr>
      <w:sz w:val="20"/>
      <w:szCs w:val="20"/>
    </w:rPr>
  </w:style>
  <w:style w:type="character" w:styleId="Refdenotaalfinal">
    <w:name w:val="endnote reference"/>
    <w:basedOn w:val="Fuentedeprrafopredeter"/>
    <w:uiPriority w:val="99"/>
    <w:semiHidden w:val="1"/>
    <w:unhideWhenUsed w:val="1"/>
    <w:rsid w:val="00EE14F1"/>
    <w:rPr>
      <w:vertAlign w:val="superscript"/>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CB6A29"/>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B6A29"/>
    <w:rPr>
      <w:rFonts w:ascii="Segoe UI" w:cs="Segoe UI" w:hAnsi="Segoe UI"/>
      <w:sz w:val="18"/>
      <w:szCs w:val="18"/>
    </w:rPr>
  </w:style>
  <w:style w:type="character" w:styleId="UnresolvedMention" w:customStyle="1">
    <w:name w:val="Unresolved Mention"/>
    <w:basedOn w:val="Fuentedeprrafopredeter"/>
    <w:uiPriority w:val="99"/>
    <w:semiHidden w:val="1"/>
    <w:unhideWhenUsed w:val="1"/>
    <w:rsid w:val="00930006"/>
    <w:rPr>
      <w:color w:val="605e5c"/>
      <w:shd w:color="auto" w:fill="e1dfdd" w:val="clear"/>
    </w:r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argentina.gob.ar/coronavirus/aislamiento/fases" TargetMode="External"/><Relationship Id="rId42" Type="http://schemas.openxmlformats.org/officeDocument/2006/relationships/header" Target="header2.xml"/><Relationship Id="rId41" Type="http://schemas.openxmlformats.org/officeDocument/2006/relationships/header" Target="header3.xml"/><Relationship Id="rId22" Type="http://schemas.openxmlformats.org/officeDocument/2006/relationships/hyperlink" Target="https://doi.org/10.5123/S1679-49742016000100017" TargetMode="External"/><Relationship Id="rId44" Type="http://schemas.openxmlformats.org/officeDocument/2006/relationships/footer" Target="footer2.xml"/><Relationship Id="rId21" Type="http://schemas.openxmlformats.org/officeDocument/2006/relationships/hyperlink" Target="https://www.argentina.gob.ar/coronavirus/informes-diarios/reportes/julio2020" TargetMode="External"/><Relationship Id="rId43" Type="http://schemas.openxmlformats.org/officeDocument/2006/relationships/footer" Target="footer3.xml"/><Relationship Id="rId24" Type="http://schemas.openxmlformats.org/officeDocument/2006/relationships/hyperlink" Target="https://doi.org/10.1093/alcalc/agp054" TargetMode="External"/><Relationship Id="rId23" Type="http://schemas.openxmlformats.org/officeDocument/2006/relationships/hyperlink" Target="https://doi.org/10.7895/ijadr.v2i2.106"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ho.org/hq/dmdocuments/2009/AUDIT_spa.pdf" TargetMode="External"/><Relationship Id="rId26" Type="http://schemas.openxmlformats.org/officeDocument/2006/relationships/hyperlink" Target="https://doi.org/10.1111/dar.13074" TargetMode="External"/><Relationship Id="rId25" Type="http://schemas.openxmlformats.org/officeDocument/2006/relationships/hyperlink" Target="https://doi.org/10.1037/a0024275" TargetMode="External"/><Relationship Id="rId28" Type="http://schemas.openxmlformats.org/officeDocument/2006/relationships/hyperlink" Target="https://doi.org/10.1111/add.15194" TargetMode="External"/><Relationship Id="rId27" Type="http://schemas.openxmlformats.org/officeDocument/2006/relationships/hyperlink" Target="https://doi.org/10.1016/j.addbeh.2020.106532"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3109/09687637.2016.1153602" TargetMode="External"/><Relationship Id="rId7" Type="http://schemas.openxmlformats.org/officeDocument/2006/relationships/hyperlink" Target="http://www.psychometrica.de/effect_size.html" TargetMode="External"/><Relationship Id="rId8" Type="http://schemas.openxmlformats.org/officeDocument/2006/relationships/hyperlink" Target="https://doi.org/10.1016/j.ajp.2020.102092" TargetMode="External"/><Relationship Id="rId31" Type="http://schemas.openxmlformats.org/officeDocument/2006/relationships/hyperlink" Target="https://doi.org/10.1016/S0140-6736(09)60009-X" TargetMode="External"/><Relationship Id="rId30" Type="http://schemas.openxmlformats.org/officeDocument/2006/relationships/hyperlink" Target="http://observatorio.gob.ar/media/k2/attachments/poblacionZgeneral.pdf" TargetMode="External"/><Relationship Id="rId11" Type="http://schemas.openxmlformats.org/officeDocument/2006/relationships/hyperlink" Target="http://dx.doi.org/10.4067/S0717-92272016000200002" TargetMode="External"/><Relationship Id="rId33" Type="http://schemas.openxmlformats.org/officeDocument/2006/relationships/hyperlink" Target="https://www.arcr.niaaa.nih.gov/arcr372/article01.pdf" TargetMode="External"/><Relationship Id="rId10" Type="http://schemas.openxmlformats.org/officeDocument/2006/relationships/hyperlink" Target="http://rasp.msal.gov.ar/rasp/articulos/volumen38/8-15.pdf" TargetMode="External"/><Relationship Id="rId32" Type="http://schemas.openxmlformats.org/officeDocument/2006/relationships/hyperlink" Target="https://doi.org/10.3390/ijerph17114065" TargetMode="External"/><Relationship Id="rId13" Type="http://schemas.openxmlformats.org/officeDocument/2006/relationships/hyperlink" Target="https://doi.org/10.1016/j.addbeh.2010.03.021" TargetMode="External"/><Relationship Id="rId35" Type="http://schemas.openxmlformats.org/officeDocument/2006/relationships/hyperlink" Target="https://doi.org/10.1016/S0140-6736(20)31095-3" TargetMode="External"/><Relationship Id="rId12" Type="http://schemas.openxmlformats.org/officeDocument/2006/relationships/hyperlink" Target="https://doi.org/10.1590/0102-311X00061114" TargetMode="External"/><Relationship Id="rId34" Type="http://schemas.openxmlformats.org/officeDocument/2006/relationships/hyperlink" Target="https://doi.org/10.1016/S2468-1253(20)30159-X" TargetMode="External"/><Relationship Id="rId15" Type="http://schemas.openxmlformats.org/officeDocument/2006/relationships/hyperlink" Target="https://doi.org/10.1016/j.drugalcdep.2015.08.023" TargetMode="External"/><Relationship Id="rId37" Type="http://schemas.openxmlformats.org/officeDocument/2006/relationships/hyperlink" Target="https://doi.org/10.3390/ijerph6092426" TargetMode="External"/><Relationship Id="rId14" Type="http://schemas.openxmlformats.org/officeDocument/2006/relationships/hyperlink" Target="https://doi.org/10.1136/bmj.m2182" TargetMode="External"/><Relationship Id="rId36" Type="http://schemas.openxmlformats.org/officeDocument/2006/relationships/hyperlink" Target="https://doi.org/10.1093/alcalc/agaa037" TargetMode="External"/><Relationship Id="rId17" Type="http://schemas.openxmlformats.org/officeDocument/2006/relationships/hyperlink" Target="https://doi.org/10.1017/S0033291719004045" TargetMode="External"/><Relationship Id="rId39" Type="http://schemas.openxmlformats.org/officeDocument/2006/relationships/hyperlink" Target="https://www.ncbi.nlm.nih.gov/pmc/articles/PMC3860576/pdf/arh-34-2-236.pdf" TargetMode="External"/><Relationship Id="rId16" Type="http://schemas.openxmlformats.org/officeDocument/2006/relationships/hyperlink" Target="https://doi.org/10.1017/dmp.2020.116" TargetMode="External"/><Relationship Id="rId38" Type="http://schemas.openxmlformats.org/officeDocument/2006/relationships/hyperlink" Target="https://apps.who.int/iris/bitstream/handle/10665/274603/9789241565639-eng.pdf" TargetMode="External"/><Relationship Id="rId19" Type="http://schemas.openxmlformats.org/officeDocument/2006/relationships/hyperlink" Target="https://www.argentina.gob.ar/coronavirus/informes-diarios/reportes/marzo2020" TargetMode="External"/><Relationship Id="rId18" Type="http://schemas.openxmlformats.org/officeDocument/2006/relationships/hyperlink" Target="http://www.msal.gob.ar/images/stories/bes/graficos/0000001747cnt-consumo_alcohol_argentina-11-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qn2ndiv4d9wCiIdyNyhBp+7/DA==">AMUW2mUshWxROSqlZl/of4DWxiFoMlWrl8WpBsheZg0lEb4QAkH2Hw6e0nokA2+ZRAye3jogsbCNwvEKNRqguOiv6r4NYfTKXG/d6yrJ7sVH1GDGyh8FXUbOupom4qlJhdpc59vqC476/Bb9eJX9et60CEDoekI3jw==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2020-09-21T18:26:00Z</dcterms:created>
</cp:coreProperties>
</file>