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7E569FD1" w:rsidR="00742E4A" w:rsidRPr="00DE042E" w:rsidRDefault="00295FA1" w:rsidP="00CB7C91">
      <w:pPr>
        <w:pStyle w:val="Titulodeartculo"/>
        <w:rPr>
          <w:lang w:eastAsia="pt-BR"/>
        </w:rPr>
      </w:pPr>
      <w:r w:rsidRPr="00DE042E">
        <w:t>Depresión, ansiedad y preocupación por la COVID-19 como predictores de la satisfacción con la vida en adultos peruanos</w:t>
      </w:r>
    </w:p>
    <w:p w14:paraId="166E5255" w14:textId="2E8511A3" w:rsidR="00C413D4" w:rsidRPr="00DE042E" w:rsidRDefault="00C413D4" w:rsidP="00CB7C91">
      <w:pPr>
        <w:jc w:val="center"/>
        <w:rPr>
          <w:b/>
        </w:rPr>
      </w:pPr>
    </w:p>
    <w:p w14:paraId="0BAD9FA3" w14:textId="098C1666" w:rsidR="00C413D4" w:rsidRPr="00DE042E" w:rsidRDefault="00C413D4" w:rsidP="00CB7C91">
      <w:pPr>
        <w:rPr>
          <w:rFonts w:ascii="Times" w:hAnsi="Times"/>
          <w:i/>
          <w:sz w:val="28"/>
          <w:szCs w:val="28"/>
        </w:rPr>
      </w:pPr>
      <w:r w:rsidRPr="00DE042E">
        <w:rPr>
          <w:noProof/>
          <w:lang w:eastAsia="es-PE"/>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E042E" w:rsidRDefault="00C413D4" w:rsidP="00CB7C91">
      <w:pPr>
        <w:rPr>
          <w:b/>
          <w:sz w:val="20"/>
          <w:szCs w:val="20"/>
        </w:rPr>
      </w:pPr>
    </w:p>
    <w:p w14:paraId="61F0B918" w14:textId="3E484003" w:rsidR="00C43335" w:rsidRPr="00DE042E" w:rsidRDefault="00DA0BBE" w:rsidP="00CB7C91">
      <w:pPr>
        <w:pStyle w:val="TtuloResumen"/>
        <w:jc w:val="left"/>
        <w:rPr>
          <w:lang w:val="es-419"/>
        </w:rPr>
      </w:pPr>
      <w:r w:rsidRPr="00DE042E">
        <w:rPr>
          <w:lang w:val="es-419"/>
        </w:rPr>
        <w:t>Resumen</w:t>
      </w:r>
    </w:p>
    <w:p w14:paraId="547103FF" w14:textId="45B48C34" w:rsidR="00C413D4" w:rsidRPr="00DE042E" w:rsidRDefault="00DA0BBE" w:rsidP="00CB7C91">
      <w:pPr>
        <w:rPr>
          <w:sz w:val="20"/>
          <w:szCs w:val="20"/>
        </w:rPr>
      </w:pPr>
      <w:r w:rsidRPr="00DE042E">
        <w:rPr>
          <w:sz w:val="20"/>
          <w:szCs w:val="20"/>
        </w:rPr>
        <w:t>Con el objetivo de determinar si la</w:t>
      </w:r>
      <w:r w:rsidR="00681FD9" w:rsidRPr="00DE042E">
        <w:rPr>
          <w:sz w:val="20"/>
          <w:szCs w:val="20"/>
        </w:rPr>
        <w:t xml:space="preserve"> depresión, ansiedad y la preocupación por la</w:t>
      </w:r>
      <w:r w:rsidRPr="00DE042E">
        <w:rPr>
          <w:sz w:val="20"/>
          <w:szCs w:val="20"/>
        </w:rPr>
        <w:t xml:space="preserve"> COVID-19</w:t>
      </w:r>
      <w:r w:rsidR="00681FD9" w:rsidRPr="00DE042E">
        <w:rPr>
          <w:sz w:val="20"/>
          <w:szCs w:val="20"/>
        </w:rPr>
        <w:t xml:space="preserve"> predicen</w:t>
      </w:r>
      <w:r w:rsidRPr="00DE042E">
        <w:rPr>
          <w:sz w:val="20"/>
          <w:szCs w:val="20"/>
        </w:rPr>
        <w:t xml:space="preserve"> la satisfacció</w:t>
      </w:r>
      <w:r w:rsidR="00E060E6" w:rsidRPr="00DE042E">
        <w:rPr>
          <w:sz w:val="20"/>
          <w:szCs w:val="20"/>
        </w:rPr>
        <w:t>n con la vida</w:t>
      </w:r>
      <w:r w:rsidRPr="00DE042E">
        <w:rPr>
          <w:sz w:val="20"/>
          <w:szCs w:val="20"/>
        </w:rPr>
        <w:t>, s</w:t>
      </w:r>
      <w:r w:rsidR="00156BFC" w:rsidRPr="00DE042E">
        <w:rPr>
          <w:sz w:val="20"/>
          <w:szCs w:val="20"/>
        </w:rPr>
        <w:t xml:space="preserve">e realizó un estudio predictivo </w:t>
      </w:r>
      <w:r w:rsidR="00921C52" w:rsidRPr="00DE042E">
        <w:rPr>
          <w:sz w:val="20"/>
          <w:szCs w:val="20"/>
        </w:rPr>
        <w:t>en</w:t>
      </w:r>
      <w:r w:rsidR="00156BFC" w:rsidRPr="00DE042E">
        <w:rPr>
          <w:sz w:val="20"/>
          <w:szCs w:val="20"/>
        </w:rPr>
        <w:t xml:space="preserve"> </w:t>
      </w:r>
      <w:r w:rsidRPr="00DE042E">
        <w:rPr>
          <w:sz w:val="20"/>
          <w:szCs w:val="20"/>
        </w:rPr>
        <w:t xml:space="preserve">466 adultos del departamento de Puno, Perú. Los instrumentos utilizados fueron la escala de preocupación por la COVID-19 (EPCov-19), el </w:t>
      </w:r>
      <w:r w:rsidRPr="00DE042E">
        <w:rPr>
          <w:i/>
          <w:sz w:val="20"/>
          <w:szCs w:val="20"/>
        </w:rPr>
        <w:t>Patient Health Questionnarie-2</w:t>
      </w:r>
      <w:r w:rsidRPr="00DE042E">
        <w:rPr>
          <w:sz w:val="20"/>
          <w:szCs w:val="20"/>
        </w:rPr>
        <w:t xml:space="preserve"> (PHQ-2), la </w:t>
      </w:r>
      <w:r w:rsidRPr="00DE042E">
        <w:rPr>
          <w:i/>
          <w:sz w:val="20"/>
          <w:szCs w:val="20"/>
        </w:rPr>
        <w:t>Generalized Anxiety Disorder Scale-2</w:t>
      </w:r>
      <w:r w:rsidRPr="00DE042E">
        <w:rPr>
          <w:sz w:val="20"/>
          <w:szCs w:val="20"/>
        </w:rPr>
        <w:t xml:space="preserve"> (GAD-2) y la escala de satisfacción con la vida de Diener (SWLS). </w:t>
      </w:r>
      <w:r w:rsidR="00185C77" w:rsidRPr="00DE042E">
        <w:rPr>
          <w:sz w:val="20"/>
          <w:szCs w:val="20"/>
        </w:rPr>
        <w:t>Se utilizaron pruebas estadísticas</w:t>
      </w:r>
      <w:r w:rsidRPr="00DE042E">
        <w:rPr>
          <w:sz w:val="20"/>
          <w:szCs w:val="20"/>
        </w:rPr>
        <w:t xml:space="preserve"> </w:t>
      </w:r>
      <w:r w:rsidR="00185C77" w:rsidRPr="00DE042E">
        <w:rPr>
          <w:sz w:val="20"/>
          <w:szCs w:val="20"/>
        </w:rPr>
        <w:t xml:space="preserve">como </w:t>
      </w:r>
      <w:r w:rsidRPr="00DE042E">
        <w:rPr>
          <w:i/>
          <w:sz w:val="20"/>
          <w:szCs w:val="20"/>
        </w:rPr>
        <w:t xml:space="preserve">t </w:t>
      </w:r>
      <w:r w:rsidRPr="00DE042E">
        <w:rPr>
          <w:sz w:val="20"/>
          <w:szCs w:val="20"/>
        </w:rPr>
        <w:t>de</w:t>
      </w:r>
      <w:r w:rsidRPr="00DE042E">
        <w:rPr>
          <w:i/>
          <w:sz w:val="20"/>
          <w:szCs w:val="20"/>
        </w:rPr>
        <w:t xml:space="preserve"> student</w:t>
      </w:r>
      <w:r w:rsidRPr="00DE042E">
        <w:rPr>
          <w:sz w:val="20"/>
          <w:szCs w:val="20"/>
        </w:rPr>
        <w:t xml:space="preserve">, </w:t>
      </w:r>
      <w:r w:rsidRPr="00DE042E">
        <w:rPr>
          <w:i/>
          <w:sz w:val="20"/>
          <w:szCs w:val="20"/>
        </w:rPr>
        <w:t>r</w:t>
      </w:r>
      <w:r w:rsidRPr="00DE042E">
        <w:rPr>
          <w:sz w:val="20"/>
          <w:szCs w:val="20"/>
        </w:rPr>
        <w:t xml:space="preserve"> de </w:t>
      </w:r>
      <w:r w:rsidRPr="00DE042E">
        <w:rPr>
          <w:i/>
          <w:sz w:val="20"/>
          <w:szCs w:val="20"/>
        </w:rPr>
        <w:t>Pearson</w:t>
      </w:r>
      <w:r w:rsidRPr="00DE042E">
        <w:rPr>
          <w:sz w:val="20"/>
          <w:szCs w:val="20"/>
        </w:rPr>
        <w:t xml:space="preserve"> y análisis de regresión lineal múltiple. </w:t>
      </w:r>
      <w:r w:rsidR="00185C77" w:rsidRPr="00DE042E">
        <w:rPr>
          <w:sz w:val="20"/>
          <w:szCs w:val="20"/>
        </w:rPr>
        <w:t>Los resultados indican</w:t>
      </w:r>
      <w:r w:rsidR="00570894" w:rsidRPr="00DE042E">
        <w:rPr>
          <w:sz w:val="20"/>
          <w:szCs w:val="20"/>
        </w:rPr>
        <w:t xml:space="preserve"> diferencias significativas entre varones y mujeres</w:t>
      </w:r>
      <w:r w:rsidR="00B800E0" w:rsidRPr="00DE042E">
        <w:rPr>
          <w:sz w:val="20"/>
          <w:szCs w:val="20"/>
        </w:rPr>
        <w:t xml:space="preserve">, </w:t>
      </w:r>
      <w:r w:rsidRPr="00DE042E">
        <w:rPr>
          <w:sz w:val="20"/>
          <w:szCs w:val="20"/>
        </w:rPr>
        <w:t>al comparar los valores de la m</w:t>
      </w:r>
      <w:r w:rsidR="00AA586C" w:rsidRPr="00DE042E">
        <w:rPr>
          <w:sz w:val="20"/>
          <w:szCs w:val="20"/>
        </w:rPr>
        <w:t xml:space="preserve">edia de depresión, ansiedad, preocupación por la COVID-19 y </w:t>
      </w:r>
      <w:r w:rsidRPr="00DE042E">
        <w:rPr>
          <w:sz w:val="20"/>
          <w:szCs w:val="20"/>
        </w:rPr>
        <w:t>satisfacción con la vida, según sexo</w:t>
      </w:r>
      <w:r w:rsidR="00570894" w:rsidRPr="00DE042E">
        <w:rPr>
          <w:sz w:val="20"/>
          <w:szCs w:val="20"/>
        </w:rPr>
        <w:t xml:space="preserve">; </w:t>
      </w:r>
      <w:r w:rsidR="0092101F" w:rsidRPr="00DE042E">
        <w:rPr>
          <w:sz w:val="20"/>
          <w:szCs w:val="20"/>
        </w:rPr>
        <w:t>así</w:t>
      </w:r>
      <w:r w:rsidR="00570894" w:rsidRPr="00DE042E">
        <w:rPr>
          <w:sz w:val="20"/>
          <w:szCs w:val="20"/>
        </w:rPr>
        <w:t xml:space="preserve"> también, se obtuvo </w:t>
      </w:r>
      <w:r w:rsidRPr="00DE042E">
        <w:rPr>
          <w:sz w:val="20"/>
          <w:szCs w:val="20"/>
        </w:rPr>
        <w:t>correlaciones significativas entre las variabl</w:t>
      </w:r>
      <w:r w:rsidR="00413E91" w:rsidRPr="00DE042E">
        <w:rPr>
          <w:sz w:val="20"/>
          <w:szCs w:val="20"/>
        </w:rPr>
        <w:t>es (p &lt; .05). El</w:t>
      </w:r>
      <w:r w:rsidRPr="00DE042E">
        <w:rPr>
          <w:sz w:val="20"/>
          <w:szCs w:val="20"/>
        </w:rPr>
        <w:t xml:space="preserve"> análisis de regresión indica que la variable depresión (β = -,329) predice significativamente la satisfacción con la vida. </w:t>
      </w:r>
      <w:r w:rsidR="00413E91" w:rsidRPr="00DE042E">
        <w:rPr>
          <w:sz w:val="20"/>
          <w:szCs w:val="20"/>
        </w:rPr>
        <w:t xml:space="preserve">En conclusión, </w:t>
      </w:r>
      <w:r w:rsidRPr="00DE042E">
        <w:rPr>
          <w:sz w:val="20"/>
          <w:szCs w:val="20"/>
        </w:rPr>
        <w:t>la depresión como estado anímico de desinterés y displacer ante los eventos cotidianos, predijo significativamente la satisfacción con la vida en los pobladores del sur peruano. Además, la ansiedad, depresión, preocupación por la COVID 19 fueron mayores en las mujeres, mientras que la satisfacción con la vida, fue mayor en los varones.</w:t>
      </w:r>
    </w:p>
    <w:p w14:paraId="52418FC1" w14:textId="77777777" w:rsidR="00DA0BBE" w:rsidRPr="00DE042E" w:rsidRDefault="00DA0BBE" w:rsidP="00CB7C91">
      <w:pPr>
        <w:rPr>
          <w:b/>
          <w:sz w:val="20"/>
          <w:szCs w:val="20"/>
        </w:rPr>
      </w:pPr>
    </w:p>
    <w:p w14:paraId="0EB33005" w14:textId="74FABD6A" w:rsidR="00C413D4" w:rsidRPr="00DE042E" w:rsidRDefault="00C413D4" w:rsidP="00CB7C91">
      <w:pPr>
        <w:rPr>
          <w:b/>
          <w:sz w:val="20"/>
          <w:szCs w:val="20"/>
        </w:rPr>
      </w:pPr>
      <w:r w:rsidRPr="00DE042E">
        <w:rPr>
          <w:b/>
          <w:sz w:val="20"/>
          <w:szCs w:val="20"/>
        </w:rPr>
        <w:t>Keywords</w:t>
      </w:r>
    </w:p>
    <w:p w14:paraId="120FF658" w14:textId="1BC977C1" w:rsidR="00153DC5" w:rsidRPr="00DE042E" w:rsidRDefault="00E317A9" w:rsidP="00CB7C91">
      <w:pPr>
        <w:rPr>
          <w:bCs/>
          <w:sz w:val="20"/>
          <w:szCs w:val="20"/>
        </w:rPr>
      </w:pPr>
      <w:r w:rsidRPr="00DE042E">
        <w:rPr>
          <w:bCs/>
          <w:sz w:val="20"/>
          <w:szCs w:val="20"/>
        </w:rPr>
        <w:t>P</w:t>
      </w:r>
      <w:r w:rsidR="0092101F" w:rsidRPr="00DE042E">
        <w:rPr>
          <w:bCs/>
          <w:sz w:val="20"/>
          <w:szCs w:val="20"/>
        </w:rPr>
        <w:t xml:space="preserve">reocupación por la COVID-19; </w:t>
      </w:r>
      <w:r w:rsidRPr="00DE042E">
        <w:rPr>
          <w:bCs/>
          <w:sz w:val="20"/>
          <w:szCs w:val="20"/>
        </w:rPr>
        <w:t>depre</w:t>
      </w:r>
      <w:r w:rsidR="0092101F" w:rsidRPr="00DE042E">
        <w:rPr>
          <w:bCs/>
          <w:sz w:val="20"/>
          <w:szCs w:val="20"/>
        </w:rPr>
        <w:t>sion; ansiedad; satisfacción con la vida; Perú</w:t>
      </w:r>
    </w:p>
    <w:p w14:paraId="3C2A8692" w14:textId="46796CA0" w:rsidR="00153DC5" w:rsidRPr="00DE042E" w:rsidRDefault="00153DC5" w:rsidP="00CB7C91">
      <w:pPr>
        <w:rPr>
          <w:bCs/>
          <w:sz w:val="20"/>
          <w:szCs w:val="20"/>
        </w:rPr>
      </w:pPr>
    </w:p>
    <w:p w14:paraId="1D18B459" w14:textId="572A4995" w:rsidR="009E37BF" w:rsidRPr="00DE042E" w:rsidRDefault="0092101F" w:rsidP="00CB7C91">
      <w:pPr>
        <w:pBdr>
          <w:top w:val="nil"/>
          <w:left w:val="nil"/>
          <w:bottom w:val="nil"/>
          <w:right w:val="nil"/>
          <w:between w:val="nil"/>
        </w:pBdr>
        <w:spacing w:after="120"/>
        <w:rPr>
          <w:b/>
          <w:smallCaps/>
          <w:color w:val="000000"/>
          <w:sz w:val="20"/>
          <w:szCs w:val="20"/>
        </w:rPr>
      </w:pPr>
      <w:r w:rsidRPr="00DE042E">
        <w:rPr>
          <w:b/>
          <w:smallCaps/>
          <w:color w:val="000000"/>
          <w:sz w:val="20"/>
          <w:szCs w:val="20"/>
        </w:rPr>
        <w:t>Abstract</w:t>
      </w:r>
    </w:p>
    <w:p w14:paraId="0C71BC1F" w14:textId="77777777" w:rsidR="00E317A9" w:rsidRPr="00DE042E" w:rsidRDefault="00E317A9" w:rsidP="00CB7C91">
      <w:pPr>
        <w:rPr>
          <w:sz w:val="20"/>
          <w:szCs w:val="20"/>
        </w:rPr>
      </w:pPr>
      <w:r w:rsidRPr="00DE042E">
        <w:rPr>
          <w:sz w:val="20"/>
          <w:szCs w:val="20"/>
        </w:rPr>
        <w:t>In order to determine whether depression, anxiety and concern about COVID-19 predict life satisfaction, a predictive study was conducted in 466 adults in the department of Puno, Peru. The instruments used were the COVID-19 Worry Scale (EPCov-19), the Patient Health Questionnarie-2 (PHQ-2), the Generalized Anxiety Disorder Scale-2 (GAD-2) and the Diener Life Satisfaction Scale (SWLS). Statistical tests such as student t, Pearson r, and multiple linear regression analysis were used. The results indicate significant differences between males and females, when comparing the mean values of depression, anxiety, concern about COVID-19 and life satisfaction, according to sex; also, significant correlations between variables were obtained (p &lt; .05). Regression analysis indicates that the depression variable (β = -.329) significantly predicts life satisfaction. In conclusion, depression as a state of mind of disinterest and displeasure with daily events, significantly predicted life satisfaction in the inhabitants of southern Peru. In addition, anxiety, depression and concern about COVID 19 were higher in women, while life satisfaction was higher in men.</w:t>
      </w:r>
    </w:p>
    <w:p w14:paraId="024AB454" w14:textId="77777777" w:rsidR="00E317A9" w:rsidRPr="00DE042E" w:rsidRDefault="00E317A9" w:rsidP="00CB7C91">
      <w:pPr>
        <w:rPr>
          <w:sz w:val="20"/>
          <w:szCs w:val="20"/>
        </w:rPr>
      </w:pPr>
    </w:p>
    <w:p w14:paraId="126AA7B0" w14:textId="0C375474" w:rsidR="009E37BF" w:rsidRPr="00DE042E" w:rsidRDefault="00E317A9" w:rsidP="00CB7C91">
      <w:pPr>
        <w:rPr>
          <w:b/>
          <w:sz w:val="20"/>
          <w:szCs w:val="20"/>
        </w:rPr>
      </w:pPr>
      <w:r w:rsidRPr="00DE042E">
        <w:rPr>
          <w:b/>
          <w:sz w:val="20"/>
          <w:szCs w:val="20"/>
        </w:rPr>
        <w:t>Keywords</w:t>
      </w:r>
    </w:p>
    <w:p w14:paraId="3B35E00C" w14:textId="1CAAEBD1" w:rsidR="00483D6B" w:rsidRPr="00DE042E" w:rsidRDefault="00E317A9" w:rsidP="00CB7C91">
      <w:pPr>
        <w:rPr>
          <w:b/>
        </w:rPr>
      </w:pPr>
      <w:r w:rsidRPr="00DE042E">
        <w:rPr>
          <w:sz w:val="20"/>
          <w:szCs w:val="20"/>
        </w:rPr>
        <w:t>COVID-19 concern; depression; anxiety; life satisfaction; Peru</w:t>
      </w:r>
    </w:p>
    <w:p w14:paraId="3F538DA7" w14:textId="254779DA" w:rsidR="00153DC5" w:rsidRPr="00A45820" w:rsidRDefault="0059034C" w:rsidP="00A45820">
      <w:pPr>
        <w:pStyle w:val="Ttuloprincipiodeartculo"/>
        <w:rPr>
          <w:lang w:val="es-419"/>
        </w:rPr>
      </w:pPr>
      <w:r w:rsidRPr="00DE042E">
        <w:br w:type="page"/>
      </w:r>
      <w:r w:rsidR="00E317A9" w:rsidRPr="00A45820">
        <w:rPr>
          <w:lang w:val="es-419"/>
        </w:rPr>
        <w:lastRenderedPageBreak/>
        <w:t>Depression, anxiety and concern about COVID-19 as predictors of life satisfaction in Peruvian adults</w:t>
      </w:r>
    </w:p>
    <w:p w14:paraId="4FA726CB" w14:textId="353DE2D4" w:rsidR="006A1BA2" w:rsidRPr="00DE042E" w:rsidRDefault="00153DC5" w:rsidP="00CB7C91">
      <w:pPr>
        <w:pStyle w:val="Ttulosinternos"/>
        <w:rPr>
          <w:bCs/>
          <w:lang w:val="es-419"/>
        </w:rPr>
      </w:pPr>
      <w:r w:rsidRPr="00DE042E">
        <w:rPr>
          <w:lang w:val="es-419"/>
        </w:rPr>
        <w:t>Introd</w:t>
      </w:r>
      <w:r w:rsidR="00E32653" w:rsidRPr="00DE042E">
        <w:rPr>
          <w:lang w:val="es-419"/>
        </w:rPr>
        <w:t>ucción</w:t>
      </w:r>
      <w:bookmarkStart w:id="0" w:name="_GoBack"/>
      <w:bookmarkEnd w:id="0"/>
    </w:p>
    <w:p w14:paraId="0020F7AF" w14:textId="5C3E0026" w:rsidR="00202116" w:rsidRPr="00DE042E" w:rsidRDefault="00202116" w:rsidP="00CB7C91">
      <w:pPr>
        <w:pStyle w:val="Prrafocomn"/>
        <w:jc w:val="left"/>
        <w:rPr>
          <w:lang w:val="es-419"/>
        </w:rPr>
      </w:pPr>
      <w:r w:rsidRPr="00DE042E">
        <w:rPr>
          <w:lang w:val="es-419"/>
        </w:rPr>
        <w:t>Fue a finales de diciembre del año 2019 cuando se reportaron los primeros casos de neumonía atípica, días más tarde, se identificó al agente etiológico como un nuevo coronavirus, actualmente conocido como SARS-Co V-2. Debido al acelerado número de contagios en China y la mayoría de países en el mundo, pasó de ser un brote aislado a ser una emergencia sanitaria mundial declarada Pandemia COVID-19 (Mojica-Crespo &amp; Morales-Crespo, 2020). Ante esta crisis, ha surgido una gran preocupación en la población debido a las repercusiones en la salud pública, la educación, la economía y el estilo de vida de las personas (Donthu &amp; Gustafsson, 2020; González et al., 2020; Murillo &amp; Duk, 2020).</w:t>
      </w:r>
    </w:p>
    <w:p w14:paraId="0BCAA6C8" w14:textId="4DE4DEDA" w:rsidR="00202116" w:rsidRPr="00DE042E" w:rsidRDefault="00202116" w:rsidP="00CB7C91">
      <w:pPr>
        <w:pStyle w:val="Prrafocomn"/>
        <w:jc w:val="left"/>
        <w:rPr>
          <w:lang w:val="es-419"/>
        </w:rPr>
      </w:pPr>
      <w:r w:rsidRPr="00DE042E">
        <w:rPr>
          <w:lang w:val="es-419"/>
        </w:rPr>
        <w:t xml:space="preserve">En el Perú, en un esfuerzo por </w:t>
      </w:r>
      <w:r w:rsidR="00B34864" w:rsidRPr="00DE042E">
        <w:rPr>
          <w:lang w:val="es-419"/>
        </w:rPr>
        <w:t>comprender</w:t>
      </w:r>
      <w:r w:rsidRPr="00DE042E">
        <w:rPr>
          <w:lang w:val="es-419"/>
        </w:rPr>
        <w:t xml:space="preserve"> el impacto a causa de la Pandemia, Mejia et al. (2020) estudiaron los factores asociados al Fatalismo ante la COVID-19 en 20 departamentos en el mes de marzo, concluyendo que, 36 % de la población estaba deprimida, 26 % pensaba que podría fallecer y 17 % que era el fin del mundo. Debido a lo reciente de esta enfermedad, otras investigaciones también han reportado efectos negativos sobre la salud mental (Torales et al., 2020), específicamente, se evidenció que las primeras respuestas emocionales tenían que ver con incertidumbre y miedo extremo (Urzúa et al., 2020), aunque según otras, estos efectos varían </w:t>
      </w:r>
      <w:r w:rsidR="00B34864" w:rsidRPr="00DE042E">
        <w:rPr>
          <w:lang w:val="es-419"/>
        </w:rPr>
        <w:t xml:space="preserve">de acuerdo al género, nivel educativo </w:t>
      </w:r>
      <w:r w:rsidRPr="00DE042E">
        <w:rPr>
          <w:lang w:val="es-419"/>
        </w:rPr>
        <w:t>y confort del hogar (Johnson et al., 2020).</w:t>
      </w:r>
    </w:p>
    <w:p w14:paraId="786CEE97" w14:textId="519888F2" w:rsidR="00202116" w:rsidRPr="00DE042E" w:rsidRDefault="00202116" w:rsidP="00CB7C91">
      <w:pPr>
        <w:pStyle w:val="Prrafocomn"/>
        <w:jc w:val="left"/>
        <w:rPr>
          <w:lang w:val="es-419"/>
        </w:rPr>
      </w:pPr>
      <w:r w:rsidRPr="00DE042E">
        <w:rPr>
          <w:lang w:val="es-419"/>
        </w:rPr>
        <w:t>Precisamente, una de las regiones en el Perú severamente afectad</w:t>
      </w:r>
      <w:r w:rsidR="00D772F5" w:rsidRPr="00DE042E">
        <w:rPr>
          <w:lang w:val="es-419"/>
        </w:rPr>
        <w:t>a, es aquella que se pensaba</w:t>
      </w:r>
      <w:r w:rsidRPr="00DE042E">
        <w:rPr>
          <w:lang w:val="es-419"/>
        </w:rPr>
        <w:t xml:space="preserve"> no sufriría mayores repercusiones debido a su gran altitud (Arias-Reyes et al., 2020); en este caso, el departamento de Puno se ubica a más de 3600 metros sobre el nivel del mar. Al respecto, últimos reportes </w:t>
      </w:r>
      <w:r w:rsidR="00433027" w:rsidRPr="00DE042E">
        <w:rPr>
          <w:lang w:val="es-419"/>
        </w:rPr>
        <w:t xml:space="preserve">en esta región </w:t>
      </w:r>
      <w:r w:rsidRPr="00DE042E">
        <w:rPr>
          <w:lang w:val="es-419"/>
        </w:rPr>
        <w:t>dan cuenta del colapso del sistema de salud (El Comercio, 2020), por lo que el gobierno tuvo que tomar parte y extender una cuarentena durante todo el mes de agosto (La Tercera, 2020). Ahora, enfocando la discusión en las reacciones de la población, al igual que en situaciones y experiencias anteriores se ha visto que la ansiedad, la depresión y la angustia, son los resultados psicológicos más comunes en situaciones de desastre (Norris et al., 2002).</w:t>
      </w:r>
    </w:p>
    <w:p w14:paraId="060A1E52" w14:textId="03361A8F" w:rsidR="00202116" w:rsidRPr="00DE042E" w:rsidRDefault="00202116" w:rsidP="00CB7C91">
      <w:pPr>
        <w:pStyle w:val="Prrafocomn"/>
        <w:jc w:val="left"/>
        <w:rPr>
          <w:lang w:val="es-419"/>
        </w:rPr>
      </w:pPr>
      <w:r w:rsidRPr="00DE042E">
        <w:rPr>
          <w:lang w:val="es-419"/>
        </w:rPr>
        <w:t xml:space="preserve">Esto hace suponer que la crisis sanitaria que viene experimentado esta región, estaría ocasionando no solo reacciones psicológicas, sino, que la gente vea afectada su seguridad personal y familiar, expresamente, el nivel de satisfacción con su vida actual. Respecto a este </w:t>
      </w:r>
      <w:r w:rsidRPr="00DE042E">
        <w:rPr>
          <w:lang w:val="es-419"/>
        </w:rPr>
        <w:lastRenderedPageBreak/>
        <w:t xml:space="preserve">constructo, se puede definir como un juicio cognitivo en el que el individuo evalúa según sus criterios cuan satisfecho se encuentra en su condición actual de vida (Gutiérrez et al., 2014), por ello, puede ser tomado en cuenta como una variable moderadora para </w:t>
      </w:r>
      <w:r w:rsidR="00215D49" w:rsidRPr="00DE042E">
        <w:rPr>
          <w:lang w:val="es-419"/>
        </w:rPr>
        <w:t>determinar el estado de la</w:t>
      </w:r>
      <w:r w:rsidRPr="00DE042E">
        <w:rPr>
          <w:lang w:val="es-419"/>
        </w:rPr>
        <w:t xml:space="preserve"> salud mental</w:t>
      </w:r>
      <w:r w:rsidR="00215D49" w:rsidRPr="00DE042E">
        <w:rPr>
          <w:lang w:val="es-419"/>
        </w:rPr>
        <w:t xml:space="preserve"> de una persona</w:t>
      </w:r>
      <w:r w:rsidRPr="00DE042E">
        <w:rPr>
          <w:lang w:val="es-419"/>
        </w:rPr>
        <w:t xml:space="preserve"> (Guney et al., 2010). </w:t>
      </w:r>
      <w:r w:rsidR="00773783" w:rsidRPr="00DE042E">
        <w:rPr>
          <w:lang w:val="es-419"/>
        </w:rPr>
        <w:t>En este sentido,</w:t>
      </w:r>
      <w:r w:rsidRPr="00DE042E">
        <w:rPr>
          <w:lang w:val="es-419"/>
        </w:rPr>
        <w:t xml:space="preserve"> se espera que la satisfacción con la vida pueda funcionar co</w:t>
      </w:r>
      <w:r w:rsidR="00773783" w:rsidRPr="00DE042E">
        <w:rPr>
          <w:lang w:val="es-419"/>
        </w:rPr>
        <w:t>mo un amortiguador frente a situacio</w:t>
      </w:r>
      <w:r w:rsidRPr="00DE042E">
        <w:rPr>
          <w:lang w:val="es-419"/>
        </w:rPr>
        <w:t>n</w:t>
      </w:r>
      <w:r w:rsidR="00773783" w:rsidRPr="00DE042E">
        <w:rPr>
          <w:lang w:val="es-419"/>
        </w:rPr>
        <w:t>es de riesgo</w:t>
      </w:r>
      <w:r w:rsidRPr="00DE042E">
        <w:rPr>
          <w:lang w:val="es-419"/>
        </w:rPr>
        <w:t>,</w:t>
      </w:r>
      <w:r w:rsidR="00773783" w:rsidRPr="00DE042E">
        <w:rPr>
          <w:lang w:val="es-419"/>
        </w:rPr>
        <w:t xml:space="preserve"> lo cual </w:t>
      </w:r>
      <w:r w:rsidRPr="00DE042E">
        <w:rPr>
          <w:lang w:val="es-419"/>
        </w:rPr>
        <w:t xml:space="preserve">no quiere decir que suprima las preocupaciones </w:t>
      </w:r>
      <w:r w:rsidR="00773783" w:rsidRPr="00DE042E">
        <w:rPr>
          <w:lang w:val="es-419"/>
        </w:rPr>
        <w:t>en el escenario de la pandemia, más bien, puede impulsar</w:t>
      </w:r>
      <w:r w:rsidRPr="00DE042E">
        <w:rPr>
          <w:lang w:val="es-419"/>
        </w:rPr>
        <w:t xml:space="preserve"> una actitud más racional con posibilidades de generar mejores estrategias de afrontamiento hacia el evento (Trzebiński et al., 2020).</w:t>
      </w:r>
    </w:p>
    <w:p w14:paraId="4D39E3B7" w14:textId="4A931CD5" w:rsidR="00202116" w:rsidRPr="00DE042E" w:rsidRDefault="00202116" w:rsidP="00CB7C91">
      <w:pPr>
        <w:pStyle w:val="Prrafocomn"/>
        <w:jc w:val="left"/>
        <w:rPr>
          <w:lang w:val="es-419"/>
        </w:rPr>
      </w:pPr>
      <w:r w:rsidRPr="00DE042E">
        <w:rPr>
          <w:lang w:val="es-419"/>
        </w:rPr>
        <w:t>En cuanto a los predictores de la satisfacción con la vida, la literatura científica d</w:t>
      </w:r>
      <w:r w:rsidR="00475FE2" w:rsidRPr="00DE042E">
        <w:rPr>
          <w:lang w:val="es-419"/>
        </w:rPr>
        <w:t>a cuenta de algunos importantes, al respecto,</w:t>
      </w:r>
      <w:r w:rsidRPr="00DE042E">
        <w:rPr>
          <w:lang w:val="es-419"/>
        </w:rPr>
        <w:t xml:space="preserve"> Gómes-Restrepo et al. (2013) revelaron que las personas que no se sienten satisfechas con su vida, que no perciben tener calidad de vida y que sienten que no tienen esperanza, corren el riesgo de experimentar alteraciones psicológicas, principalmente trastornos </w:t>
      </w:r>
      <w:r w:rsidR="00475FE2" w:rsidRPr="00DE042E">
        <w:rPr>
          <w:lang w:val="es-419"/>
        </w:rPr>
        <w:t>psicológicos</w:t>
      </w:r>
      <w:r w:rsidRPr="00DE042E">
        <w:rPr>
          <w:lang w:val="es-419"/>
        </w:rPr>
        <w:t xml:space="preserve"> como la depresión y ansiedad (Nes et al., 2013). Otro grupo de investigadores asevera por su parte que el nivel de satisfacción con la vida podría predecirse significativamente por su nivel de depresión (Bulut et al., 2010). Aunado a esto, Eng et al. (2005) hacen referencia a los trastornos de ansiedad como otro factor asociado, y junto con Dryman et al. (2016) y otros investigadores proponen que existe una correlación negativa entre la ansiedad y la satisfacción con la vida (Guney et al., 2010), aunque, en algunos contextos se vieron también resultados contradictorios en población de jóvenes (Oladipo et al., 2013).</w:t>
      </w:r>
    </w:p>
    <w:p w14:paraId="40E1B899" w14:textId="63CA8F44" w:rsidR="00202116" w:rsidRPr="00DE042E" w:rsidRDefault="00202116" w:rsidP="00CB7C91">
      <w:pPr>
        <w:pStyle w:val="Prrafocomn"/>
        <w:jc w:val="left"/>
        <w:rPr>
          <w:lang w:val="es-419"/>
        </w:rPr>
      </w:pPr>
      <w:r w:rsidRPr="00DE042E">
        <w:rPr>
          <w:lang w:val="es-419"/>
        </w:rPr>
        <w:t xml:space="preserve">A estos dos factores, se suma otro que en el contexto actual es más frecuente, la preocupación por </w:t>
      </w:r>
      <w:r w:rsidR="00E73FE7" w:rsidRPr="00DE042E">
        <w:rPr>
          <w:lang w:val="es-419"/>
        </w:rPr>
        <w:t>la</w:t>
      </w:r>
      <w:r w:rsidRPr="00DE042E">
        <w:rPr>
          <w:lang w:val="es-419"/>
        </w:rPr>
        <w:t xml:space="preserve"> C</w:t>
      </w:r>
      <w:r w:rsidR="0047779B" w:rsidRPr="00DE042E">
        <w:rPr>
          <w:lang w:val="es-419"/>
        </w:rPr>
        <w:t>OVID-19 (Johnson et al., 2020), que puede ser</w:t>
      </w:r>
      <w:r w:rsidR="00327290" w:rsidRPr="00DE042E">
        <w:rPr>
          <w:lang w:val="es-419"/>
        </w:rPr>
        <w:t xml:space="preserve"> entendida</w:t>
      </w:r>
      <w:r w:rsidRPr="00DE042E">
        <w:rPr>
          <w:lang w:val="es-419"/>
        </w:rPr>
        <w:t xml:space="preserve"> como la sensación de incertidumbre, temor y miedo ant</w:t>
      </w:r>
      <w:r w:rsidR="00327290" w:rsidRPr="00DE042E">
        <w:rPr>
          <w:lang w:val="es-419"/>
        </w:rPr>
        <w:t>e la posibilidad de enfermarse, que a su vez, produce</w:t>
      </w:r>
      <w:r w:rsidRPr="00DE042E">
        <w:rPr>
          <w:lang w:val="es-419"/>
        </w:rPr>
        <w:t xml:space="preserve"> cambios en las actitudes y conductas de la</w:t>
      </w:r>
      <w:r w:rsidR="0047779B" w:rsidRPr="00DE042E">
        <w:rPr>
          <w:lang w:val="es-419"/>
        </w:rPr>
        <w:t xml:space="preserve">s personas (Ruiz et al., 2020); tal como en el caso de </w:t>
      </w:r>
      <w:r w:rsidRPr="00DE042E">
        <w:rPr>
          <w:lang w:val="es-419"/>
        </w:rPr>
        <w:t>la población de</w:t>
      </w:r>
      <w:r w:rsidR="0047779B" w:rsidRPr="00DE042E">
        <w:rPr>
          <w:lang w:val="es-419"/>
        </w:rPr>
        <w:t>l departamento de</w:t>
      </w:r>
      <w:r w:rsidRPr="00DE042E">
        <w:rPr>
          <w:lang w:val="es-419"/>
        </w:rPr>
        <w:t xml:space="preserve"> Puno, </w:t>
      </w:r>
      <w:r w:rsidR="00E43AB2" w:rsidRPr="00DE042E">
        <w:rPr>
          <w:lang w:val="es-419"/>
        </w:rPr>
        <w:t xml:space="preserve">donde </w:t>
      </w:r>
      <w:r w:rsidRPr="00DE042E">
        <w:rPr>
          <w:lang w:val="es-419"/>
        </w:rPr>
        <w:t>las medidas restrictivas como el aislamiento soc</w:t>
      </w:r>
      <w:r w:rsidR="00D14A84" w:rsidRPr="00DE042E">
        <w:rPr>
          <w:lang w:val="es-419"/>
        </w:rPr>
        <w:t>ial y la cuarentena han generado repercusiones en su estado emocional</w:t>
      </w:r>
      <w:r w:rsidRPr="00DE042E">
        <w:rPr>
          <w:lang w:val="es-419"/>
        </w:rPr>
        <w:t xml:space="preserve">, </w:t>
      </w:r>
      <w:r w:rsidR="00D14A84" w:rsidRPr="00DE042E">
        <w:rPr>
          <w:lang w:val="es-419"/>
        </w:rPr>
        <w:t>un tema que precisamente aún no es investigado, pues no se sabe con precisión</w:t>
      </w:r>
      <w:r w:rsidRPr="00DE042E">
        <w:rPr>
          <w:lang w:val="es-419"/>
        </w:rPr>
        <w:t xml:space="preserve"> cómo están afectando estos cambios en la salud mental de las personas (Zhang et al. 2020; Satici et al. 2020)</w:t>
      </w:r>
      <w:r w:rsidR="00D14A84" w:rsidRPr="00DE042E">
        <w:rPr>
          <w:lang w:val="es-419"/>
        </w:rPr>
        <w:t>.</w:t>
      </w:r>
    </w:p>
    <w:p w14:paraId="542A3D32" w14:textId="6CE71E5C" w:rsidR="00CE7D65" w:rsidRPr="00DE042E" w:rsidRDefault="00202116" w:rsidP="00CB7C91">
      <w:pPr>
        <w:pStyle w:val="Prrafocomn"/>
        <w:jc w:val="left"/>
        <w:rPr>
          <w:lang w:val="es-419"/>
        </w:rPr>
      </w:pPr>
      <w:r w:rsidRPr="00DE042E">
        <w:rPr>
          <w:lang w:val="es-419"/>
        </w:rPr>
        <w:t>Por lo mencionado, y tomando en cuenta la importancia de estudiar los determinantes de la salud mental para poder motivar intervenciones de tipo psicosocial y medico (Steverink &amp; Lindenberg, 2006), es que el objetiv</w:t>
      </w:r>
      <w:r w:rsidR="002641F5" w:rsidRPr="00DE042E">
        <w:rPr>
          <w:lang w:val="es-419"/>
        </w:rPr>
        <w:t>o de la presente investigación es</w:t>
      </w:r>
      <w:r w:rsidRPr="00DE042E">
        <w:rPr>
          <w:lang w:val="es-419"/>
        </w:rPr>
        <w:t xml:space="preserve"> determinar si la </w:t>
      </w:r>
      <w:r w:rsidR="002641F5" w:rsidRPr="00DE042E">
        <w:rPr>
          <w:lang w:val="es-419"/>
        </w:rPr>
        <w:t xml:space="preserve">depresión, </w:t>
      </w:r>
      <w:r w:rsidR="002641F5" w:rsidRPr="00DE042E">
        <w:rPr>
          <w:lang w:val="es-419"/>
        </w:rPr>
        <w:lastRenderedPageBreak/>
        <w:t>ansiedad y la preocupación por la COVID-19</w:t>
      </w:r>
      <w:r w:rsidRPr="00DE042E">
        <w:rPr>
          <w:lang w:val="es-419"/>
        </w:rPr>
        <w:t xml:space="preserve"> </w:t>
      </w:r>
      <w:r w:rsidR="002641F5" w:rsidRPr="00DE042E">
        <w:rPr>
          <w:lang w:val="es-419"/>
        </w:rPr>
        <w:t xml:space="preserve">predicen </w:t>
      </w:r>
      <w:r w:rsidRPr="00DE042E">
        <w:rPr>
          <w:lang w:val="es-419"/>
        </w:rPr>
        <w:t xml:space="preserve">la satisfacción con la </w:t>
      </w:r>
      <w:r w:rsidR="002641F5" w:rsidRPr="00DE042E">
        <w:rPr>
          <w:lang w:val="es-419"/>
        </w:rPr>
        <w:t>vida en adultos peruanos del departamento de Puno, Perú.</w:t>
      </w:r>
    </w:p>
    <w:p w14:paraId="2254AC27" w14:textId="04646EA8" w:rsidR="006F7E7E" w:rsidRPr="00DE042E" w:rsidRDefault="00297D04" w:rsidP="00CB7C91">
      <w:pPr>
        <w:pStyle w:val="Ttulosinternos"/>
        <w:rPr>
          <w:lang w:val="es-419"/>
        </w:rPr>
      </w:pPr>
      <w:r w:rsidRPr="00DE042E">
        <w:rPr>
          <w:lang w:val="es-419"/>
        </w:rPr>
        <w:t>Método</w:t>
      </w:r>
    </w:p>
    <w:p w14:paraId="27973823" w14:textId="37871A51" w:rsidR="00C90F14" w:rsidRPr="00DE042E" w:rsidRDefault="00C90F14" w:rsidP="00CB7C91">
      <w:pPr>
        <w:pStyle w:val="SubtituloInterno"/>
        <w:jc w:val="left"/>
        <w:rPr>
          <w:rFonts w:eastAsia="Calibri"/>
          <w:lang w:val="es-419"/>
        </w:rPr>
      </w:pPr>
      <w:r w:rsidRPr="00DE042E">
        <w:rPr>
          <w:rFonts w:eastAsia="Calibri"/>
          <w:lang w:val="es-419"/>
        </w:rPr>
        <w:t>Diseño</w:t>
      </w:r>
    </w:p>
    <w:p w14:paraId="228ADCF4" w14:textId="5E449DDE" w:rsidR="009850BE" w:rsidRPr="00DE042E" w:rsidRDefault="009167A9" w:rsidP="00CB7C91">
      <w:pPr>
        <w:pStyle w:val="Prrafocomn"/>
        <w:jc w:val="left"/>
        <w:rPr>
          <w:rFonts w:eastAsia="Calibri"/>
          <w:lang w:val="es-419"/>
        </w:rPr>
      </w:pPr>
      <w:r w:rsidRPr="00DE042E">
        <w:rPr>
          <w:rFonts w:eastAsia="Calibri"/>
          <w:lang w:val="es-419"/>
        </w:rPr>
        <w:t>Según la clasificación propuesta por Ato, López, y Benavente (2013), la presente investigación corre</w:t>
      </w:r>
      <w:r w:rsidR="00C90F14" w:rsidRPr="00DE042E">
        <w:rPr>
          <w:rFonts w:eastAsia="Calibri"/>
          <w:lang w:val="es-419"/>
        </w:rPr>
        <w:t>sponde a un estudio predictivo y transversal, donde, las variables independientes fueron depresión, ansiedad y preocupación por la COVID-19, y, la variable dependiente fue la satisfacción con la vida.</w:t>
      </w:r>
    </w:p>
    <w:p w14:paraId="2F19162A" w14:textId="13187C3A" w:rsidR="006F7E7E" w:rsidRPr="00DE042E" w:rsidRDefault="009167A9" w:rsidP="00CB7C91">
      <w:pPr>
        <w:pStyle w:val="SubtituloInterno"/>
        <w:jc w:val="left"/>
        <w:rPr>
          <w:rFonts w:eastAsia="Calibri"/>
          <w:lang w:val="es-419"/>
        </w:rPr>
      </w:pPr>
      <w:r w:rsidRPr="00DE042E">
        <w:rPr>
          <w:rFonts w:eastAsia="Calibri"/>
          <w:lang w:val="es-419"/>
        </w:rPr>
        <w:t>Participantes</w:t>
      </w:r>
    </w:p>
    <w:p w14:paraId="2ECD28CA" w14:textId="081657DC" w:rsidR="006F7E7E" w:rsidRPr="00DE042E" w:rsidRDefault="00231BED" w:rsidP="00CB7C91">
      <w:pPr>
        <w:pStyle w:val="Prrafocomn"/>
        <w:jc w:val="left"/>
        <w:rPr>
          <w:lang w:val="es-419" w:eastAsia="en-US"/>
        </w:rPr>
      </w:pPr>
      <w:r w:rsidRPr="00DE042E">
        <w:rPr>
          <w:lang w:val="es-419" w:eastAsia="en-US"/>
        </w:rPr>
        <w:t>A partir de un muestreo no probabilístico, participaron voluntariamente 466 adultos del departamento de Puno, Perú. En detalle, la tabla 1 muestra que el 51.9% fueron mujeres, 36.1% tenía entre 18 a 24 años de edad, 17% trabaja en el sector educación (estatal), 14.8% en construcción, 11.2% en el sector comercio y 21% en otros rubros. Finalmente, 48.7% vive en la provincia de Puno y 35.8% en la provincia de San Román.</w:t>
      </w:r>
    </w:p>
    <w:p w14:paraId="5C35511C" w14:textId="77777777" w:rsidR="00BB72D9" w:rsidRPr="00DE042E" w:rsidRDefault="00BB72D9" w:rsidP="00CB7C91">
      <w:pPr>
        <w:pStyle w:val="Prrafocomn"/>
        <w:jc w:val="left"/>
        <w:rPr>
          <w:lang w:val="es-419" w:eastAsia="en-US"/>
        </w:rPr>
      </w:pPr>
    </w:p>
    <w:p w14:paraId="5573351F" w14:textId="77777777" w:rsidR="00BB72D9" w:rsidRPr="00DE042E" w:rsidRDefault="00BB72D9" w:rsidP="00CB7C91">
      <w:pPr>
        <w:autoSpaceDE w:val="0"/>
        <w:autoSpaceDN w:val="0"/>
        <w:adjustRightInd w:val="0"/>
        <w:spacing w:line="360" w:lineRule="auto"/>
        <w:rPr>
          <w:color w:val="000000" w:themeColor="text1"/>
          <w:sz w:val="20"/>
          <w:szCs w:val="20"/>
          <w:lang w:eastAsia="en-US"/>
        </w:rPr>
      </w:pPr>
      <w:r w:rsidRPr="00DE042E">
        <w:rPr>
          <w:color w:val="000000" w:themeColor="text1"/>
          <w:sz w:val="20"/>
          <w:szCs w:val="20"/>
        </w:rPr>
        <w:t>Tabla 1</w:t>
      </w:r>
    </w:p>
    <w:p w14:paraId="3FC9CC3D" w14:textId="77777777" w:rsidR="00BB72D9" w:rsidRPr="00DE042E" w:rsidRDefault="00BB72D9" w:rsidP="00CB7C91">
      <w:pPr>
        <w:autoSpaceDE w:val="0"/>
        <w:autoSpaceDN w:val="0"/>
        <w:adjustRightInd w:val="0"/>
        <w:spacing w:line="360" w:lineRule="auto"/>
        <w:rPr>
          <w:i/>
          <w:color w:val="000000" w:themeColor="text1"/>
          <w:sz w:val="20"/>
          <w:szCs w:val="20"/>
        </w:rPr>
      </w:pPr>
      <w:r w:rsidRPr="00DE042E">
        <w:rPr>
          <w:i/>
          <w:color w:val="000000" w:themeColor="text1"/>
          <w:sz w:val="20"/>
          <w:szCs w:val="20"/>
        </w:rPr>
        <w:t>Características sociodemográficas de los participantes (n = 466)</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152"/>
        <w:gridCol w:w="3136"/>
        <w:gridCol w:w="1537"/>
        <w:gridCol w:w="1535"/>
      </w:tblGrid>
      <w:tr w:rsidR="00BB72D9" w:rsidRPr="00DE042E" w14:paraId="109DFBAA" w14:textId="77777777" w:rsidTr="00BB72D9">
        <w:trPr>
          <w:trHeight w:val="330"/>
        </w:trPr>
        <w:tc>
          <w:tcPr>
            <w:tcW w:w="3359" w:type="pct"/>
            <w:gridSpan w:val="2"/>
            <w:tcBorders>
              <w:top w:val="single" w:sz="4" w:space="0" w:color="auto"/>
              <w:left w:val="nil"/>
              <w:bottom w:val="single" w:sz="4" w:space="0" w:color="auto"/>
              <w:right w:val="nil"/>
            </w:tcBorders>
            <w:noWrap/>
            <w:vAlign w:val="bottom"/>
            <w:hideMark/>
          </w:tcPr>
          <w:p w14:paraId="7C049592" w14:textId="63185772" w:rsidR="00BB72D9" w:rsidRPr="00DE042E" w:rsidRDefault="00BB72D9" w:rsidP="00CB7C91">
            <w:pPr>
              <w:spacing w:line="360" w:lineRule="auto"/>
              <w:rPr>
                <w:color w:val="000000"/>
                <w:sz w:val="20"/>
                <w:szCs w:val="20"/>
                <w:lang w:eastAsia="es-PE"/>
              </w:rPr>
            </w:pPr>
            <w:r w:rsidRPr="00DE042E">
              <w:rPr>
                <w:color w:val="000000"/>
                <w:sz w:val="20"/>
                <w:szCs w:val="20"/>
                <w:lang w:eastAsia="es-PE"/>
              </w:rPr>
              <w:t>Variable</w:t>
            </w:r>
            <w:r w:rsidR="007141D5" w:rsidRPr="00DE042E">
              <w:rPr>
                <w:color w:val="000000"/>
                <w:sz w:val="20"/>
                <w:szCs w:val="20"/>
                <w:lang w:eastAsia="es-PE"/>
              </w:rPr>
              <w:t>s</w:t>
            </w:r>
          </w:p>
        </w:tc>
        <w:tc>
          <w:tcPr>
            <w:tcW w:w="821" w:type="pct"/>
            <w:tcBorders>
              <w:top w:val="single" w:sz="4" w:space="0" w:color="auto"/>
              <w:left w:val="nil"/>
              <w:bottom w:val="single" w:sz="4" w:space="0" w:color="auto"/>
              <w:right w:val="nil"/>
            </w:tcBorders>
            <w:vAlign w:val="bottom"/>
            <w:hideMark/>
          </w:tcPr>
          <w:p w14:paraId="56EB0CF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f</w:t>
            </w:r>
          </w:p>
        </w:tc>
        <w:tc>
          <w:tcPr>
            <w:tcW w:w="820" w:type="pct"/>
            <w:tcBorders>
              <w:top w:val="single" w:sz="4" w:space="0" w:color="auto"/>
              <w:left w:val="nil"/>
              <w:bottom w:val="single" w:sz="4" w:space="0" w:color="auto"/>
              <w:right w:val="nil"/>
            </w:tcBorders>
            <w:vAlign w:val="bottom"/>
            <w:hideMark/>
          </w:tcPr>
          <w:p w14:paraId="125CE3D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w:t>
            </w:r>
          </w:p>
        </w:tc>
      </w:tr>
      <w:tr w:rsidR="00BB72D9" w:rsidRPr="00DE042E" w14:paraId="71D396CD" w14:textId="77777777" w:rsidTr="00BB72D9">
        <w:trPr>
          <w:trHeight w:val="315"/>
        </w:trPr>
        <w:tc>
          <w:tcPr>
            <w:tcW w:w="1684" w:type="pct"/>
            <w:tcBorders>
              <w:top w:val="single" w:sz="4" w:space="0" w:color="auto"/>
              <w:left w:val="nil"/>
              <w:bottom w:val="nil"/>
              <w:right w:val="nil"/>
            </w:tcBorders>
            <w:noWrap/>
            <w:vAlign w:val="bottom"/>
            <w:hideMark/>
          </w:tcPr>
          <w:p w14:paraId="17CC5797"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Sexo</w:t>
            </w:r>
          </w:p>
        </w:tc>
        <w:tc>
          <w:tcPr>
            <w:tcW w:w="1675" w:type="pct"/>
            <w:tcBorders>
              <w:top w:val="single" w:sz="4" w:space="0" w:color="auto"/>
              <w:left w:val="nil"/>
              <w:bottom w:val="nil"/>
              <w:right w:val="nil"/>
            </w:tcBorders>
            <w:hideMark/>
          </w:tcPr>
          <w:p w14:paraId="1549037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Varón</w:t>
            </w:r>
          </w:p>
        </w:tc>
        <w:tc>
          <w:tcPr>
            <w:tcW w:w="821" w:type="pct"/>
            <w:tcBorders>
              <w:top w:val="single" w:sz="4" w:space="0" w:color="auto"/>
              <w:left w:val="nil"/>
              <w:bottom w:val="nil"/>
              <w:right w:val="nil"/>
            </w:tcBorders>
            <w:noWrap/>
            <w:vAlign w:val="center"/>
            <w:hideMark/>
          </w:tcPr>
          <w:p w14:paraId="2D179EC3"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224</w:t>
            </w:r>
          </w:p>
        </w:tc>
        <w:tc>
          <w:tcPr>
            <w:tcW w:w="820" w:type="pct"/>
            <w:tcBorders>
              <w:top w:val="single" w:sz="4" w:space="0" w:color="auto"/>
              <w:left w:val="nil"/>
              <w:bottom w:val="nil"/>
              <w:right w:val="nil"/>
            </w:tcBorders>
            <w:noWrap/>
            <w:vAlign w:val="center"/>
            <w:hideMark/>
          </w:tcPr>
          <w:p w14:paraId="7E327C32"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48.1</w:t>
            </w:r>
          </w:p>
        </w:tc>
      </w:tr>
      <w:tr w:rsidR="00BB72D9" w:rsidRPr="00DE042E" w14:paraId="7DF0A011" w14:textId="77777777" w:rsidTr="00BB72D9">
        <w:trPr>
          <w:trHeight w:val="315"/>
        </w:trPr>
        <w:tc>
          <w:tcPr>
            <w:tcW w:w="1684" w:type="pct"/>
            <w:tcBorders>
              <w:top w:val="nil"/>
              <w:left w:val="nil"/>
              <w:bottom w:val="nil"/>
              <w:right w:val="nil"/>
            </w:tcBorders>
            <w:noWrap/>
            <w:vAlign w:val="bottom"/>
            <w:hideMark/>
          </w:tcPr>
          <w:p w14:paraId="5D4D346D"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75E12079"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Mujer</w:t>
            </w:r>
          </w:p>
        </w:tc>
        <w:tc>
          <w:tcPr>
            <w:tcW w:w="821" w:type="pct"/>
            <w:tcBorders>
              <w:top w:val="nil"/>
              <w:left w:val="nil"/>
              <w:bottom w:val="nil"/>
              <w:right w:val="nil"/>
            </w:tcBorders>
            <w:noWrap/>
            <w:vAlign w:val="center"/>
            <w:hideMark/>
          </w:tcPr>
          <w:p w14:paraId="58A7AAD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242</w:t>
            </w:r>
          </w:p>
        </w:tc>
        <w:tc>
          <w:tcPr>
            <w:tcW w:w="820" w:type="pct"/>
            <w:tcBorders>
              <w:top w:val="nil"/>
              <w:left w:val="nil"/>
              <w:bottom w:val="nil"/>
              <w:right w:val="nil"/>
            </w:tcBorders>
            <w:noWrap/>
            <w:vAlign w:val="center"/>
            <w:hideMark/>
          </w:tcPr>
          <w:p w14:paraId="335278CA"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51.9</w:t>
            </w:r>
          </w:p>
        </w:tc>
      </w:tr>
      <w:tr w:rsidR="00BB72D9" w:rsidRPr="00DE042E" w14:paraId="5D5EFEE3" w14:textId="77777777" w:rsidTr="00BB72D9">
        <w:trPr>
          <w:trHeight w:val="315"/>
        </w:trPr>
        <w:tc>
          <w:tcPr>
            <w:tcW w:w="1684" w:type="pct"/>
            <w:tcBorders>
              <w:top w:val="nil"/>
              <w:left w:val="nil"/>
              <w:bottom w:val="nil"/>
              <w:right w:val="nil"/>
            </w:tcBorders>
            <w:noWrap/>
            <w:vAlign w:val="bottom"/>
            <w:hideMark/>
          </w:tcPr>
          <w:p w14:paraId="13399F58"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Edad</w:t>
            </w:r>
          </w:p>
        </w:tc>
        <w:tc>
          <w:tcPr>
            <w:tcW w:w="1675" w:type="pct"/>
            <w:tcBorders>
              <w:top w:val="nil"/>
              <w:left w:val="nil"/>
              <w:bottom w:val="nil"/>
              <w:right w:val="nil"/>
            </w:tcBorders>
            <w:hideMark/>
          </w:tcPr>
          <w:p w14:paraId="24A2AD7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18 a 24 años</w:t>
            </w:r>
          </w:p>
        </w:tc>
        <w:tc>
          <w:tcPr>
            <w:tcW w:w="821" w:type="pct"/>
            <w:tcBorders>
              <w:top w:val="nil"/>
              <w:left w:val="nil"/>
              <w:bottom w:val="nil"/>
              <w:right w:val="nil"/>
            </w:tcBorders>
            <w:noWrap/>
            <w:vAlign w:val="center"/>
            <w:hideMark/>
          </w:tcPr>
          <w:p w14:paraId="0FE668E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168</w:t>
            </w:r>
          </w:p>
        </w:tc>
        <w:tc>
          <w:tcPr>
            <w:tcW w:w="820" w:type="pct"/>
            <w:tcBorders>
              <w:top w:val="nil"/>
              <w:left w:val="nil"/>
              <w:bottom w:val="nil"/>
              <w:right w:val="nil"/>
            </w:tcBorders>
            <w:noWrap/>
            <w:vAlign w:val="center"/>
            <w:hideMark/>
          </w:tcPr>
          <w:p w14:paraId="1554481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36.1</w:t>
            </w:r>
          </w:p>
        </w:tc>
      </w:tr>
      <w:tr w:rsidR="00BB72D9" w:rsidRPr="00DE042E" w14:paraId="5284031D" w14:textId="77777777" w:rsidTr="00BB72D9">
        <w:trPr>
          <w:trHeight w:val="300"/>
        </w:trPr>
        <w:tc>
          <w:tcPr>
            <w:tcW w:w="1684" w:type="pct"/>
            <w:tcBorders>
              <w:top w:val="nil"/>
              <w:left w:val="nil"/>
              <w:bottom w:val="nil"/>
              <w:right w:val="nil"/>
            </w:tcBorders>
            <w:noWrap/>
            <w:vAlign w:val="bottom"/>
            <w:hideMark/>
          </w:tcPr>
          <w:p w14:paraId="20652475"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633455B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25 a 30 años</w:t>
            </w:r>
          </w:p>
        </w:tc>
        <w:tc>
          <w:tcPr>
            <w:tcW w:w="821" w:type="pct"/>
            <w:tcBorders>
              <w:top w:val="nil"/>
              <w:left w:val="nil"/>
              <w:bottom w:val="nil"/>
              <w:right w:val="nil"/>
            </w:tcBorders>
            <w:noWrap/>
            <w:vAlign w:val="center"/>
            <w:hideMark/>
          </w:tcPr>
          <w:p w14:paraId="69CA77E5"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129</w:t>
            </w:r>
          </w:p>
        </w:tc>
        <w:tc>
          <w:tcPr>
            <w:tcW w:w="820" w:type="pct"/>
            <w:tcBorders>
              <w:top w:val="nil"/>
              <w:left w:val="nil"/>
              <w:bottom w:val="nil"/>
              <w:right w:val="nil"/>
            </w:tcBorders>
            <w:noWrap/>
            <w:vAlign w:val="center"/>
            <w:hideMark/>
          </w:tcPr>
          <w:p w14:paraId="17668188"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27.7</w:t>
            </w:r>
          </w:p>
        </w:tc>
      </w:tr>
      <w:tr w:rsidR="00BB72D9" w:rsidRPr="00DE042E" w14:paraId="7CA6B787" w14:textId="77777777" w:rsidTr="00BB72D9">
        <w:trPr>
          <w:trHeight w:val="300"/>
        </w:trPr>
        <w:tc>
          <w:tcPr>
            <w:tcW w:w="1684" w:type="pct"/>
            <w:tcBorders>
              <w:top w:val="nil"/>
              <w:left w:val="nil"/>
              <w:bottom w:val="nil"/>
              <w:right w:val="nil"/>
            </w:tcBorders>
            <w:noWrap/>
            <w:vAlign w:val="bottom"/>
            <w:hideMark/>
          </w:tcPr>
          <w:p w14:paraId="2D785F08"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7DE2742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31 a 40 años</w:t>
            </w:r>
          </w:p>
        </w:tc>
        <w:tc>
          <w:tcPr>
            <w:tcW w:w="821" w:type="pct"/>
            <w:tcBorders>
              <w:top w:val="nil"/>
              <w:left w:val="nil"/>
              <w:bottom w:val="nil"/>
              <w:right w:val="nil"/>
            </w:tcBorders>
            <w:noWrap/>
            <w:vAlign w:val="center"/>
            <w:hideMark/>
          </w:tcPr>
          <w:p w14:paraId="738F93A6"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67</w:t>
            </w:r>
          </w:p>
        </w:tc>
        <w:tc>
          <w:tcPr>
            <w:tcW w:w="820" w:type="pct"/>
            <w:tcBorders>
              <w:top w:val="nil"/>
              <w:left w:val="nil"/>
              <w:bottom w:val="nil"/>
              <w:right w:val="nil"/>
            </w:tcBorders>
            <w:noWrap/>
            <w:vAlign w:val="center"/>
            <w:hideMark/>
          </w:tcPr>
          <w:p w14:paraId="66203539"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14.4</w:t>
            </w:r>
          </w:p>
        </w:tc>
      </w:tr>
      <w:tr w:rsidR="00BB72D9" w:rsidRPr="00DE042E" w14:paraId="1CD56191" w14:textId="77777777" w:rsidTr="00BB72D9">
        <w:trPr>
          <w:trHeight w:val="300"/>
        </w:trPr>
        <w:tc>
          <w:tcPr>
            <w:tcW w:w="1684" w:type="pct"/>
            <w:tcBorders>
              <w:top w:val="nil"/>
              <w:left w:val="nil"/>
              <w:bottom w:val="nil"/>
              <w:right w:val="nil"/>
            </w:tcBorders>
            <w:noWrap/>
            <w:vAlign w:val="bottom"/>
            <w:hideMark/>
          </w:tcPr>
          <w:p w14:paraId="22DB9E7F"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5E5C29B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41 a 50 años</w:t>
            </w:r>
          </w:p>
        </w:tc>
        <w:tc>
          <w:tcPr>
            <w:tcW w:w="821" w:type="pct"/>
            <w:tcBorders>
              <w:top w:val="nil"/>
              <w:left w:val="nil"/>
              <w:bottom w:val="nil"/>
              <w:right w:val="nil"/>
            </w:tcBorders>
            <w:noWrap/>
            <w:vAlign w:val="center"/>
            <w:hideMark/>
          </w:tcPr>
          <w:p w14:paraId="10B8C7BE"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57</w:t>
            </w:r>
          </w:p>
        </w:tc>
        <w:tc>
          <w:tcPr>
            <w:tcW w:w="820" w:type="pct"/>
            <w:tcBorders>
              <w:top w:val="nil"/>
              <w:left w:val="nil"/>
              <w:bottom w:val="nil"/>
              <w:right w:val="nil"/>
            </w:tcBorders>
            <w:noWrap/>
            <w:vAlign w:val="center"/>
            <w:hideMark/>
          </w:tcPr>
          <w:p w14:paraId="1BD38656"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12.2</w:t>
            </w:r>
          </w:p>
        </w:tc>
      </w:tr>
      <w:tr w:rsidR="00BB72D9" w:rsidRPr="00DE042E" w14:paraId="7C1E5253" w14:textId="77777777" w:rsidTr="00BB72D9">
        <w:trPr>
          <w:trHeight w:val="300"/>
        </w:trPr>
        <w:tc>
          <w:tcPr>
            <w:tcW w:w="1684" w:type="pct"/>
            <w:tcBorders>
              <w:top w:val="nil"/>
              <w:left w:val="nil"/>
              <w:bottom w:val="nil"/>
              <w:right w:val="nil"/>
            </w:tcBorders>
            <w:noWrap/>
            <w:vAlign w:val="bottom"/>
            <w:hideMark/>
          </w:tcPr>
          <w:p w14:paraId="410CC6BA"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22309940"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51 a 60 años</w:t>
            </w:r>
          </w:p>
        </w:tc>
        <w:tc>
          <w:tcPr>
            <w:tcW w:w="821" w:type="pct"/>
            <w:tcBorders>
              <w:top w:val="nil"/>
              <w:left w:val="nil"/>
              <w:bottom w:val="nil"/>
              <w:right w:val="nil"/>
            </w:tcBorders>
            <w:noWrap/>
            <w:vAlign w:val="center"/>
            <w:hideMark/>
          </w:tcPr>
          <w:p w14:paraId="3D73F142"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37</w:t>
            </w:r>
          </w:p>
        </w:tc>
        <w:tc>
          <w:tcPr>
            <w:tcW w:w="820" w:type="pct"/>
            <w:tcBorders>
              <w:top w:val="nil"/>
              <w:left w:val="nil"/>
              <w:bottom w:val="nil"/>
              <w:right w:val="nil"/>
            </w:tcBorders>
            <w:noWrap/>
            <w:vAlign w:val="center"/>
            <w:hideMark/>
          </w:tcPr>
          <w:p w14:paraId="23FB55F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7.9</w:t>
            </w:r>
          </w:p>
        </w:tc>
      </w:tr>
      <w:tr w:rsidR="00BB72D9" w:rsidRPr="00DE042E" w14:paraId="70689E13" w14:textId="77777777" w:rsidTr="00BB72D9">
        <w:trPr>
          <w:trHeight w:val="315"/>
        </w:trPr>
        <w:tc>
          <w:tcPr>
            <w:tcW w:w="1684" w:type="pct"/>
            <w:tcBorders>
              <w:top w:val="nil"/>
              <w:left w:val="nil"/>
              <w:bottom w:val="nil"/>
              <w:right w:val="nil"/>
            </w:tcBorders>
            <w:noWrap/>
            <w:vAlign w:val="bottom"/>
            <w:hideMark/>
          </w:tcPr>
          <w:p w14:paraId="324939AE"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3E36A80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61 a 70 años</w:t>
            </w:r>
          </w:p>
        </w:tc>
        <w:tc>
          <w:tcPr>
            <w:tcW w:w="821" w:type="pct"/>
            <w:tcBorders>
              <w:top w:val="nil"/>
              <w:left w:val="nil"/>
              <w:bottom w:val="nil"/>
              <w:right w:val="nil"/>
            </w:tcBorders>
            <w:noWrap/>
            <w:vAlign w:val="center"/>
            <w:hideMark/>
          </w:tcPr>
          <w:p w14:paraId="51D9940C"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8</w:t>
            </w:r>
          </w:p>
        </w:tc>
        <w:tc>
          <w:tcPr>
            <w:tcW w:w="820" w:type="pct"/>
            <w:tcBorders>
              <w:top w:val="nil"/>
              <w:left w:val="nil"/>
              <w:bottom w:val="nil"/>
              <w:right w:val="nil"/>
            </w:tcBorders>
            <w:noWrap/>
            <w:vAlign w:val="center"/>
            <w:hideMark/>
          </w:tcPr>
          <w:p w14:paraId="23117956"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1.7</w:t>
            </w:r>
          </w:p>
        </w:tc>
      </w:tr>
      <w:tr w:rsidR="00BB72D9" w:rsidRPr="00DE042E" w14:paraId="1F413086" w14:textId="77777777" w:rsidTr="00BB72D9">
        <w:trPr>
          <w:trHeight w:val="345"/>
        </w:trPr>
        <w:tc>
          <w:tcPr>
            <w:tcW w:w="1684" w:type="pct"/>
            <w:tcBorders>
              <w:top w:val="nil"/>
              <w:left w:val="nil"/>
              <w:bottom w:val="nil"/>
              <w:right w:val="nil"/>
            </w:tcBorders>
            <w:noWrap/>
            <w:vAlign w:val="bottom"/>
            <w:hideMark/>
          </w:tcPr>
          <w:p w14:paraId="788523D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Rubro en el que trabaja</w:t>
            </w:r>
          </w:p>
        </w:tc>
        <w:tc>
          <w:tcPr>
            <w:tcW w:w="1675" w:type="pct"/>
            <w:tcBorders>
              <w:top w:val="nil"/>
              <w:left w:val="nil"/>
              <w:bottom w:val="nil"/>
              <w:right w:val="nil"/>
            </w:tcBorders>
            <w:hideMark/>
          </w:tcPr>
          <w:p w14:paraId="26BC6FA2"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Educación (sector privado)</w:t>
            </w:r>
          </w:p>
        </w:tc>
        <w:tc>
          <w:tcPr>
            <w:tcW w:w="821" w:type="pct"/>
            <w:tcBorders>
              <w:top w:val="nil"/>
              <w:left w:val="nil"/>
              <w:bottom w:val="nil"/>
              <w:right w:val="nil"/>
            </w:tcBorders>
            <w:noWrap/>
            <w:vAlign w:val="center"/>
            <w:hideMark/>
          </w:tcPr>
          <w:p w14:paraId="261357D2"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42</w:t>
            </w:r>
          </w:p>
        </w:tc>
        <w:tc>
          <w:tcPr>
            <w:tcW w:w="820" w:type="pct"/>
            <w:tcBorders>
              <w:top w:val="nil"/>
              <w:left w:val="nil"/>
              <w:bottom w:val="nil"/>
              <w:right w:val="nil"/>
            </w:tcBorders>
            <w:noWrap/>
            <w:vAlign w:val="center"/>
            <w:hideMark/>
          </w:tcPr>
          <w:p w14:paraId="4F1CCF15"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9.0</w:t>
            </w:r>
          </w:p>
        </w:tc>
      </w:tr>
      <w:tr w:rsidR="00BB72D9" w:rsidRPr="00DE042E" w14:paraId="18F50289" w14:textId="77777777" w:rsidTr="00BB72D9">
        <w:trPr>
          <w:trHeight w:val="345"/>
        </w:trPr>
        <w:tc>
          <w:tcPr>
            <w:tcW w:w="1684" w:type="pct"/>
            <w:tcBorders>
              <w:top w:val="nil"/>
              <w:left w:val="nil"/>
              <w:bottom w:val="nil"/>
              <w:right w:val="nil"/>
            </w:tcBorders>
            <w:noWrap/>
            <w:vAlign w:val="bottom"/>
            <w:hideMark/>
          </w:tcPr>
          <w:p w14:paraId="22EF3AA1"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4EA903E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Educación (Sector estatal)</w:t>
            </w:r>
          </w:p>
        </w:tc>
        <w:tc>
          <w:tcPr>
            <w:tcW w:w="821" w:type="pct"/>
            <w:tcBorders>
              <w:top w:val="nil"/>
              <w:left w:val="nil"/>
              <w:bottom w:val="nil"/>
              <w:right w:val="nil"/>
            </w:tcBorders>
            <w:noWrap/>
            <w:vAlign w:val="center"/>
            <w:hideMark/>
          </w:tcPr>
          <w:p w14:paraId="4508D2AC"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79</w:t>
            </w:r>
          </w:p>
        </w:tc>
        <w:tc>
          <w:tcPr>
            <w:tcW w:w="820" w:type="pct"/>
            <w:tcBorders>
              <w:top w:val="nil"/>
              <w:left w:val="nil"/>
              <w:bottom w:val="nil"/>
              <w:right w:val="nil"/>
            </w:tcBorders>
            <w:noWrap/>
            <w:vAlign w:val="center"/>
            <w:hideMark/>
          </w:tcPr>
          <w:p w14:paraId="7E86EB12"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17.0</w:t>
            </w:r>
          </w:p>
        </w:tc>
      </w:tr>
      <w:tr w:rsidR="00BB72D9" w:rsidRPr="00DE042E" w14:paraId="5551DBE5" w14:textId="77777777" w:rsidTr="00BB72D9">
        <w:trPr>
          <w:trHeight w:val="300"/>
        </w:trPr>
        <w:tc>
          <w:tcPr>
            <w:tcW w:w="1684" w:type="pct"/>
            <w:tcBorders>
              <w:top w:val="nil"/>
              <w:left w:val="nil"/>
              <w:bottom w:val="nil"/>
              <w:right w:val="nil"/>
            </w:tcBorders>
            <w:noWrap/>
            <w:vAlign w:val="bottom"/>
            <w:hideMark/>
          </w:tcPr>
          <w:p w14:paraId="0A6EF1F4"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5D44C93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Salud (sector privado)</w:t>
            </w:r>
          </w:p>
        </w:tc>
        <w:tc>
          <w:tcPr>
            <w:tcW w:w="821" w:type="pct"/>
            <w:tcBorders>
              <w:top w:val="nil"/>
              <w:left w:val="nil"/>
              <w:bottom w:val="nil"/>
              <w:right w:val="nil"/>
            </w:tcBorders>
            <w:noWrap/>
            <w:vAlign w:val="center"/>
            <w:hideMark/>
          </w:tcPr>
          <w:p w14:paraId="32E96B27"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16</w:t>
            </w:r>
          </w:p>
        </w:tc>
        <w:tc>
          <w:tcPr>
            <w:tcW w:w="820" w:type="pct"/>
            <w:tcBorders>
              <w:top w:val="nil"/>
              <w:left w:val="nil"/>
              <w:bottom w:val="nil"/>
              <w:right w:val="nil"/>
            </w:tcBorders>
            <w:noWrap/>
            <w:vAlign w:val="center"/>
            <w:hideMark/>
          </w:tcPr>
          <w:p w14:paraId="3FC074E9"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3.4</w:t>
            </w:r>
          </w:p>
        </w:tc>
      </w:tr>
      <w:tr w:rsidR="00BB72D9" w:rsidRPr="00DE042E" w14:paraId="7E175784" w14:textId="77777777" w:rsidTr="00BB72D9">
        <w:trPr>
          <w:trHeight w:val="315"/>
        </w:trPr>
        <w:tc>
          <w:tcPr>
            <w:tcW w:w="1684" w:type="pct"/>
            <w:tcBorders>
              <w:top w:val="nil"/>
              <w:left w:val="nil"/>
              <w:bottom w:val="nil"/>
              <w:right w:val="nil"/>
            </w:tcBorders>
            <w:noWrap/>
            <w:vAlign w:val="bottom"/>
            <w:hideMark/>
          </w:tcPr>
          <w:p w14:paraId="406DC472"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4E16249A"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Salud (sector estatal)</w:t>
            </w:r>
          </w:p>
        </w:tc>
        <w:tc>
          <w:tcPr>
            <w:tcW w:w="821" w:type="pct"/>
            <w:tcBorders>
              <w:top w:val="nil"/>
              <w:left w:val="nil"/>
              <w:bottom w:val="nil"/>
              <w:right w:val="nil"/>
            </w:tcBorders>
            <w:noWrap/>
            <w:vAlign w:val="center"/>
            <w:hideMark/>
          </w:tcPr>
          <w:p w14:paraId="428703F5"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27</w:t>
            </w:r>
          </w:p>
        </w:tc>
        <w:tc>
          <w:tcPr>
            <w:tcW w:w="820" w:type="pct"/>
            <w:tcBorders>
              <w:top w:val="nil"/>
              <w:left w:val="nil"/>
              <w:bottom w:val="nil"/>
              <w:right w:val="nil"/>
            </w:tcBorders>
            <w:noWrap/>
            <w:vAlign w:val="center"/>
            <w:hideMark/>
          </w:tcPr>
          <w:p w14:paraId="50AFA9F1"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5.8</w:t>
            </w:r>
          </w:p>
        </w:tc>
      </w:tr>
      <w:tr w:rsidR="00BB72D9" w:rsidRPr="00DE042E" w14:paraId="122340DF" w14:textId="77777777" w:rsidTr="00BB72D9">
        <w:trPr>
          <w:trHeight w:val="300"/>
        </w:trPr>
        <w:tc>
          <w:tcPr>
            <w:tcW w:w="1684" w:type="pct"/>
            <w:tcBorders>
              <w:top w:val="nil"/>
              <w:left w:val="nil"/>
              <w:bottom w:val="nil"/>
              <w:right w:val="nil"/>
            </w:tcBorders>
            <w:noWrap/>
            <w:vAlign w:val="bottom"/>
            <w:hideMark/>
          </w:tcPr>
          <w:p w14:paraId="60856268"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781D0891"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Construcción</w:t>
            </w:r>
          </w:p>
        </w:tc>
        <w:tc>
          <w:tcPr>
            <w:tcW w:w="821" w:type="pct"/>
            <w:tcBorders>
              <w:top w:val="nil"/>
              <w:left w:val="nil"/>
              <w:bottom w:val="nil"/>
              <w:right w:val="nil"/>
            </w:tcBorders>
            <w:noWrap/>
            <w:vAlign w:val="center"/>
            <w:hideMark/>
          </w:tcPr>
          <w:p w14:paraId="0CDEAC3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69</w:t>
            </w:r>
          </w:p>
        </w:tc>
        <w:tc>
          <w:tcPr>
            <w:tcW w:w="820" w:type="pct"/>
            <w:tcBorders>
              <w:top w:val="nil"/>
              <w:left w:val="nil"/>
              <w:bottom w:val="nil"/>
              <w:right w:val="nil"/>
            </w:tcBorders>
            <w:noWrap/>
            <w:vAlign w:val="center"/>
            <w:hideMark/>
          </w:tcPr>
          <w:p w14:paraId="5582B33E"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14.8</w:t>
            </w:r>
          </w:p>
        </w:tc>
      </w:tr>
      <w:tr w:rsidR="00BB72D9" w:rsidRPr="00DE042E" w14:paraId="3C9E6867" w14:textId="77777777" w:rsidTr="00BB72D9">
        <w:trPr>
          <w:trHeight w:val="300"/>
        </w:trPr>
        <w:tc>
          <w:tcPr>
            <w:tcW w:w="1684" w:type="pct"/>
            <w:tcBorders>
              <w:top w:val="nil"/>
              <w:left w:val="nil"/>
              <w:bottom w:val="nil"/>
              <w:right w:val="nil"/>
            </w:tcBorders>
            <w:noWrap/>
            <w:vAlign w:val="bottom"/>
            <w:hideMark/>
          </w:tcPr>
          <w:p w14:paraId="6D7C5B57"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56C8F883"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Transporte</w:t>
            </w:r>
          </w:p>
        </w:tc>
        <w:tc>
          <w:tcPr>
            <w:tcW w:w="821" w:type="pct"/>
            <w:tcBorders>
              <w:top w:val="nil"/>
              <w:left w:val="nil"/>
              <w:bottom w:val="nil"/>
              <w:right w:val="nil"/>
            </w:tcBorders>
            <w:noWrap/>
            <w:vAlign w:val="center"/>
            <w:hideMark/>
          </w:tcPr>
          <w:p w14:paraId="76F2A69C"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31</w:t>
            </w:r>
          </w:p>
        </w:tc>
        <w:tc>
          <w:tcPr>
            <w:tcW w:w="820" w:type="pct"/>
            <w:tcBorders>
              <w:top w:val="nil"/>
              <w:left w:val="nil"/>
              <w:bottom w:val="nil"/>
              <w:right w:val="nil"/>
            </w:tcBorders>
            <w:noWrap/>
            <w:vAlign w:val="center"/>
            <w:hideMark/>
          </w:tcPr>
          <w:p w14:paraId="55EE9386"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6.7</w:t>
            </w:r>
          </w:p>
        </w:tc>
      </w:tr>
      <w:tr w:rsidR="00BB72D9" w:rsidRPr="00DE042E" w14:paraId="6CCEA98E" w14:textId="77777777" w:rsidTr="00BB72D9">
        <w:trPr>
          <w:trHeight w:val="300"/>
        </w:trPr>
        <w:tc>
          <w:tcPr>
            <w:tcW w:w="1684" w:type="pct"/>
            <w:tcBorders>
              <w:top w:val="nil"/>
              <w:left w:val="nil"/>
              <w:bottom w:val="nil"/>
              <w:right w:val="nil"/>
            </w:tcBorders>
            <w:noWrap/>
            <w:vAlign w:val="bottom"/>
            <w:hideMark/>
          </w:tcPr>
          <w:p w14:paraId="24180066"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47D41FB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Alimentación</w:t>
            </w:r>
          </w:p>
        </w:tc>
        <w:tc>
          <w:tcPr>
            <w:tcW w:w="821" w:type="pct"/>
            <w:tcBorders>
              <w:top w:val="nil"/>
              <w:left w:val="nil"/>
              <w:bottom w:val="nil"/>
              <w:right w:val="nil"/>
            </w:tcBorders>
            <w:noWrap/>
            <w:vAlign w:val="center"/>
            <w:hideMark/>
          </w:tcPr>
          <w:p w14:paraId="2FD2C24C"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18</w:t>
            </w:r>
          </w:p>
        </w:tc>
        <w:tc>
          <w:tcPr>
            <w:tcW w:w="820" w:type="pct"/>
            <w:tcBorders>
              <w:top w:val="nil"/>
              <w:left w:val="nil"/>
              <w:bottom w:val="nil"/>
              <w:right w:val="nil"/>
            </w:tcBorders>
            <w:noWrap/>
            <w:vAlign w:val="center"/>
            <w:hideMark/>
          </w:tcPr>
          <w:p w14:paraId="4374A44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3.9</w:t>
            </w:r>
          </w:p>
        </w:tc>
      </w:tr>
      <w:tr w:rsidR="00BB72D9" w:rsidRPr="00DE042E" w14:paraId="78918B36" w14:textId="77777777" w:rsidTr="00BB72D9">
        <w:trPr>
          <w:trHeight w:val="300"/>
        </w:trPr>
        <w:tc>
          <w:tcPr>
            <w:tcW w:w="1684" w:type="pct"/>
            <w:tcBorders>
              <w:top w:val="nil"/>
              <w:left w:val="nil"/>
              <w:bottom w:val="nil"/>
              <w:right w:val="nil"/>
            </w:tcBorders>
            <w:noWrap/>
            <w:vAlign w:val="bottom"/>
            <w:hideMark/>
          </w:tcPr>
          <w:p w14:paraId="4F4B9928"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223F750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Comercio</w:t>
            </w:r>
          </w:p>
        </w:tc>
        <w:tc>
          <w:tcPr>
            <w:tcW w:w="821" w:type="pct"/>
            <w:tcBorders>
              <w:top w:val="nil"/>
              <w:left w:val="nil"/>
              <w:bottom w:val="nil"/>
              <w:right w:val="nil"/>
            </w:tcBorders>
            <w:noWrap/>
            <w:vAlign w:val="center"/>
            <w:hideMark/>
          </w:tcPr>
          <w:p w14:paraId="7778D9F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52</w:t>
            </w:r>
          </w:p>
        </w:tc>
        <w:tc>
          <w:tcPr>
            <w:tcW w:w="820" w:type="pct"/>
            <w:tcBorders>
              <w:top w:val="nil"/>
              <w:left w:val="nil"/>
              <w:bottom w:val="nil"/>
              <w:right w:val="nil"/>
            </w:tcBorders>
            <w:noWrap/>
            <w:vAlign w:val="center"/>
            <w:hideMark/>
          </w:tcPr>
          <w:p w14:paraId="724FC04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11.2</w:t>
            </w:r>
          </w:p>
        </w:tc>
      </w:tr>
      <w:tr w:rsidR="00BB72D9" w:rsidRPr="00DE042E" w14:paraId="0E072754" w14:textId="77777777" w:rsidTr="00BB72D9">
        <w:trPr>
          <w:trHeight w:val="300"/>
        </w:trPr>
        <w:tc>
          <w:tcPr>
            <w:tcW w:w="1684" w:type="pct"/>
            <w:tcBorders>
              <w:top w:val="nil"/>
              <w:left w:val="nil"/>
              <w:bottom w:val="nil"/>
              <w:right w:val="nil"/>
            </w:tcBorders>
            <w:noWrap/>
            <w:vAlign w:val="bottom"/>
            <w:hideMark/>
          </w:tcPr>
          <w:p w14:paraId="029681D8"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62FFEC3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Otras instituciones del estado</w:t>
            </w:r>
          </w:p>
        </w:tc>
        <w:tc>
          <w:tcPr>
            <w:tcW w:w="821" w:type="pct"/>
            <w:tcBorders>
              <w:top w:val="nil"/>
              <w:left w:val="nil"/>
              <w:bottom w:val="nil"/>
              <w:right w:val="nil"/>
            </w:tcBorders>
            <w:noWrap/>
            <w:vAlign w:val="center"/>
            <w:hideMark/>
          </w:tcPr>
          <w:p w14:paraId="0F17103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34</w:t>
            </w:r>
          </w:p>
        </w:tc>
        <w:tc>
          <w:tcPr>
            <w:tcW w:w="820" w:type="pct"/>
            <w:tcBorders>
              <w:top w:val="nil"/>
              <w:left w:val="nil"/>
              <w:bottom w:val="nil"/>
              <w:right w:val="nil"/>
            </w:tcBorders>
            <w:noWrap/>
            <w:vAlign w:val="center"/>
            <w:hideMark/>
          </w:tcPr>
          <w:p w14:paraId="02D705D3"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7.3</w:t>
            </w:r>
          </w:p>
        </w:tc>
      </w:tr>
      <w:tr w:rsidR="00BB72D9" w:rsidRPr="00DE042E" w14:paraId="241487B8" w14:textId="77777777" w:rsidTr="00BB72D9">
        <w:trPr>
          <w:trHeight w:val="315"/>
        </w:trPr>
        <w:tc>
          <w:tcPr>
            <w:tcW w:w="1684" w:type="pct"/>
            <w:tcBorders>
              <w:top w:val="nil"/>
              <w:left w:val="nil"/>
              <w:bottom w:val="nil"/>
              <w:right w:val="nil"/>
            </w:tcBorders>
            <w:noWrap/>
            <w:vAlign w:val="bottom"/>
            <w:hideMark/>
          </w:tcPr>
          <w:p w14:paraId="437C736C"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1864BFA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Otros rubros</w:t>
            </w:r>
          </w:p>
        </w:tc>
        <w:tc>
          <w:tcPr>
            <w:tcW w:w="821" w:type="pct"/>
            <w:tcBorders>
              <w:top w:val="nil"/>
              <w:left w:val="nil"/>
              <w:bottom w:val="nil"/>
              <w:right w:val="nil"/>
            </w:tcBorders>
            <w:noWrap/>
            <w:vAlign w:val="center"/>
            <w:hideMark/>
          </w:tcPr>
          <w:p w14:paraId="6C19B6E5"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98</w:t>
            </w:r>
          </w:p>
        </w:tc>
        <w:tc>
          <w:tcPr>
            <w:tcW w:w="820" w:type="pct"/>
            <w:tcBorders>
              <w:top w:val="nil"/>
              <w:left w:val="nil"/>
              <w:bottom w:val="nil"/>
              <w:right w:val="nil"/>
            </w:tcBorders>
            <w:noWrap/>
            <w:vAlign w:val="center"/>
            <w:hideMark/>
          </w:tcPr>
          <w:p w14:paraId="318A5CB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21.0</w:t>
            </w:r>
          </w:p>
        </w:tc>
      </w:tr>
      <w:tr w:rsidR="00BB72D9" w:rsidRPr="00DE042E" w14:paraId="31F0988A" w14:textId="77777777" w:rsidTr="00BB72D9">
        <w:trPr>
          <w:trHeight w:val="315"/>
        </w:trPr>
        <w:tc>
          <w:tcPr>
            <w:tcW w:w="1684" w:type="pct"/>
            <w:tcBorders>
              <w:top w:val="nil"/>
              <w:left w:val="nil"/>
              <w:bottom w:val="nil"/>
              <w:right w:val="nil"/>
            </w:tcBorders>
            <w:noWrap/>
            <w:vAlign w:val="bottom"/>
            <w:hideMark/>
          </w:tcPr>
          <w:p w14:paraId="42A7552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Provincia donde reside</w:t>
            </w:r>
          </w:p>
        </w:tc>
        <w:tc>
          <w:tcPr>
            <w:tcW w:w="1675" w:type="pct"/>
            <w:tcBorders>
              <w:top w:val="nil"/>
              <w:left w:val="nil"/>
              <w:bottom w:val="nil"/>
              <w:right w:val="nil"/>
            </w:tcBorders>
            <w:hideMark/>
          </w:tcPr>
          <w:p w14:paraId="287A21DE"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Puno</w:t>
            </w:r>
          </w:p>
        </w:tc>
        <w:tc>
          <w:tcPr>
            <w:tcW w:w="821" w:type="pct"/>
            <w:tcBorders>
              <w:top w:val="nil"/>
              <w:left w:val="nil"/>
              <w:bottom w:val="nil"/>
              <w:right w:val="nil"/>
            </w:tcBorders>
            <w:noWrap/>
            <w:vAlign w:val="center"/>
            <w:hideMark/>
          </w:tcPr>
          <w:p w14:paraId="707208AE"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227</w:t>
            </w:r>
          </w:p>
        </w:tc>
        <w:tc>
          <w:tcPr>
            <w:tcW w:w="820" w:type="pct"/>
            <w:tcBorders>
              <w:top w:val="nil"/>
              <w:left w:val="nil"/>
              <w:bottom w:val="nil"/>
              <w:right w:val="nil"/>
            </w:tcBorders>
            <w:noWrap/>
            <w:vAlign w:val="center"/>
            <w:hideMark/>
          </w:tcPr>
          <w:p w14:paraId="61C3DC8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48.7</w:t>
            </w:r>
          </w:p>
        </w:tc>
      </w:tr>
      <w:tr w:rsidR="00BB72D9" w:rsidRPr="00DE042E" w14:paraId="2B9622C2" w14:textId="77777777" w:rsidTr="00BB72D9">
        <w:trPr>
          <w:trHeight w:val="315"/>
        </w:trPr>
        <w:tc>
          <w:tcPr>
            <w:tcW w:w="1684" w:type="pct"/>
            <w:tcBorders>
              <w:top w:val="nil"/>
              <w:left w:val="nil"/>
              <w:bottom w:val="nil"/>
              <w:right w:val="nil"/>
            </w:tcBorders>
            <w:noWrap/>
            <w:vAlign w:val="bottom"/>
            <w:hideMark/>
          </w:tcPr>
          <w:p w14:paraId="7618AA04"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2B3F4B06"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San Román</w:t>
            </w:r>
          </w:p>
        </w:tc>
        <w:tc>
          <w:tcPr>
            <w:tcW w:w="821" w:type="pct"/>
            <w:tcBorders>
              <w:top w:val="nil"/>
              <w:left w:val="nil"/>
              <w:bottom w:val="nil"/>
              <w:right w:val="nil"/>
            </w:tcBorders>
            <w:noWrap/>
            <w:vAlign w:val="center"/>
            <w:hideMark/>
          </w:tcPr>
          <w:p w14:paraId="362DEA7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167</w:t>
            </w:r>
          </w:p>
        </w:tc>
        <w:tc>
          <w:tcPr>
            <w:tcW w:w="820" w:type="pct"/>
            <w:tcBorders>
              <w:top w:val="nil"/>
              <w:left w:val="nil"/>
              <w:bottom w:val="nil"/>
              <w:right w:val="nil"/>
            </w:tcBorders>
            <w:noWrap/>
            <w:vAlign w:val="center"/>
            <w:hideMark/>
          </w:tcPr>
          <w:p w14:paraId="1A8997E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35.8</w:t>
            </w:r>
          </w:p>
        </w:tc>
      </w:tr>
      <w:tr w:rsidR="00BB72D9" w:rsidRPr="00DE042E" w14:paraId="76218EE2" w14:textId="77777777" w:rsidTr="00BB72D9">
        <w:trPr>
          <w:trHeight w:val="300"/>
        </w:trPr>
        <w:tc>
          <w:tcPr>
            <w:tcW w:w="1684" w:type="pct"/>
            <w:tcBorders>
              <w:top w:val="nil"/>
              <w:left w:val="nil"/>
              <w:bottom w:val="nil"/>
              <w:right w:val="nil"/>
            </w:tcBorders>
            <w:noWrap/>
            <w:vAlign w:val="bottom"/>
            <w:hideMark/>
          </w:tcPr>
          <w:p w14:paraId="39C04724"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207601A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Azángaro</w:t>
            </w:r>
          </w:p>
        </w:tc>
        <w:tc>
          <w:tcPr>
            <w:tcW w:w="821" w:type="pct"/>
            <w:tcBorders>
              <w:top w:val="nil"/>
              <w:left w:val="nil"/>
              <w:bottom w:val="nil"/>
              <w:right w:val="nil"/>
            </w:tcBorders>
            <w:noWrap/>
            <w:vAlign w:val="center"/>
            <w:hideMark/>
          </w:tcPr>
          <w:p w14:paraId="6A2B1C4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27</w:t>
            </w:r>
          </w:p>
        </w:tc>
        <w:tc>
          <w:tcPr>
            <w:tcW w:w="820" w:type="pct"/>
            <w:tcBorders>
              <w:top w:val="nil"/>
              <w:left w:val="nil"/>
              <w:bottom w:val="nil"/>
              <w:right w:val="nil"/>
            </w:tcBorders>
            <w:noWrap/>
            <w:vAlign w:val="center"/>
            <w:hideMark/>
          </w:tcPr>
          <w:p w14:paraId="12E8556A"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5.8</w:t>
            </w:r>
          </w:p>
        </w:tc>
      </w:tr>
      <w:tr w:rsidR="00BB72D9" w:rsidRPr="00DE042E" w14:paraId="6571A7DF" w14:textId="77777777" w:rsidTr="00BB72D9">
        <w:trPr>
          <w:trHeight w:val="300"/>
        </w:trPr>
        <w:tc>
          <w:tcPr>
            <w:tcW w:w="1684" w:type="pct"/>
            <w:tcBorders>
              <w:top w:val="nil"/>
              <w:left w:val="nil"/>
              <w:bottom w:val="nil"/>
              <w:right w:val="nil"/>
            </w:tcBorders>
            <w:noWrap/>
            <w:vAlign w:val="bottom"/>
            <w:hideMark/>
          </w:tcPr>
          <w:p w14:paraId="007369F8"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nil"/>
              <w:right w:val="nil"/>
            </w:tcBorders>
            <w:hideMark/>
          </w:tcPr>
          <w:p w14:paraId="66B4F7E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Melgar</w:t>
            </w:r>
          </w:p>
        </w:tc>
        <w:tc>
          <w:tcPr>
            <w:tcW w:w="821" w:type="pct"/>
            <w:tcBorders>
              <w:top w:val="nil"/>
              <w:left w:val="nil"/>
              <w:bottom w:val="nil"/>
              <w:right w:val="nil"/>
            </w:tcBorders>
            <w:noWrap/>
            <w:vAlign w:val="center"/>
            <w:hideMark/>
          </w:tcPr>
          <w:p w14:paraId="47983F14"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16</w:t>
            </w:r>
          </w:p>
        </w:tc>
        <w:tc>
          <w:tcPr>
            <w:tcW w:w="820" w:type="pct"/>
            <w:tcBorders>
              <w:top w:val="nil"/>
              <w:left w:val="nil"/>
              <w:bottom w:val="nil"/>
              <w:right w:val="nil"/>
            </w:tcBorders>
            <w:noWrap/>
            <w:vAlign w:val="center"/>
            <w:hideMark/>
          </w:tcPr>
          <w:p w14:paraId="36B8AA7F"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3.4</w:t>
            </w:r>
          </w:p>
        </w:tc>
      </w:tr>
      <w:tr w:rsidR="00BB72D9" w:rsidRPr="00DE042E" w14:paraId="5EAE0996" w14:textId="77777777" w:rsidTr="00BB72D9">
        <w:trPr>
          <w:trHeight w:val="300"/>
        </w:trPr>
        <w:tc>
          <w:tcPr>
            <w:tcW w:w="1684" w:type="pct"/>
            <w:tcBorders>
              <w:top w:val="nil"/>
              <w:left w:val="nil"/>
              <w:bottom w:val="single" w:sz="4" w:space="0" w:color="auto"/>
              <w:right w:val="nil"/>
            </w:tcBorders>
            <w:noWrap/>
            <w:vAlign w:val="bottom"/>
            <w:hideMark/>
          </w:tcPr>
          <w:p w14:paraId="5441F8C4" w14:textId="77777777" w:rsidR="00BB72D9" w:rsidRPr="00DE042E" w:rsidRDefault="00BB72D9" w:rsidP="00CB7C91">
            <w:pPr>
              <w:spacing w:line="360" w:lineRule="auto"/>
              <w:rPr>
                <w:color w:val="000000"/>
                <w:sz w:val="20"/>
                <w:szCs w:val="20"/>
                <w:lang w:eastAsia="es-PE"/>
              </w:rPr>
            </w:pPr>
          </w:p>
        </w:tc>
        <w:tc>
          <w:tcPr>
            <w:tcW w:w="1675" w:type="pct"/>
            <w:tcBorders>
              <w:top w:val="nil"/>
              <w:left w:val="nil"/>
              <w:bottom w:val="single" w:sz="4" w:space="0" w:color="auto"/>
              <w:right w:val="nil"/>
            </w:tcBorders>
            <w:hideMark/>
          </w:tcPr>
          <w:p w14:paraId="01F1607B"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Otras provincias</w:t>
            </w:r>
          </w:p>
        </w:tc>
        <w:tc>
          <w:tcPr>
            <w:tcW w:w="821" w:type="pct"/>
            <w:tcBorders>
              <w:top w:val="nil"/>
              <w:left w:val="nil"/>
              <w:bottom w:val="single" w:sz="4" w:space="0" w:color="auto"/>
              <w:right w:val="nil"/>
            </w:tcBorders>
            <w:noWrap/>
            <w:vAlign w:val="center"/>
            <w:hideMark/>
          </w:tcPr>
          <w:p w14:paraId="240F0A07"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29</w:t>
            </w:r>
          </w:p>
        </w:tc>
        <w:tc>
          <w:tcPr>
            <w:tcW w:w="820" w:type="pct"/>
            <w:tcBorders>
              <w:top w:val="nil"/>
              <w:left w:val="nil"/>
              <w:bottom w:val="single" w:sz="4" w:space="0" w:color="auto"/>
              <w:right w:val="nil"/>
            </w:tcBorders>
            <w:noWrap/>
            <w:vAlign w:val="center"/>
            <w:hideMark/>
          </w:tcPr>
          <w:p w14:paraId="700082FD" w14:textId="77777777" w:rsidR="00BB72D9" w:rsidRPr="00DE042E" w:rsidRDefault="00BB72D9" w:rsidP="00CB7C91">
            <w:pPr>
              <w:spacing w:line="360" w:lineRule="auto"/>
              <w:rPr>
                <w:color w:val="000000"/>
                <w:sz w:val="20"/>
                <w:szCs w:val="20"/>
                <w:lang w:eastAsia="es-PE"/>
              </w:rPr>
            </w:pPr>
            <w:r w:rsidRPr="00DE042E">
              <w:rPr>
                <w:color w:val="000000"/>
                <w:sz w:val="20"/>
                <w:szCs w:val="20"/>
                <w:lang w:eastAsia="es-PE"/>
              </w:rPr>
              <w:t>6.2</w:t>
            </w:r>
          </w:p>
        </w:tc>
      </w:tr>
    </w:tbl>
    <w:p w14:paraId="526EC9AE" w14:textId="2D476B0A" w:rsidR="00507B29" w:rsidRPr="00DE042E" w:rsidRDefault="00DF5F18" w:rsidP="00CB7C91">
      <w:pPr>
        <w:pStyle w:val="SubtituloInterno"/>
        <w:jc w:val="left"/>
        <w:rPr>
          <w:lang w:val="es-419"/>
        </w:rPr>
      </w:pPr>
      <w:r w:rsidRPr="00DE042E">
        <w:rPr>
          <w:lang w:val="es-419"/>
        </w:rPr>
        <w:t>Instrumentos</w:t>
      </w:r>
    </w:p>
    <w:p w14:paraId="529F6C3B" w14:textId="4A06C775" w:rsidR="00380094" w:rsidRPr="00DE042E" w:rsidRDefault="00380094" w:rsidP="00CB7C91">
      <w:pPr>
        <w:pStyle w:val="Prrafocomn"/>
        <w:jc w:val="left"/>
        <w:rPr>
          <w:lang w:val="es-419" w:eastAsia="en-US"/>
        </w:rPr>
      </w:pPr>
      <w:r w:rsidRPr="00DE042E">
        <w:rPr>
          <w:i/>
          <w:lang w:val="es-419" w:eastAsia="en-US"/>
        </w:rPr>
        <w:t xml:space="preserve">Escala de preocupación por la COVID-19 </w:t>
      </w:r>
      <w:r w:rsidRPr="00DE042E">
        <w:rPr>
          <w:lang w:val="es-419" w:eastAsia="en-US"/>
        </w:rPr>
        <w:t xml:space="preserve">(EPCov-19; Ruiz et al., 2020). Es una medida conformada por seis ítems distribuidos en una sola dimensión. Evalúa la frecuencia en que las personas se preocupan por adquirir la COVID-19; su impacto en el humor y las actividades diarias, y la preocupación por infectarse en el futuro. El formato de los ítems es de tipo ordinal, con cuatro opciones de respuesta, desde nunca o raras ocasiones hasta casi todo el tiempo. Para el presente estudio se validó el contenido de la prueba por medio del juicio de cinco expertos quienes evaluaron la relevancia, representatividad y claridad de los ítems, obteniendo un coeficiente V de Aiken de .98; así también, el EPCov-19 mostró una buena consistencia interna </w:t>
      </w:r>
      <w:r w:rsidR="00E00E23" w:rsidRPr="00DE042E">
        <w:rPr>
          <w:lang w:val="es-419" w:eastAsia="en-US"/>
        </w:rPr>
        <w:t>(α = .87[IC95%: .84 - .89]).</w:t>
      </w:r>
    </w:p>
    <w:p w14:paraId="4907ED33" w14:textId="381F2562" w:rsidR="00380094" w:rsidRPr="00DE042E" w:rsidRDefault="00380094" w:rsidP="00CB7C91">
      <w:pPr>
        <w:pStyle w:val="Prrafocomn"/>
        <w:jc w:val="left"/>
        <w:rPr>
          <w:lang w:val="es-419" w:eastAsia="en-US"/>
        </w:rPr>
      </w:pPr>
      <w:r w:rsidRPr="00DE042E">
        <w:rPr>
          <w:i/>
          <w:lang w:val="es-419" w:eastAsia="en-US"/>
        </w:rPr>
        <w:t xml:space="preserve">Patient Health Questionnarie-2 </w:t>
      </w:r>
      <w:r w:rsidRPr="00DE042E">
        <w:rPr>
          <w:lang w:val="es-419" w:eastAsia="en-US"/>
        </w:rPr>
        <w:t>(PHQ-2;</w:t>
      </w:r>
      <w:r w:rsidRPr="00DE042E">
        <w:rPr>
          <w:i/>
          <w:lang w:val="es-419" w:eastAsia="en-US"/>
        </w:rPr>
        <w:t xml:space="preserve"> </w:t>
      </w:r>
      <w:r w:rsidRPr="00DE042E">
        <w:rPr>
          <w:lang w:val="es-419" w:eastAsia="en-US"/>
        </w:rPr>
        <w:t xml:space="preserve">Kroenke, Spitzer, &amp; Williams, 2003). Es una medida breve conformada por dos ítems. Evalúa aspectos emocionales y cognitivos vinculados con la depresión (desánimo, desesperanza, displacer y desinterés en las cosas). El formato de los ítems es de tipo ordinal, con opciones de respuesta desde para nada hasta casit todos los días. Para el presente estudio se validó el contenido de la prueba por medio del juicio de cinco expertos quienes evaluaron la relevancia, representatividad y claridad de los ítems, obteniendo un coeficiente V de Aiken de .97; así también, el PHQ-2 mostró una buena consistencia interna </w:t>
      </w:r>
      <w:r w:rsidR="00E00E23" w:rsidRPr="00DE042E">
        <w:rPr>
          <w:lang w:val="es-419" w:eastAsia="en-US"/>
        </w:rPr>
        <w:t>(α = .83[IC95%: .79 - .85]).</w:t>
      </w:r>
    </w:p>
    <w:p w14:paraId="5023883B" w14:textId="023E839C" w:rsidR="00380094" w:rsidRPr="00DE042E" w:rsidRDefault="00380094" w:rsidP="00CB7C91">
      <w:pPr>
        <w:pStyle w:val="Prrafocomn"/>
        <w:jc w:val="left"/>
        <w:rPr>
          <w:lang w:val="es-419" w:eastAsia="en-US"/>
        </w:rPr>
      </w:pPr>
      <w:r w:rsidRPr="00DE042E">
        <w:rPr>
          <w:i/>
          <w:lang w:val="es-419" w:eastAsia="en-US"/>
        </w:rPr>
        <w:t xml:space="preserve">Generalized Anxiety Disorder Scale-2 </w:t>
      </w:r>
      <w:r w:rsidRPr="00DE042E">
        <w:rPr>
          <w:lang w:val="es-419" w:eastAsia="en-US"/>
        </w:rPr>
        <w:t xml:space="preserve">(GAD-2; Kroenke et al., 2007). Es una medida breve conformada por dos ítems distribuidos en una sola dimensión. Evalúa conductas vinculadas con la expresión emocional y cognitiva de la ansiedad generalizada (sentimiento de </w:t>
      </w:r>
      <w:r w:rsidRPr="00DE042E">
        <w:rPr>
          <w:lang w:val="es-419" w:eastAsia="en-US"/>
        </w:rPr>
        <w:lastRenderedPageBreak/>
        <w:t xml:space="preserve">estar nervioso y preocupación). El formato de los ítems es de tipo Likert, con opciones de respuesta desde para nada hasta casi todos los días. Para el presente estudio se validó el contenido de la prueba por medio del juicio de cinco expertos quienes evaluaron la relevancia, representatividad y claridad de los ítems, obteniendo un coeficiente V de Aiken de .93; así también, el UMAV mostró una moderada consistencia interna </w:t>
      </w:r>
      <w:r w:rsidR="00E00E23" w:rsidRPr="00DE042E">
        <w:rPr>
          <w:lang w:val="es-419" w:eastAsia="en-US"/>
        </w:rPr>
        <w:t>(α = 0,84; [IC 95%: .81 - .86]).</w:t>
      </w:r>
    </w:p>
    <w:p w14:paraId="7E1C10E4" w14:textId="0A0E9A9F" w:rsidR="00507B29" w:rsidRPr="00DE042E" w:rsidRDefault="00380094" w:rsidP="00CB7C91">
      <w:pPr>
        <w:pStyle w:val="Prrafocomn"/>
        <w:jc w:val="left"/>
        <w:rPr>
          <w:lang w:val="es-419" w:eastAsia="en-US"/>
        </w:rPr>
      </w:pPr>
      <w:r w:rsidRPr="00DE042E">
        <w:rPr>
          <w:lang w:val="es-419" w:eastAsia="en-US"/>
        </w:rPr>
        <w:t xml:space="preserve">Escala de satisfacción con la vida de Diener (SWLS; Caycho-Rodriguez et al., 2018). Es una medida breve conformada por cinco ítems distribuidos en una sola dimensión. Evalúa juicios cognitivos generales acerca de la propia vida. El formato de los ítems es de tipo Likert, con opciones de respuesta que van desde completamente en desacuerdo hasta completamente de acuerdo. Para el presente estudio se validó el contenido de la prueba por medio del juicio de cinco expertos quienes evaluaron la relevancia, representatividad y claridad de los ítems, obteniendo un coeficiente V de Aiken de .93; así también, el UMAV mostró una moderada consistencia interna </w:t>
      </w:r>
      <w:r w:rsidR="00E00E23" w:rsidRPr="00DE042E">
        <w:rPr>
          <w:lang w:val="es-419" w:eastAsia="en-US"/>
        </w:rPr>
        <w:t>(α = 0,91; [IC 95% .89 - .92])</w:t>
      </w:r>
    </w:p>
    <w:p w14:paraId="788EC80D" w14:textId="33885228" w:rsidR="004C1FD8" w:rsidRPr="00DE042E" w:rsidRDefault="00144620" w:rsidP="00CB7C91">
      <w:pPr>
        <w:pStyle w:val="SubtituloInterno"/>
        <w:jc w:val="left"/>
        <w:rPr>
          <w:lang w:val="es-419"/>
        </w:rPr>
      </w:pPr>
      <w:r w:rsidRPr="00DE042E">
        <w:rPr>
          <w:lang w:val="es-419"/>
        </w:rPr>
        <w:t>Procedimientos</w:t>
      </w:r>
    </w:p>
    <w:p w14:paraId="2D23E3C8" w14:textId="0223501F" w:rsidR="004C1FD8" w:rsidRPr="00DE042E" w:rsidRDefault="00D928D0" w:rsidP="00CB7C91">
      <w:pPr>
        <w:pStyle w:val="Prrafocomn"/>
        <w:jc w:val="left"/>
        <w:rPr>
          <w:lang w:val="es-419"/>
        </w:rPr>
      </w:pPr>
      <w:r w:rsidRPr="00DE042E">
        <w:rPr>
          <w:lang w:val="es-419"/>
        </w:rPr>
        <w:t>Para la recolección de los datos se creó un formulario virtual en la plataforma de Google. La encuesta virtual estuvo disponible durante todo el mes de junio de 2020. Se contactó a los participantes a través de facebook, grupos de WhatsApp y correo electrónico. En la primera parte del formulario se dieron a conocer orientaciones sobre el contenido, propósito y modo de respuesta a los ítems. El tiempo</w:t>
      </w:r>
      <w:r w:rsidR="00284BE9" w:rsidRPr="00DE042E">
        <w:rPr>
          <w:lang w:val="es-419"/>
        </w:rPr>
        <w:t xml:space="preserve"> estimado para responder fue entre 12 a</w:t>
      </w:r>
      <w:r w:rsidRPr="00DE042E">
        <w:rPr>
          <w:lang w:val="es-419"/>
        </w:rPr>
        <w:t xml:space="preserve"> 20 minutos.</w:t>
      </w:r>
    </w:p>
    <w:p w14:paraId="0F4ED851" w14:textId="4B595AEC" w:rsidR="007C3C14" w:rsidRPr="00DE042E" w:rsidRDefault="009F3976" w:rsidP="00CB7C91">
      <w:pPr>
        <w:pStyle w:val="SubtituloInterno"/>
        <w:jc w:val="left"/>
        <w:rPr>
          <w:lang w:val="es-419"/>
        </w:rPr>
      </w:pPr>
      <w:r w:rsidRPr="00DE042E">
        <w:rPr>
          <w:lang w:val="es-419"/>
        </w:rPr>
        <w:t>Análisis de datos</w:t>
      </w:r>
    </w:p>
    <w:p w14:paraId="6C032FBE" w14:textId="47125273" w:rsidR="007C3C14" w:rsidRPr="00DE042E" w:rsidRDefault="009F3976" w:rsidP="00CB7C91">
      <w:pPr>
        <w:pStyle w:val="Prrafocomn"/>
        <w:jc w:val="left"/>
        <w:rPr>
          <w:lang w:val="es-419"/>
        </w:rPr>
      </w:pPr>
      <w:r w:rsidRPr="00DE042E">
        <w:rPr>
          <w:lang w:val="es-419"/>
        </w:rPr>
        <w:t xml:space="preserve">Primero, se realizó un análisis descriptivo de las variables; depresión, ansiedad, preocupación por la COVID-19 y satisfacción con la vida. Segundo, se analizó las diferencias de las variables según el sexo, para lo cual, se utilizó el estadístico </w:t>
      </w:r>
      <w:r w:rsidRPr="00DE042E">
        <w:rPr>
          <w:i/>
          <w:lang w:val="es-419"/>
        </w:rPr>
        <w:t>t</w:t>
      </w:r>
      <w:r w:rsidRPr="00DE042E">
        <w:rPr>
          <w:lang w:val="es-419"/>
        </w:rPr>
        <w:t xml:space="preserve"> de </w:t>
      </w:r>
      <w:r w:rsidRPr="00DE042E">
        <w:rPr>
          <w:i/>
          <w:lang w:val="es-419"/>
        </w:rPr>
        <w:t>student</w:t>
      </w:r>
      <w:r w:rsidRPr="00DE042E">
        <w:rPr>
          <w:lang w:val="es-419"/>
        </w:rPr>
        <w:t xml:space="preserve"> y la </w:t>
      </w:r>
      <w:r w:rsidRPr="00DE042E">
        <w:rPr>
          <w:i/>
          <w:lang w:val="es-419"/>
        </w:rPr>
        <w:t>d</w:t>
      </w:r>
      <w:r w:rsidRPr="00DE042E">
        <w:rPr>
          <w:lang w:val="es-419"/>
        </w:rPr>
        <w:t xml:space="preserve"> de Cohen como medida del tamaño del efecto (TE) para la comparaci</w:t>
      </w:r>
      <w:r w:rsidR="00A15422" w:rsidRPr="00DE042E">
        <w:rPr>
          <w:lang w:val="es-419"/>
        </w:rPr>
        <w:t xml:space="preserve">ón de dos grupos independientes, </w:t>
      </w:r>
      <w:r w:rsidRPr="00DE042E">
        <w:rPr>
          <w:lang w:val="es-419"/>
        </w:rPr>
        <w:t>donde valores de .20 .50 y .80 expresan u</w:t>
      </w:r>
      <w:r w:rsidR="00A15422" w:rsidRPr="00DE042E">
        <w:rPr>
          <w:lang w:val="es-419"/>
        </w:rPr>
        <w:t>n TE pequeño, moderado y grande.</w:t>
      </w:r>
      <w:r w:rsidRPr="00DE042E">
        <w:rPr>
          <w:lang w:val="es-419"/>
        </w:rPr>
        <w:t xml:space="preserve"> El análisis correlacional se llevó a cabo con el coeficiente de </w:t>
      </w:r>
      <w:r w:rsidRPr="00DE042E">
        <w:rPr>
          <w:i/>
          <w:lang w:val="es-419"/>
        </w:rPr>
        <w:t>Pearson</w:t>
      </w:r>
      <w:r w:rsidRPr="00DE042E">
        <w:rPr>
          <w:lang w:val="es-419"/>
        </w:rPr>
        <w:t xml:space="preserve"> considerando </w:t>
      </w:r>
      <w:r w:rsidR="007F5690" w:rsidRPr="00DE042E">
        <w:rPr>
          <w:lang w:val="es-419"/>
        </w:rPr>
        <w:t xml:space="preserve">que </w:t>
      </w:r>
      <w:r w:rsidRPr="00DE042E">
        <w:rPr>
          <w:lang w:val="es-419"/>
        </w:rPr>
        <w:t xml:space="preserve">≥ .50: grande, r ≥ </w:t>
      </w:r>
      <w:r w:rsidR="007F5690" w:rsidRPr="00DE042E">
        <w:rPr>
          <w:lang w:val="es-419"/>
        </w:rPr>
        <w:t>.30: mediana y r ≥ .10: pequeña</w:t>
      </w:r>
      <w:r w:rsidRPr="00DE042E">
        <w:rPr>
          <w:lang w:val="es-419"/>
        </w:rPr>
        <w:t xml:space="preserve">. Por último, se estimó un modelo de regresión, calculando el TE en función del coeficiente de determinación (R2) y sus intervalos de confianza, donde valores ≥ </w:t>
      </w:r>
      <w:r w:rsidRPr="00DE042E">
        <w:rPr>
          <w:lang w:val="es-419"/>
        </w:rPr>
        <w:lastRenderedPageBreak/>
        <w:t>0,02, ≥ 0,13 y ≥ 0,26 indican una ME pequeña, promedio y grande, re</w:t>
      </w:r>
      <w:r w:rsidR="007F5690" w:rsidRPr="00DE042E">
        <w:rPr>
          <w:lang w:val="es-419"/>
        </w:rPr>
        <w:t>spectivamente</w:t>
      </w:r>
      <w:r w:rsidRPr="00DE042E">
        <w:rPr>
          <w:lang w:val="es-419"/>
        </w:rPr>
        <w:t>. Para los análisis estadísticos, se utilizó el software estadístico SPSS versión 24,0.</w:t>
      </w:r>
    </w:p>
    <w:p w14:paraId="681BC02D" w14:textId="08A562EB" w:rsidR="004C1FD8" w:rsidRPr="00DE042E" w:rsidRDefault="008D4303" w:rsidP="00CB7C91">
      <w:pPr>
        <w:pStyle w:val="SubtituloInterno"/>
        <w:jc w:val="left"/>
        <w:rPr>
          <w:lang w:val="es-419"/>
        </w:rPr>
      </w:pPr>
      <w:r w:rsidRPr="00DE042E">
        <w:rPr>
          <w:lang w:val="es-419"/>
        </w:rPr>
        <w:t>Consideraciones éticas</w:t>
      </w:r>
    </w:p>
    <w:p w14:paraId="336975B6" w14:textId="79849685" w:rsidR="00076F0A" w:rsidRPr="00DE042E" w:rsidRDefault="008D4303" w:rsidP="00CB7C91">
      <w:pPr>
        <w:pStyle w:val="Prrafocomn"/>
        <w:jc w:val="left"/>
        <w:rPr>
          <w:lang w:val="es-419"/>
        </w:rPr>
      </w:pPr>
      <w:r w:rsidRPr="00DE042E">
        <w:rPr>
          <w:lang w:val="es-419"/>
        </w:rPr>
        <w:t>El estudio cuenta con la aprobación del comité de ética en investigación de la Dirección Regional de Salud Puno, Perú. Se solicitó el consentimiento informado a los participantes por medio de una clausula visible después de las indicaciones respectivas en el formulario de Google: “Comenzar a desarrollar el cuestionario, declara mi consentimiento para participar”. Esto, con el objetivo de que los participantes conozcan los fines del estudio y aceptaran participar voluntariamente bajo las condiciones de respetar su privacidad y la confidencialidad de la información.</w:t>
      </w:r>
    </w:p>
    <w:p w14:paraId="61754C2A" w14:textId="22BC8A94" w:rsidR="006F7E7E" w:rsidRPr="00DE042E" w:rsidRDefault="005B5614" w:rsidP="00CB7C91">
      <w:pPr>
        <w:pStyle w:val="Ttulosinternos"/>
        <w:rPr>
          <w:lang w:val="es-419"/>
        </w:rPr>
      </w:pPr>
      <w:r w:rsidRPr="00DE042E">
        <w:rPr>
          <w:lang w:val="es-419"/>
        </w:rPr>
        <w:t>Result</w:t>
      </w:r>
      <w:r w:rsidR="008D4303" w:rsidRPr="00DE042E">
        <w:rPr>
          <w:lang w:val="es-419"/>
        </w:rPr>
        <w:t>ado</w:t>
      </w:r>
      <w:r w:rsidRPr="00DE042E">
        <w:rPr>
          <w:lang w:val="es-419"/>
        </w:rPr>
        <w:t>s</w:t>
      </w:r>
    </w:p>
    <w:p w14:paraId="2CF55D53" w14:textId="0676AF85" w:rsidR="00F80E2A" w:rsidRPr="00DE042E" w:rsidRDefault="00F80E2A" w:rsidP="00CB7C91">
      <w:pPr>
        <w:pStyle w:val="SubtituloInterno"/>
        <w:jc w:val="left"/>
        <w:rPr>
          <w:lang w:val="es-419"/>
        </w:rPr>
      </w:pPr>
      <w:r w:rsidRPr="00DE042E">
        <w:rPr>
          <w:lang w:val="es-419"/>
        </w:rPr>
        <w:t>Análisis descriptivos</w:t>
      </w:r>
    </w:p>
    <w:p w14:paraId="5AC65240" w14:textId="75AC954C" w:rsidR="00A93146" w:rsidRPr="00DE042E" w:rsidRDefault="00F80E2A" w:rsidP="00CB7C91">
      <w:pPr>
        <w:pStyle w:val="Prrafocomn"/>
        <w:jc w:val="left"/>
        <w:rPr>
          <w:lang w:val="es-419"/>
        </w:rPr>
      </w:pPr>
      <w:r w:rsidRPr="00DE042E">
        <w:rPr>
          <w:lang w:val="es-419"/>
        </w:rPr>
        <w:t xml:space="preserve">La Tabla 2 muestra los estadísticos descriptivos de las variables de estudio. Respecto a los coeficientes de asimetría y curtosis de la variable satisfacción con la vida, preocupación por </w:t>
      </w:r>
      <w:r w:rsidR="00462C90" w:rsidRPr="00DE042E">
        <w:rPr>
          <w:lang w:val="es-419"/>
        </w:rPr>
        <w:t>la</w:t>
      </w:r>
      <w:r w:rsidRPr="00DE042E">
        <w:rPr>
          <w:lang w:val="es-419"/>
        </w:rPr>
        <w:t xml:space="preserve"> COVID-19, ansiedad y depresión, son adecuados porque no exceden el rango &gt; ± 1.5 (Pérez &amp; Medrano, 2010).</w:t>
      </w:r>
    </w:p>
    <w:p w14:paraId="467D6AEE" w14:textId="6E8F6A1E" w:rsidR="007141D5" w:rsidRPr="00DE042E" w:rsidRDefault="007141D5" w:rsidP="00CB7C91">
      <w:pPr>
        <w:spacing w:line="360" w:lineRule="auto"/>
        <w:rPr>
          <w:sz w:val="20"/>
          <w:szCs w:val="20"/>
          <w:lang w:eastAsia="en-US"/>
        </w:rPr>
      </w:pPr>
      <w:r w:rsidRPr="00DE042E">
        <w:rPr>
          <w:sz w:val="20"/>
          <w:szCs w:val="20"/>
        </w:rPr>
        <w:t>Tabla 2</w:t>
      </w:r>
    </w:p>
    <w:p w14:paraId="3691780F" w14:textId="3CA45659" w:rsidR="007141D5" w:rsidRPr="00DE042E" w:rsidRDefault="007141D5" w:rsidP="00CB7C91">
      <w:pPr>
        <w:spacing w:line="360" w:lineRule="auto"/>
        <w:rPr>
          <w:i/>
          <w:sz w:val="20"/>
          <w:szCs w:val="20"/>
        </w:rPr>
      </w:pPr>
      <w:r w:rsidRPr="00DE042E">
        <w:rPr>
          <w:i/>
          <w:sz w:val="20"/>
          <w:szCs w:val="20"/>
        </w:rPr>
        <w:t xml:space="preserve">Análisis descriptivos de </w:t>
      </w:r>
      <w:r w:rsidR="006E0865" w:rsidRPr="00DE042E">
        <w:rPr>
          <w:i/>
          <w:sz w:val="20"/>
          <w:szCs w:val="20"/>
        </w:rPr>
        <w:t>depresión, ansiedad</w:t>
      </w:r>
      <w:r w:rsidRPr="00DE042E">
        <w:rPr>
          <w:i/>
          <w:sz w:val="20"/>
          <w:szCs w:val="20"/>
        </w:rPr>
        <w:t xml:space="preserve">, </w:t>
      </w:r>
      <w:r w:rsidR="006E0865" w:rsidRPr="00DE042E">
        <w:rPr>
          <w:i/>
          <w:sz w:val="20"/>
          <w:szCs w:val="20"/>
        </w:rPr>
        <w:t>preocupación por la COVID-19 y satisfacción con la vida</w:t>
      </w:r>
    </w:p>
    <w:tbl>
      <w:tblPr>
        <w:tblpPr w:leftFromText="141" w:rightFromText="141" w:bottomFromText="160" w:vertAnchor="text" w:tblpY="1"/>
        <w:tblOverlap w:val="neve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261"/>
        <w:gridCol w:w="788"/>
        <w:gridCol w:w="2186"/>
        <w:gridCol w:w="1133"/>
        <w:gridCol w:w="992"/>
      </w:tblGrid>
      <w:tr w:rsidR="007141D5" w:rsidRPr="00DE042E" w14:paraId="5828BC4E" w14:textId="77777777" w:rsidTr="007141D5">
        <w:trPr>
          <w:trHeight w:val="136"/>
        </w:trPr>
        <w:tc>
          <w:tcPr>
            <w:tcW w:w="2276" w:type="pct"/>
            <w:tcBorders>
              <w:top w:val="single" w:sz="4" w:space="0" w:color="auto"/>
              <w:left w:val="nil"/>
              <w:bottom w:val="single" w:sz="4" w:space="0" w:color="auto"/>
              <w:right w:val="nil"/>
            </w:tcBorders>
            <w:noWrap/>
            <w:vAlign w:val="center"/>
            <w:hideMark/>
          </w:tcPr>
          <w:p w14:paraId="05B79977"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Variables</w:t>
            </w:r>
          </w:p>
        </w:tc>
        <w:tc>
          <w:tcPr>
            <w:tcW w:w="421" w:type="pct"/>
            <w:tcBorders>
              <w:top w:val="single" w:sz="4" w:space="0" w:color="auto"/>
              <w:left w:val="nil"/>
              <w:bottom w:val="single" w:sz="4" w:space="0" w:color="auto"/>
              <w:right w:val="nil"/>
            </w:tcBorders>
            <w:noWrap/>
            <w:vAlign w:val="center"/>
            <w:hideMark/>
          </w:tcPr>
          <w:p w14:paraId="6F871EAD"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Media</w:t>
            </w:r>
          </w:p>
        </w:tc>
        <w:tc>
          <w:tcPr>
            <w:tcW w:w="1168" w:type="pct"/>
            <w:tcBorders>
              <w:top w:val="single" w:sz="4" w:space="0" w:color="auto"/>
              <w:left w:val="nil"/>
              <w:bottom w:val="single" w:sz="4" w:space="0" w:color="auto"/>
              <w:right w:val="nil"/>
            </w:tcBorders>
            <w:noWrap/>
            <w:vAlign w:val="center"/>
            <w:hideMark/>
          </w:tcPr>
          <w:p w14:paraId="2DB0D8BF"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Desviación Estándar</w:t>
            </w:r>
          </w:p>
        </w:tc>
        <w:tc>
          <w:tcPr>
            <w:tcW w:w="605" w:type="pct"/>
            <w:tcBorders>
              <w:top w:val="single" w:sz="4" w:space="0" w:color="auto"/>
              <w:left w:val="nil"/>
              <w:bottom w:val="single" w:sz="4" w:space="0" w:color="auto"/>
              <w:right w:val="nil"/>
            </w:tcBorders>
            <w:noWrap/>
            <w:vAlign w:val="center"/>
            <w:hideMark/>
          </w:tcPr>
          <w:p w14:paraId="7477E1A3"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Asimetría</w:t>
            </w:r>
          </w:p>
        </w:tc>
        <w:tc>
          <w:tcPr>
            <w:tcW w:w="530" w:type="pct"/>
            <w:tcBorders>
              <w:top w:val="single" w:sz="4" w:space="0" w:color="auto"/>
              <w:left w:val="nil"/>
              <w:bottom w:val="single" w:sz="4" w:space="0" w:color="auto"/>
              <w:right w:val="nil"/>
            </w:tcBorders>
            <w:noWrap/>
            <w:vAlign w:val="center"/>
            <w:hideMark/>
          </w:tcPr>
          <w:p w14:paraId="36182AA5"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Curtosis</w:t>
            </w:r>
          </w:p>
        </w:tc>
      </w:tr>
      <w:tr w:rsidR="007141D5" w:rsidRPr="00DE042E" w14:paraId="6EDB3442" w14:textId="77777777" w:rsidTr="007141D5">
        <w:trPr>
          <w:cantSplit/>
          <w:trHeight w:val="127"/>
        </w:trPr>
        <w:tc>
          <w:tcPr>
            <w:tcW w:w="2276" w:type="pct"/>
            <w:tcBorders>
              <w:top w:val="single" w:sz="4" w:space="0" w:color="auto"/>
              <w:left w:val="nil"/>
              <w:bottom w:val="nil"/>
              <w:right w:val="nil"/>
            </w:tcBorders>
            <w:vAlign w:val="center"/>
            <w:hideMark/>
          </w:tcPr>
          <w:p w14:paraId="2DCCD74D"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Satisfacción con los estudios</w:t>
            </w:r>
          </w:p>
        </w:tc>
        <w:tc>
          <w:tcPr>
            <w:tcW w:w="421" w:type="pct"/>
            <w:tcBorders>
              <w:top w:val="single" w:sz="4" w:space="0" w:color="auto"/>
              <w:left w:val="nil"/>
              <w:bottom w:val="nil"/>
              <w:right w:val="nil"/>
            </w:tcBorders>
            <w:noWrap/>
            <w:vAlign w:val="center"/>
            <w:hideMark/>
          </w:tcPr>
          <w:p w14:paraId="266C6C15" w14:textId="6E98A929" w:rsidR="007141D5" w:rsidRPr="00DE042E" w:rsidRDefault="007141D5" w:rsidP="00CB7C91">
            <w:pPr>
              <w:spacing w:line="360" w:lineRule="auto"/>
              <w:rPr>
                <w:color w:val="000000"/>
                <w:sz w:val="20"/>
                <w:szCs w:val="20"/>
                <w:lang w:eastAsia="es-PE"/>
              </w:rPr>
            </w:pPr>
            <w:r w:rsidRPr="00DE042E">
              <w:rPr>
                <w:color w:val="000000"/>
                <w:sz w:val="20"/>
                <w:szCs w:val="20"/>
                <w:lang w:eastAsia="es-PE"/>
              </w:rPr>
              <w:t>16.51</w:t>
            </w:r>
          </w:p>
        </w:tc>
        <w:tc>
          <w:tcPr>
            <w:tcW w:w="1168" w:type="pct"/>
            <w:tcBorders>
              <w:top w:val="single" w:sz="4" w:space="0" w:color="auto"/>
              <w:left w:val="nil"/>
              <w:bottom w:val="nil"/>
              <w:right w:val="nil"/>
            </w:tcBorders>
            <w:noWrap/>
            <w:vAlign w:val="center"/>
            <w:hideMark/>
          </w:tcPr>
          <w:p w14:paraId="287B2391" w14:textId="69C2F739" w:rsidR="007141D5" w:rsidRPr="00DE042E" w:rsidRDefault="007141D5" w:rsidP="00CB7C91">
            <w:pPr>
              <w:spacing w:line="360" w:lineRule="auto"/>
              <w:rPr>
                <w:color w:val="000000"/>
                <w:sz w:val="20"/>
                <w:szCs w:val="20"/>
                <w:lang w:eastAsia="es-PE"/>
              </w:rPr>
            </w:pPr>
            <w:r w:rsidRPr="00DE042E">
              <w:rPr>
                <w:color w:val="000000"/>
                <w:sz w:val="20"/>
                <w:szCs w:val="20"/>
                <w:lang w:eastAsia="es-PE"/>
              </w:rPr>
              <w:t>5.006</w:t>
            </w:r>
          </w:p>
        </w:tc>
        <w:tc>
          <w:tcPr>
            <w:tcW w:w="605" w:type="pct"/>
            <w:tcBorders>
              <w:top w:val="single" w:sz="4" w:space="0" w:color="auto"/>
              <w:left w:val="nil"/>
              <w:bottom w:val="nil"/>
              <w:right w:val="nil"/>
            </w:tcBorders>
            <w:noWrap/>
            <w:vAlign w:val="center"/>
            <w:hideMark/>
          </w:tcPr>
          <w:p w14:paraId="17104586" w14:textId="66EB18F4" w:rsidR="007141D5" w:rsidRPr="00DE042E" w:rsidRDefault="007141D5" w:rsidP="00CB7C91">
            <w:pPr>
              <w:spacing w:line="360" w:lineRule="auto"/>
              <w:rPr>
                <w:color w:val="000000"/>
                <w:sz w:val="20"/>
                <w:szCs w:val="20"/>
                <w:lang w:eastAsia="es-PE"/>
              </w:rPr>
            </w:pPr>
            <w:r w:rsidRPr="00DE042E">
              <w:rPr>
                <w:color w:val="000000"/>
                <w:sz w:val="20"/>
                <w:szCs w:val="20"/>
                <w:lang w:eastAsia="es-PE"/>
              </w:rPr>
              <w:t>-.486</w:t>
            </w:r>
          </w:p>
        </w:tc>
        <w:tc>
          <w:tcPr>
            <w:tcW w:w="530" w:type="pct"/>
            <w:tcBorders>
              <w:top w:val="single" w:sz="4" w:space="0" w:color="auto"/>
              <w:left w:val="nil"/>
              <w:bottom w:val="nil"/>
              <w:right w:val="nil"/>
            </w:tcBorders>
            <w:noWrap/>
            <w:vAlign w:val="center"/>
            <w:hideMark/>
          </w:tcPr>
          <w:p w14:paraId="6647E2F8" w14:textId="1CE26EE8" w:rsidR="007141D5" w:rsidRPr="00DE042E" w:rsidRDefault="007141D5" w:rsidP="00CB7C91">
            <w:pPr>
              <w:spacing w:line="360" w:lineRule="auto"/>
              <w:rPr>
                <w:color w:val="000000"/>
                <w:sz w:val="20"/>
                <w:szCs w:val="20"/>
                <w:lang w:eastAsia="es-PE"/>
              </w:rPr>
            </w:pPr>
            <w:r w:rsidRPr="00DE042E">
              <w:rPr>
                <w:color w:val="000000"/>
                <w:sz w:val="20"/>
                <w:szCs w:val="20"/>
                <w:lang w:eastAsia="es-PE"/>
              </w:rPr>
              <w:t>-.481</w:t>
            </w:r>
          </w:p>
        </w:tc>
      </w:tr>
      <w:tr w:rsidR="007141D5" w:rsidRPr="00DE042E" w14:paraId="52504AE9" w14:textId="77777777" w:rsidTr="007141D5">
        <w:trPr>
          <w:cantSplit/>
          <w:trHeight w:val="282"/>
        </w:trPr>
        <w:tc>
          <w:tcPr>
            <w:tcW w:w="2276" w:type="pct"/>
            <w:tcBorders>
              <w:top w:val="nil"/>
              <w:left w:val="nil"/>
              <w:bottom w:val="nil"/>
              <w:right w:val="nil"/>
            </w:tcBorders>
            <w:vAlign w:val="center"/>
            <w:hideMark/>
          </w:tcPr>
          <w:p w14:paraId="6A70C4F4"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 xml:space="preserve">Preocupación </w:t>
            </w:r>
            <w:r w:rsidRPr="00DE042E">
              <w:rPr>
                <w:color w:val="222222"/>
                <w:sz w:val="20"/>
                <w:szCs w:val="20"/>
                <w:shd w:val="clear" w:color="auto" w:fill="FFFFFF"/>
              </w:rPr>
              <w:t>por el contagio del COVID 19</w:t>
            </w:r>
          </w:p>
        </w:tc>
        <w:tc>
          <w:tcPr>
            <w:tcW w:w="421" w:type="pct"/>
            <w:tcBorders>
              <w:top w:val="nil"/>
              <w:left w:val="nil"/>
              <w:bottom w:val="nil"/>
              <w:right w:val="nil"/>
            </w:tcBorders>
            <w:noWrap/>
            <w:vAlign w:val="center"/>
            <w:hideMark/>
          </w:tcPr>
          <w:p w14:paraId="0340C3F3" w14:textId="71754421" w:rsidR="007141D5" w:rsidRPr="00DE042E" w:rsidRDefault="007141D5" w:rsidP="00CB7C91">
            <w:pPr>
              <w:spacing w:line="360" w:lineRule="auto"/>
              <w:rPr>
                <w:color w:val="000000"/>
                <w:sz w:val="20"/>
                <w:szCs w:val="20"/>
                <w:lang w:eastAsia="es-PE"/>
              </w:rPr>
            </w:pPr>
            <w:r w:rsidRPr="00DE042E">
              <w:rPr>
                <w:color w:val="000000"/>
                <w:sz w:val="20"/>
                <w:szCs w:val="20"/>
                <w:lang w:eastAsia="es-PE"/>
              </w:rPr>
              <w:t>12.14</w:t>
            </w:r>
          </w:p>
        </w:tc>
        <w:tc>
          <w:tcPr>
            <w:tcW w:w="1168" w:type="pct"/>
            <w:tcBorders>
              <w:top w:val="nil"/>
              <w:left w:val="nil"/>
              <w:bottom w:val="nil"/>
              <w:right w:val="nil"/>
            </w:tcBorders>
            <w:noWrap/>
            <w:vAlign w:val="center"/>
            <w:hideMark/>
          </w:tcPr>
          <w:p w14:paraId="66A9E5B1" w14:textId="7D950583" w:rsidR="007141D5" w:rsidRPr="00DE042E" w:rsidRDefault="007141D5" w:rsidP="00CB7C91">
            <w:pPr>
              <w:spacing w:line="360" w:lineRule="auto"/>
              <w:rPr>
                <w:color w:val="000000"/>
                <w:sz w:val="20"/>
                <w:szCs w:val="20"/>
                <w:lang w:eastAsia="es-PE"/>
              </w:rPr>
            </w:pPr>
            <w:r w:rsidRPr="00DE042E">
              <w:rPr>
                <w:color w:val="000000"/>
                <w:sz w:val="20"/>
                <w:szCs w:val="20"/>
                <w:lang w:eastAsia="es-PE"/>
              </w:rPr>
              <w:t>4.069</w:t>
            </w:r>
          </w:p>
        </w:tc>
        <w:tc>
          <w:tcPr>
            <w:tcW w:w="605" w:type="pct"/>
            <w:tcBorders>
              <w:top w:val="nil"/>
              <w:left w:val="nil"/>
              <w:bottom w:val="nil"/>
              <w:right w:val="nil"/>
            </w:tcBorders>
            <w:noWrap/>
            <w:vAlign w:val="center"/>
            <w:hideMark/>
          </w:tcPr>
          <w:p w14:paraId="1EDD9BC9" w14:textId="264D56B3" w:rsidR="007141D5" w:rsidRPr="00DE042E" w:rsidRDefault="007141D5" w:rsidP="00CB7C91">
            <w:pPr>
              <w:spacing w:line="360" w:lineRule="auto"/>
              <w:rPr>
                <w:color w:val="000000"/>
                <w:sz w:val="20"/>
                <w:szCs w:val="20"/>
                <w:lang w:eastAsia="es-PE"/>
              </w:rPr>
            </w:pPr>
            <w:r w:rsidRPr="00DE042E">
              <w:rPr>
                <w:color w:val="000000"/>
                <w:sz w:val="20"/>
                <w:szCs w:val="20"/>
                <w:lang w:eastAsia="es-PE"/>
              </w:rPr>
              <w:t>.542</w:t>
            </w:r>
          </w:p>
        </w:tc>
        <w:tc>
          <w:tcPr>
            <w:tcW w:w="530" w:type="pct"/>
            <w:tcBorders>
              <w:top w:val="nil"/>
              <w:left w:val="nil"/>
              <w:bottom w:val="nil"/>
              <w:right w:val="nil"/>
            </w:tcBorders>
            <w:noWrap/>
            <w:vAlign w:val="center"/>
            <w:hideMark/>
          </w:tcPr>
          <w:p w14:paraId="36AE2864" w14:textId="30E03DA0" w:rsidR="007141D5" w:rsidRPr="00DE042E" w:rsidRDefault="007141D5" w:rsidP="00CB7C91">
            <w:pPr>
              <w:spacing w:line="360" w:lineRule="auto"/>
              <w:rPr>
                <w:color w:val="000000"/>
                <w:sz w:val="20"/>
                <w:szCs w:val="20"/>
                <w:lang w:eastAsia="es-PE"/>
              </w:rPr>
            </w:pPr>
            <w:r w:rsidRPr="00DE042E">
              <w:rPr>
                <w:color w:val="000000"/>
                <w:sz w:val="20"/>
                <w:szCs w:val="20"/>
                <w:lang w:eastAsia="es-PE"/>
              </w:rPr>
              <w:t>-.002</w:t>
            </w:r>
          </w:p>
        </w:tc>
      </w:tr>
      <w:tr w:rsidR="007141D5" w:rsidRPr="00DE042E" w14:paraId="22B142C0" w14:textId="77777777" w:rsidTr="007141D5">
        <w:trPr>
          <w:cantSplit/>
          <w:trHeight w:val="151"/>
        </w:trPr>
        <w:tc>
          <w:tcPr>
            <w:tcW w:w="2276" w:type="pct"/>
            <w:tcBorders>
              <w:top w:val="nil"/>
              <w:left w:val="nil"/>
              <w:bottom w:val="nil"/>
              <w:right w:val="nil"/>
            </w:tcBorders>
            <w:vAlign w:val="center"/>
            <w:hideMark/>
          </w:tcPr>
          <w:p w14:paraId="6D56AA87"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Ansiedad</w:t>
            </w:r>
          </w:p>
        </w:tc>
        <w:tc>
          <w:tcPr>
            <w:tcW w:w="421" w:type="pct"/>
            <w:tcBorders>
              <w:top w:val="nil"/>
              <w:left w:val="nil"/>
              <w:bottom w:val="nil"/>
              <w:right w:val="nil"/>
            </w:tcBorders>
            <w:noWrap/>
            <w:vAlign w:val="center"/>
            <w:hideMark/>
          </w:tcPr>
          <w:p w14:paraId="30D8EDBD" w14:textId="5B7F7772" w:rsidR="007141D5" w:rsidRPr="00DE042E" w:rsidRDefault="007141D5" w:rsidP="00CB7C91">
            <w:pPr>
              <w:spacing w:line="360" w:lineRule="auto"/>
              <w:rPr>
                <w:color w:val="000000"/>
                <w:sz w:val="20"/>
                <w:szCs w:val="20"/>
                <w:lang w:eastAsia="es-PE"/>
              </w:rPr>
            </w:pPr>
            <w:r w:rsidRPr="00DE042E">
              <w:rPr>
                <w:color w:val="000000"/>
                <w:sz w:val="20"/>
                <w:szCs w:val="20"/>
                <w:lang w:eastAsia="es-PE"/>
              </w:rPr>
              <w:t>3.53</w:t>
            </w:r>
          </w:p>
        </w:tc>
        <w:tc>
          <w:tcPr>
            <w:tcW w:w="1168" w:type="pct"/>
            <w:tcBorders>
              <w:top w:val="nil"/>
              <w:left w:val="nil"/>
              <w:bottom w:val="nil"/>
              <w:right w:val="nil"/>
            </w:tcBorders>
            <w:noWrap/>
            <w:vAlign w:val="center"/>
            <w:hideMark/>
          </w:tcPr>
          <w:p w14:paraId="0D252655" w14:textId="23BA063B" w:rsidR="007141D5" w:rsidRPr="00DE042E" w:rsidRDefault="007141D5" w:rsidP="00CB7C91">
            <w:pPr>
              <w:spacing w:line="360" w:lineRule="auto"/>
              <w:rPr>
                <w:color w:val="000000"/>
                <w:sz w:val="20"/>
                <w:szCs w:val="20"/>
                <w:lang w:eastAsia="es-PE"/>
              </w:rPr>
            </w:pPr>
            <w:r w:rsidRPr="00DE042E">
              <w:rPr>
                <w:color w:val="000000"/>
                <w:sz w:val="20"/>
                <w:szCs w:val="20"/>
                <w:lang w:eastAsia="es-PE"/>
              </w:rPr>
              <w:t>1.447</w:t>
            </w:r>
          </w:p>
        </w:tc>
        <w:tc>
          <w:tcPr>
            <w:tcW w:w="605" w:type="pct"/>
            <w:tcBorders>
              <w:top w:val="nil"/>
              <w:left w:val="nil"/>
              <w:bottom w:val="nil"/>
              <w:right w:val="nil"/>
            </w:tcBorders>
            <w:noWrap/>
            <w:vAlign w:val="center"/>
            <w:hideMark/>
          </w:tcPr>
          <w:p w14:paraId="653C46F8" w14:textId="0548AE4C" w:rsidR="007141D5" w:rsidRPr="00DE042E" w:rsidRDefault="007141D5" w:rsidP="00CB7C91">
            <w:pPr>
              <w:spacing w:line="360" w:lineRule="auto"/>
              <w:rPr>
                <w:color w:val="000000"/>
                <w:sz w:val="20"/>
                <w:szCs w:val="20"/>
                <w:lang w:eastAsia="es-PE"/>
              </w:rPr>
            </w:pPr>
            <w:r w:rsidRPr="00DE042E">
              <w:rPr>
                <w:color w:val="000000"/>
                <w:sz w:val="20"/>
                <w:szCs w:val="20"/>
                <w:lang w:eastAsia="es-PE"/>
              </w:rPr>
              <w:t>.818</w:t>
            </w:r>
          </w:p>
        </w:tc>
        <w:tc>
          <w:tcPr>
            <w:tcW w:w="530" w:type="pct"/>
            <w:tcBorders>
              <w:top w:val="nil"/>
              <w:left w:val="nil"/>
              <w:bottom w:val="nil"/>
              <w:right w:val="nil"/>
            </w:tcBorders>
            <w:noWrap/>
            <w:vAlign w:val="center"/>
            <w:hideMark/>
          </w:tcPr>
          <w:p w14:paraId="547B8BDB" w14:textId="2916FBC4" w:rsidR="007141D5" w:rsidRPr="00DE042E" w:rsidRDefault="007141D5" w:rsidP="00CB7C91">
            <w:pPr>
              <w:spacing w:line="360" w:lineRule="auto"/>
              <w:rPr>
                <w:color w:val="000000"/>
                <w:sz w:val="20"/>
                <w:szCs w:val="20"/>
                <w:lang w:eastAsia="es-PE"/>
              </w:rPr>
            </w:pPr>
            <w:r w:rsidRPr="00DE042E">
              <w:rPr>
                <w:color w:val="000000"/>
                <w:sz w:val="20"/>
                <w:szCs w:val="20"/>
                <w:lang w:eastAsia="es-PE"/>
              </w:rPr>
              <w:t>.341</w:t>
            </w:r>
          </w:p>
        </w:tc>
      </w:tr>
      <w:tr w:rsidR="007141D5" w:rsidRPr="00DE042E" w14:paraId="002F684D" w14:textId="77777777" w:rsidTr="007141D5">
        <w:trPr>
          <w:cantSplit/>
          <w:trHeight w:val="50"/>
        </w:trPr>
        <w:tc>
          <w:tcPr>
            <w:tcW w:w="2276" w:type="pct"/>
            <w:tcBorders>
              <w:top w:val="nil"/>
              <w:left w:val="nil"/>
              <w:bottom w:val="single" w:sz="4" w:space="0" w:color="auto"/>
              <w:right w:val="nil"/>
            </w:tcBorders>
            <w:noWrap/>
            <w:vAlign w:val="center"/>
            <w:hideMark/>
          </w:tcPr>
          <w:p w14:paraId="055A92B3" w14:textId="77777777" w:rsidR="007141D5" w:rsidRPr="00DE042E" w:rsidRDefault="007141D5" w:rsidP="00CB7C91">
            <w:pPr>
              <w:spacing w:line="360" w:lineRule="auto"/>
              <w:rPr>
                <w:color w:val="000000"/>
                <w:sz w:val="20"/>
                <w:szCs w:val="20"/>
                <w:lang w:eastAsia="es-PE"/>
              </w:rPr>
            </w:pPr>
            <w:r w:rsidRPr="00DE042E">
              <w:rPr>
                <w:color w:val="000000"/>
                <w:sz w:val="20"/>
                <w:szCs w:val="20"/>
                <w:lang w:eastAsia="es-PE"/>
              </w:rPr>
              <w:t>Depresión</w:t>
            </w:r>
          </w:p>
        </w:tc>
        <w:tc>
          <w:tcPr>
            <w:tcW w:w="421" w:type="pct"/>
            <w:tcBorders>
              <w:top w:val="nil"/>
              <w:left w:val="nil"/>
              <w:bottom w:val="single" w:sz="4" w:space="0" w:color="auto"/>
              <w:right w:val="nil"/>
            </w:tcBorders>
            <w:noWrap/>
            <w:vAlign w:val="center"/>
            <w:hideMark/>
          </w:tcPr>
          <w:p w14:paraId="7EBA936C" w14:textId="3B2A1735" w:rsidR="007141D5" w:rsidRPr="00DE042E" w:rsidRDefault="007141D5" w:rsidP="00CB7C91">
            <w:pPr>
              <w:spacing w:line="360" w:lineRule="auto"/>
              <w:rPr>
                <w:color w:val="000000"/>
                <w:sz w:val="20"/>
                <w:szCs w:val="20"/>
                <w:lang w:eastAsia="es-PE"/>
              </w:rPr>
            </w:pPr>
            <w:r w:rsidRPr="00DE042E">
              <w:rPr>
                <w:color w:val="000000"/>
                <w:sz w:val="20"/>
                <w:szCs w:val="20"/>
                <w:lang w:eastAsia="es-PE"/>
              </w:rPr>
              <w:t>3.43</w:t>
            </w:r>
          </w:p>
        </w:tc>
        <w:tc>
          <w:tcPr>
            <w:tcW w:w="1168" w:type="pct"/>
            <w:tcBorders>
              <w:top w:val="nil"/>
              <w:left w:val="nil"/>
              <w:bottom w:val="single" w:sz="4" w:space="0" w:color="auto"/>
              <w:right w:val="nil"/>
            </w:tcBorders>
            <w:noWrap/>
            <w:vAlign w:val="center"/>
            <w:hideMark/>
          </w:tcPr>
          <w:p w14:paraId="56B6917E" w14:textId="3520D6EA" w:rsidR="007141D5" w:rsidRPr="00DE042E" w:rsidRDefault="007141D5" w:rsidP="00CB7C91">
            <w:pPr>
              <w:spacing w:line="360" w:lineRule="auto"/>
              <w:rPr>
                <w:color w:val="000000"/>
                <w:sz w:val="20"/>
                <w:szCs w:val="20"/>
                <w:lang w:eastAsia="es-PE"/>
              </w:rPr>
            </w:pPr>
            <w:r w:rsidRPr="00DE042E">
              <w:rPr>
                <w:color w:val="000000"/>
                <w:sz w:val="20"/>
                <w:szCs w:val="20"/>
                <w:lang w:eastAsia="es-PE"/>
              </w:rPr>
              <w:t>1.501</w:t>
            </w:r>
          </w:p>
        </w:tc>
        <w:tc>
          <w:tcPr>
            <w:tcW w:w="605" w:type="pct"/>
            <w:tcBorders>
              <w:top w:val="nil"/>
              <w:left w:val="nil"/>
              <w:bottom w:val="single" w:sz="4" w:space="0" w:color="auto"/>
              <w:right w:val="nil"/>
            </w:tcBorders>
            <w:noWrap/>
            <w:vAlign w:val="center"/>
            <w:hideMark/>
          </w:tcPr>
          <w:p w14:paraId="34F860F9" w14:textId="334BCA38" w:rsidR="007141D5" w:rsidRPr="00DE042E" w:rsidRDefault="007141D5" w:rsidP="00CB7C91">
            <w:pPr>
              <w:spacing w:line="360" w:lineRule="auto"/>
              <w:rPr>
                <w:color w:val="000000"/>
                <w:sz w:val="20"/>
                <w:szCs w:val="20"/>
                <w:lang w:eastAsia="es-PE"/>
              </w:rPr>
            </w:pPr>
            <w:r w:rsidRPr="00DE042E">
              <w:rPr>
                <w:color w:val="000000"/>
                <w:sz w:val="20"/>
                <w:szCs w:val="20"/>
                <w:lang w:eastAsia="es-PE"/>
              </w:rPr>
              <w:t>.982</w:t>
            </w:r>
          </w:p>
        </w:tc>
        <w:tc>
          <w:tcPr>
            <w:tcW w:w="530" w:type="pct"/>
            <w:tcBorders>
              <w:top w:val="nil"/>
              <w:left w:val="nil"/>
              <w:bottom w:val="single" w:sz="4" w:space="0" w:color="auto"/>
              <w:right w:val="nil"/>
            </w:tcBorders>
            <w:noWrap/>
            <w:vAlign w:val="center"/>
            <w:hideMark/>
          </w:tcPr>
          <w:p w14:paraId="37ACEDE6" w14:textId="05982B4F" w:rsidR="007141D5" w:rsidRPr="00DE042E" w:rsidRDefault="007141D5" w:rsidP="00CB7C91">
            <w:pPr>
              <w:spacing w:line="360" w:lineRule="auto"/>
              <w:rPr>
                <w:color w:val="000000"/>
                <w:sz w:val="20"/>
                <w:szCs w:val="20"/>
                <w:lang w:eastAsia="es-PE"/>
              </w:rPr>
            </w:pPr>
            <w:r w:rsidRPr="00DE042E">
              <w:rPr>
                <w:color w:val="000000"/>
                <w:sz w:val="20"/>
                <w:szCs w:val="20"/>
                <w:lang w:eastAsia="es-PE"/>
              </w:rPr>
              <w:t>.488</w:t>
            </w:r>
          </w:p>
        </w:tc>
      </w:tr>
    </w:tbl>
    <w:p w14:paraId="0B07EC30" w14:textId="77777777" w:rsidR="000A7F5D" w:rsidRPr="00DE042E" w:rsidRDefault="000A7F5D" w:rsidP="00CB7C91">
      <w:pPr>
        <w:pStyle w:val="Prrafocomn"/>
        <w:ind w:firstLine="0"/>
        <w:jc w:val="left"/>
        <w:rPr>
          <w:b/>
          <w:i/>
          <w:lang w:val="es-419"/>
        </w:rPr>
      </w:pPr>
    </w:p>
    <w:p w14:paraId="47853855" w14:textId="0F379CF7" w:rsidR="00575541" w:rsidRPr="00DE042E" w:rsidRDefault="000A7F5D" w:rsidP="00CB7C91">
      <w:pPr>
        <w:pStyle w:val="Prrafocomn"/>
        <w:ind w:firstLine="0"/>
        <w:jc w:val="left"/>
        <w:rPr>
          <w:b/>
          <w:i/>
          <w:lang w:val="es-419"/>
        </w:rPr>
      </w:pPr>
      <w:r w:rsidRPr="00DE042E">
        <w:rPr>
          <w:b/>
          <w:i/>
          <w:lang w:val="es-419"/>
        </w:rPr>
        <w:t xml:space="preserve">Diferencias entre </w:t>
      </w:r>
      <w:r w:rsidR="006E0865" w:rsidRPr="00DE042E">
        <w:rPr>
          <w:b/>
          <w:i/>
          <w:lang w:val="es-419"/>
        </w:rPr>
        <w:t>depresión, ansiedad, preocupación por la COVID-19 y satisfacción con la vida</w:t>
      </w:r>
      <w:r w:rsidRPr="00DE042E">
        <w:rPr>
          <w:b/>
          <w:i/>
          <w:lang w:val="es-419"/>
        </w:rPr>
        <w:t xml:space="preserve"> según sexo</w:t>
      </w:r>
    </w:p>
    <w:p w14:paraId="0E436BA1" w14:textId="4B263E61" w:rsidR="00575541" w:rsidRPr="00DE042E" w:rsidRDefault="006E0865" w:rsidP="00CB7C91">
      <w:pPr>
        <w:pStyle w:val="Prrafocomn"/>
        <w:jc w:val="left"/>
        <w:rPr>
          <w:lang w:val="es-419"/>
        </w:rPr>
      </w:pPr>
      <w:r w:rsidRPr="00DE042E">
        <w:rPr>
          <w:lang w:val="es-419"/>
        </w:rPr>
        <w:t xml:space="preserve">Al comparar los valores de la media de la satisfacción con la vida, preocupación </w:t>
      </w:r>
      <w:r w:rsidR="00462C90" w:rsidRPr="00DE042E">
        <w:rPr>
          <w:lang w:val="es-419"/>
        </w:rPr>
        <w:t>por la</w:t>
      </w:r>
      <w:r w:rsidRPr="00DE042E">
        <w:rPr>
          <w:lang w:val="es-419"/>
        </w:rPr>
        <w:t xml:space="preserve"> COVID-19, ansiedad y depresión según sexo (Tabla 3), se encontró que existe diferencias estadísticamente significativas entre varones y mujeres (t = 3,715, p = 0,000; t = -2,447, p = </w:t>
      </w:r>
      <w:r w:rsidRPr="00DE042E">
        <w:rPr>
          <w:lang w:val="es-419"/>
        </w:rPr>
        <w:lastRenderedPageBreak/>
        <w:t xml:space="preserve">0,015; t = -3,504, p = 0,001; t = -3,269, p = 0,001). Asimismo, se aprecia que el tamaño del efecto para la variable preocupación </w:t>
      </w:r>
      <w:r w:rsidR="00462C90" w:rsidRPr="00DE042E">
        <w:rPr>
          <w:lang w:val="es-419"/>
        </w:rPr>
        <w:t>por la COVID-19</w:t>
      </w:r>
      <w:r w:rsidRPr="00DE042E">
        <w:rPr>
          <w:lang w:val="es-419"/>
        </w:rPr>
        <w:t xml:space="preserve"> es pequeño (0.22) y para la satisfacción con los estudios, ansiedad y depresión no es nada despreciable (d = -.34, .32, .30).</w:t>
      </w:r>
    </w:p>
    <w:p w14:paraId="6CB05E6C" w14:textId="77777777" w:rsidR="00FA0F87" w:rsidRPr="00DE042E" w:rsidRDefault="00FA0F87" w:rsidP="00CB7C91">
      <w:pPr>
        <w:autoSpaceDE w:val="0"/>
        <w:autoSpaceDN w:val="0"/>
        <w:adjustRightInd w:val="0"/>
        <w:spacing w:line="360" w:lineRule="auto"/>
        <w:rPr>
          <w:sz w:val="20"/>
          <w:szCs w:val="20"/>
          <w:lang w:eastAsia="en-US"/>
        </w:rPr>
      </w:pPr>
      <w:r w:rsidRPr="00DE042E">
        <w:rPr>
          <w:rStyle w:val="label"/>
          <w:sz w:val="20"/>
          <w:szCs w:val="20"/>
        </w:rPr>
        <w:t>Tabla 3</w:t>
      </w:r>
    </w:p>
    <w:p w14:paraId="45234E8B" w14:textId="506196C6" w:rsidR="00FA0F87" w:rsidRPr="00DE042E" w:rsidRDefault="00FA0F87" w:rsidP="00CB7C91">
      <w:pPr>
        <w:autoSpaceDE w:val="0"/>
        <w:autoSpaceDN w:val="0"/>
        <w:adjustRightInd w:val="0"/>
        <w:spacing w:line="360" w:lineRule="auto"/>
        <w:rPr>
          <w:i/>
          <w:sz w:val="20"/>
          <w:szCs w:val="20"/>
        </w:rPr>
      </w:pPr>
      <w:r w:rsidRPr="00DE042E">
        <w:rPr>
          <w:i/>
          <w:sz w:val="20"/>
          <w:szCs w:val="20"/>
        </w:rPr>
        <w:t>Diferencia entre varones y mujeres respecto a depresión, ansiedad, preocupación por la COVID-19 y satisfacción con la vida según sexo.</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408"/>
        <w:gridCol w:w="702"/>
        <w:gridCol w:w="702"/>
        <w:gridCol w:w="702"/>
        <w:gridCol w:w="702"/>
        <w:gridCol w:w="781"/>
        <w:gridCol w:w="702"/>
        <w:gridCol w:w="661"/>
      </w:tblGrid>
      <w:tr w:rsidR="00FA0F87" w:rsidRPr="00DE042E" w14:paraId="0C47CB73" w14:textId="77777777" w:rsidTr="00FA0F87">
        <w:trPr>
          <w:trHeight w:val="450"/>
        </w:trPr>
        <w:tc>
          <w:tcPr>
            <w:tcW w:w="2355" w:type="pct"/>
            <w:vMerge w:val="restart"/>
            <w:tcBorders>
              <w:top w:val="single" w:sz="4" w:space="0" w:color="auto"/>
              <w:left w:val="nil"/>
              <w:bottom w:val="single" w:sz="4" w:space="0" w:color="auto"/>
              <w:right w:val="nil"/>
            </w:tcBorders>
            <w:noWrap/>
            <w:vAlign w:val="center"/>
            <w:hideMark/>
          </w:tcPr>
          <w:p w14:paraId="01EB23BF" w14:textId="0EE70034" w:rsidR="00FA0F87" w:rsidRPr="00DE042E" w:rsidRDefault="00FA0F87" w:rsidP="00CB7C91">
            <w:pPr>
              <w:spacing w:line="360" w:lineRule="auto"/>
              <w:rPr>
                <w:b/>
                <w:color w:val="000000"/>
                <w:sz w:val="20"/>
                <w:szCs w:val="20"/>
                <w:lang w:eastAsia="es-PE"/>
              </w:rPr>
            </w:pPr>
          </w:p>
        </w:tc>
        <w:tc>
          <w:tcPr>
            <w:tcW w:w="750" w:type="pct"/>
            <w:gridSpan w:val="2"/>
            <w:vMerge w:val="restart"/>
            <w:tcBorders>
              <w:top w:val="single" w:sz="4" w:space="0" w:color="auto"/>
              <w:left w:val="nil"/>
              <w:bottom w:val="single" w:sz="4" w:space="0" w:color="auto"/>
              <w:right w:val="nil"/>
            </w:tcBorders>
            <w:noWrap/>
            <w:vAlign w:val="center"/>
            <w:hideMark/>
          </w:tcPr>
          <w:p w14:paraId="34C6FE2D" w14:textId="77777777" w:rsidR="00FA0F87" w:rsidRPr="00DE042E" w:rsidRDefault="00FA0F87" w:rsidP="00CB7C91">
            <w:pPr>
              <w:rPr>
                <w:color w:val="000000"/>
                <w:sz w:val="20"/>
                <w:szCs w:val="20"/>
                <w:lang w:eastAsia="es-PE"/>
              </w:rPr>
            </w:pPr>
            <w:r w:rsidRPr="00DE042E">
              <w:rPr>
                <w:color w:val="000000"/>
                <w:sz w:val="20"/>
                <w:szCs w:val="20"/>
                <w:lang w:eastAsia="es-PE"/>
              </w:rPr>
              <w:t>Varones</w:t>
            </w:r>
          </w:p>
        </w:tc>
        <w:tc>
          <w:tcPr>
            <w:tcW w:w="750" w:type="pct"/>
            <w:gridSpan w:val="2"/>
            <w:vMerge w:val="restart"/>
            <w:tcBorders>
              <w:top w:val="single" w:sz="4" w:space="0" w:color="auto"/>
              <w:left w:val="nil"/>
              <w:bottom w:val="single" w:sz="4" w:space="0" w:color="auto"/>
              <w:right w:val="nil"/>
            </w:tcBorders>
            <w:noWrap/>
            <w:vAlign w:val="center"/>
            <w:hideMark/>
          </w:tcPr>
          <w:p w14:paraId="5111C922" w14:textId="77777777" w:rsidR="00FA0F87" w:rsidRPr="00DE042E" w:rsidRDefault="00FA0F87" w:rsidP="00CB7C91">
            <w:pPr>
              <w:rPr>
                <w:color w:val="000000"/>
                <w:sz w:val="20"/>
                <w:szCs w:val="20"/>
                <w:lang w:eastAsia="es-PE"/>
              </w:rPr>
            </w:pPr>
            <w:r w:rsidRPr="00DE042E">
              <w:rPr>
                <w:color w:val="000000"/>
                <w:sz w:val="20"/>
                <w:szCs w:val="20"/>
                <w:lang w:eastAsia="es-PE"/>
              </w:rPr>
              <w:t>Mujeres</w:t>
            </w:r>
          </w:p>
        </w:tc>
        <w:tc>
          <w:tcPr>
            <w:tcW w:w="417" w:type="pct"/>
            <w:vMerge w:val="restart"/>
            <w:tcBorders>
              <w:top w:val="single" w:sz="4" w:space="0" w:color="auto"/>
              <w:left w:val="nil"/>
              <w:bottom w:val="single" w:sz="4" w:space="0" w:color="auto"/>
              <w:right w:val="nil"/>
            </w:tcBorders>
            <w:vAlign w:val="center"/>
            <w:hideMark/>
          </w:tcPr>
          <w:p w14:paraId="325E0474"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t</w:t>
            </w:r>
          </w:p>
        </w:tc>
        <w:tc>
          <w:tcPr>
            <w:tcW w:w="375" w:type="pct"/>
            <w:vMerge w:val="restart"/>
            <w:tcBorders>
              <w:top w:val="single" w:sz="4" w:space="0" w:color="auto"/>
              <w:left w:val="nil"/>
              <w:bottom w:val="single" w:sz="4" w:space="0" w:color="auto"/>
              <w:right w:val="nil"/>
            </w:tcBorders>
            <w:vAlign w:val="center"/>
            <w:hideMark/>
          </w:tcPr>
          <w:p w14:paraId="5BDDAD9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p</w:t>
            </w:r>
          </w:p>
        </w:tc>
        <w:tc>
          <w:tcPr>
            <w:tcW w:w="354" w:type="pct"/>
            <w:vMerge w:val="restart"/>
            <w:tcBorders>
              <w:top w:val="single" w:sz="4" w:space="0" w:color="auto"/>
              <w:left w:val="nil"/>
              <w:bottom w:val="single" w:sz="4" w:space="0" w:color="auto"/>
              <w:right w:val="nil"/>
            </w:tcBorders>
            <w:vAlign w:val="center"/>
            <w:hideMark/>
          </w:tcPr>
          <w:p w14:paraId="625905FE" w14:textId="4EFF95BE" w:rsidR="00FA0F87" w:rsidRPr="00DE042E" w:rsidRDefault="00FA0F87" w:rsidP="00CB7C91">
            <w:pPr>
              <w:spacing w:line="360" w:lineRule="auto"/>
              <w:rPr>
                <w:i/>
                <w:iCs/>
                <w:color w:val="000000"/>
                <w:sz w:val="20"/>
                <w:szCs w:val="20"/>
                <w:lang w:eastAsia="es-PE"/>
              </w:rPr>
            </w:pPr>
            <w:r w:rsidRPr="00DE042E">
              <w:rPr>
                <w:i/>
                <w:iCs/>
                <w:color w:val="000000"/>
                <w:sz w:val="20"/>
                <w:szCs w:val="20"/>
                <w:lang w:eastAsia="es-PE"/>
              </w:rPr>
              <w:t>d</w:t>
            </w:r>
          </w:p>
        </w:tc>
      </w:tr>
      <w:tr w:rsidR="00FA0F87" w:rsidRPr="00DE042E" w14:paraId="533DFAA6" w14:textId="77777777" w:rsidTr="00FA0F87">
        <w:trPr>
          <w:trHeight w:val="345"/>
        </w:trPr>
        <w:tc>
          <w:tcPr>
            <w:tcW w:w="2355" w:type="pct"/>
            <w:vMerge/>
            <w:tcBorders>
              <w:top w:val="single" w:sz="4" w:space="0" w:color="auto"/>
              <w:left w:val="nil"/>
              <w:bottom w:val="single" w:sz="4" w:space="0" w:color="auto"/>
              <w:right w:val="nil"/>
            </w:tcBorders>
            <w:vAlign w:val="center"/>
            <w:hideMark/>
          </w:tcPr>
          <w:p w14:paraId="3954BD04" w14:textId="77777777" w:rsidR="00FA0F87" w:rsidRPr="00DE042E" w:rsidRDefault="00FA0F87" w:rsidP="00CB7C91">
            <w:pPr>
              <w:spacing w:line="360" w:lineRule="auto"/>
              <w:rPr>
                <w:b/>
                <w:color w:val="000000"/>
                <w:sz w:val="20"/>
                <w:szCs w:val="20"/>
                <w:lang w:eastAsia="es-PE"/>
              </w:rPr>
            </w:pPr>
          </w:p>
        </w:tc>
        <w:tc>
          <w:tcPr>
            <w:tcW w:w="750" w:type="pct"/>
            <w:gridSpan w:val="2"/>
            <w:vMerge/>
            <w:tcBorders>
              <w:top w:val="single" w:sz="4" w:space="0" w:color="auto"/>
              <w:left w:val="nil"/>
              <w:bottom w:val="single" w:sz="4" w:space="0" w:color="auto"/>
              <w:right w:val="nil"/>
            </w:tcBorders>
            <w:vAlign w:val="center"/>
            <w:hideMark/>
          </w:tcPr>
          <w:p w14:paraId="02E40BD0" w14:textId="77777777" w:rsidR="00FA0F87" w:rsidRPr="00DE042E" w:rsidRDefault="00FA0F87" w:rsidP="00CB7C91">
            <w:pPr>
              <w:spacing w:line="360" w:lineRule="auto"/>
              <w:rPr>
                <w:color w:val="000000"/>
                <w:sz w:val="20"/>
                <w:szCs w:val="20"/>
                <w:lang w:eastAsia="es-PE"/>
              </w:rPr>
            </w:pPr>
          </w:p>
        </w:tc>
        <w:tc>
          <w:tcPr>
            <w:tcW w:w="750" w:type="pct"/>
            <w:gridSpan w:val="2"/>
            <w:vMerge/>
            <w:tcBorders>
              <w:top w:val="single" w:sz="4" w:space="0" w:color="auto"/>
              <w:left w:val="nil"/>
              <w:bottom w:val="single" w:sz="4" w:space="0" w:color="auto"/>
              <w:right w:val="nil"/>
            </w:tcBorders>
            <w:vAlign w:val="center"/>
            <w:hideMark/>
          </w:tcPr>
          <w:p w14:paraId="01A5D760" w14:textId="77777777" w:rsidR="00FA0F87" w:rsidRPr="00DE042E" w:rsidRDefault="00FA0F87" w:rsidP="00CB7C91">
            <w:pPr>
              <w:spacing w:line="360" w:lineRule="auto"/>
              <w:rPr>
                <w:color w:val="000000"/>
                <w:sz w:val="20"/>
                <w:szCs w:val="20"/>
                <w:lang w:eastAsia="es-PE"/>
              </w:rPr>
            </w:pPr>
          </w:p>
        </w:tc>
        <w:tc>
          <w:tcPr>
            <w:tcW w:w="417" w:type="pct"/>
            <w:vMerge/>
            <w:tcBorders>
              <w:top w:val="single" w:sz="4" w:space="0" w:color="auto"/>
              <w:left w:val="nil"/>
              <w:bottom w:val="single" w:sz="4" w:space="0" w:color="auto"/>
              <w:right w:val="nil"/>
            </w:tcBorders>
            <w:vAlign w:val="center"/>
            <w:hideMark/>
          </w:tcPr>
          <w:p w14:paraId="524422D1" w14:textId="77777777" w:rsidR="00FA0F87" w:rsidRPr="00DE042E" w:rsidRDefault="00FA0F87" w:rsidP="00CB7C91">
            <w:pPr>
              <w:spacing w:line="360" w:lineRule="auto"/>
              <w:rPr>
                <w:color w:val="000000"/>
                <w:sz w:val="20"/>
                <w:szCs w:val="20"/>
                <w:lang w:eastAsia="es-PE"/>
              </w:rPr>
            </w:pPr>
          </w:p>
        </w:tc>
        <w:tc>
          <w:tcPr>
            <w:tcW w:w="375" w:type="pct"/>
            <w:vMerge/>
            <w:tcBorders>
              <w:top w:val="single" w:sz="4" w:space="0" w:color="auto"/>
              <w:left w:val="nil"/>
              <w:bottom w:val="single" w:sz="4" w:space="0" w:color="auto"/>
              <w:right w:val="nil"/>
            </w:tcBorders>
            <w:vAlign w:val="center"/>
            <w:hideMark/>
          </w:tcPr>
          <w:p w14:paraId="1AF88B75" w14:textId="77777777" w:rsidR="00FA0F87" w:rsidRPr="00DE042E" w:rsidRDefault="00FA0F87" w:rsidP="00CB7C91">
            <w:pPr>
              <w:spacing w:line="360" w:lineRule="auto"/>
              <w:rPr>
                <w:b/>
                <w:color w:val="000000"/>
                <w:sz w:val="20"/>
                <w:szCs w:val="20"/>
                <w:lang w:eastAsia="es-PE"/>
              </w:rPr>
            </w:pPr>
          </w:p>
        </w:tc>
        <w:tc>
          <w:tcPr>
            <w:tcW w:w="354" w:type="pct"/>
            <w:vMerge/>
            <w:tcBorders>
              <w:top w:val="single" w:sz="4" w:space="0" w:color="auto"/>
              <w:left w:val="nil"/>
              <w:bottom w:val="single" w:sz="4" w:space="0" w:color="auto"/>
              <w:right w:val="nil"/>
            </w:tcBorders>
            <w:vAlign w:val="center"/>
            <w:hideMark/>
          </w:tcPr>
          <w:p w14:paraId="4C0ABE93" w14:textId="77777777" w:rsidR="00FA0F87" w:rsidRPr="00DE042E" w:rsidRDefault="00FA0F87" w:rsidP="00CB7C91">
            <w:pPr>
              <w:spacing w:line="360" w:lineRule="auto"/>
              <w:rPr>
                <w:b/>
                <w:i/>
                <w:iCs/>
                <w:color w:val="000000"/>
                <w:sz w:val="20"/>
                <w:szCs w:val="20"/>
                <w:lang w:eastAsia="es-PE"/>
              </w:rPr>
            </w:pPr>
          </w:p>
        </w:tc>
      </w:tr>
      <w:tr w:rsidR="00FA0F87" w:rsidRPr="00DE042E" w14:paraId="082EED16" w14:textId="77777777" w:rsidTr="00FA0F87">
        <w:trPr>
          <w:trHeight w:val="56"/>
        </w:trPr>
        <w:tc>
          <w:tcPr>
            <w:tcW w:w="2355" w:type="pct"/>
            <w:vMerge/>
            <w:tcBorders>
              <w:top w:val="single" w:sz="4" w:space="0" w:color="auto"/>
              <w:left w:val="nil"/>
              <w:bottom w:val="single" w:sz="4" w:space="0" w:color="auto"/>
              <w:right w:val="nil"/>
            </w:tcBorders>
            <w:vAlign w:val="center"/>
            <w:hideMark/>
          </w:tcPr>
          <w:p w14:paraId="0BC585B4" w14:textId="77777777" w:rsidR="00FA0F87" w:rsidRPr="00DE042E" w:rsidRDefault="00FA0F87" w:rsidP="00CB7C91">
            <w:pPr>
              <w:spacing w:line="360" w:lineRule="auto"/>
              <w:rPr>
                <w:b/>
                <w:color w:val="000000"/>
                <w:sz w:val="20"/>
                <w:szCs w:val="20"/>
                <w:lang w:eastAsia="es-PE"/>
              </w:rPr>
            </w:pPr>
          </w:p>
        </w:tc>
        <w:tc>
          <w:tcPr>
            <w:tcW w:w="375" w:type="pct"/>
            <w:tcBorders>
              <w:top w:val="single" w:sz="4" w:space="0" w:color="auto"/>
              <w:left w:val="nil"/>
              <w:bottom w:val="single" w:sz="4" w:space="0" w:color="auto"/>
              <w:right w:val="nil"/>
            </w:tcBorders>
            <w:noWrap/>
            <w:vAlign w:val="center"/>
            <w:hideMark/>
          </w:tcPr>
          <w:p w14:paraId="33A7043D"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M</w:t>
            </w:r>
          </w:p>
        </w:tc>
        <w:tc>
          <w:tcPr>
            <w:tcW w:w="375" w:type="pct"/>
            <w:tcBorders>
              <w:top w:val="single" w:sz="4" w:space="0" w:color="auto"/>
              <w:left w:val="nil"/>
              <w:bottom w:val="single" w:sz="4" w:space="0" w:color="auto"/>
              <w:right w:val="nil"/>
            </w:tcBorders>
            <w:noWrap/>
            <w:vAlign w:val="center"/>
            <w:hideMark/>
          </w:tcPr>
          <w:p w14:paraId="295A5454"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DS</w:t>
            </w:r>
          </w:p>
        </w:tc>
        <w:tc>
          <w:tcPr>
            <w:tcW w:w="375" w:type="pct"/>
            <w:tcBorders>
              <w:top w:val="single" w:sz="4" w:space="0" w:color="auto"/>
              <w:left w:val="nil"/>
              <w:bottom w:val="single" w:sz="4" w:space="0" w:color="auto"/>
              <w:right w:val="nil"/>
            </w:tcBorders>
            <w:noWrap/>
            <w:vAlign w:val="center"/>
            <w:hideMark/>
          </w:tcPr>
          <w:p w14:paraId="0961EEE3"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M</w:t>
            </w:r>
          </w:p>
        </w:tc>
        <w:tc>
          <w:tcPr>
            <w:tcW w:w="375" w:type="pct"/>
            <w:tcBorders>
              <w:top w:val="single" w:sz="4" w:space="0" w:color="auto"/>
              <w:left w:val="nil"/>
              <w:bottom w:val="single" w:sz="4" w:space="0" w:color="auto"/>
              <w:right w:val="nil"/>
            </w:tcBorders>
            <w:noWrap/>
            <w:vAlign w:val="center"/>
            <w:hideMark/>
          </w:tcPr>
          <w:p w14:paraId="0D16422D"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DS</w:t>
            </w:r>
          </w:p>
        </w:tc>
        <w:tc>
          <w:tcPr>
            <w:tcW w:w="417" w:type="pct"/>
            <w:vMerge/>
            <w:tcBorders>
              <w:top w:val="single" w:sz="4" w:space="0" w:color="auto"/>
              <w:left w:val="nil"/>
              <w:bottom w:val="single" w:sz="4" w:space="0" w:color="auto"/>
              <w:right w:val="nil"/>
            </w:tcBorders>
            <w:vAlign w:val="center"/>
            <w:hideMark/>
          </w:tcPr>
          <w:p w14:paraId="29F5654E" w14:textId="77777777" w:rsidR="00FA0F87" w:rsidRPr="00DE042E" w:rsidRDefault="00FA0F87" w:rsidP="00CB7C91">
            <w:pPr>
              <w:spacing w:line="360" w:lineRule="auto"/>
              <w:rPr>
                <w:color w:val="000000"/>
                <w:sz w:val="20"/>
                <w:szCs w:val="20"/>
                <w:lang w:eastAsia="es-PE"/>
              </w:rPr>
            </w:pPr>
          </w:p>
        </w:tc>
        <w:tc>
          <w:tcPr>
            <w:tcW w:w="375" w:type="pct"/>
            <w:vMerge/>
            <w:tcBorders>
              <w:top w:val="single" w:sz="4" w:space="0" w:color="auto"/>
              <w:left w:val="nil"/>
              <w:bottom w:val="single" w:sz="4" w:space="0" w:color="auto"/>
              <w:right w:val="nil"/>
            </w:tcBorders>
            <w:vAlign w:val="center"/>
            <w:hideMark/>
          </w:tcPr>
          <w:p w14:paraId="463C3A93" w14:textId="77777777" w:rsidR="00FA0F87" w:rsidRPr="00DE042E" w:rsidRDefault="00FA0F87" w:rsidP="00CB7C91">
            <w:pPr>
              <w:spacing w:line="360" w:lineRule="auto"/>
              <w:rPr>
                <w:b/>
                <w:color w:val="000000"/>
                <w:sz w:val="20"/>
                <w:szCs w:val="20"/>
                <w:lang w:eastAsia="es-PE"/>
              </w:rPr>
            </w:pPr>
          </w:p>
        </w:tc>
        <w:tc>
          <w:tcPr>
            <w:tcW w:w="354" w:type="pct"/>
            <w:vMerge/>
            <w:tcBorders>
              <w:top w:val="single" w:sz="4" w:space="0" w:color="auto"/>
              <w:left w:val="nil"/>
              <w:bottom w:val="single" w:sz="4" w:space="0" w:color="auto"/>
              <w:right w:val="nil"/>
            </w:tcBorders>
            <w:vAlign w:val="center"/>
            <w:hideMark/>
          </w:tcPr>
          <w:p w14:paraId="0FA0000F" w14:textId="77777777" w:rsidR="00FA0F87" w:rsidRPr="00DE042E" w:rsidRDefault="00FA0F87" w:rsidP="00CB7C91">
            <w:pPr>
              <w:spacing w:line="360" w:lineRule="auto"/>
              <w:rPr>
                <w:b/>
                <w:i/>
                <w:iCs/>
                <w:color w:val="000000"/>
                <w:sz w:val="20"/>
                <w:szCs w:val="20"/>
                <w:lang w:eastAsia="es-PE"/>
              </w:rPr>
            </w:pPr>
          </w:p>
        </w:tc>
      </w:tr>
      <w:tr w:rsidR="00FA0F87" w:rsidRPr="00DE042E" w14:paraId="7FDA4C56" w14:textId="77777777" w:rsidTr="00FA0F87">
        <w:trPr>
          <w:trHeight w:val="50"/>
        </w:trPr>
        <w:tc>
          <w:tcPr>
            <w:tcW w:w="2355" w:type="pct"/>
            <w:tcBorders>
              <w:top w:val="single" w:sz="4" w:space="0" w:color="auto"/>
              <w:left w:val="nil"/>
              <w:bottom w:val="nil"/>
              <w:right w:val="nil"/>
            </w:tcBorders>
            <w:vAlign w:val="center"/>
            <w:hideMark/>
          </w:tcPr>
          <w:p w14:paraId="0B4A09DC"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Satisfacción con la vida</w:t>
            </w:r>
          </w:p>
        </w:tc>
        <w:tc>
          <w:tcPr>
            <w:tcW w:w="375" w:type="pct"/>
            <w:tcBorders>
              <w:top w:val="single" w:sz="4" w:space="0" w:color="auto"/>
              <w:left w:val="nil"/>
              <w:bottom w:val="nil"/>
              <w:right w:val="nil"/>
            </w:tcBorders>
            <w:noWrap/>
            <w:vAlign w:val="center"/>
            <w:hideMark/>
          </w:tcPr>
          <w:p w14:paraId="3268FE7C"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17,39</w:t>
            </w:r>
          </w:p>
        </w:tc>
        <w:tc>
          <w:tcPr>
            <w:tcW w:w="375" w:type="pct"/>
            <w:tcBorders>
              <w:top w:val="single" w:sz="4" w:space="0" w:color="auto"/>
              <w:left w:val="nil"/>
              <w:bottom w:val="nil"/>
              <w:right w:val="nil"/>
            </w:tcBorders>
            <w:noWrap/>
            <w:vAlign w:val="center"/>
            <w:hideMark/>
          </w:tcPr>
          <w:p w14:paraId="00F7B26B"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4,935</w:t>
            </w:r>
          </w:p>
        </w:tc>
        <w:tc>
          <w:tcPr>
            <w:tcW w:w="375" w:type="pct"/>
            <w:tcBorders>
              <w:top w:val="single" w:sz="4" w:space="0" w:color="auto"/>
              <w:left w:val="nil"/>
              <w:bottom w:val="nil"/>
              <w:right w:val="nil"/>
            </w:tcBorders>
            <w:noWrap/>
            <w:vAlign w:val="center"/>
            <w:hideMark/>
          </w:tcPr>
          <w:p w14:paraId="39845E68"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15,68</w:t>
            </w:r>
          </w:p>
        </w:tc>
        <w:tc>
          <w:tcPr>
            <w:tcW w:w="375" w:type="pct"/>
            <w:tcBorders>
              <w:top w:val="single" w:sz="4" w:space="0" w:color="auto"/>
              <w:left w:val="nil"/>
              <w:bottom w:val="nil"/>
              <w:right w:val="nil"/>
            </w:tcBorders>
            <w:noWrap/>
            <w:vAlign w:val="center"/>
            <w:hideMark/>
          </w:tcPr>
          <w:p w14:paraId="262683B7"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4,946</w:t>
            </w:r>
          </w:p>
        </w:tc>
        <w:tc>
          <w:tcPr>
            <w:tcW w:w="417" w:type="pct"/>
            <w:tcBorders>
              <w:top w:val="single" w:sz="4" w:space="0" w:color="auto"/>
              <w:left w:val="nil"/>
              <w:bottom w:val="nil"/>
              <w:right w:val="nil"/>
            </w:tcBorders>
            <w:noWrap/>
            <w:vAlign w:val="center"/>
            <w:hideMark/>
          </w:tcPr>
          <w:p w14:paraId="2E97D0CF"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3,715</w:t>
            </w:r>
          </w:p>
        </w:tc>
        <w:tc>
          <w:tcPr>
            <w:tcW w:w="375" w:type="pct"/>
            <w:tcBorders>
              <w:top w:val="single" w:sz="4" w:space="0" w:color="auto"/>
              <w:left w:val="nil"/>
              <w:bottom w:val="nil"/>
              <w:right w:val="nil"/>
            </w:tcBorders>
            <w:noWrap/>
            <w:vAlign w:val="center"/>
            <w:hideMark/>
          </w:tcPr>
          <w:p w14:paraId="11325A10"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0.000</w:t>
            </w:r>
          </w:p>
        </w:tc>
        <w:tc>
          <w:tcPr>
            <w:tcW w:w="354" w:type="pct"/>
            <w:tcBorders>
              <w:top w:val="single" w:sz="4" w:space="0" w:color="auto"/>
              <w:left w:val="nil"/>
              <w:bottom w:val="nil"/>
              <w:right w:val="nil"/>
            </w:tcBorders>
            <w:noWrap/>
            <w:vAlign w:val="center"/>
            <w:hideMark/>
          </w:tcPr>
          <w:p w14:paraId="53B5C884"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-0.34</w:t>
            </w:r>
          </w:p>
        </w:tc>
      </w:tr>
      <w:tr w:rsidR="00FA0F87" w:rsidRPr="00DE042E" w14:paraId="2CC6ACFD" w14:textId="77777777" w:rsidTr="00FA0F87">
        <w:trPr>
          <w:trHeight w:val="50"/>
        </w:trPr>
        <w:tc>
          <w:tcPr>
            <w:tcW w:w="2355" w:type="pct"/>
            <w:tcBorders>
              <w:top w:val="nil"/>
              <w:left w:val="nil"/>
              <w:bottom w:val="nil"/>
              <w:right w:val="nil"/>
            </w:tcBorders>
            <w:vAlign w:val="center"/>
            <w:hideMark/>
          </w:tcPr>
          <w:p w14:paraId="74AF7E0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 xml:space="preserve">Preocupación </w:t>
            </w:r>
            <w:r w:rsidRPr="00DE042E">
              <w:rPr>
                <w:color w:val="222222"/>
                <w:sz w:val="20"/>
                <w:szCs w:val="20"/>
                <w:shd w:val="clear" w:color="auto" w:fill="FFFFFF"/>
              </w:rPr>
              <w:t>por el contagio del COVID 19</w:t>
            </w:r>
          </w:p>
        </w:tc>
        <w:tc>
          <w:tcPr>
            <w:tcW w:w="375" w:type="pct"/>
            <w:tcBorders>
              <w:top w:val="nil"/>
              <w:left w:val="nil"/>
              <w:bottom w:val="nil"/>
              <w:right w:val="nil"/>
            </w:tcBorders>
            <w:noWrap/>
            <w:vAlign w:val="center"/>
            <w:hideMark/>
          </w:tcPr>
          <w:p w14:paraId="0B826C8C"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11,67</w:t>
            </w:r>
          </w:p>
        </w:tc>
        <w:tc>
          <w:tcPr>
            <w:tcW w:w="375" w:type="pct"/>
            <w:tcBorders>
              <w:top w:val="nil"/>
              <w:left w:val="nil"/>
              <w:bottom w:val="nil"/>
              <w:right w:val="nil"/>
            </w:tcBorders>
            <w:noWrap/>
            <w:vAlign w:val="center"/>
            <w:hideMark/>
          </w:tcPr>
          <w:p w14:paraId="258AEB89"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4,041</w:t>
            </w:r>
          </w:p>
        </w:tc>
        <w:tc>
          <w:tcPr>
            <w:tcW w:w="375" w:type="pct"/>
            <w:tcBorders>
              <w:top w:val="nil"/>
              <w:left w:val="nil"/>
              <w:bottom w:val="nil"/>
              <w:right w:val="nil"/>
            </w:tcBorders>
            <w:noWrap/>
            <w:vAlign w:val="center"/>
            <w:hideMark/>
          </w:tcPr>
          <w:p w14:paraId="5D7AB4D8"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12,59</w:t>
            </w:r>
          </w:p>
        </w:tc>
        <w:tc>
          <w:tcPr>
            <w:tcW w:w="375" w:type="pct"/>
            <w:tcBorders>
              <w:top w:val="nil"/>
              <w:left w:val="nil"/>
              <w:bottom w:val="nil"/>
              <w:right w:val="nil"/>
            </w:tcBorders>
            <w:noWrap/>
            <w:vAlign w:val="center"/>
            <w:hideMark/>
          </w:tcPr>
          <w:p w14:paraId="4778A6A6"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4,060</w:t>
            </w:r>
          </w:p>
        </w:tc>
        <w:tc>
          <w:tcPr>
            <w:tcW w:w="417" w:type="pct"/>
            <w:tcBorders>
              <w:top w:val="nil"/>
              <w:left w:val="nil"/>
              <w:bottom w:val="nil"/>
              <w:right w:val="nil"/>
            </w:tcBorders>
            <w:noWrap/>
            <w:vAlign w:val="center"/>
            <w:hideMark/>
          </w:tcPr>
          <w:p w14:paraId="7A9E028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-2,447</w:t>
            </w:r>
          </w:p>
        </w:tc>
        <w:tc>
          <w:tcPr>
            <w:tcW w:w="375" w:type="pct"/>
            <w:tcBorders>
              <w:top w:val="nil"/>
              <w:left w:val="nil"/>
              <w:bottom w:val="nil"/>
              <w:right w:val="nil"/>
            </w:tcBorders>
            <w:noWrap/>
            <w:vAlign w:val="center"/>
            <w:hideMark/>
          </w:tcPr>
          <w:p w14:paraId="1AD3AED1"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0.015</w:t>
            </w:r>
          </w:p>
        </w:tc>
        <w:tc>
          <w:tcPr>
            <w:tcW w:w="354" w:type="pct"/>
            <w:tcBorders>
              <w:top w:val="nil"/>
              <w:left w:val="nil"/>
              <w:bottom w:val="nil"/>
              <w:right w:val="nil"/>
            </w:tcBorders>
            <w:noWrap/>
            <w:vAlign w:val="center"/>
            <w:hideMark/>
          </w:tcPr>
          <w:p w14:paraId="45E63D33"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0.22</w:t>
            </w:r>
          </w:p>
        </w:tc>
      </w:tr>
      <w:tr w:rsidR="00FA0F87" w:rsidRPr="00DE042E" w14:paraId="28B9156F" w14:textId="77777777" w:rsidTr="00FA0F87">
        <w:trPr>
          <w:trHeight w:val="50"/>
        </w:trPr>
        <w:tc>
          <w:tcPr>
            <w:tcW w:w="2355" w:type="pct"/>
            <w:tcBorders>
              <w:top w:val="nil"/>
              <w:left w:val="nil"/>
              <w:bottom w:val="nil"/>
              <w:right w:val="nil"/>
            </w:tcBorders>
            <w:vAlign w:val="center"/>
            <w:hideMark/>
          </w:tcPr>
          <w:p w14:paraId="5CE7291F"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Ansiedad</w:t>
            </w:r>
          </w:p>
        </w:tc>
        <w:tc>
          <w:tcPr>
            <w:tcW w:w="375" w:type="pct"/>
            <w:tcBorders>
              <w:top w:val="nil"/>
              <w:left w:val="nil"/>
              <w:bottom w:val="nil"/>
              <w:right w:val="nil"/>
            </w:tcBorders>
            <w:noWrap/>
            <w:vAlign w:val="center"/>
            <w:hideMark/>
          </w:tcPr>
          <w:p w14:paraId="2B21617B"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3,29</w:t>
            </w:r>
          </w:p>
        </w:tc>
        <w:tc>
          <w:tcPr>
            <w:tcW w:w="375" w:type="pct"/>
            <w:tcBorders>
              <w:top w:val="nil"/>
              <w:left w:val="nil"/>
              <w:bottom w:val="nil"/>
              <w:right w:val="nil"/>
            </w:tcBorders>
            <w:noWrap/>
            <w:vAlign w:val="center"/>
            <w:hideMark/>
          </w:tcPr>
          <w:p w14:paraId="3AA56FA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1,512</w:t>
            </w:r>
          </w:p>
        </w:tc>
        <w:tc>
          <w:tcPr>
            <w:tcW w:w="375" w:type="pct"/>
            <w:tcBorders>
              <w:top w:val="nil"/>
              <w:left w:val="nil"/>
              <w:bottom w:val="nil"/>
              <w:right w:val="nil"/>
            </w:tcBorders>
            <w:noWrap/>
            <w:vAlign w:val="center"/>
            <w:hideMark/>
          </w:tcPr>
          <w:p w14:paraId="77B8DD1D"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3,76</w:t>
            </w:r>
          </w:p>
        </w:tc>
        <w:tc>
          <w:tcPr>
            <w:tcW w:w="375" w:type="pct"/>
            <w:tcBorders>
              <w:top w:val="nil"/>
              <w:left w:val="nil"/>
              <w:bottom w:val="nil"/>
              <w:right w:val="nil"/>
            </w:tcBorders>
            <w:noWrap/>
            <w:vAlign w:val="center"/>
            <w:hideMark/>
          </w:tcPr>
          <w:p w14:paraId="0A078904"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1,349</w:t>
            </w:r>
          </w:p>
        </w:tc>
        <w:tc>
          <w:tcPr>
            <w:tcW w:w="417" w:type="pct"/>
            <w:tcBorders>
              <w:top w:val="nil"/>
              <w:left w:val="nil"/>
              <w:bottom w:val="nil"/>
              <w:right w:val="nil"/>
            </w:tcBorders>
            <w:noWrap/>
            <w:vAlign w:val="center"/>
            <w:hideMark/>
          </w:tcPr>
          <w:p w14:paraId="5E200C1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-3,504</w:t>
            </w:r>
          </w:p>
        </w:tc>
        <w:tc>
          <w:tcPr>
            <w:tcW w:w="375" w:type="pct"/>
            <w:tcBorders>
              <w:top w:val="nil"/>
              <w:left w:val="nil"/>
              <w:bottom w:val="nil"/>
              <w:right w:val="nil"/>
            </w:tcBorders>
            <w:noWrap/>
            <w:vAlign w:val="center"/>
            <w:hideMark/>
          </w:tcPr>
          <w:p w14:paraId="0E7C7339"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0.001</w:t>
            </w:r>
          </w:p>
        </w:tc>
        <w:tc>
          <w:tcPr>
            <w:tcW w:w="354" w:type="pct"/>
            <w:tcBorders>
              <w:top w:val="nil"/>
              <w:left w:val="nil"/>
              <w:bottom w:val="nil"/>
              <w:right w:val="nil"/>
            </w:tcBorders>
            <w:noWrap/>
            <w:vAlign w:val="center"/>
            <w:hideMark/>
          </w:tcPr>
          <w:p w14:paraId="575D1345"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0.32</w:t>
            </w:r>
          </w:p>
        </w:tc>
      </w:tr>
      <w:tr w:rsidR="00FA0F87" w:rsidRPr="00DE042E" w14:paraId="74564523" w14:textId="77777777" w:rsidTr="00FA0F87">
        <w:trPr>
          <w:trHeight w:val="50"/>
        </w:trPr>
        <w:tc>
          <w:tcPr>
            <w:tcW w:w="2355" w:type="pct"/>
            <w:tcBorders>
              <w:top w:val="nil"/>
              <w:left w:val="nil"/>
              <w:bottom w:val="single" w:sz="4" w:space="0" w:color="auto"/>
              <w:right w:val="nil"/>
            </w:tcBorders>
            <w:noWrap/>
            <w:vAlign w:val="center"/>
            <w:hideMark/>
          </w:tcPr>
          <w:p w14:paraId="5F781538"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Depresión</w:t>
            </w:r>
          </w:p>
        </w:tc>
        <w:tc>
          <w:tcPr>
            <w:tcW w:w="375" w:type="pct"/>
            <w:tcBorders>
              <w:top w:val="nil"/>
              <w:left w:val="nil"/>
              <w:bottom w:val="single" w:sz="4" w:space="0" w:color="auto"/>
              <w:right w:val="nil"/>
            </w:tcBorders>
            <w:noWrap/>
            <w:vAlign w:val="center"/>
            <w:hideMark/>
          </w:tcPr>
          <w:p w14:paraId="1CD2F3A4"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3,20</w:t>
            </w:r>
          </w:p>
        </w:tc>
        <w:tc>
          <w:tcPr>
            <w:tcW w:w="375" w:type="pct"/>
            <w:tcBorders>
              <w:top w:val="nil"/>
              <w:left w:val="nil"/>
              <w:bottom w:val="single" w:sz="4" w:space="0" w:color="auto"/>
              <w:right w:val="nil"/>
            </w:tcBorders>
            <w:noWrap/>
            <w:vAlign w:val="center"/>
            <w:hideMark/>
          </w:tcPr>
          <w:p w14:paraId="63D99C70"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1,468</w:t>
            </w:r>
          </w:p>
        </w:tc>
        <w:tc>
          <w:tcPr>
            <w:tcW w:w="375" w:type="pct"/>
            <w:tcBorders>
              <w:top w:val="nil"/>
              <w:left w:val="nil"/>
              <w:bottom w:val="single" w:sz="4" w:space="0" w:color="auto"/>
              <w:right w:val="nil"/>
            </w:tcBorders>
            <w:noWrap/>
            <w:vAlign w:val="center"/>
            <w:hideMark/>
          </w:tcPr>
          <w:p w14:paraId="2E5367EE"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3,65</w:t>
            </w:r>
          </w:p>
        </w:tc>
        <w:tc>
          <w:tcPr>
            <w:tcW w:w="375" w:type="pct"/>
            <w:tcBorders>
              <w:top w:val="nil"/>
              <w:left w:val="nil"/>
              <w:bottom w:val="single" w:sz="4" w:space="0" w:color="auto"/>
              <w:right w:val="nil"/>
            </w:tcBorders>
            <w:noWrap/>
            <w:vAlign w:val="center"/>
            <w:hideMark/>
          </w:tcPr>
          <w:p w14:paraId="50C6D6DF"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1,493</w:t>
            </w:r>
          </w:p>
        </w:tc>
        <w:tc>
          <w:tcPr>
            <w:tcW w:w="417" w:type="pct"/>
            <w:tcBorders>
              <w:top w:val="nil"/>
              <w:left w:val="nil"/>
              <w:bottom w:val="single" w:sz="4" w:space="0" w:color="auto"/>
              <w:right w:val="nil"/>
            </w:tcBorders>
            <w:noWrap/>
            <w:vAlign w:val="center"/>
            <w:hideMark/>
          </w:tcPr>
          <w:p w14:paraId="772E18CD"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-3,269</w:t>
            </w:r>
          </w:p>
        </w:tc>
        <w:tc>
          <w:tcPr>
            <w:tcW w:w="375" w:type="pct"/>
            <w:tcBorders>
              <w:top w:val="nil"/>
              <w:left w:val="nil"/>
              <w:bottom w:val="single" w:sz="4" w:space="0" w:color="auto"/>
              <w:right w:val="nil"/>
            </w:tcBorders>
            <w:noWrap/>
            <w:vAlign w:val="center"/>
            <w:hideMark/>
          </w:tcPr>
          <w:p w14:paraId="3E7A70FA"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0.001</w:t>
            </w:r>
          </w:p>
        </w:tc>
        <w:tc>
          <w:tcPr>
            <w:tcW w:w="354" w:type="pct"/>
            <w:tcBorders>
              <w:top w:val="nil"/>
              <w:left w:val="nil"/>
              <w:bottom w:val="single" w:sz="4" w:space="0" w:color="auto"/>
              <w:right w:val="nil"/>
            </w:tcBorders>
            <w:noWrap/>
            <w:vAlign w:val="center"/>
            <w:hideMark/>
          </w:tcPr>
          <w:p w14:paraId="7A4CEE13" w14:textId="77777777" w:rsidR="00FA0F87" w:rsidRPr="00DE042E" w:rsidRDefault="00FA0F87" w:rsidP="00CB7C91">
            <w:pPr>
              <w:spacing w:line="360" w:lineRule="auto"/>
              <w:rPr>
                <w:color w:val="000000"/>
                <w:sz w:val="20"/>
                <w:szCs w:val="20"/>
                <w:lang w:eastAsia="es-PE"/>
              </w:rPr>
            </w:pPr>
            <w:r w:rsidRPr="00DE042E">
              <w:rPr>
                <w:color w:val="000000"/>
                <w:sz w:val="20"/>
                <w:szCs w:val="20"/>
                <w:lang w:eastAsia="es-PE"/>
              </w:rPr>
              <w:t>0.30</w:t>
            </w:r>
          </w:p>
        </w:tc>
      </w:tr>
    </w:tbl>
    <w:p w14:paraId="3F6A8187" w14:textId="54F12B3E" w:rsidR="00575541" w:rsidRPr="00DE042E" w:rsidRDefault="00575541" w:rsidP="00CB7C91">
      <w:pPr>
        <w:pStyle w:val="Prrafocomn"/>
        <w:jc w:val="left"/>
        <w:rPr>
          <w:sz w:val="20"/>
          <w:szCs w:val="20"/>
          <w:lang w:val="es-419"/>
        </w:rPr>
      </w:pPr>
    </w:p>
    <w:p w14:paraId="1E0E8F76" w14:textId="3E208579" w:rsidR="005478D1" w:rsidRPr="00DE042E" w:rsidRDefault="005478D1" w:rsidP="00CB7C91">
      <w:pPr>
        <w:pStyle w:val="Prrafocomn"/>
        <w:ind w:firstLine="0"/>
        <w:jc w:val="left"/>
        <w:rPr>
          <w:b/>
          <w:i/>
          <w:lang w:val="es-419"/>
        </w:rPr>
      </w:pPr>
      <w:r w:rsidRPr="00DE042E">
        <w:rPr>
          <w:b/>
          <w:i/>
          <w:lang w:val="es-419"/>
        </w:rPr>
        <w:t xml:space="preserve">Correlación entre </w:t>
      </w:r>
      <w:r w:rsidRPr="00DE042E">
        <w:rPr>
          <w:b/>
          <w:i/>
          <w:lang w:val="es-419"/>
        </w:rPr>
        <w:t xml:space="preserve">depresión, ansiedad, </w:t>
      </w:r>
      <w:r w:rsidRPr="00DE042E">
        <w:rPr>
          <w:b/>
          <w:i/>
          <w:lang w:val="es-419"/>
        </w:rPr>
        <w:t xml:space="preserve">preocupación </w:t>
      </w:r>
      <w:r w:rsidRPr="00DE042E">
        <w:rPr>
          <w:b/>
          <w:i/>
          <w:lang w:val="es-419"/>
        </w:rPr>
        <w:t xml:space="preserve">por </w:t>
      </w:r>
      <w:r w:rsidRPr="00DE042E">
        <w:rPr>
          <w:b/>
          <w:i/>
          <w:lang w:val="es-419"/>
        </w:rPr>
        <w:t>l</w:t>
      </w:r>
      <w:r w:rsidRPr="00DE042E">
        <w:rPr>
          <w:b/>
          <w:i/>
          <w:lang w:val="es-419"/>
        </w:rPr>
        <w:t>a COVID 19 y satisfacción con la vida</w:t>
      </w:r>
    </w:p>
    <w:p w14:paraId="4314C563" w14:textId="00AD3892" w:rsidR="00FA0F87" w:rsidRPr="00DE042E" w:rsidRDefault="00344538" w:rsidP="00CB7C91">
      <w:pPr>
        <w:pStyle w:val="Prrafocomn"/>
        <w:jc w:val="left"/>
        <w:rPr>
          <w:lang w:val="es-419"/>
        </w:rPr>
      </w:pPr>
      <w:r w:rsidRPr="00DE042E">
        <w:rPr>
          <w:lang w:val="es-419"/>
        </w:rPr>
        <w:t xml:space="preserve">La Tabla 4, muestra las correlaciones entre la satisfacción con la vida, preocupación por </w:t>
      </w:r>
      <w:r w:rsidR="00462C90" w:rsidRPr="00DE042E">
        <w:rPr>
          <w:lang w:val="es-419"/>
        </w:rPr>
        <w:t>la</w:t>
      </w:r>
      <w:r w:rsidRPr="00DE042E">
        <w:rPr>
          <w:lang w:val="es-419"/>
        </w:rPr>
        <w:t xml:space="preserve"> COVID-19, ansiedad y depresión. Se encontró correlaciones significativas entre las variables (p &lt; .05).</w:t>
      </w:r>
    </w:p>
    <w:p w14:paraId="331D525F" w14:textId="77777777" w:rsidR="00344538" w:rsidRPr="00DE042E" w:rsidRDefault="00344538" w:rsidP="00CB7C91">
      <w:pPr>
        <w:autoSpaceDE w:val="0"/>
        <w:autoSpaceDN w:val="0"/>
        <w:adjustRightInd w:val="0"/>
        <w:rPr>
          <w:bCs/>
          <w:sz w:val="20"/>
          <w:szCs w:val="20"/>
          <w:lang w:eastAsia="en-US"/>
        </w:rPr>
      </w:pPr>
      <w:r w:rsidRPr="00DE042E">
        <w:rPr>
          <w:bCs/>
          <w:sz w:val="20"/>
          <w:szCs w:val="20"/>
        </w:rPr>
        <w:t>Tabla 4</w:t>
      </w:r>
    </w:p>
    <w:p w14:paraId="06EDE599" w14:textId="77777777" w:rsidR="00344538" w:rsidRPr="00DE042E" w:rsidRDefault="00344538" w:rsidP="00CB7C91">
      <w:pPr>
        <w:autoSpaceDE w:val="0"/>
        <w:autoSpaceDN w:val="0"/>
        <w:adjustRightInd w:val="0"/>
        <w:rPr>
          <w:bCs/>
          <w:i/>
          <w:color w:val="222222"/>
          <w:sz w:val="20"/>
          <w:szCs w:val="20"/>
          <w:shd w:val="clear" w:color="auto" w:fill="FFFFFF"/>
        </w:rPr>
      </w:pPr>
      <w:r w:rsidRPr="00DE042E">
        <w:rPr>
          <w:bCs/>
          <w:i/>
          <w:sz w:val="20"/>
          <w:szCs w:val="20"/>
        </w:rPr>
        <w:t>Correlación entre satisfacción con la vida, p</w:t>
      </w:r>
      <w:r w:rsidRPr="00DE042E">
        <w:rPr>
          <w:bCs/>
          <w:i/>
          <w:color w:val="000000"/>
          <w:sz w:val="20"/>
          <w:szCs w:val="20"/>
          <w:lang w:eastAsia="es-PE"/>
        </w:rPr>
        <w:t xml:space="preserve">reocupación </w:t>
      </w:r>
      <w:r w:rsidRPr="00DE042E">
        <w:rPr>
          <w:bCs/>
          <w:i/>
          <w:color w:val="222222"/>
          <w:sz w:val="20"/>
          <w:szCs w:val="20"/>
          <w:shd w:val="clear" w:color="auto" w:fill="FFFFFF"/>
        </w:rPr>
        <w:t>por el contagio del COVID 19, ansiedad y depresión.</w:t>
      </w:r>
    </w:p>
    <w:p w14:paraId="6F8DE550" w14:textId="77777777" w:rsidR="00344538" w:rsidRPr="00DE042E" w:rsidRDefault="00344538" w:rsidP="00CB7C91">
      <w:pPr>
        <w:autoSpaceDE w:val="0"/>
        <w:autoSpaceDN w:val="0"/>
        <w:adjustRightInd w:val="0"/>
        <w:rPr>
          <w:sz w:val="20"/>
          <w:szCs w:val="20"/>
        </w:rPr>
      </w:pP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6"/>
        <w:gridCol w:w="1464"/>
        <w:gridCol w:w="1693"/>
        <w:gridCol w:w="1182"/>
        <w:gridCol w:w="1315"/>
      </w:tblGrid>
      <w:tr w:rsidR="00344538" w:rsidRPr="00DE042E" w14:paraId="779C5AA4" w14:textId="77777777" w:rsidTr="00344538">
        <w:trPr>
          <w:cantSplit/>
          <w:trHeight w:val="522"/>
        </w:trPr>
        <w:tc>
          <w:tcPr>
            <w:tcW w:w="1912" w:type="pct"/>
            <w:tcBorders>
              <w:top w:val="single" w:sz="4" w:space="0" w:color="auto"/>
              <w:left w:val="nil"/>
              <w:bottom w:val="single" w:sz="4" w:space="0" w:color="auto"/>
              <w:right w:val="nil"/>
            </w:tcBorders>
            <w:vAlign w:val="center"/>
            <w:hideMark/>
          </w:tcPr>
          <w:p w14:paraId="31A319E3" w14:textId="105FE2B4" w:rsidR="00344538" w:rsidRPr="00DE042E" w:rsidRDefault="00344538" w:rsidP="00CB7C91">
            <w:pPr>
              <w:spacing w:line="360" w:lineRule="auto"/>
              <w:rPr>
                <w:b/>
                <w:color w:val="000000"/>
                <w:sz w:val="20"/>
                <w:szCs w:val="20"/>
                <w:lang w:eastAsia="es-PE"/>
              </w:rPr>
            </w:pPr>
          </w:p>
        </w:tc>
        <w:tc>
          <w:tcPr>
            <w:tcW w:w="799" w:type="pct"/>
            <w:tcBorders>
              <w:top w:val="single" w:sz="4" w:space="0" w:color="auto"/>
              <w:left w:val="nil"/>
              <w:bottom w:val="single" w:sz="4" w:space="0" w:color="auto"/>
              <w:right w:val="nil"/>
            </w:tcBorders>
            <w:vAlign w:val="center"/>
            <w:hideMark/>
          </w:tcPr>
          <w:p w14:paraId="5924DBA0"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Satisfacción con la vida</w:t>
            </w:r>
          </w:p>
        </w:tc>
        <w:tc>
          <w:tcPr>
            <w:tcW w:w="921" w:type="pct"/>
            <w:tcBorders>
              <w:top w:val="single" w:sz="4" w:space="0" w:color="auto"/>
              <w:left w:val="nil"/>
              <w:bottom w:val="single" w:sz="4" w:space="0" w:color="auto"/>
              <w:right w:val="nil"/>
            </w:tcBorders>
            <w:vAlign w:val="center"/>
            <w:hideMark/>
          </w:tcPr>
          <w:p w14:paraId="760A71DF" w14:textId="7BE23EC1" w:rsidR="00344538" w:rsidRPr="00DE042E" w:rsidRDefault="00344538" w:rsidP="00CB7C91">
            <w:pPr>
              <w:spacing w:line="360" w:lineRule="auto"/>
              <w:rPr>
                <w:color w:val="000000"/>
                <w:sz w:val="20"/>
                <w:szCs w:val="20"/>
                <w:lang w:eastAsia="es-PE"/>
              </w:rPr>
            </w:pPr>
            <w:r w:rsidRPr="00DE042E">
              <w:rPr>
                <w:color w:val="000000"/>
                <w:sz w:val="20"/>
                <w:szCs w:val="20"/>
                <w:lang w:eastAsia="es-PE"/>
              </w:rPr>
              <w:t xml:space="preserve">Preocupación </w:t>
            </w:r>
            <w:r w:rsidRPr="00DE042E">
              <w:rPr>
                <w:color w:val="222222"/>
                <w:sz w:val="20"/>
                <w:szCs w:val="20"/>
                <w:shd w:val="clear" w:color="auto" w:fill="FFFFFF"/>
              </w:rPr>
              <w:t xml:space="preserve">por </w:t>
            </w:r>
            <w:r w:rsidRPr="00DE042E">
              <w:rPr>
                <w:color w:val="222222"/>
                <w:sz w:val="20"/>
                <w:szCs w:val="20"/>
                <w:shd w:val="clear" w:color="auto" w:fill="FFFFFF"/>
              </w:rPr>
              <w:t>la</w:t>
            </w:r>
            <w:r w:rsidRPr="00DE042E">
              <w:rPr>
                <w:color w:val="222222"/>
                <w:sz w:val="20"/>
                <w:szCs w:val="20"/>
                <w:shd w:val="clear" w:color="auto" w:fill="FFFFFF"/>
              </w:rPr>
              <w:t xml:space="preserve"> COVID 19</w:t>
            </w:r>
          </w:p>
        </w:tc>
        <w:tc>
          <w:tcPr>
            <w:tcW w:w="648" w:type="pct"/>
            <w:tcBorders>
              <w:top w:val="single" w:sz="4" w:space="0" w:color="auto"/>
              <w:left w:val="nil"/>
              <w:bottom w:val="single" w:sz="4" w:space="0" w:color="auto"/>
              <w:right w:val="nil"/>
            </w:tcBorders>
            <w:hideMark/>
          </w:tcPr>
          <w:p w14:paraId="09BF75AC"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Ansiedad</w:t>
            </w:r>
          </w:p>
        </w:tc>
        <w:tc>
          <w:tcPr>
            <w:tcW w:w="719" w:type="pct"/>
            <w:tcBorders>
              <w:top w:val="single" w:sz="4" w:space="0" w:color="auto"/>
              <w:left w:val="nil"/>
              <w:bottom w:val="single" w:sz="4" w:space="0" w:color="auto"/>
              <w:right w:val="nil"/>
            </w:tcBorders>
            <w:hideMark/>
          </w:tcPr>
          <w:p w14:paraId="1111EC21"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Depresión</w:t>
            </w:r>
          </w:p>
        </w:tc>
      </w:tr>
      <w:tr w:rsidR="00344538" w:rsidRPr="00DE042E" w14:paraId="265CC62F" w14:textId="77777777" w:rsidTr="00344538">
        <w:trPr>
          <w:cantSplit/>
          <w:trHeight w:val="50"/>
        </w:trPr>
        <w:tc>
          <w:tcPr>
            <w:tcW w:w="1912" w:type="pct"/>
            <w:tcBorders>
              <w:top w:val="single" w:sz="4" w:space="0" w:color="auto"/>
              <w:left w:val="nil"/>
              <w:bottom w:val="nil"/>
              <w:right w:val="nil"/>
            </w:tcBorders>
            <w:noWrap/>
            <w:vAlign w:val="center"/>
            <w:hideMark/>
          </w:tcPr>
          <w:p w14:paraId="444E4FAC"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Satisfacción con la vida</w:t>
            </w:r>
          </w:p>
        </w:tc>
        <w:tc>
          <w:tcPr>
            <w:tcW w:w="799" w:type="pct"/>
            <w:tcBorders>
              <w:top w:val="single" w:sz="4" w:space="0" w:color="auto"/>
              <w:left w:val="nil"/>
              <w:bottom w:val="nil"/>
              <w:right w:val="nil"/>
            </w:tcBorders>
            <w:noWrap/>
            <w:vAlign w:val="center"/>
            <w:hideMark/>
          </w:tcPr>
          <w:p w14:paraId="0B534A56"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1</w:t>
            </w:r>
          </w:p>
        </w:tc>
        <w:tc>
          <w:tcPr>
            <w:tcW w:w="921" w:type="pct"/>
            <w:tcBorders>
              <w:top w:val="single" w:sz="4" w:space="0" w:color="auto"/>
              <w:left w:val="nil"/>
              <w:bottom w:val="nil"/>
              <w:right w:val="nil"/>
            </w:tcBorders>
            <w:noWrap/>
            <w:vAlign w:val="center"/>
            <w:hideMark/>
          </w:tcPr>
          <w:p w14:paraId="15577859" w14:textId="4988C691" w:rsidR="00344538" w:rsidRPr="00DE042E" w:rsidRDefault="00344538" w:rsidP="00CB7C91">
            <w:pPr>
              <w:spacing w:line="360" w:lineRule="auto"/>
              <w:rPr>
                <w:color w:val="000000"/>
                <w:sz w:val="20"/>
                <w:szCs w:val="20"/>
                <w:lang w:eastAsia="es-PE"/>
              </w:rPr>
            </w:pPr>
          </w:p>
        </w:tc>
        <w:tc>
          <w:tcPr>
            <w:tcW w:w="648" w:type="pct"/>
            <w:tcBorders>
              <w:top w:val="single" w:sz="4" w:space="0" w:color="auto"/>
              <w:left w:val="nil"/>
              <w:bottom w:val="nil"/>
              <w:right w:val="nil"/>
            </w:tcBorders>
          </w:tcPr>
          <w:p w14:paraId="57B09D29" w14:textId="77777777" w:rsidR="00344538" w:rsidRPr="00DE042E" w:rsidRDefault="00344538" w:rsidP="00CB7C91">
            <w:pPr>
              <w:spacing w:line="360" w:lineRule="auto"/>
              <w:rPr>
                <w:color w:val="000000"/>
                <w:sz w:val="20"/>
                <w:szCs w:val="20"/>
                <w:lang w:eastAsia="es-PE"/>
              </w:rPr>
            </w:pPr>
          </w:p>
        </w:tc>
        <w:tc>
          <w:tcPr>
            <w:tcW w:w="719" w:type="pct"/>
            <w:tcBorders>
              <w:top w:val="single" w:sz="4" w:space="0" w:color="auto"/>
              <w:left w:val="nil"/>
              <w:bottom w:val="nil"/>
              <w:right w:val="nil"/>
            </w:tcBorders>
          </w:tcPr>
          <w:p w14:paraId="2D8A1BE4" w14:textId="77777777" w:rsidR="00344538" w:rsidRPr="00DE042E" w:rsidRDefault="00344538" w:rsidP="00CB7C91">
            <w:pPr>
              <w:spacing w:line="360" w:lineRule="auto"/>
              <w:rPr>
                <w:color w:val="000000"/>
                <w:sz w:val="20"/>
                <w:szCs w:val="20"/>
                <w:lang w:eastAsia="es-PE"/>
              </w:rPr>
            </w:pPr>
          </w:p>
        </w:tc>
      </w:tr>
      <w:tr w:rsidR="00344538" w:rsidRPr="00DE042E" w14:paraId="081E884C" w14:textId="77777777" w:rsidTr="00344538">
        <w:trPr>
          <w:cantSplit/>
          <w:trHeight w:val="112"/>
        </w:trPr>
        <w:tc>
          <w:tcPr>
            <w:tcW w:w="1912" w:type="pct"/>
            <w:tcBorders>
              <w:top w:val="nil"/>
              <w:left w:val="nil"/>
              <w:bottom w:val="nil"/>
              <w:right w:val="nil"/>
            </w:tcBorders>
            <w:noWrap/>
            <w:vAlign w:val="center"/>
            <w:hideMark/>
          </w:tcPr>
          <w:p w14:paraId="502BB012"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 xml:space="preserve">Preocupación </w:t>
            </w:r>
            <w:r w:rsidRPr="00DE042E">
              <w:rPr>
                <w:color w:val="222222"/>
                <w:sz w:val="20"/>
                <w:szCs w:val="20"/>
                <w:shd w:val="clear" w:color="auto" w:fill="FFFFFF"/>
              </w:rPr>
              <w:t>por el contagio del COVID 19</w:t>
            </w:r>
          </w:p>
        </w:tc>
        <w:tc>
          <w:tcPr>
            <w:tcW w:w="799" w:type="pct"/>
            <w:tcBorders>
              <w:top w:val="nil"/>
              <w:left w:val="nil"/>
              <w:bottom w:val="nil"/>
              <w:right w:val="nil"/>
            </w:tcBorders>
            <w:noWrap/>
            <w:vAlign w:val="center"/>
            <w:hideMark/>
          </w:tcPr>
          <w:p w14:paraId="370E88D1"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-,112*</w:t>
            </w:r>
          </w:p>
        </w:tc>
        <w:tc>
          <w:tcPr>
            <w:tcW w:w="921" w:type="pct"/>
            <w:tcBorders>
              <w:top w:val="nil"/>
              <w:left w:val="nil"/>
              <w:bottom w:val="nil"/>
              <w:right w:val="nil"/>
            </w:tcBorders>
            <w:noWrap/>
            <w:vAlign w:val="center"/>
            <w:hideMark/>
          </w:tcPr>
          <w:p w14:paraId="43A39171"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1</w:t>
            </w:r>
          </w:p>
        </w:tc>
        <w:tc>
          <w:tcPr>
            <w:tcW w:w="648" w:type="pct"/>
            <w:tcBorders>
              <w:top w:val="nil"/>
              <w:left w:val="nil"/>
              <w:bottom w:val="nil"/>
              <w:right w:val="nil"/>
            </w:tcBorders>
          </w:tcPr>
          <w:p w14:paraId="750F7BE2" w14:textId="77777777" w:rsidR="00344538" w:rsidRPr="00DE042E" w:rsidRDefault="00344538" w:rsidP="00CB7C91">
            <w:pPr>
              <w:spacing w:line="360" w:lineRule="auto"/>
              <w:rPr>
                <w:color w:val="000000"/>
                <w:sz w:val="20"/>
                <w:szCs w:val="20"/>
                <w:lang w:eastAsia="es-PE"/>
              </w:rPr>
            </w:pPr>
          </w:p>
        </w:tc>
        <w:tc>
          <w:tcPr>
            <w:tcW w:w="719" w:type="pct"/>
            <w:tcBorders>
              <w:top w:val="nil"/>
              <w:left w:val="nil"/>
              <w:bottom w:val="nil"/>
              <w:right w:val="nil"/>
            </w:tcBorders>
          </w:tcPr>
          <w:p w14:paraId="6E107327" w14:textId="77777777" w:rsidR="00344538" w:rsidRPr="00DE042E" w:rsidRDefault="00344538" w:rsidP="00CB7C91">
            <w:pPr>
              <w:spacing w:line="360" w:lineRule="auto"/>
              <w:rPr>
                <w:color w:val="000000"/>
                <w:sz w:val="20"/>
                <w:szCs w:val="20"/>
                <w:lang w:eastAsia="es-PE"/>
              </w:rPr>
            </w:pPr>
          </w:p>
        </w:tc>
      </w:tr>
      <w:tr w:rsidR="00344538" w:rsidRPr="00DE042E" w14:paraId="0C17DBDC" w14:textId="77777777" w:rsidTr="00344538">
        <w:trPr>
          <w:cantSplit/>
          <w:trHeight w:val="50"/>
        </w:trPr>
        <w:tc>
          <w:tcPr>
            <w:tcW w:w="1912" w:type="pct"/>
            <w:tcBorders>
              <w:top w:val="nil"/>
              <w:left w:val="nil"/>
              <w:bottom w:val="nil"/>
              <w:right w:val="nil"/>
            </w:tcBorders>
            <w:noWrap/>
            <w:vAlign w:val="center"/>
            <w:hideMark/>
          </w:tcPr>
          <w:p w14:paraId="165F7918"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Ansiedad</w:t>
            </w:r>
          </w:p>
        </w:tc>
        <w:tc>
          <w:tcPr>
            <w:tcW w:w="799" w:type="pct"/>
            <w:tcBorders>
              <w:top w:val="nil"/>
              <w:left w:val="nil"/>
              <w:bottom w:val="nil"/>
              <w:right w:val="nil"/>
            </w:tcBorders>
            <w:noWrap/>
            <w:vAlign w:val="center"/>
            <w:hideMark/>
          </w:tcPr>
          <w:p w14:paraId="67B54B02"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-,246**</w:t>
            </w:r>
          </w:p>
        </w:tc>
        <w:tc>
          <w:tcPr>
            <w:tcW w:w="921" w:type="pct"/>
            <w:tcBorders>
              <w:top w:val="nil"/>
              <w:left w:val="nil"/>
              <w:bottom w:val="nil"/>
              <w:right w:val="nil"/>
            </w:tcBorders>
            <w:noWrap/>
            <w:vAlign w:val="center"/>
            <w:hideMark/>
          </w:tcPr>
          <w:p w14:paraId="310B7BE5"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,441**</w:t>
            </w:r>
          </w:p>
        </w:tc>
        <w:tc>
          <w:tcPr>
            <w:tcW w:w="648" w:type="pct"/>
            <w:tcBorders>
              <w:top w:val="nil"/>
              <w:left w:val="nil"/>
              <w:bottom w:val="nil"/>
              <w:right w:val="nil"/>
            </w:tcBorders>
            <w:hideMark/>
          </w:tcPr>
          <w:p w14:paraId="209CD6D0"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1</w:t>
            </w:r>
          </w:p>
        </w:tc>
        <w:tc>
          <w:tcPr>
            <w:tcW w:w="719" w:type="pct"/>
            <w:tcBorders>
              <w:top w:val="nil"/>
              <w:left w:val="nil"/>
              <w:bottom w:val="nil"/>
              <w:right w:val="nil"/>
            </w:tcBorders>
          </w:tcPr>
          <w:p w14:paraId="3BE99C24" w14:textId="77777777" w:rsidR="00344538" w:rsidRPr="00DE042E" w:rsidRDefault="00344538" w:rsidP="00CB7C91">
            <w:pPr>
              <w:spacing w:line="360" w:lineRule="auto"/>
              <w:rPr>
                <w:color w:val="000000"/>
                <w:sz w:val="20"/>
                <w:szCs w:val="20"/>
                <w:lang w:eastAsia="es-PE"/>
              </w:rPr>
            </w:pPr>
          </w:p>
        </w:tc>
      </w:tr>
      <w:tr w:rsidR="00344538" w:rsidRPr="00DE042E" w14:paraId="75D40A25" w14:textId="77777777" w:rsidTr="00344538">
        <w:trPr>
          <w:cantSplit/>
          <w:trHeight w:val="50"/>
        </w:trPr>
        <w:tc>
          <w:tcPr>
            <w:tcW w:w="1912" w:type="pct"/>
            <w:tcBorders>
              <w:top w:val="nil"/>
              <w:left w:val="nil"/>
              <w:bottom w:val="single" w:sz="4" w:space="0" w:color="auto"/>
              <w:right w:val="nil"/>
            </w:tcBorders>
            <w:noWrap/>
            <w:vAlign w:val="center"/>
            <w:hideMark/>
          </w:tcPr>
          <w:p w14:paraId="0A5A450B"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Depresión</w:t>
            </w:r>
          </w:p>
        </w:tc>
        <w:tc>
          <w:tcPr>
            <w:tcW w:w="799" w:type="pct"/>
            <w:tcBorders>
              <w:top w:val="nil"/>
              <w:left w:val="nil"/>
              <w:bottom w:val="single" w:sz="4" w:space="0" w:color="auto"/>
              <w:right w:val="nil"/>
            </w:tcBorders>
            <w:noWrap/>
            <w:vAlign w:val="center"/>
            <w:hideMark/>
          </w:tcPr>
          <w:p w14:paraId="44175A5D"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-,329**</w:t>
            </w:r>
          </w:p>
        </w:tc>
        <w:tc>
          <w:tcPr>
            <w:tcW w:w="921" w:type="pct"/>
            <w:tcBorders>
              <w:top w:val="nil"/>
              <w:left w:val="nil"/>
              <w:bottom w:val="single" w:sz="4" w:space="0" w:color="auto"/>
              <w:right w:val="nil"/>
            </w:tcBorders>
            <w:noWrap/>
            <w:vAlign w:val="center"/>
            <w:hideMark/>
          </w:tcPr>
          <w:p w14:paraId="4EF2716F"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,398**</w:t>
            </w:r>
          </w:p>
        </w:tc>
        <w:tc>
          <w:tcPr>
            <w:tcW w:w="648" w:type="pct"/>
            <w:tcBorders>
              <w:top w:val="nil"/>
              <w:left w:val="nil"/>
              <w:bottom w:val="single" w:sz="4" w:space="0" w:color="auto"/>
              <w:right w:val="nil"/>
            </w:tcBorders>
            <w:hideMark/>
          </w:tcPr>
          <w:p w14:paraId="45F68C63"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660**</w:t>
            </w:r>
          </w:p>
        </w:tc>
        <w:tc>
          <w:tcPr>
            <w:tcW w:w="719" w:type="pct"/>
            <w:tcBorders>
              <w:top w:val="nil"/>
              <w:left w:val="nil"/>
              <w:bottom w:val="single" w:sz="4" w:space="0" w:color="auto"/>
              <w:right w:val="nil"/>
            </w:tcBorders>
            <w:hideMark/>
          </w:tcPr>
          <w:p w14:paraId="1E747C5F" w14:textId="77777777" w:rsidR="00344538" w:rsidRPr="00DE042E" w:rsidRDefault="00344538" w:rsidP="00CB7C91">
            <w:pPr>
              <w:spacing w:line="360" w:lineRule="auto"/>
              <w:rPr>
                <w:color w:val="000000"/>
                <w:sz w:val="20"/>
                <w:szCs w:val="20"/>
                <w:lang w:eastAsia="es-PE"/>
              </w:rPr>
            </w:pPr>
            <w:r w:rsidRPr="00DE042E">
              <w:rPr>
                <w:color w:val="000000"/>
                <w:sz w:val="20"/>
                <w:szCs w:val="20"/>
                <w:lang w:eastAsia="es-PE"/>
              </w:rPr>
              <w:t>1</w:t>
            </w:r>
          </w:p>
        </w:tc>
      </w:tr>
    </w:tbl>
    <w:p w14:paraId="62963223" w14:textId="77777777" w:rsidR="00344538" w:rsidRPr="00DE042E" w:rsidRDefault="00344538" w:rsidP="00CB7C91">
      <w:pPr>
        <w:autoSpaceDE w:val="0"/>
        <w:autoSpaceDN w:val="0"/>
        <w:adjustRightInd w:val="0"/>
        <w:rPr>
          <w:rFonts w:eastAsiaTheme="minorHAnsi"/>
          <w:sz w:val="20"/>
          <w:szCs w:val="20"/>
          <w:lang w:eastAsia="en-US"/>
        </w:rPr>
      </w:pPr>
      <w:r w:rsidRPr="00DE042E">
        <w:rPr>
          <w:sz w:val="20"/>
          <w:szCs w:val="20"/>
        </w:rPr>
        <w:t>* Significativa al nivel 0,05 (bilateral)</w:t>
      </w:r>
    </w:p>
    <w:p w14:paraId="63115674" w14:textId="02A52F7D" w:rsidR="00FA0F87" w:rsidRPr="00DE042E" w:rsidRDefault="00FA0F87" w:rsidP="00CB7C91">
      <w:pPr>
        <w:pStyle w:val="Prrafocomn"/>
        <w:jc w:val="left"/>
        <w:rPr>
          <w:lang w:val="es-419"/>
        </w:rPr>
      </w:pPr>
    </w:p>
    <w:p w14:paraId="31878962" w14:textId="17A88CB6" w:rsidR="0085789A" w:rsidRPr="00DE042E" w:rsidRDefault="0085789A" w:rsidP="00CB7C91">
      <w:pPr>
        <w:pStyle w:val="Prrafocomn"/>
        <w:ind w:firstLine="0"/>
        <w:jc w:val="left"/>
        <w:rPr>
          <w:b/>
          <w:i/>
          <w:lang w:val="es-419"/>
        </w:rPr>
      </w:pPr>
      <w:r w:rsidRPr="00DE042E">
        <w:rPr>
          <w:b/>
          <w:i/>
          <w:lang w:val="es-419"/>
        </w:rPr>
        <w:t>Análisis de r</w:t>
      </w:r>
      <w:r w:rsidRPr="00DE042E">
        <w:rPr>
          <w:b/>
          <w:i/>
          <w:lang w:val="es-419"/>
        </w:rPr>
        <w:t>egresión de la preocupación por el contagio del COVID 19, ansiedad y depresión como predictores de la satisfacción con la vida</w:t>
      </w:r>
    </w:p>
    <w:p w14:paraId="5F101F70" w14:textId="1F369057" w:rsidR="00344538" w:rsidRPr="00DE042E" w:rsidRDefault="0085789A" w:rsidP="00CB7C91">
      <w:pPr>
        <w:pStyle w:val="Prrafocomn"/>
        <w:jc w:val="left"/>
        <w:rPr>
          <w:lang w:val="es-419"/>
        </w:rPr>
      </w:pPr>
      <w:r w:rsidRPr="00DE042E">
        <w:rPr>
          <w:lang w:val="es-419"/>
        </w:rPr>
        <w:t xml:space="preserve">Para determinar cuál o cuáles de las variables predicen mejor la satisfacción con la vida, se realizó un análisis de regresión múltiple. Para lo cual se introdujeron las variables; preocupación por </w:t>
      </w:r>
      <w:r w:rsidR="00462C90" w:rsidRPr="00DE042E">
        <w:rPr>
          <w:lang w:val="es-419"/>
        </w:rPr>
        <w:t>l</w:t>
      </w:r>
      <w:r w:rsidR="00F33453" w:rsidRPr="00DE042E">
        <w:rPr>
          <w:lang w:val="es-419"/>
        </w:rPr>
        <w:t>a</w:t>
      </w:r>
      <w:r w:rsidRPr="00DE042E">
        <w:rPr>
          <w:lang w:val="es-419"/>
        </w:rPr>
        <w:t xml:space="preserve"> COVID-19, ansiedad y depresión, de las cuales quedó la variable depresión </w:t>
      </w:r>
      <w:r w:rsidRPr="00DE042E">
        <w:rPr>
          <w:lang w:val="es-419"/>
        </w:rPr>
        <w:lastRenderedPageBreak/>
        <w:t>como variable predictora. La tabla 5 muestra los resultados del análisis de regresión múltiple (coeficientes de correlación múltiple R, R2, R2 corregido, error estándar de la estimación (EE) y el valor F de ANOVA). El coeficiente de determinación R2 = .108 indica que la variable depresión, explica el 10.8% de la varianza total de la variable de criterio (satisfacción con la vida). Un valor mayor del coeficiente de determinación múltiple, indica un mayor poder explicativo de la ecuación de regresión, por lo tanto, mayor poder de predicción de la variable dependiente. La R2 corregida, explica el 10.6 %. El valor F de ANOVA (F = 56,259, p =.000) indican que existe una relación lineal significativa entre la variable depresión (predictora) y la variable satisfacción con la vida (criterio).</w:t>
      </w:r>
    </w:p>
    <w:p w14:paraId="1DED6889" w14:textId="70368F35" w:rsidR="00C13F32" w:rsidRPr="00DE042E" w:rsidRDefault="00C13F32" w:rsidP="00CB7C91">
      <w:pPr>
        <w:pStyle w:val="Prrafocomn"/>
        <w:jc w:val="left"/>
        <w:rPr>
          <w:lang w:val="es-419"/>
        </w:rPr>
      </w:pPr>
    </w:p>
    <w:p w14:paraId="3C711A5F" w14:textId="77777777" w:rsidR="00C13F32" w:rsidRPr="00DE042E" w:rsidRDefault="00C13F32" w:rsidP="00CB7C91">
      <w:pPr>
        <w:autoSpaceDE w:val="0"/>
        <w:autoSpaceDN w:val="0"/>
        <w:adjustRightInd w:val="0"/>
        <w:spacing w:line="360" w:lineRule="auto"/>
        <w:rPr>
          <w:sz w:val="20"/>
          <w:szCs w:val="20"/>
          <w:lang w:eastAsia="en-US"/>
        </w:rPr>
      </w:pPr>
      <w:r w:rsidRPr="00DE042E">
        <w:rPr>
          <w:sz w:val="20"/>
          <w:szCs w:val="20"/>
        </w:rPr>
        <w:t>Tabla 5</w:t>
      </w:r>
    </w:p>
    <w:p w14:paraId="5A0D7B03" w14:textId="77777777" w:rsidR="00C13F32" w:rsidRPr="00DE042E" w:rsidRDefault="00C13F32" w:rsidP="00CB7C91">
      <w:pPr>
        <w:autoSpaceDE w:val="0"/>
        <w:autoSpaceDN w:val="0"/>
        <w:adjustRightInd w:val="0"/>
        <w:spacing w:line="360" w:lineRule="auto"/>
        <w:rPr>
          <w:i/>
          <w:sz w:val="20"/>
          <w:szCs w:val="20"/>
        </w:rPr>
      </w:pPr>
      <w:r w:rsidRPr="00DE042E">
        <w:rPr>
          <w:i/>
          <w:sz w:val="20"/>
          <w:szCs w:val="20"/>
        </w:rPr>
        <w:t>Coeficientes de correlación múltiple R, R2, R2 corregida, EE, F.</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62"/>
        <w:gridCol w:w="1364"/>
        <w:gridCol w:w="1365"/>
        <w:gridCol w:w="1509"/>
        <w:gridCol w:w="1365"/>
        <w:gridCol w:w="1365"/>
        <w:gridCol w:w="1030"/>
      </w:tblGrid>
      <w:tr w:rsidR="00C13F32" w:rsidRPr="00DE042E" w14:paraId="70DCE33C" w14:textId="77777777" w:rsidTr="00C13F32">
        <w:trPr>
          <w:cantSplit/>
          <w:trHeight w:val="200"/>
        </w:trPr>
        <w:tc>
          <w:tcPr>
            <w:tcW w:w="728" w:type="pct"/>
            <w:tcBorders>
              <w:top w:val="single" w:sz="4" w:space="0" w:color="auto"/>
              <w:left w:val="nil"/>
              <w:bottom w:val="single" w:sz="4" w:space="0" w:color="auto"/>
              <w:right w:val="nil"/>
            </w:tcBorders>
            <w:noWrap/>
            <w:vAlign w:val="center"/>
            <w:hideMark/>
          </w:tcPr>
          <w:p w14:paraId="584F6D00"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Modelo</w:t>
            </w:r>
          </w:p>
        </w:tc>
        <w:tc>
          <w:tcPr>
            <w:tcW w:w="729" w:type="pct"/>
            <w:tcBorders>
              <w:top w:val="single" w:sz="4" w:space="0" w:color="auto"/>
              <w:left w:val="nil"/>
              <w:bottom w:val="single" w:sz="4" w:space="0" w:color="auto"/>
              <w:right w:val="nil"/>
            </w:tcBorders>
            <w:noWrap/>
            <w:vAlign w:val="center"/>
            <w:hideMark/>
          </w:tcPr>
          <w:p w14:paraId="7A157143" w14:textId="77777777" w:rsidR="00C13F32" w:rsidRPr="00DE042E" w:rsidRDefault="00C13F32" w:rsidP="00CB7C91">
            <w:pPr>
              <w:spacing w:line="360" w:lineRule="auto"/>
              <w:rPr>
                <w:i/>
                <w:color w:val="000000"/>
                <w:sz w:val="20"/>
                <w:szCs w:val="20"/>
                <w:lang w:eastAsia="es-PE"/>
              </w:rPr>
            </w:pPr>
            <w:r w:rsidRPr="00DE042E">
              <w:rPr>
                <w:i/>
                <w:color w:val="000000"/>
                <w:sz w:val="20"/>
                <w:szCs w:val="20"/>
                <w:lang w:eastAsia="es-PE"/>
              </w:rPr>
              <w:t>R</w:t>
            </w:r>
          </w:p>
        </w:tc>
        <w:tc>
          <w:tcPr>
            <w:tcW w:w="729" w:type="pct"/>
            <w:tcBorders>
              <w:top w:val="single" w:sz="4" w:space="0" w:color="auto"/>
              <w:left w:val="nil"/>
              <w:bottom w:val="single" w:sz="4" w:space="0" w:color="auto"/>
              <w:right w:val="nil"/>
            </w:tcBorders>
            <w:noWrap/>
            <w:vAlign w:val="center"/>
            <w:hideMark/>
          </w:tcPr>
          <w:p w14:paraId="23A7167F" w14:textId="77777777" w:rsidR="00C13F32" w:rsidRPr="00DE042E" w:rsidRDefault="00C13F32" w:rsidP="00CB7C91">
            <w:pPr>
              <w:spacing w:line="360" w:lineRule="auto"/>
              <w:rPr>
                <w:i/>
                <w:color w:val="000000"/>
                <w:sz w:val="20"/>
                <w:szCs w:val="20"/>
                <w:lang w:eastAsia="es-PE"/>
              </w:rPr>
            </w:pPr>
            <w:r w:rsidRPr="00DE042E">
              <w:rPr>
                <w:i/>
                <w:color w:val="000000"/>
                <w:sz w:val="20"/>
                <w:szCs w:val="20"/>
                <w:lang w:eastAsia="es-PE"/>
              </w:rPr>
              <w:t>R2</w:t>
            </w:r>
          </w:p>
        </w:tc>
        <w:tc>
          <w:tcPr>
            <w:tcW w:w="806" w:type="pct"/>
            <w:tcBorders>
              <w:top w:val="single" w:sz="4" w:space="0" w:color="auto"/>
              <w:left w:val="nil"/>
              <w:bottom w:val="single" w:sz="4" w:space="0" w:color="auto"/>
              <w:right w:val="nil"/>
            </w:tcBorders>
            <w:noWrap/>
            <w:vAlign w:val="center"/>
            <w:hideMark/>
          </w:tcPr>
          <w:p w14:paraId="5C16C30D"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R2 corregida</w:t>
            </w:r>
          </w:p>
        </w:tc>
        <w:tc>
          <w:tcPr>
            <w:tcW w:w="729" w:type="pct"/>
            <w:tcBorders>
              <w:top w:val="single" w:sz="4" w:space="0" w:color="auto"/>
              <w:left w:val="nil"/>
              <w:bottom w:val="single" w:sz="4" w:space="0" w:color="auto"/>
              <w:right w:val="nil"/>
            </w:tcBorders>
            <w:noWrap/>
            <w:vAlign w:val="center"/>
            <w:hideMark/>
          </w:tcPr>
          <w:p w14:paraId="7045BD69" w14:textId="77777777" w:rsidR="00C13F32" w:rsidRPr="00DE042E" w:rsidRDefault="00C13F32" w:rsidP="00CB7C91">
            <w:pPr>
              <w:spacing w:line="360" w:lineRule="auto"/>
              <w:rPr>
                <w:i/>
                <w:color w:val="000000"/>
                <w:sz w:val="20"/>
                <w:szCs w:val="20"/>
                <w:lang w:eastAsia="es-PE"/>
              </w:rPr>
            </w:pPr>
            <w:r w:rsidRPr="00DE042E">
              <w:rPr>
                <w:i/>
                <w:color w:val="000000"/>
                <w:sz w:val="20"/>
                <w:szCs w:val="20"/>
                <w:lang w:eastAsia="es-PE"/>
              </w:rPr>
              <w:t>EE</w:t>
            </w:r>
          </w:p>
        </w:tc>
        <w:tc>
          <w:tcPr>
            <w:tcW w:w="729" w:type="pct"/>
            <w:tcBorders>
              <w:top w:val="single" w:sz="4" w:space="0" w:color="auto"/>
              <w:left w:val="nil"/>
              <w:bottom w:val="single" w:sz="4" w:space="0" w:color="auto"/>
              <w:right w:val="nil"/>
            </w:tcBorders>
            <w:noWrap/>
            <w:vAlign w:val="center"/>
            <w:hideMark/>
          </w:tcPr>
          <w:p w14:paraId="3E80505E" w14:textId="77777777" w:rsidR="00C13F32" w:rsidRPr="00DE042E" w:rsidRDefault="00C13F32" w:rsidP="00CB7C91">
            <w:pPr>
              <w:spacing w:line="360" w:lineRule="auto"/>
              <w:rPr>
                <w:i/>
                <w:color w:val="000000"/>
                <w:sz w:val="20"/>
                <w:szCs w:val="20"/>
                <w:lang w:eastAsia="es-PE"/>
              </w:rPr>
            </w:pPr>
            <w:r w:rsidRPr="00DE042E">
              <w:rPr>
                <w:i/>
                <w:color w:val="000000"/>
                <w:sz w:val="20"/>
                <w:szCs w:val="20"/>
                <w:lang w:eastAsia="es-PE"/>
              </w:rPr>
              <w:t>F</w:t>
            </w:r>
          </w:p>
        </w:tc>
        <w:tc>
          <w:tcPr>
            <w:tcW w:w="550" w:type="pct"/>
            <w:tcBorders>
              <w:top w:val="single" w:sz="4" w:space="0" w:color="auto"/>
              <w:left w:val="nil"/>
              <w:bottom w:val="single" w:sz="4" w:space="0" w:color="auto"/>
              <w:right w:val="nil"/>
            </w:tcBorders>
            <w:noWrap/>
            <w:vAlign w:val="center"/>
            <w:hideMark/>
          </w:tcPr>
          <w:p w14:paraId="5B97FD4A"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Sig</w:t>
            </w:r>
          </w:p>
        </w:tc>
      </w:tr>
      <w:tr w:rsidR="00C13F32" w:rsidRPr="00DE042E" w14:paraId="6A226A1E" w14:textId="77777777" w:rsidTr="00C13F32">
        <w:trPr>
          <w:trHeight w:val="190"/>
        </w:trPr>
        <w:tc>
          <w:tcPr>
            <w:tcW w:w="728" w:type="pct"/>
            <w:tcBorders>
              <w:top w:val="single" w:sz="4" w:space="0" w:color="auto"/>
              <w:left w:val="nil"/>
              <w:bottom w:val="single" w:sz="4" w:space="0" w:color="auto"/>
              <w:right w:val="nil"/>
            </w:tcBorders>
            <w:noWrap/>
            <w:vAlign w:val="center"/>
            <w:hideMark/>
          </w:tcPr>
          <w:p w14:paraId="65066F74" w14:textId="0B4C2BBB" w:rsidR="00C13F32" w:rsidRPr="00DE042E" w:rsidRDefault="00C13F32" w:rsidP="00CB7C91">
            <w:pPr>
              <w:spacing w:line="360" w:lineRule="auto"/>
              <w:rPr>
                <w:color w:val="000000"/>
                <w:sz w:val="20"/>
                <w:szCs w:val="20"/>
                <w:lang w:eastAsia="es-PE"/>
              </w:rPr>
            </w:pPr>
            <w:r w:rsidRPr="00DE042E">
              <w:rPr>
                <w:color w:val="000000"/>
                <w:sz w:val="20"/>
                <w:szCs w:val="20"/>
                <w:lang w:eastAsia="es-PE"/>
              </w:rPr>
              <w:t>1</w:t>
            </w:r>
          </w:p>
        </w:tc>
        <w:tc>
          <w:tcPr>
            <w:tcW w:w="729" w:type="pct"/>
            <w:tcBorders>
              <w:top w:val="single" w:sz="4" w:space="0" w:color="auto"/>
              <w:left w:val="nil"/>
              <w:bottom w:val="single" w:sz="4" w:space="0" w:color="auto"/>
              <w:right w:val="nil"/>
            </w:tcBorders>
            <w:noWrap/>
            <w:vAlign w:val="center"/>
            <w:hideMark/>
          </w:tcPr>
          <w:p w14:paraId="42EE9C51"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,329(a)</w:t>
            </w:r>
          </w:p>
        </w:tc>
        <w:tc>
          <w:tcPr>
            <w:tcW w:w="729" w:type="pct"/>
            <w:tcBorders>
              <w:top w:val="single" w:sz="4" w:space="0" w:color="auto"/>
              <w:left w:val="nil"/>
              <w:bottom w:val="single" w:sz="4" w:space="0" w:color="auto"/>
              <w:right w:val="nil"/>
            </w:tcBorders>
            <w:noWrap/>
            <w:vAlign w:val="center"/>
            <w:hideMark/>
          </w:tcPr>
          <w:p w14:paraId="56EFADD6"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,108</w:t>
            </w:r>
          </w:p>
        </w:tc>
        <w:tc>
          <w:tcPr>
            <w:tcW w:w="806" w:type="pct"/>
            <w:tcBorders>
              <w:top w:val="single" w:sz="4" w:space="0" w:color="auto"/>
              <w:left w:val="nil"/>
              <w:bottom w:val="single" w:sz="4" w:space="0" w:color="auto"/>
              <w:right w:val="nil"/>
            </w:tcBorders>
            <w:noWrap/>
            <w:vAlign w:val="center"/>
            <w:hideMark/>
          </w:tcPr>
          <w:p w14:paraId="43ECBF7C"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,106</w:t>
            </w:r>
          </w:p>
        </w:tc>
        <w:tc>
          <w:tcPr>
            <w:tcW w:w="729" w:type="pct"/>
            <w:tcBorders>
              <w:top w:val="single" w:sz="4" w:space="0" w:color="auto"/>
              <w:left w:val="nil"/>
              <w:bottom w:val="single" w:sz="4" w:space="0" w:color="auto"/>
              <w:right w:val="nil"/>
            </w:tcBorders>
            <w:noWrap/>
            <w:vAlign w:val="center"/>
            <w:hideMark/>
          </w:tcPr>
          <w:p w14:paraId="6C7AE298"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4,737</w:t>
            </w:r>
          </w:p>
        </w:tc>
        <w:tc>
          <w:tcPr>
            <w:tcW w:w="729" w:type="pct"/>
            <w:tcBorders>
              <w:top w:val="single" w:sz="4" w:space="0" w:color="auto"/>
              <w:left w:val="nil"/>
              <w:bottom w:val="single" w:sz="4" w:space="0" w:color="auto"/>
              <w:right w:val="nil"/>
            </w:tcBorders>
            <w:noWrap/>
            <w:vAlign w:val="center"/>
            <w:hideMark/>
          </w:tcPr>
          <w:p w14:paraId="4153C64C"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56,249</w:t>
            </w:r>
          </w:p>
        </w:tc>
        <w:tc>
          <w:tcPr>
            <w:tcW w:w="550" w:type="pct"/>
            <w:tcBorders>
              <w:top w:val="single" w:sz="4" w:space="0" w:color="auto"/>
              <w:left w:val="nil"/>
              <w:bottom w:val="single" w:sz="4" w:space="0" w:color="auto"/>
              <w:right w:val="nil"/>
            </w:tcBorders>
            <w:noWrap/>
            <w:vAlign w:val="center"/>
            <w:hideMark/>
          </w:tcPr>
          <w:p w14:paraId="45EB2CCC" w14:textId="77777777" w:rsidR="00C13F32" w:rsidRPr="00DE042E" w:rsidRDefault="00C13F32" w:rsidP="00CB7C91">
            <w:pPr>
              <w:spacing w:line="360" w:lineRule="auto"/>
              <w:rPr>
                <w:color w:val="000000"/>
                <w:sz w:val="20"/>
                <w:szCs w:val="20"/>
                <w:lang w:eastAsia="es-PE"/>
              </w:rPr>
            </w:pPr>
            <w:r w:rsidRPr="00DE042E">
              <w:rPr>
                <w:color w:val="000000"/>
                <w:sz w:val="20"/>
                <w:szCs w:val="20"/>
                <w:lang w:eastAsia="es-PE"/>
              </w:rPr>
              <w:t>0,000(b)</w:t>
            </w:r>
          </w:p>
        </w:tc>
      </w:tr>
    </w:tbl>
    <w:p w14:paraId="454E0333" w14:textId="77777777" w:rsidR="00C13F32" w:rsidRPr="00DE042E" w:rsidRDefault="00C13F32" w:rsidP="00CB7C91">
      <w:pPr>
        <w:autoSpaceDE w:val="0"/>
        <w:autoSpaceDN w:val="0"/>
        <w:adjustRightInd w:val="0"/>
        <w:spacing w:line="360" w:lineRule="auto"/>
        <w:rPr>
          <w:rFonts w:eastAsiaTheme="minorHAnsi"/>
          <w:sz w:val="16"/>
          <w:szCs w:val="20"/>
          <w:lang w:eastAsia="en-US"/>
        </w:rPr>
      </w:pPr>
      <w:r w:rsidRPr="00DE042E">
        <w:rPr>
          <w:sz w:val="16"/>
          <w:szCs w:val="20"/>
        </w:rPr>
        <w:t>a Variables predictoras: (Constante), Preocupación por el contagio del VOVID-19, ansiedad y depresión.</w:t>
      </w:r>
    </w:p>
    <w:p w14:paraId="5CDD907F" w14:textId="075B7B6D" w:rsidR="00C13F32" w:rsidRPr="00DE042E" w:rsidRDefault="00C13F32" w:rsidP="00CB7C91">
      <w:pPr>
        <w:autoSpaceDE w:val="0"/>
        <w:autoSpaceDN w:val="0"/>
        <w:adjustRightInd w:val="0"/>
        <w:spacing w:line="360" w:lineRule="auto"/>
        <w:rPr>
          <w:sz w:val="16"/>
          <w:szCs w:val="20"/>
        </w:rPr>
      </w:pPr>
      <w:r w:rsidRPr="00DE042E">
        <w:rPr>
          <w:sz w:val="16"/>
          <w:szCs w:val="20"/>
        </w:rPr>
        <w:t>b Variable dependiente: Satisfacción con la vida.</w:t>
      </w:r>
    </w:p>
    <w:p w14:paraId="5B9AA7BD" w14:textId="116B219F" w:rsidR="00F33453" w:rsidRPr="00DE042E" w:rsidRDefault="00F33453" w:rsidP="00CB7C91">
      <w:pPr>
        <w:autoSpaceDE w:val="0"/>
        <w:autoSpaceDN w:val="0"/>
        <w:adjustRightInd w:val="0"/>
        <w:spacing w:line="360" w:lineRule="auto"/>
        <w:rPr>
          <w:sz w:val="16"/>
          <w:szCs w:val="20"/>
        </w:rPr>
      </w:pPr>
    </w:p>
    <w:p w14:paraId="55F57A92" w14:textId="72540BFC" w:rsidR="00F33453" w:rsidRPr="00DE042E" w:rsidRDefault="00F33453" w:rsidP="00CB7C91">
      <w:pPr>
        <w:autoSpaceDE w:val="0"/>
        <w:autoSpaceDN w:val="0"/>
        <w:adjustRightInd w:val="0"/>
        <w:spacing w:line="360" w:lineRule="auto"/>
        <w:ind w:firstLine="720"/>
      </w:pPr>
      <w:r w:rsidRPr="00DE042E">
        <w:t>En la Tabla 6, se aprecia los coeficientes de regresión no estandarizados (B), coeficientes de regresión estandarizados (β) y los estadísticos relacionados con las variables predictora. Los coeficientes β (-,329) indican que la depresión predice significativamente la satisfacción con la vida. Los valores t de los coeficientes de regresión beta de la variable predictora es altamente significativas (p &lt; 0.01).</w:t>
      </w:r>
    </w:p>
    <w:p w14:paraId="70EEDC46" w14:textId="77777777" w:rsidR="003819B2" w:rsidRPr="00DE042E" w:rsidRDefault="003819B2" w:rsidP="00CB7C91">
      <w:pPr>
        <w:autoSpaceDE w:val="0"/>
        <w:autoSpaceDN w:val="0"/>
        <w:adjustRightInd w:val="0"/>
        <w:spacing w:line="360" w:lineRule="auto"/>
        <w:rPr>
          <w:sz w:val="20"/>
          <w:szCs w:val="20"/>
          <w:lang w:eastAsia="en-US"/>
        </w:rPr>
      </w:pPr>
      <w:r w:rsidRPr="00DE042E">
        <w:rPr>
          <w:sz w:val="20"/>
          <w:szCs w:val="20"/>
        </w:rPr>
        <w:t>Tabla 6</w:t>
      </w:r>
    </w:p>
    <w:p w14:paraId="168564FD" w14:textId="77777777" w:rsidR="003819B2" w:rsidRPr="00DE042E" w:rsidRDefault="003819B2" w:rsidP="00CB7C91">
      <w:pPr>
        <w:autoSpaceDE w:val="0"/>
        <w:autoSpaceDN w:val="0"/>
        <w:adjustRightInd w:val="0"/>
        <w:spacing w:line="360" w:lineRule="auto"/>
        <w:rPr>
          <w:i/>
          <w:sz w:val="20"/>
          <w:szCs w:val="20"/>
        </w:rPr>
      </w:pPr>
      <w:r w:rsidRPr="00DE042E">
        <w:rPr>
          <w:i/>
          <w:sz w:val="20"/>
          <w:szCs w:val="20"/>
        </w:rPr>
        <w:t>Coeficientes de regresión múltiple B (no estandarizados), β (estandarizados) y test t</w:t>
      </w:r>
    </w:p>
    <w:tbl>
      <w:tblPr>
        <w:tblW w:w="4923"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598"/>
        <w:gridCol w:w="1311"/>
        <w:gridCol w:w="746"/>
        <w:gridCol w:w="933"/>
        <w:gridCol w:w="852"/>
        <w:gridCol w:w="776"/>
      </w:tblGrid>
      <w:tr w:rsidR="003819B2" w:rsidRPr="00DE042E" w14:paraId="64F4E8C3" w14:textId="77777777" w:rsidTr="003819B2">
        <w:trPr>
          <w:cantSplit/>
          <w:trHeight w:val="71"/>
        </w:trPr>
        <w:tc>
          <w:tcPr>
            <w:tcW w:w="2495" w:type="pct"/>
            <w:tcBorders>
              <w:top w:val="single" w:sz="4" w:space="0" w:color="auto"/>
              <w:left w:val="nil"/>
              <w:bottom w:val="single" w:sz="4" w:space="0" w:color="auto"/>
              <w:right w:val="nil"/>
            </w:tcBorders>
            <w:noWrap/>
            <w:vAlign w:val="center"/>
            <w:hideMark/>
          </w:tcPr>
          <w:p w14:paraId="486451B8"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Modelo</w:t>
            </w:r>
          </w:p>
        </w:tc>
        <w:tc>
          <w:tcPr>
            <w:tcW w:w="711" w:type="pct"/>
            <w:tcBorders>
              <w:top w:val="single" w:sz="4" w:space="0" w:color="auto"/>
              <w:left w:val="nil"/>
              <w:bottom w:val="single" w:sz="4" w:space="0" w:color="auto"/>
              <w:right w:val="nil"/>
            </w:tcBorders>
            <w:noWrap/>
            <w:vAlign w:val="center"/>
            <w:hideMark/>
          </w:tcPr>
          <w:p w14:paraId="4B9FD915" w14:textId="77777777" w:rsidR="003819B2" w:rsidRPr="00DE042E" w:rsidRDefault="003819B2" w:rsidP="00CB7C91">
            <w:pPr>
              <w:spacing w:line="360" w:lineRule="auto"/>
              <w:rPr>
                <w:i/>
                <w:color w:val="000000"/>
                <w:sz w:val="20"/>
                <w:szCs w:val="20"/>
                <w:lang w:eastAsia="es-PE"/>
              </w:rPr>
            </w:pPr>
            <w:r w:rsidRPr="00DE042E">
              <w:rPr>
                <w:i/>
                <w:color w:val="000000"/>
                <w:sz w:val="20"/>
                <w:szCs w:val="20"/>
                <w:lang w:eastAsia="es-PE"/>
              </w:rPr>
              <w:t>B</w:t>
            </w:r>
          </w:p>
        </w:tc>
        <w:tc>
          <w:tcPr>
            <w:tcW w:w="405" w:type="pct"/>
            <w:tcBorders>
              <w:top w:val="single" w:sz="4" w:space="0" w:color="auto"/>
              <w:left w:val="nil"/>
              <w:bottom w:val="single" w:sz="4" w:space="0" w:color="auto"/>
              <w:right w:val="nil"/>
            </w:tcBorders>
            <w:noWrap/>
            <w:vAlign w:val="center"/>
            <w:hideMark/>
          </w:tcPr>
          <w:p w14:paraId="4E57E148" w14:textId="77777777" w:rsidR="003819B2" w:rsidRPr="00DE042E" w:rsidRDefault="003819B2" w:rsidP="00CB7C91">
            <w:pPr>
              <w:spacing w:line="360" w:lineRule="auto"/>
              <w:rPr>
                <w:i/>
                <w:color w:val="000000"/>
                <w:sz w:val="20"/>
                <w:szCs w:val="20"/>
                <w:lang w:eastAsia="es-PE"/>
              </w:rPr>
            </w:pPr>
            <w:r w:rsidRPr="00DE042E">
              <w:rPr>
                <w:i/>
                <w:color w:val="000000"/>
                <w:sz w:val="20"/>
                <w:szCs w:val="20"/>
                <w:lang w:eastAsia="es-PE"/>
              </w:rPr>
              <w:t>EE</w:t>
            </w:r>
          </w:p>
        </w:tc>
        <w:tc>
          <w:tcPr>
            <w:tcW w:w="506" w:type="pct"/>
            <w:tcBorders>
              <w:top w:val="single" w:sz="4" w:space="0" w:color="auto"/>
              <w:left w:val="nil"/>
              <w:bottom w:val="single" w:sz="4" w:space="0" w:color="auto"/>
              <w:right w:val="nil"/>
            </w:tcBorders>
            <w:noWrap/>
            <w:vAlign w:val="center"/>
            <w:hideMark/>
          </w:tcPr>
          <w:p w14:paraId="1C6A5B27" w14:textId="77777777" w:rsidR="003819B2" w:rsidRPr="00DE042E" w:rsidRDefault="003819B2" w:rsidP="00CB7C91">
            <w:pPr>
              <w:spacing w:line="360" w:lineRule="auto"/>
              <w:rPr>
                <w:i/>
                <w:color w:val="000000"/>
                <w:sz w:val="20"/>
                <w:szCs w:val="20"/>
                <w:lang w:eastAsia="es-PE"/>
              </w:rPr>
            </w:pPr>
            <w:r w:rsidRPr="00DE042E">
              <w:rPr>
                <w:i/>
                <w:color w:val="000000"/>
                <w:sz w:val="20"/>
                <w:szCs w:val="20"/>
                <w:lang w:eastAsia="es-PE"/>
              </w:rPr>
              <w:t>β</w:t>
            </w:r>
          </w:p>
        </w:tc>
        <w:tc>
          <w:tcPr>
            <w:tcW w:w="462" w:type="pct"/>
            <w:tcBorders>
              <w:top w:val="single" w:sz="4" w:space="0" w:color="auto"/>
              <w:left w:val="nil"/>
              <w:bottom w:val="single" w:sz="4" w:space="0" w:color="auto"/>
              <w:right w:val="nil"/>
            </w:tcBorders>
            <w:noWrap/>
            <w:vAlign w:val="center"/>
            <w:hideMark/>
          </w:tcPr>
          <w:p w14:paraId="3737B266" w14:textId="77777777" w:rsidR="003819B2" w:rsidRPr="00DE042E" w:rsidRDefault="003819B2" w:rsidP="00CB7C91">
            <w:pPr>
              <w:spacing w:line="360" w:lineRule="auto"/>
              <w:rPr>
                <w:i/>
                <w:color w:val="000000"/>
                <w:sz w:val="20"/>
                <w:szCs w:val="20"/>
                <w:lang w:eastAsia="es-PE"/>
              </w:rPr>
            </w:pPr>
            <w:r w:rsidRPr="00DE042E">
              <w:rPr>
                <w:i/>
                <w:color w:val="000000"/>
                <w:sz w:val="20"/>
                <w:szCs w:val="20"/>
                <w:lang w:eastAsia="es-PE"/>
              </w:rPr>
              <w:t>t</w:t>
            </w:r>
          </w:p>
        </w:tc>
        <w:tc>
          <w:tcPr>
            <w:tcW w:w="421" w:type="pct"/>
            <w:tcBorders>
              <w:top w:val="single" w:sz="4" w:space="0" w:color="auto"/>
              <w:left w:val="nil"/>
              <w:bottom w:val="single" w:sz="4" w:space="0" w:color="auto"/>
              <w:right w:val="nil"/>
            </w:tcBorders>
            <w:noWrap/>
            <w:vAlign w:val="center"/>
            <w:hideMark/>
          </w:tcPr>
          <w:p w14:paraId="6EC3B49D"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Sig</w:t>
            </w:r>
          </w:p>
        </w:tc>
      </w:tr>
      <w:tr w:rsidR="003819B2" w:rsidRPr="00DE042E" w14:paraId="63438DB8" w14:textId="77777777" w:rsidTr="003819B2">
        <w:trPr>
          <w:trHeight w:val="135"/>
        </w:trPr>
        <w:tc>
          <w:tcPr>
            <w:tcW w:w="2495" w:type="pct"/>
            <w:tcBorders>
              <w:top w:val="single" w:sz="4" w:space="0" w:color="auto"/>
              <w:left w:val="nil"/>
              <w:bottom w:val="nil"/>
              <w:right w:val="nil"/>
            </w:tcBorders>
            <w:noWrap/>
            <w:vAlign w:val="center"/>
            <w:hideMark/>
          </w:tcPr>
          <w:p w14:paraId="22927940"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1(Constante)</w:t>
            </w:r>
          </w:p>
        </w:tc>
        <w:tc>
          <w:tcPr>
            <w:tcW w:w="711" w:type="pct"/>
            <w:tcBorders>
              <w:top w:val="single" w:sz="4" w:space="0" w:color="auto"/>
              <w:left w:val="nil"/>
              <w:bottom w:val="nil"/>
              <w:right w:val="nil"/>
            </w:tcBorders>
            <w:noWrap/>
            <w:vAlign w:val="center"/>
            <w:hideMark/>
          </w:tcPr>
          <w:p w14:paraId="6842621E"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20,270</w:t>
            </w:r>
          </w:p>
        </w:tc>
        <w:tc>
          <w:tcPr>
            <w:tcW w:w="405" w:type="pct"/>
            <w:tcBorders>
              <w:top w:val="single" w:sz="4" w:space="0" w:color="auto"/>
              <w:left w:val="nil"/>
              <w:bottom w:val="nil"/>
              <w:right w:val="nil"/>
            </w:tcBorders>
            <w:noWrap/>
            <w:vAlign w:val="center"/>
            <w:hideMark/>
          </w:tcPr>
          <w:p w14:paraId="55BAF8E1" w14:textId="77777777" w:rsidR="003819B2" w:rsidRPr="00DE042E" w:rsidRDefault="003819B2" w:rsidP="00CB7C91">
            <w:pPr>
              <w:spacing w:line="360" w:lineRule="auto"/>
              <w:rPr>
                <w:color w:val="000000"/>
                <w:sz w:val="20"/>
                <w:szCs w:val="20"/>
                <w:lang w:eastAsia="es-PE"/>
              </w:rPr>
            </w:pPr>
            <w:r w:rsidRPr="00DE042E">
              <w:rPr>
                <w:color w:val="000000"/>
                <w:sz w:val="20"/>
                <w:szCs w:val="20"/>
              </w:rPr>
              <w:t>,547</w:t>
            </w:r>
          </w:p>
        </w:tc>
        <w:tc>
          <w:tcPr>
            <w:tcW w:w="506" w:type="pct"/>
            <w:tcBorders>
              <w:top w:val="single" w:sz="4" w:space="0" w:color="auto"/>
              <w:left w:val="nil"/>
              <w:bottom w:val="nil"/>
              <w:right w:val="nil"/>
            </w:tcBorders>
            <w:noWrap/>
            <w:vAlign w:val="center"/>
            <w:hideMark/>
          </w:tcPr>
          <w:p w14:paraId="00EAC3BB" w14:textId="77777777" w:rsidR="003819B2" w:rsidRPr="00DE042E" w:rsidRDefault="003819B2" w:rsidP="00CB7C91">
            <w:pPr>
              <w:spacing w:line="360" w:lineRule="auto"/>
              <w:rPr>
                <w:color w:val="000000"/>
                <w:sz w:val="20"/>
                <w:szCs w:val="20"/>
                <w:lang w:eastAsia="es-PE"/>
              </w:rPr>
            </w:pPr>
          </w:p>
        </w:tc>
        <w:tc>
          <w:tcPr>
            <w:tcW w:w="462" w:type="pct"/>
            <w:tcBorders>
              <w:top w:val="single" w:sz="4" w:space="0" w:color="auto"/>
              <w:left w:val="nil"/>
              <w:bottom w:val="nil"/>
              <w:right w:val="nil"/>
            </w:tcBorders>
            <w:noWrap/>
            <w:vAlign w:val="center"/>
            <w:hideMark/>
          </w:tcPr>
          <w:p w14:paraId="4963974D"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37,066</w:t>
            </w:r>
          </w:p>
        </w:tc>
        <w:tc>
          <w:tcPr>
            <w:tcW w:w="421" w:type="pct"/>
            <w:tcBorders>
              <w:top w:val="single" w:sz="4" w:space="0" w:color="auto"/>
              <w:left w:val="nil"/>
              <w:bottom w:val="nil"/>
              <w:right w:val="nil"/>
            </w:tcBorders>
            <w:noWrap/>
            <w:vAlign w:val="center"/>
            <w:hideMark/>
          </w:tcPr>
          <w:p w14:paraId="0CB051EC" w14:textId="77777777" w:rsidR="003819B2" w:rsidRPr="00DE042E" w:rsidRDefault="003819B2" w:rsidP="00CB7C91">
            <w:pPr>
              <w:spacing w:line="360" w:lineRule="auto"/>
              <w:rPr>
                <w:color w:val="000000"/>
                <w:sz w:val="20"/>
                <w:szCs w:val="20"/>
                <w:lang w:eastAsia="es-PE"/>
              </w:rPr>
            </w:pPr>
            <w:r w:rsidRPr="00DE042E">
              <w:rPr>
                <w:color w:val="000000"/>
                <w:sz w:val="20"/>
                <w:szCs w:val="20"/>
              </w:rPr>
              <w:t>,000</w:t>
            </w:r>
          </w:p>
        </w:tc>
      </w:tr>
      <w:tr w:rsidR="003819B2" w:rsidRPr="00DE042E" w14:paraId="4865551F" w14:textId="77777777" w:rsidTr="003819B2">
        <w:trPr>
          <w:trHeight w:val="60"/>
        </w:trPr>
        <w:tc>
          <w:tcPr>
            <w:tcW w:w="2495" w:type="pct"/>
            <w:tcBorders>
              <w:top w:val="nil"/>
              <w:left w:val="nil"/>
              <w:bottom w:val="single" w:sz="4" w:space="0" w:color="auto"/>
              <w:right w:val="nil"/>
            </w:tcBorders>
            <w:noWrap/>
            <w:vAlign w:val="center"/>
            <w:hideMark/>
          </w:tcPr>
          <w:p w14:paraId="31A0B485" w14:textId="77777777" w:rsidR="003819B2" w:rsidRPr="00DE042E" w:rsidRDefault="003819B2" w:rsidP="00CB7C91">
            <w:pPr>
              <w:spacing w:line="360" w:lineRule="auto"/>
              <w:rPr>
                <w:color w:val="000000"/>
                <w:sz w:val="20"/>
                <w:szCs w:val="20"/>
                <w:lang w:eastAsia="es-PE"/>
              </w:rPr>
            </w:pPr>
            <w:r w:rsidRPr="00DE042E">
              <w:rPr>
                <w:color w:val="000000"/>
                <w:sz w:val="20"/>
                <w:szCs w:val="20"/>
                <w:lang w:eastAsia="es-PE"/>
              </w:rPr>
              <w:t>Depresión</w:t>
            </w:r>
          </w:p>
        </w:tc>
        <w:tc>
          <w:tcPr>
            <w:tcW w:w="711" w:type="pct"/>
            <w:tcBorders>
              <w:top w:val="nil"/>
              <w:left w:val="nil"/>
              <w:bottom w:val="single" w:sz="4" w:space="0" w:color="auto"/>
              <w:right w:val="nil"/>
            </w:tcBorders>
            <w:noWrap/>
            <w:vAlign w:val="center"/>
            <w:hideMark/>
          </w:tcPr>
          <w:p w14:paraId="7D3A22A3" w14:textId="7ADB9891" w:rsidR="003819B2" w:rsidRPr="00DE042E" w:rsidRDefault="003819B2" w:rsidP="00CB7C91">
            <w:pPr>
              <w:spacing w:line="360" w:lineRule="auto"/>
              <w:rPr>
                <w:rFonts w:eastAsiaTheme="minorHAnsi"/>
                <w:color w:val="000000"/>
                <w:sz w:val="20"/>
                <w:szCs w:val="20"/>
                <w:lang w:eastAsia="en-US"/>
              </w:rPr>
            </w:pPr>
            <w:r w:rsidRPr="00DE042E">
              <w:rPr>
                <w:color w:val="000000"/>
                <w:sz w:val="20"/>
                <w:szCs w:val="20"/>
              </w:rPr>
              <w:t xml:space="preserve">- </w:t>
            </w:r>
            <w:r w:rsidRPr="00DE042E">
              <w:rPr>
                <w:color w:val="000000"/>
                <w:sz w:val="20"/>
                <w:szCs w:val="20"/>
              </w:rPr>
              <w:t>1,096</w:t>
            </w:r>
          </w:p>
        </w:tc>
        <w:tc>
          <w:tcPr>
            <w:tcW w:w="405" w:type="pct"/>
            <w:tcBorders>
              <w:top w:val="nil"/>
              <w:left w:val="nil"/>
              <w:bottom w:val="single" w:sz="4" w:space="0" w:color="auto"/>
              <w:right w:val="nil"/>
            </w:tcBorders>
            <w:noWrap/>
            <w:vAlign w:val="center"/>
            <w:hideMark/>
          </w:tcPr>
          <w:p w14:paraId="3A4FBCA1" w14:textId="77777777" w:rsidR="003819B2" w:rsidRPr="00DE042E" w:rsidRDefault="003819B2" w:rsidP="00CB7C91">
            <w:pPr>
              <w:spacing w:line="360" w:lineRule="auto"/>
              <w:rPr>
                <w:color w:val="000000"/>
                <w:sz w:val="20"/>
                <w:szCs w:val="20"/>
              </w:rPr>
            </w:pPr>
            <w:r w:rsidRPr="00DE042E">
              <w:rPr>
                <w:color w:val="000000"/>
                <w:sz w:val="20"/>
                <w:szCs w:val="20"/>
              </w:rPr>
              <w:t>,146</w:t>
            </w:r>
          </w:p>
        </w:tc>
        <w:tc>
          <w:tcPr>
            <w:tcW w:w="506" w:type="pct"/>
            <w:tcBorders>
              <w:top w:val="nil"/>
              <w:left w:val="nil"/>
              <w:bottom w:val="single" w:sz="4" w:space="0" w:color="auto"/>
              <w:right w:val="nil"/>
            </w:tcBorders>
            <w:noWrap/>
            <w:vAlign w:val="center"/>
            <w:hideMark/>
          </w:tcPr>
          <w:p w14:paraId="2004383E" w14:textId="77777777" w:rsidR="003819B2" w:rsidRPr="00DE042E" w:rsidRDefault="003819B2" w:rsidP="00CB7C91">
            <w:pPr>
              <w:spacing w:line="360" w:lineRule="auto"/>
              <w:rPr>
                <w:color w:val="000000"/>
                <w:sz w:val="20"/>
                <w:szCs w:val="20"/>
              </w:rPr>
            </w:pPr>
            <w:r w:rsidRPr="00DE042E">
              <w:rPr>
                <w:color w:val="000000"/>
                <w:sz w:val="20"/>
                <w:szCs w:val="20"/>
              </w:rPr>
              <w:t>-,329</w:t>
            </w:r>
          </w:p>
        </w:tc>
        <w:tc>
          <w:tcPr>
            <w:tcW w:w="462" w:type="pct"/>
            <w:tcBorders>
              <w:top w:val="nil"/>
              <w:left w:val="nil"/>
              <w:bottom w:val="single" w:sz="4" w:space="0" w:color="auto"/>
              <w:right w:val="nil"/>
            </w:tcBorders>
            <w:noWrap/>
            <w:vAlign w:val="center"/>
            <w:hideMark/>
          </w:tcPr>
          <w:p w14:paraId="5CEE6E80" w14:textId="77777777" w:rsidR="003819B2" w:rsidRPr="00DE042E" w:rsidRDefault="003819B2" w:rsidP="00CB7C91">
            <w:pPr>
              <w:spacing w:line="360" w:lineRule="auto"/>
              <w:rPr>
                <w:color w:val="000000"/>
                <w:sz w:val="20"/>
                <w:szCs w:val="20"/>
              </w:rPr>
            </w:pPr>
            <w:r w:rsidRPr="00DE042E">
              <w:rPr>
                <w:color w:val="000000"/>
                <w:sz w:val="20"/>
                <w:szCs w:val="20"/>
              </w:rPr>
              <w:t>-7,500</w:t>
            </w:r>
          </w:p>
        </w:tc>
        <w:tc>
          <w:tcPr>
            <w:tcW w:w="421" w:type="pct"/>
            <w:tcBorders>
              <w:top w:val="nil"/>
              <w:left w:val="nil"/>
              <w:bottom w:val="single" w:sz="4" w:space="0" w:color="auto"/>
              <w:right w:val="nil"/>
            </w:tcBorders>
            <w:noWrap/>
            <w:vAlign w:val="center"/>
            <w:hideMark/>
          </w:tcPr>
          <w:p w14:paraId="42120562" w14:textId="77777777" w:rsidR="003819B2" w:rsidRPr="00DE042E" w:rsidRDefault="003819B2" w:rsidP="00CB7C91">
            <w:pPr>
              <w:spacing w:line="360" w:lineRule="auto"/>
              <w:rPr>
                <w:color w:val="000000"/>
                <w:sz w:val="20"/>
                <w:szCs w:val="20"/>
              </w:rPr>
            </w:pPr>
            <w:r w:rsidRPr="00DE042E">
              <w:rPr>
                <w:color w:val="000000"/>
                <w:sz w:val="20"/>
                <w:szCs w:val="20"/>
              </w:rPr>
              <w:t>,000</w:t>
            </w:r>
          </w:p>
        </w:tc>
      </w:tr>
    </w:tbl>
    <w:p w14:paraId="727F5BE7" w14:textId="77777777" w:rsidR="003819B2" w:rsidRPr="00DE042E" w:rsidRDefault="003819B2" w:rsidP="00CB7C91">
      <w:pPr>
        <w:autoSpaceDE w:val="0"/>
        <w:autoSpaceDN w:val="0"/>
        <w:adjustRightInd w:val="0"/>
        <w:spacing w:line="360" w:lineRule="auto"/>
        <w:rPr>
          <w:sz w:val="16"/>
          <w:szCs w:val="20"/>
          <w:lang w:eastAsia="en-US"/>
        </w:rPr>
      </w:pPr>
      <w:r w:rsidRPr="00DE042E">
        <w:rPr>
          <w:sz w:val="16"/>
          <w:szCs w:val="20"/>
        </w:rPr>
        <w:t>a Variable dependiente: Satisfacción con la vida</w:t>
      </w:r>
    </w:p>
    <w:p w14:paraId="1D5CB99C" w14:textId="77777777" w:rsidR="003819B2" w:rsidRPr="00DE042E" w:rsidRDefault="003819B2" w:rsidP="00CB7C91">
      <w:pPr>
        <w:autoSpaceDE w:val="0"/>
        <w:autoSpaceDN w:val="0"/>
        <w:adjustRightInd w:val="0"/>
        <w:spacing w:line="360" w:lineRule="auto"/>
        <w:ind w:firstLine="720"/>
      </w:pPr>
    </w:p>
    <w:p w14:paraId="220C813D" w14:textId="18962818" w:rsidR="00CE7D65" w:rsidRPr="00DE042E" w:rsidRDefault="00CE7D65" w:rsidP="00CB7C91">
      <w:pPr>
        <w:pStyle w:val="Ttulosinternos"/>
        <w:rPr>
          <w:lang w:val="es-419"/>
        </w:rPr>
      </w:pPr>
      <w:r w:rsidRPr="00DE042E">
        <w:rPr>
          <w:lang w:val="es-419"/>
        </w:rPr>
        <w:t>D</w:t>
      </w:r>
      <w:r w:rsidR="003819B2" w:rsidRPr="00DE042E">
        <w:rPr>
          <w:lang w:val="es-419"/>
        </w:rPr>
        <w:t>iscusió</w:t>
      </w:r>
      <w:r w:rsidRPr="00DE042E">
        <w:rPr>
          <w:lang w:val="es-419"/>
        </w:rPr>
        <w:t>n</w:t>
      </w:r>
    </w:p>
    <w:p w14:paraId="0B870F0A" w14:textId="04365B69" w:rsidR="0043058C" w:rsidRPr="00DE042E" w:rsidRDefault="0043058C" w:rsidP="00CB7C91">
      <w:pPr>
        <w:pStyle w:val="Prrafocomn"/>
        <w:jc w:val="left"/>
        <w:rPr>
          <w:lang w:val="es-419"/>
        </w:rPr>
      </w:pPr>
      <w:r w:rsidRPr="00DE042E">
        <w:rPr>
          <w:lang w:val="es-419"/>
        </w:rPr>
        <w:t xml:space="preserve">La investigación desarrollada en los últimos meses, así como los estudios que han </w:t>
      </w:r>
      <w:r w:rsidRPr="00DE042E">
        <w:rPr>
          <w:lang w:val="es-419"/>
        </w:rPr>
        <w:t>sistematizado los efectos de una</w:t>
      </w:r>
      <w:r w:rsidRPr="00DE042E">
        <w:rPr>
          <w:lang w:val="es-419"/>
        </w:rPr>
        <w:t xml:space="preserve"> pandemia en la vida de las personas, a lo largo de la historia, muestran que una exposición prolongada y creciente a factor</w:t>
      </w:r>
      <w:r w:rsidR="00A7718B" w:rsidRPr="00DE042E">
        <w:rPr>
          <w:lang w:val="es-419"/>
        </w:rPr>
        <w:t>es de riesgo globales impactan en</w:t>
      </w:r>
      <w:r w:rsidRPr="00DE042E">
        <w:rPr>
          <w:lang w:val="es-419"/>
        </w:rPr>
        <w:t xml:space="preserve"> la </w:t>
      </w:r>
      <w:r w:rsidRPr="00DE042E">
        <w:rPr>
          <w:lang w:val="es-419"/>
        </w:rPr>
        <w:lastRenderedPageBreak/>
        <w:t>salud mental</w:t>
      </w:r>
      <w:r w:rsidR="00A7718B" w:rsidRPr="00DE042E">
        <w:rPr>
          <w:lang w:val="es-419"/>
        </w:rPr>
        <w:t>,</w:t>
      </w:r>
      <w:r w:rsidRPr="00DE042E">
        <w:rPr>
          <w:lang w:val="es-419"/>
        </w:rPr>
        <w:t xml:space="preserve"> y por ende</w:t>
      </w:r>
      <w:r w:rsidR="00A7718B" w:rsidRPr="00DE042E">
        <w:rPr>
          <w:lang w:val="es-419"/>
        </w:rPr>
        <w:t>,</w:t>
      </w:r>
      <w:r w:rsidRPr="00DE042E">
        <w:rPr>
          <w:lang w:val="es-419"/>
        </w:rPr>
        <w:t xml:space="preserve"> a la calidad de vida y la evaluación que se hace de la misma (Moreno et al., 2020). Sentimientos de angustia psicológica y distrés envuelven a la población ante la posibilidad, cada vez más cercana, de enfermar o enfrentar la muerte (Tanoue et al., 2020), de modo que el miedo a lo desconocido puede conllevar a un mayor nivel de preocupación, ansiedad y estrés tanto en personas sanas como en aquellas con problemas de salud mental preexistentes (Mowbray, 2020). La realidad vivida en el Perú, y de manera específica, en el sur peruano no es distinta, por ello el objetivo de este estudio fue determinar si la preocupación por la COVID-19, depresión y ansiedad actúan como predictores significativos de la satisfacción con la vida en adultos de esa zona del país.</w:t>
      </w:r>
    </w:p>
    <w:p w14:paraId="5758A61C" w14:textId="345D80A5" w:rsidR="0043058C" w:rsidRPr="00DE042E" w:rsidRDefault="0043058C" w:rsidP="00CB7C91">
      <w:pPr>
        <w:pStyle w:val="Prrafocomn"/>
        <w:jc w:val="left"/>
        <w:rPr>
          <w:lang w:val="es-419"/>
        </w:rPr>
      </w:pPr>
      <w:r w:rsidRPr="00DE042E">
        <w:rPr>
          <w:lang w:val="es-419"/>
        </w:rPr>
        <w:t>Las diferencias significativas encontradas, según el sexo de los participantes, muestran de que los varones experimentan una mayor satisfacción con la vida. Aunque el tamaño del efecto fue pequeño. Las mujeres evidenciaron mayor preocu</w:t>
      </w:r>
      <w:r w:rsidR="00C07CD9" w:rsidRPr="00DE042E">
        <w:rPr>
          <w:lang w:val="es-419"/>
        </w:rPr>
        <w:t>pación por el contagio de COVID-</w:t>
      </w:r>
      <w:r w:rsidRPr="00DE042E">
        <w:rPr>
          <w:lang w:val="es-419"/>
        </w:rPr>
        <w:t>19, así como ansiedad y depresión más elevadas, con un tamaño del efecto considerable. Resultados similares fueron hallados en Argentina, en pobladores mayores de 18 años, donde se observa que la pandemia tuvo un mayor impacto en la salud mental de las mujeres, reflejado en sentimientos de miedo, incertidumbre, angustia y preocupación por la responsabilidad de cuidar de los suyos (Johnson et al., 2020).</w:t>
      </w:r>
    </w:p>
    <w:p w14:paraId="7EE951D7" w14:textId="021D07F2" w:rsidR="0043058C" w:rsidRPr="00DE042E" w:rsidRDefault="0043058C" w:rsidP="00CB7C91">
      <w:pPr>
        <w:pStyle w:val="Prrafocomn"/>
        <w:jc w:val="left"/>
        <w:rPr>
          <w:lang w:val="es-419"/>
        </w:rPr>
      </w:pPr>
      <w:r w:rsidRPr="00DE042E">
        <w:rPr>
          <w:lang w:val="es-419"/>
        </w:rPr>
        <w:t xml:space="preserve">Respecto a la preocupación, se ha identificado que las mujeres se perciben con un mayor riesgo de </w:t>
      </w:r>
      <w:r w:rsidR="002E5C8E" w:rsidRPr="00DE042E">
        <w:rPr>
          <w:lang w:val="es-419"/>
        </w:rPr>
        <w:t>ser afectadas por la</w:t>
      </w:r>
      <w:r w:rsidR="00C07CD9" w:rsidRPr="00DE042E">
        <w:rPr>
          <w:lang w:val="es-419"/>
        </w:rPr>
        <w:t xml:space="preserve"> COVID-</w:t>
      </w:r>
      <w:r w:rsidRPr="00DE042E">
        <w:rPr>
          <w:lang w:val="es-419"/>
        </w:rPr>
        <w:t>19, probablemente debido a un mayor sentido de autocuidado, a ello</w:t>
      </w:r>
      <w:r w:rsidR="002E5C8E" w:rsidRPr="00DE042E">
        <w:rPr>
          <w:lang w:val="es-419"/>
        </w:rPr>
        <w:t>,</w:t>
      </w:r>
      <w:r w:rsidRPr="00DE042E">
        <w:rPr>
          <w:lang w:val="es-419"/>
        </w:rPr>
        <w:t xml:space="preserve"> se agrega que un buen número de mujeres se dedica a las labores asistenciales profesionales (Lima et al., 2020). Asimismo, 43 estudios referidos al impacto de la pandemia sobre la salud mental refieren que ser mujer implica un mayor riesgo de presentar sintomatología psiquiátrica y menor bienestar psicológico, y que esto se agrava cuando la mujer se encuentra trabajando en primera línea de atención y presenta problemas de salud (Pappa et al., 2020; Vindegaard &amp; Benros, 2020).</w:t>
      </w:r>
    </w:p>
    <w:p w14:paraId="57F5A4DB" w14:textId="2EC685C3" w:rsidR="0043058C" w:rsidRPr="00DE042E" w:rsidRDefault="0043058C" w:rsidP="00CB7C91">
      <w:pPr>
        <w:pStyle w:val="Prrafocomn"/>
        <w:jc w:val="left"/>
        <w:rPr>
          <w:lang w:val="es-419"/>
        </w:rPr>
      </w:pPr>
      <w:r w:rsidRPr="00DE042E">
        <w:rPr>
          <w:lang w:val="es-419"/>
        </w:rPr>
        <w:t xml:space="preserve">Otros generadores de preocupación hallados fueron presentar un estatus socio económico bajo, conflictos interpersonales, uso frecuente de las redes sociales, menor resiliencia y apoyo social (Mowbray, 2020). Así mismo, las mujeres y familias con hijos menores de 18 años reportaron niveles más altos de miedo y preocupación, y estos a su vez estaban asociados a las ansiedad y sintomatología depresiva (Fitzpatrick et al., 2020). En Albania, las mujeres mostraron menor interés o placer en hacer las cosas, mayor tristeza y desesperanza, menor energía y </w:t>
      </w:r>
      <w:r w:rsidRPr="00DE042E">
        <w:rPr>
          <w:lang w:val="es-419"/>
        </w:rPr>
        <w:lastRenderedPageBreak/>
        <w:t>mayores alteraciones en el apetito (Kamberi et al., 2020). Entre los factores asociados a una mayor ansiedad y depresión en las mujeres, se hallan el hecho de ser más joven (Pakenham et al., 2020) y ser madre (Cameron et al., 2020).</w:t>
      </w:r>
    </w:p>
    <w:p w14:paraId="05C25A3A" w14:textId="11066230" w:rsidR="0043058C" w:rsidRPr="00DE042E" w:rsidRDefault="0043058C" w:rsidP="00CB7C91">
      <w:pPr>
        <w:pStyle w:val="Prrafocomn"/>
        <w:jc w:val="left"/>
        <w:rPr>
          <w:lang w:val="es-419"/>
        </w:rPr>
      </w:pPr>
      <w:r w:rsidRPr="00DE042E">
        <w:rPr>
          <w:lang w:val="es-419"/>
        </w:rPr>
        <w:t>Evidentemente, la condición femenina conlleva desafíos particulares, asociados a los roles que ejerce en sus contextos, a sus recursos de afrontamiento y a su naturaleza emocional, que, al verse desafiados, generan mayor perturbación del equilibrio mental, dejando ver estas diferencias significativas frente a los varones.</w:t>
      </w:r>
    </w:p>
    <w:p w14:paraId="0C0C0F6E" w14:textId="48876336" w:rsidR="0043058C" w:rsidRPr="00DE042E" w:rsidRDefault="0043058C" w:rsidP="00CB7C91">
      <w:pPr>
        <w:pStyle w:val="Prrafocomn"/>
        <w:jc w:val="left"/>
        <w:rPr>
          <w:lang w:val="es-419"/>
        </w:rPr>
      </w:pPr>
      <w:r w:rsidRPr="00DE042E">
        <w:rPr>
          <w:lang w:val="es-419"/>
        </w:rPr>
        <w:t xml:space="preserve">El análisis de correlaciones efectuado evidenció que, a mayores niveles de satisfacción con la vida, menores fueron tanto la preocupación </w:t>
      </w:r>
      <w:r w:rsidR="00C07CD9" w:rsidRPr="00DE042E">
        <w:rPr>
          <w:lang w:val="es-419"/>
        </w:rPr>
        <w:t>por la COVID-</w:t>
      </w:r>
      <w:r w:rsidRPr="00DE042E">
        <w:rPr>
          <w:lang w:val="es-419"/>
        </w:rPr>
        <w:t>19, la ansiedad y la depresión en los participantes. Resultados similares se reportaron en estudiantes universitarios, donde la satisfacción con la vida se correlacionó negativa y significativamente con las puntuaciones de las escalas de depresión, ansiedad y desesperanza (Guney et al., 2010). De igual manera sucedió al evaluar a adultos mayores en Colombia, donde se identificó que quienes mostraron mayor insatisfacción con la vida y desesperanza tuvieron mayor riesgo de depresión (Gómez-Restrepo et al., 2014).</w:t>
      </w:r>
    </w:p>
    <w:p w14:paraId="45B8B6D1" w14:textId="61700EB5" w:rsidR="0043058C" w:rsidRPr="00DE042E" w:rsidRDefault="0043058C" w:rsidP="00CB7C91">
      <w:pPr>
        <w:pStyle w:val="Prrafocomn"/>
        <w:jc w:val="left"/>
        <w:rPr>
          <w:lang w:val="es-419"/>
        </w:rPr>
      </w:pPr>
      <w:r w:rsidRPr="00DE042E">
        <w:rPr>
          <w:lang w:val="es-419"/>
        </w:rPr>
        <w:t xml:space="preserve">También se encontró que cuando la preocupación por </w:t>
      </w:r>
      <w:r w:rsidR="00C07CD9" w:rsidRPr="00DE042E">
        <w:rPr>
          <w:lang w:val="es-419"/>
        </w:rPr>
        <w:t>la COVID-</w:t>
      </w:r>
      <w:r w:rsidRPr="00DE042E">
        <w:rPr>
          <w:lang w:val="es-419"/>
        </w:rPr>
        <w:t>19 fue más elevada, se incrementaron la ansiedad y la depresión en los participantes. De manera similar, en Estados Unidos, se encontraron correlaciones significativas ent</w:t>
      </w:r>
      <w:r w:rsidR="003D112F" w:rsidRPr="00DE042E">
        <w:rPr>
          <w:lang w:val="es-419"/>
        </w:rPr>
        <w:t xml:space="preserve">re preocupación especifica por </w:t>
      </w:r>
      <w:r w:rsidRPr="00DE042E">
        <w:rPr>
          <w:lang w:val="es-419"/>
        </w:rPr>
        <w:t>l</w:t>
      </w:r>
      <w:r w:rsidR="003D112F" w:rsidRPr="00DE042E">
        <w:rPr>
          <w:lang w:val="es-419"/>
        </w:rPr>
        <w:t>a COVID-</w:t>
      </w:r>
      <w:r w:rsidRPr="00DE042E">
        <w:rPr>
          <w:lang w:val="es-419"/>
        </w:rPr>
        <w:t xml:space="preserve">19, depresión, ansiedad y estrés postraumático; los mismos que se hallaron asociados a bajos niveles de tolerancia a </w:t>
      </w:r>
      <w:r w:rsidR="003D112F" w:rsidRPr="00DE042E">
        <w:rPr>
          <w:lang w:val="es-419"/>
        </w:rPr>
        <w:t>la soledad y la angustia (</w:t>
      </w:r>
      <w:r w:rsidRPr="00DE042E">
        <w:rPr>
          <w:lang w:val="es-419"/>
        </w:rPr>
        <w:t>Liu et al., 2020). En China, otro estudio desarrollado en estudiantes de diversos niveles rep</w:t>
      </w:r>
      <w:r w:rsidR="003D112F" w:rsidRPr="00DE042E">
        <w:rPr>
          <w:lang w:val="es-419"/>
        </w:rPr>
        <w:t xml:space="preserve">ortó que la preocupación por la </w:t>
      </w:r>
      <w:r w:rsidRPr="00DE042E">
        <w:rPr>
          <w:lang w:val="es-419"/>
        </w:rPr>
        <w:t xml:space="preserve">COVID-19 se correlacionó positivamente con la aparición de síntomas somáticos, evidenciados en una mayor inquietud frente a la amenaza a la vida, así como por la eficacia de las medidas de prevención y control (S. Liu et al., 2020). También en Canadá, mujeres embarazadas reportaron síntomas más altos de depresión y ansiedad asociados </w:t>
      </w:r>
      <w:r w:rsidR="00025CB2" w:rsidRPr="00DE042E">
        <w:rPr>
          <w:lang w:val="es-419"/>
        </w:rPr>
        <w:t xml:space="preserve">a </w:t>
      </w:r>
      <w:r w:rsidRPr="00DE042E">
        <w:rPr>
          <w:lang w:val="es-419"/>
        </w:rPr>
        <w:t>una mayor preocupación por las amenazas de</w:t>
      </w:r>
      <w:r w:rsidR="00025CB2" w:rsidRPr="00DE042E">
        <w:rPr>
          <w:lang w:val="es-419"/>
        </w:rPr>
        <w:t xml:space="preserve"> la</w:t>
      </w:r>
      <w:r w:rsidRPr="00DE042E">
        <w:rPr>
          <w:lang w:val="es-419"/>
        </w:rPr>
        <w:t xml:space="preserve"> COVID-19 y a la vida materna en el contexto de la pandemia, así como no poder recibir la atención prenatal necesaria (Lebel et al., 2020).</w:t>
      </w:r>
    </w:p>
    <w:p w14:paraId="5A4A512E" w14:textId="3CF17579" w:rsidR="0043058C" w:rsidRPr="00DE042E" w:rsidRDefault="0043058C" w:rsidP="00CB7C91">
      <w:pPr>
        <w:pStyle w:val="Prrafocomn"/>
        <w:jc w:val="left"/>
        <w:rPr>
          <w:lang w:val="es-419"/>
        </w:rPr>
      </w:pPr>
      <w:r w:rsidRPr="00DE042E">
        <w:rPr>
          <w:lang w:val="es-419"/>
        </w:rPr>
        <w:t xml:space="preserve">Asimismo, en esta investigación se obtuvo que a un mayor nivel de ansiedad acompañó un incremento de la depresión. Estudios pre pandémicos, ya reportaban la relación significativa de estas variables (Leis &amp; Gallegos, 2017; Sánchez et al., 2016), incluso existen resultados compatibles desarrollados en el Perú (Aranda-Paniora, 2017) donde estas variables además se </w:t>
      </w:r>
      <w:r w:rsidRPr="00DE042E">
        <w:rPr>
          <w:lang w:val="es-419"/>
        </w:rPr>
        <w:lastRenderedPageBreak/>
        <w:t>hallaron asociadas al estrés (Perales et al., 2014). Investigaciones más recientes consideran la importancia del análisis de la relación entre depresión y la ansiedad, como los componentes de la salud mental más vulnerados durante la pandemia (Pouralizadeh et al., 2020; Ran et al., 2020)</w:t>
      </w:r>
      <w:r w:rsidR="00025CB2" w:rsidRPr="00DE042E">
        <w:rPr>
          <w:lang w:val="es-419"/>
        </w:rPr>
        <w:t>.</w:t>
      </w:r>
    </w:p>
    <w:p w14:paraId="70194912" w14:textId="163478FA" w:rsidR="0043058C" w:rsidRPr="00DE042E" w:rsidRDefault="0043058C" w:rsidP="00CB7C91">
      <w:pPr>
        <w:pStyle w:val="Prrafocomn"/>
        <w:jc w:val="left"/>
        <w:rPr>
          <w:lang w:val="es-419"/>
        </w:rPr>
      </w:pPr>
      <w:r w:rsidRPr="00DE042E">
        <w:rPr>
          <w:lang w:val="es-419"/>
        </w:rPr>
        <w:t>Las correlaciones obtenidas agregan evidencia de que el estado de alerta constante y creciente ante a la pandemia, acompañada de incertidumbre y miedo ante a la posibilidad de contraer COVID 19, se asocia</w:t>
      </w:r>
      <w:r w:rsidR="00025CB2" w:rsidRPr="00DE042E">
        <w:rPr>
          <w:lang w:val="es-419"/>
        </w:rPr>
        <w:t xml:space="preserve"> con la</w:t>
      </w:r>
      <w:r w:rsidRPr="00DE042E">
        <w:rPr>
          <w:lang w:val="es-419"/>
        </w:rPr>
        <w:t xml:space="preserve"> sintomatología depresiva; y ante esa condición, es difícil referir un resultado positivo de la evaluación de las condiciones actuales de vida.</w:t>
      </w:r>
    </w:p>
    <w:p w14:paraId="15151EF1" w14:textId="7611D660" w:rsidR="0043058C" w:rsidRPr="00DE042E" w:rsidRDefault="0043058C" w:rsidP="00CB7C91">
      <w:pPr>
        <w:pStyle w:val="Prrafocomn"/>
        <w:jc w:val="left"/>
        <w:rPr>
          <w:lang w:val="es-419"/>
        </w:rPr>
      </w:pPr>
      <w:r w:rsidRPr="00DE042E">
        <w:rPr>
          <w:lang w:val="es-419"/>
        </w:rPr>
        <w:t xml:space="preserve">El resultado más relevante del estudio da cuenta del modelo predictivo de la satisfacción con la vida. Aunque el análisis </w:t>
      </w:r>
      <w:r w:rsidR="000B5D4C" w:rsidRPr="00DE042E">
        <w:rPr>
          <w:lang w:val="es-419"/>
        </w:rPr>
        <w:t>incluyó a la preocupación por la</w:t>
      </w:r>
      <w:r w:rsidRPr="00DE042E">
        <w:rPr>
          <w:lang w:val="es-419"/>
        </w:rPr>
        <w:t xml:space="preserve"> COVID</w:t>
      </w:r>
      <w:r w:rsidR="000B5D4C" w:rsidRPr="00DE042E">
        <w:rPr>
          <w:lang w:val="es-419"/>
        </w:rPr>
        <w:t>-</w:t>
      </w:r>
      <w:r w:rsidRPr="00DE042E">
        <w:rPr>
          <w:lang w:val="es-419"/>
        </w:rPr>
        <w:t xml:space="preserve">19, ansiedad y depresión, las evidencias de los análisis de correlación múltiple revelaron que solo la depresión tuvo el alcance predictivo esperado. Evidentemente, más allá de la preocupación o ansiedad, es el estado depresivo lo que genera insatisfacción. Como se vio en el análisis correlacional, la preocupación y ansiedad están ligadas a la depresión, pero termina siendo esta última la que determina el resultado de la evaluación de las condiciones en la que el poblador del sur peruano vive.   Resultados similares se reportan por Bulut et al. (2010) quienes hallaron que la satisfacción con la vida en estudiantes universitarios puede predecirse por su nivel depresión, pero también por la ansiedad. </w:t>
      </w:r>
      <w:r w:rsidR="000B5D4C" w:rsidRPr="00DE042E">
        <w:rPr>
          <w:lang w:val="es-419"/>
        </w:rPr>
        <w:t>Por otro lado, Aguirre-Camacho y</w:t>
      </w:r>
      <w:r w:rsidRPr="00DE042E">
        <w:rPr>
          <w:lang w:val="es-419"/>
        </w:rPr>
        <w:t xml:space="preserve"> Moreno-Jiménez  (2018) demostraron que la satisfacción con la vida y el optimismo resultaron ser predictor marginalmente significativo de la sintomatología depresiva, permitiendo identificar correctamente a los pacientes sin síntomas depresivos clínicamente relevantes.</w:t>
      </w:r>
    </w:p>
    <w:p w14:paraId="6650D080" w14:textId="255A0CA0" w:rsidR="0043058C" w:rsidRPr="00DE042E" w:rsidRDefault="0043058C" w:rsidP="00CB7C91">
      <w:pPr>
        <w:pStyle w:val="Prrafocomn"/>
        <w:jc w:val="left"/>
        <w:rPr>
          <w:lang w:val="es-419"/>
        </w:rPr>
      </w:pPr>
      <w:r w:rsidRPr="00DE042E">
        <w:rPr>
          <w:lang w:val="es-419"/>
        </w:rPr>
        <w:t>En Perú, la depresión es uno de los problemas de salud mental más frecuentes (Garay, 2016; MINSA, 2018); y este estudio permite ver que, en el contexto de pandemia, esta juega un rol importante sobre la experiencia de bienestar y preminencia de un estado mental positivo cuando se evalúa la calidad de vida cotidiana (Pavot &amp; Diener, 1993).</w:t>
      </w:r>
    </w:p>
    <w:p w14:paraId="455BAD3E" w14:textId="0AA31166" w:rsidR="0043058C" w:rsidRPr="00DE042E" w:rsidRDefault="0043058C" w:rsidP="00CB7C91">
      <w:pPr>
        <w:pStyle w:val="Prrafocomn"/>
        <w:jc w:val="left"/>
        <w:rPr>
          <w:lang w:val="es-419"/>
        </w:rPr>
      </w:pPr>
      <w:r w:rsidRPr="00DE042E">
        <w:rPr>
          <w:lang w:val="es-419"/>
        </w:rPr>
        <w:t>Se concluye que la depresión como estado anímico de desinterés y displacer ante los eventos cotidianos, experimentado de manera crónica e intensa, predijo significativamente la satisfacción con la vida en los pobladores del sur peruano. Además, que las variables estudiadas se relacionaron significativamente y que la ansiedad, depresión, preocupación por la COVID 19 fueron mayores en las mujeres, mientras que la satisfacción con la vida, fue mayor en los varones.</w:t>
      </w:r>
    </w:p>
    <w:p w14:paraId="69120F31" w14:textId="2CDF1D2B" w:rsidR="0043058C" w:rsidRPr="00DE042E" w:rsidRDefault="0043058C" w:rsidP="00CB7C91">
      <w:pPr>
        <w:pStyle w:val="Prrafocomn"/>
        <w:jc w:val="left"/>
        <w:rPr>
          <w:lang w:val="es-419"/>
        </w:rPr>
      </w:pPr>
      <w:r w:rsidRPr="00DE042E">
        <w:rPr>
          <w:lang w:val="es-419"/>
        </w:rPr>
        <w:lastRenderedPageBreak/>
        <w:t xml:space="preserve">El estudio presenta algunas limitaciones, primero; está referido a la no aleatoriedad en el reclutamiento de los participantes; ya que, al ser voluntario y virtual, entre los colaboradores pueden estar quienes tuvieron una mayor motivación o necesidad de referir sus experiencias y que, además, contaron con acceso a un móvil o computadora y conexión a internet. Segundo, está referida a que se trabajó solo en las ciudades del Sur peruano, por lo que la generalización de los resultados es limitada. Sin embargo, el tamaño de la muestra que se obtuvo y la representatividad de ambos sexos, permiten inferir que los resultados son característicos de la realidad en dicha zona, y de lo que podría estar sucediendo en otras ciudades del Perú y del mundo. Tercero, el corte trasversal del estudio permitió identificar la dinámica de los vínculos entre las variables en un momento vivencial concreto de los participantes, por lo que se recomienda investigar el fenómeno desde una perspectiva longitudinal, siguiendo el curso que tiene la pandemia </w:t>
      </w:r>
      <w:r w:rsidR="000C419F" w:rsidRPr="00DE042E">
        <w:rPr>
          <w:lang w:val="es-419"/>
        </w:rPr>
        <w:t>COVID-</w:t>
      </w:r>
      <w:r w:rsidRPr="00DE042E">
        <w:rPr>
          <w:lang w:val="es-419"/>
        </w:rPr>
        <w:t>19 en el mundo entero.</w:t>
      </w:r>
    </w:p>
    <w:p w14:paraId="13FA8237" w14:textId="1DDE7302" w:rsidR="007E3B8D" w:rsidRPr="00DE042E" w:rsidRDefault="0043058C" w:rsidP="00CB7C91">
      <w:pPr>
        <w:pStyle w:val="Prrafocomn"/>
        <w:jc w:val="left"/>
        <w:rPr>
          <w:lang w:val="es-419"/>
        </w:rPr>
      </w:pPr>
      <w:r w:rsidRPr="00DE042E">
        <w:rPr>
          <w:lang w:val="es-419"/>
        </w:rPr>
        <w:t>Otras recomendaciones que surgen son, desarrollar estudios similares en otras regiones del Perú, a fin de tener una mayor comprensión de los condicionantes de la satisfacción con la vida de sus pobladores; también</w:t>
      </w:r>
      <w:r w:rsidR="000C419F" w:rsidRPr="00DE042E">
        <w:rPr>
          <w:lang w:val="es-419"/>
        </w:rPr>
        <w:t>,</w:t>
      </w:r>
      <w:r w:rsidRPr="00DE042E">
        <w:rPr>
          <w:lang w:val="es-419"/>
        </w:rPr>
        <w:t xml:space="preserve"> profundizar en las implicancias de la depresión sobre las actitudes ante la enfermedad, el afrontamiento y la recuperación en el contexto de la pandemia; y finalmente, la implementación de programas y campañas de salud mental orientadas al control emocional y al restablecimiento del equilibrio del estado anímico de la población y, de manera diferenciada, que abarquen las necesidades de socioafectivas de las mujeres.</w:t>
      </w:r>
      <w:r w:rsidR="007E3B8D" w:rsidRPr="00DE042E">
        <w:rPr>
          <w:lang w:val="es-419"/>
        </w:rPr>
        <w:br w:type="page"/>
      </w:r>
    </w:p>
    <w:p w14:paraId="6CD8B4A8" w14:textId="2E7481F3" w:rsidR="006F7E7E" w:rsidRPr="00DE042E" w:rsidRDefault="00DE042E" w:rsidP="00CB7C91">
      <w:pPr>
        <w:pStyle w:val="Ttulosinternos"/>
        <w:rPr>
          <w:lang w:val="es-419"/>
        </w:rPr>
      </w:pPr>
      <w:r w:rsidRPr="00DE042E">
        <w:rPr>
          <w:lang w:val="es-419"/>
        </w:rPr>
        <w:lastRenderedPageBreak/>
        <w:t>Referencia</w:t>
      </w:r>
      <w:r w:rsidR="00CE7D65" w:rsidRPr="00DE042E">
        <w:rPr>
          <w:lang w:val="es-419"/>
        </w:rPr>
        <w:t>s</w:t>
      </w:r>
    </w:p>
    <w:p w14:paraId="248EEAD8" w14:textId="77777777" w:rsidR="000C419F" w:rsidRPr="00DE042E" w:rsidRDefault="000C419F" w:rsidP="009C6DEC">
      <w:pPr>
        <w:widowControl w:val="0"/>
        <w:autoSpaceDE w:val="0"/>
        <w:autoSpaceDN w:val="0"/>
        <w:adjustRightInd w:val="0"/>
        <w:spacing w:line="360" w:lineRule="auto"/>
        <w:ind w:left="709" w:hanging="709"/>
        <w:rPr>
          <w:noProof/>
          <w:lang w:eastAsia="en-US"/>
        </w:rPr>
      </w:pPr>
      <w:r w:rsidRPr="00DE042E">
        <w:fldChar w:fldCharType="begin" w:fldLock="1"/>
      </w:r>
      <w:r w:rsidRPr="00DE042E">
        <w:instrText xml:space="preserve">ADDIN Mendeley Bibliography CSL_BIBLIOGRAPHY </w:instrText>
      </w:r>
      <w:r w:rsidRPr="00DE042E">
        <w:fldChar w:fldCharType="separate"/>
      </w:r>
      <w:r w:rsidRPr="00DE042E">
        <w:rPr>
          <w:noProof/>
        </w:rPr>
        <w:t xml:space="preserve">Aguirre-Camacho, A., &amp; Moreno-Jiménez, B. (2018). Depression and anxiety in patients with pulmonary hypertension: The role of life satisfaction and optimism. </w:t>
      </w:r>
      <w:r w:rsidRPr="00DE042E">
        <w:rPr>
          <w:i/>
          <w:iCs/>
          <w:noProof/>
        </w:rPr>
        <w:t>Psychosomatics</w:t>
      </w:r>
      <w:r w:rsidRPr="00DE042E">
        <w:rPr>
          <w:noProof/>
        </w:rPr>
        <w:t xml:space="preserve">, </w:t>
      </w:r>
      <w:r w:rsidRPr="00DE042E">
        <w:rPr>
          <w:i/>
          <w:iCs/>
          <w:noProof/>
        </w:rPr>
        <w:t>59</w:t>
      </w:r>
      <w:r w:rsidRPr="00DE042E">
        <w:rPr>
          <w:noProof/>
        </w:rPr>
        <w:t>(6), 575–583. https://doi.org/10.1016/j.psym.2018.04.002</w:t>
      </w:r>
    </w:p>
    <w:p w14:paraId="19D41DC3"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Aranda-Paniora, F. (2017). Depresión y ansiedad en cuidadores primarios en el Instituto Nacional de Salud del Niño. </w:t>
      </w:r>
      <w:r w:rsidRPr="00DE042E">
        <w:rPr>
          <w:i/>
          <w:iCs/>
          <w:noProof/>
        </w:rPr>
        <w:t>Anales de La Facultad de Medicina</w:t>
      </w:r>
      <w:r w:rsidRPr="00DE042E">
        <w:rPr>
          <w:noProof/>
        </w:rPr>
        <w:t xml:space="preserve">, </w:t>
      </w:r>
      <w:r w:rsidRPr="00DE042E">
        <w:rPr>
          <w:i/>
          <w:iCs/>
          <w:noProof/>
        </w:rPr>
        <w:t>78</w:t>
      </w:r>
      <w:r w:rsidRPr="00DE042E">
        <w:rPr>
          <w:noProof/>
        </w:rPr>
        <w:t>(3), 277. https://doi.org/10.15381/anales.v78i3.13758</w:t>
      </w:r>
    </w:p>
    <w:p w14:paraId="79868BA4"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Arias-Reyes, C., Zubieta-DeUrioste, N., Poma-Machicao, L., Aliaga-Raduan, F., Carvajal-Rodriguez, F., Dutschmann, M., Schneider-Gasser, E. M., Zubieta-Calleja, G., &amp; Soliz, J. (2020). Does the pathogenesis of SARS-CoV-2 virus decrease at high-altitude? </w:t>
      </w:r>
      <w:r w:rsidRPr="00DE042E">
        <w:rPr>
          <w:i/>
          <w:iCs/>
          <w:noProof/>
        </w:rPr>
        <w:t>Respiratory Physiology and Neurobiology</w:t>
      </w:r>
      <w:r w:rsidRPr="00DE042E">
        <w:rPr>
          <w:noProof/>
        </w:rPr>
        <w:t xml:space="preserve">, </w:t>
      </w:r>
      <w:r w:rsidRPr="00DE042E">
        <w:rPr>
          <w:i/>
          <w:iCs/>
          <w:noProof/>
        </w:rPr>
        <w:t>277</w:t>
      </w:r>
      <w:r w:rsidRPr="00DE042E">
        <w:rPr>
          <w:noProof/>
        </w:rPr>
        <w:t>, 103443. https://doi.org/10.1016/j.resp.2020.103443</w:t>
      </w:r>
    </w:p>
    <w:p w14:paraId="39A80F8F"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Bulut, N., Serin, O., &amp; Özba, L. F. (2010). Predicting university students ’ life satisfaction by their anxiety and depression level. </w:t>
      </w:r>
      <w:r w:rsidRPr="00DE042E">
        <w:rPr>
          <w:i/>
          <w:iCs/>
          <w:noProof/>
        </w:rPr>
        <w:t>Procedia Social and Behavioral Sciences</w:t>
      </w:r>
      <w:r w:rsidRPr="00DE042E">
        <w:rPr>
          <w:noProof/>
        </w:rPr>
        <w:t xml:space="preserve">, </w:t>
      </w:r>
      <w:r w:rsidRPr="00DE042E">
        <w:rPr>
          <w:i/>
          <w:iCs/>
          <w:noProof/>
        </w:rPr>
        <w:t>9</w:t>
      </w:r>
      <w:r w:rsidRPr="00DE042E">
        <w:rPr>
          <w:noProof/>
        </w:rPr>
        <w:t>(2), 579–582. https://doi.org/10.1016/j.sbspro.2010.12.200</w:t>
      </w:r>
    </w:p>
    <w:p w14:paraId="7F69B9E3"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Cameron, E. E., Joyce, K. M., Delaquis, C. P., Reynolds, K., Protudjer, J. L. P., &amp; Roos, L. E. (2020). Maternal psychological distress &amp; mental health service use during the COVID-19 pandemic. </w:t>
      </w:r>
      <w:r w:rsidRPr="00DE042E">
        <w:rPr>
          <w:i/>
          <w:iCs/>
          <w:noProof/>
        </w:rPr>
        <w:t>Journal of Affective Disorders</w:t>
      </w:r>
      <w:r w:rsidRPr="00DE042E">
        <w:rPr>
          <w:noProof/>
        </w:rPr>
        <w:t xml:space="preserve">, </w:t>
      </w:r>
      <w:r w:rsidRPr="00DE042E">
        <w:rPr>
          <w:i/>
          <w:iCs/>
          <w:noProof/>
        </w:rPr>
        <w:t>276</w:t>
      </w:r>
      <w:r w:rsidRPr="00DE042E">
        <w:rPr>
          <w:noProof/>
        </w:rPr>
        <w:t>(May), 765–774. https://doi.org/10.1016/j.jad.2020.07.081</w:t>
      </w:r>
    </w:p>
    <w:p w14:paraId="160D2A9C"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Donthu, N., &amp; Gustafsson, A. (2020). Effects of COVID-19 on business and research. </w:t>
      </w:r>
      <w:r w:rsidRPr="00DE042E">
        <w:rPr>
          <w:i/>
          <w:iCs/>
          <w:noProof/>
        </w:rPr>
        <w:t>Journal of Business Research</w:t>
      </w:r>
      <w:r w:rsidRPr="00DE042E">
        <w:rPr>
          <w:noProof/>
        </w:rPr>
        <w:t xml:space="preserve">, </w:t>
      </w:r>
      <w:r w:rsidRPr="00DE042E">
        <w:rPr>
          <w:i/>
          <w:iCs/>
          <w:noProof/>
        </w:rPr>
        <w:t>117</w:t>
      </w:r>
      <w:r w:rsidRPr="00DE042E">
        <w:rPr>
          <w:noProof/>
        </w:rPr>
        <w:t>(June), 284–289. https://doi.org/10.1016/j.jbusres.2020.06.008</w:t>
      </w:r>
    </w:p>
    <w:p w14:paraId="122860F1"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Dryman, M. T., Gardner, S., Weeks, J. W., &amp; Heimberg, R. G. (2016). Social anxiety disorder and quality of life: How fears of negative and positive evaluation relate to specific domains of life satisfaction. </w:t>
      </w:r>
      <w:r w:rsidRPr="00DE042E">
        <w:rPr>
          <w:i/>
          <w:iCs/>
          <w:noProof/>
        </w:rPr>
        <w:t>Anxiety Disorders</w:t>
      </w:r>
      <w:r w:rsidRPr="00DE042E">
        <w:rPr>
          <w:noProof/>
        </w:rPr>
        <w:t xml:space="preserve">, </w:t>
      </w:r>
      <w:r w:rsidRPr="00DE042E">
        <w:rPr>
          <w:i/>
          <w:iCs/>
          <w:noProof/>
        </w:rPr>
        <w:t>38</w:t>
      </w:r>
      <w:r w:rsidRPr="00DE042E">
        <w:rPr>
          <w:noProof/>
        </w:rPr>
        <w:t>, 1–8. 10.1016 / j.janxdis.2015.12.003</w:t>
      </w:r>
    </w:p>
    <w:p w14:paraId="321BAEDB" w14:textId="59A307F8"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El Comercio. (2020). </w:t>
      </w:r>
      <w:r w:rsidRPr="00DE042E">
        <w:rPr>
          <w:i/>
          <w:iCs/>
          <w:noProof/>
        </w:rPr>
        <w:t>Puno: fallecidos por COVID-19 superan el centenar de casos en la región región</w:t>
      </w:r>
      <w:r w:rsidRPr="00DE042E">
        <w:rPr>
          <w:noProof/>
        </w:rPr>
        <w:t xml:space="preserve">. </w:t>
      </w:r>
      <w:r w:rsidR="00B043A9" w:rsidRPr="00DE042E">
        <w:rPr>
          <w:noProof/>
        </w:rPr>
        <w:t xml:space="preserve">Recuperado de: </w:t>
      </w:r>
      <w:r w:rsidRPr="00DE042E">
        <w:rPr>
          <w:noProof/>
        </w:rPr>
        <w:t>https://elcomercio.pe/peru/puno-fallecidos-por-covid-19-alcanza-los-100-casos-en-la-region-region-pandemia-coronavirus-covid-19-noticia/</w:t>
      </w:r>
    </w:p>
    <w:p w14:paraId="6B0FCEF7"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Eng, W., Coles, M. E., Heimberg, R. G., &amp; Safren, S. A. (2005). Domains of life satisfaction in social anxiety disorder : relation to symptoms and response to cognitive-behavioral therapy. </w:t>
      </w:r>
      <w:r w:rsidRPr="00DE042E">
        <w:rPr>
          <w:i/>
          <w:iCs/>
          <w:noProof/>
        </w:rPr>
        <w:t>Anxiety Disorders</w:t>
      </w:r>
      <w:r w:rsidRPr="00DE042E">
        <w:rPr>
          <w:noProof/>
        </w:rPr>
        <w:t xml:space="preserve">, </w:t>
      </w:r>
      <w:r w:rsidRPr="00DE042E">
        <w:rPr>
          <w:i/>
          <w:iCs/>
          <w:noProof/>
        </w:rPr>
        <w:t>19</w:t>
      </w:r>
      <w:r w:rsidRPr="00DE042E">
        <w:rPr>
          <w:noProof/>
        </w:rPr>
        <w:t>, 143–156. https://doi.org/10.1016/j.janxdis.2004.01.007</w:t>
      </w:r>
    </w:p>
    <w:p w14:paraId="5883B78A"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Fitzpatrick, K. M., Drawve, G., &amp; Harris, C. (2020). Facing New Fears During the COVID-19 </w:t>
      </w:r>
      <w:r w:rsidRPr="00DE042E">
        <w:rPr>
          <w:noProof/>
        </w:rPr>
        <w:lastRenderedPageBreak/>
        <w:t xml:space="preserve">Pandemic: The State of America’s Mental Health Kevin. </w:t>
      </w:r>
      <w:r w:rsidRPr="00DE042E">
        <w:rPr>
          <w:i/>
          <w:iCs/>
          <w:noProof/>
        </w:rPr>
        <w:t>Journal of Anxiety Disorders</w:t>
      </w:r>
      <w:r w:rsidRPr="00DE042E">
        <w:rPr>
          <w:noProof/>
        </w:rPr>
        <w:t>, 1–29. https://doi.org/10.1016/j.janxdis.2020.102291</w:t>
      </w:r>
    </w:p>
    <w:p w14:paraId="502512DB" w14:textId="54ED6EF9" w:rsidR="000C419F" w:rsidRPr="00DE042E" w:rsidRDefault="00B043A9" w:rsidP="009C6DEC">
      <w:pPr>
        <w:widowControl w:val="0"/>
        <w:autoSpaceDE w:val="0"/>
        <w:autoSpaceDN w:val="0"/>
        <w:adjustRightInd w:val="0"/>
        <w:spacing w:line="360" w:lineRule="auto"/>
        <w:ind w:left="709" w:hanging="709"/>
        <w:rPr>
          <w:noProof/>
        </w:rPr>
      </w:pPr>
      <w:r w:rsidRPr="00DE042E">
        <w:rPr>
          <w:noProof/>
        </w:rPr>
        <w:t>Garay, K. (2016</w:t>
      </w:r>
      <w:r w:rsidR="000C419F" w:rsidRPr="00DE042E">
        <w:rPr>
          <w:noProof/>
        </w:rPr>
        <w:t xml:space="preserve">). La depresión es el trastorno mental más común en Perú. </w:t>
      </w:r>
      <w:r w:rsidR="000C419F" w:rsidRPr="00DE042E">
        <w:rPr>
          <w:i/>
          <w:iCs/>
          <w:noProof/>
        </w:rPr>
        <w:t>El Peruano</w:t>
      </w:r>
      <w:r w:rsidR="000C419F" w:rsidRPr="00DE042E">
        <w:rPr>
          <w:noProof/>
        </w:rPr>
        <w:t xml:space="preserve">, 11. </w:t>
      </w:r>
      <w:r w:rsidRPr="00DE042E">
        <w:rPr>
          <w:noProof/>
        </w:rPr>
        <w:t xml:space="preserve">Recuperado de </w:t>
      </w:r>
      <w:r w:rsidR="000C419F" w:rsidRPr="00DE042E">
        <w:rPr>
          <w:noProof/>
        </w:rPr>
        <w:t>https://elperuano.pe/noticia-la-depresion-es-trastorno-mental-mas-comun-peru-41872.aspx</w:t>
      </w:r>
    </w:p>
    <w:p w14:paraId="395140B6"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Gómez-Restrepo, C., Rodríguez, M. N., Díaz, C. C., &amp; Tamayo, N. (2014). Depresión y satisfacción con la vida en personas mayores de 60 años en Bogotá: Encuesta de Salud, Bienestar y Envejecimiento (SABE). </w:t>
      </w:r>
      <w:r w:rsidRPr="00DE042E">
        <w:rPr>
          <w:i/>
          <w:iCs/>
          <w:noProof/>
        </w:rPr>
        <w:t>Revista Colombiana de Psiquiatría</w:t>
      </w:r>
      <w:r w:rsidRPr="00DE042E">
        <w:rPr>
          <w:noProof/>
        </w:rPr>
        <w:t>, 6–11. https://doi.org/10.1016/j.rcp.2013.11.008</w:t>
      </w:r>
    </w:p>
    <w:p w14:paraId="7D2C6832"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Guney, S., Kalafat, T., &amp; Boysan, M. (2010). Dimensions of mental health : life satisfaction, anxiety and depression: a preventive mental health study in Ankara University students population. </w:t>
      </w:r>
      <w:r w:rsidRPr="00DE042E">
        <w:rPr>
          <w:i/>
          <w:iCs/>
          <w:noProof/>
        </w:rPr>
        <w:t>Procedia Social and Behavioral Sciences</w:t>
      </w:r>
      <w:r w:rsidRPr="00DE042E">
        <w:rPr>
          <w:noProof/>
        </w:rPr>
        <w:t xml:space="preserve">, </w:t>
      </w:r>
      <w:r w:rsidRPr="00DE042E">
        <w:rPr>
          <w:i/>
          <w:iCs/>
          <w:noProof/>
        </w:rPr>
        <w:t>2</w:t>
      </w:r>
      <w:r w:rsidRPr="00DE042E">
        <w:rPr>
          <w:noProof/>
        </w:rPr>
        <w:t>(2), 1210–1213. https://doi.org/10.1016/j.sbspro.2010.03.174</w:t>
      </w:r>
    </w:p>
    <w:p w14:paraId="2BA63D74"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González, I., Collado, E., Torres, I., Quiroga, Z., Morán, C., &amp; Gómez, A. (2020). Efecto económico parcial de la covid-19 y sus resultados en Camagüey , Cuba Covid-19. </w:t>
      </w:r>
      <w:r w:rsidRPr="00DE042E">
        <w:rPr>
          <w:i/>
          <w:iCs/>
          <w:noProof/>
        </w:rPr>
        <w:t>Scielo</w:t>
      </w:r>
      <w:r w:rsidRPr="00DE042E">
        <w:rPr>
          <w:noProof/>
        </w:rPr>
        <w:t>, 1–22. https://preprints.scielo.org/index.php/scielo/preprint/view/961/1358</w:t>
      </w:r>
    </w:p>
    <w:p w14:paraId="23904536"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Gutiérrez, M., Galiana, L., Tomás, J. M., Sancho, P., &amp; Sanchís, E. (2014). La predicción de la satisfacción con la vida en personas mayores de Angola: El efecto moderador del género. </w:t>
      </w:r>
      <w:r w:rsidRPr="00DE042E">
        <w:rPr>
          <w:i/>
          <w:iCs/>
          <w:noProof/>
        </w:rPr>
        <w:t>Psychosocial Intervention</w:t>
      </w:r>
      <w:r w:rsidRPr="00DE042E">
        <w:rPr>
          <w:noProof/>
        </w:rPr>
        <w:t xml:space="preserve">, </w:t>
      </w:r>
      <w:r w:rsidRPr="00DE042E">
        <w:rPr>
          <w:i/>
          <w:iCs/>
          <w:noProof/>
        </w:rPr>
        <w:t>23</w:t>
      </w:r>
      <w:r w:rsidRPr="00DE042E">
        <w:rPr>
          <w:noProof/>
        </w:rPr>
        <w:t>(1), 17–23. https://doi.org/10.5093/in2014a2</w:t>
      </w:r>
    </w:p>
    <w:p w14:paraId="70BBF9B0" w14:textId="4DF98B7D"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Johnson, M. C., Saletti-Cuesta, L., &amp; Tumas, N. (2020). Emotions, concerns and reflections regarding the COVID-19 pandemic in argentina. </w:t>
      </w:r>
      <w:r w:rsidRPr="00DE042E">
        <w:rPr>
          <w:i/>
          <w:iCs/>
          <w:noProof/>
        </w:rPr>
        <w:t>Ciencia e Saude Coletiva</w:t>
      </w:r>
      <w:r w:rsidRPr="00DE042E">
        <w:rPr>
          <w:noProof/>
        </w:rPr>
        <w:t xml:space="preserve">, </w:t>
      </w:r>
      <w:r w:rsidRPr="00DE042E">
        <w:rPr>
          <w:i/>
          <w:iCs/>
          <w:noProof/>
        </w:rPr>
        <w:t>25</w:t>
      </w:r>
      <w:r w:rsidR="003C6B6A" w:rsidRPr="00DE042E">
        <w:rPr>
          <w:noProof/>
        </w:rPr>
        <w:t>(Supl. 1</w:t>
      </w:r>
      <w:r w:rsidRPr="00DE042E">
        <w:rPr>
          <w:noProof/>
        </w:rPr>
        <w:t>), 2447–2456. https://doi.org/10.1590/1413-81232020256.1.10472020</w:t>
      </w:r>
    </w:p>
    <w:p w14:paraId="7666C34E"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Kamberi, F., Jaho, J., Mechili, E. A., Sinaj, E., &amp; Skendo, H. (2020). Effect of covid-19 pandemic on mental health among Albanian people residing in the country and abroad – Implications for mental care. </w:t>
      </w:r>
      <w:r w:rsidRPr="00DE042E">
        <w:rPr>
          <w:i/>
          <w:iCs/>
          <w:noProof/>
        </w:rPr>
        <w:t>Archives of Psychiatric Nursing</w:t>
      </w:r>
      <w:r w:rsidRPr="00DE042E">
        <w:rPr>
          <w:noProof/>
        </w:rPr>
        <w:t>. https://doi.org/10.1016/j.apnu.2020.08.003</w:t>
      </w:r>
    </w:p>
    <w:p w14:paraId="5F5F769A"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Kroenke, K., Spitzer, R., &amp; Williams, J. (2003). The Patient Health Questionnaire-2: Validez de un evaluador de depresión de dos elementos. </w:t>
      </w:r>
      <w:r w:rsidRPr="00DE042E">
        <w:rPr>
          <w:i/>
          <w:noProof/>
        </w:rPr>
        <w:t>Medical Care, 41</w:t>
      </w:r>
      <w:r w:rsidRPr="00DE042E">
        <w:rPr>
          <w:noProof/>
        </w:rPr>
        <w:t>(11), 1284-1292. https://doi.org/10.1097/01.MLR.0000093487.78664.3C</w:t>
      </w:r>
    </w:p>
    <w:p w14:paraId="6C55E81B" w14:textId="79647F98"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La Tercera. (2020). </w:t>
      </w:r>
      <w:r w:rsidRPr="00DE042E">
        <w:rPr>
          <w:i/>
          <w:iCs/>
          <w:noProof/>
        </w:rPr>
        <w:t>Perú extiende estado de emergencia durante todo agosto y decreta cuarentena para 20 provincias</w:t>
      </w:r>
      <w:r w:rsidRPr="00DE042E">
        <w:rPr>
          <w:noProof/>
        </w:rPr>
        <w:t xml:space="preserve">. </w:t>
      </w:r>
      <w:r w:rsidR="007027F5" w:rsidRPr="00DE042E">
        <w:rPr>
          <w:noProof/>
        </w:rPr>
        <w:t xml:space="preserve">Recuperado de: </w:t>
      </w:r>
      <w:r w:rsidRPr="00DE042E">
        <w:rPr>
          <w:noProof/>
        </w:rPr>
        <w:lastRenderedPageBreak/>
        <w:t>https://www.latercera.com/mundo/noticia/peru-extiende-estado-de-emergencia-durante-todo-agosto-y-decreta-cuarentena-para-20-provincias/ZVSGNQFA5JEWXLLDD5RLD5LQAE/</w:t>
      </w:r>
    </w:p>
    <w:p w14:paraId="36B63ECF"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Lebel, C., Mackinnon, A., Bagshawe, M., Tomfohr-madsen, L., &amp; Giesbrecht, G. (2020). Elevated depression and anxiety symptoms among pregnant individuals during the COVID-19 pandemic. </w:t>
      </w:r>
      <w:r w:rsidRPr="00DE042E">
        <w:rPr>
          <w:i/>
          <w:iCs/>
          <w:noProof/>
        </w:rPr>
        <w:t>Journal of Affective Disorders</w:t>
      </w:r>
      <w:r w:rsidRPr="00DE042E">
        <w:rPr>
          <w:noProof/>
        </w:rPr>
        <w:t xml:space="preserve">, </w:t>
      </w:r>
      <w:r w:rsidRPr="00DE042E">
        <w:rPr>
          <w:i/>
          <w:iCs/>
          <w:noProof/>
        </w:rPr>
        <w:t>277</w:t>
      </w:r>
      <w:r w:rsidRPr="00DE042E">
        <w:rPr>
          <w:noProof/>
        </w:rPr>
        <w:t>, 5–13. https://doi.org/10.1016/j.jad.2020.07.126</w:t>
      </w:r>
    </w:p>
    <w:p w14:paraId="08944D5D"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Leis, P. R., &amp; Gallegos, R. F. (2017). Relación entre apoyo social, estrés, ansiedad y depresión durante el embarazo en una población mexicana. </w:t>
      </w:r>
      <w:r w:rsidRPr="00DE042E">
        <w:rPr>
          <w:i/>
          <w:iCs/>
          <w:noProof/>
        </w:rPr>
        <w:t>Ansiedad y Estrés</w:t>
      </w:r>
      <w:r w:rsidRPr="00DE042E">
        <w:rPr>
          <w:noProof/>
        </w:rPr>
        <w:t>. https://doi.org/10.1016/j.anyes.2018.03.003</w:t>
      </w:r>
    </w:p>
    <w:p w14:paraId="3C68AB2C"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Lima, D., Diaz, A., Rabelo, R., Da Cruz, I., Costa, S., Nigri, F., &amp; Neri, J. (2020). Covid-19 in the State of Ceará : behaviors and beliefs in the arrival of the pandemic. </w:t>
      </w:r>
      <w:r w:rsidRPr="00DE042E">
        <w:rPr>
          <w:i/>
          <w:iCs/>
          <w:noProof/>
        </w:rPr>
        <w:t>Ciencia e Saude Coletiva</w:t>
      </w:r>
      <w:r w:rsidRPr="00DE042E">
        <w:rPr>
          <w:noProof/>
        </w:rPr>
        <w:t xml:space="preserve">, </w:t>
      </w:r>
      <w:r w:rsidRPr="00DE042E">
        <w:rPr>
          <w:i/>
          <w:iCs/>
          <w:noProof/>
        </w:rPr>
        <w:t>25</w:t>
      </w:r>
      <w:r w:rsidRPr="00DE042E">
        <w:rPr>
          <w:noProof/>
        </w:rPr>
        <w:t>(5), 1575–1586. https://doi.org/10.1590/1413-81232020255.07192020</w:t>
      </w:r>
    </w:p>
    <w:p w14:paraId="167B8E47"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Liu, C. H., Zhang, E., Tin, G., Ba, W., Hyun, S., &amp; Chris, H. (2020). Factors associated with depression , anxiety , and PTSD symptomatology during the COVID-19 pandemic : Clinical implications for U . S . young adult mental health. </w:t>
      </w:r>
      <w:r w:rsidRPr="00DE042E">
        <w:rPr>
          <w:i/>
          <w:iCs/>
          <w:noProof/>
        </w:rPr>
        <w:t>Psychiatry Research</w:t>
      </w:r>
      <w:r w:rsidRPr="00DE042E">
        <w:rPr>
          <w:noProof/>
        </w:rPr>
        <w:t xml:space="preserve">, </w:t>
      </w:r>
      <w:r w:rsidRPr="00DE042E">
        <w:rPr>
          <w:i/>
          <w:iCs/>
          <w:noProof/>
        </w:rPr>
        <w:t>290</w:t>
      </w:r>
      <w:r w:rsidRPr="00DE042E">
        <w:rPr>
          <w:noProof/>
        </w:rPr>
        <w:t>. https://doi.org/10.1016/j.psychres.2020.113172</w:t>
      </w:r>
    </w:p>
    <w:p w14:paraId="1D0E04B9"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Liu, S., Liu, Y., &amp; Liu, Y. (2020). Somatic symptoms and concern regarding COVID-19 among Chinese college and primary school students : A cross-sectional survey. </w:t>
      </w:r>
      <w:r w:rsidRPr="00DE042E">
        <w:rPr>
          <w:i/>
          <w:iCs/>
          <w:noProof/>
        </w:rPr>
        <w:t>Psychiatry Research</w:t>
      </w:r>
      <w:r w:rsidRPr="00DE042E">
        <w:rPr>
          <w:noProof/>
        </w:rPr>
        <w:t xml:space="preserve">, </w:t>
      </w:r>
      <w:r w:rsidRPr="00DE042E">
        <w:rPr>
          <w:i/>
          <w:iCs/>
          <w:noProof/>
        </w:rPr>
        <w:t>289</w:t>
      </w:r>
      <w:r w:rsidRPr="00DE042E">
        <w:rPr>
          <w:noProof/>
        </w:rPr>
        <w:t>. https://doi.org/10.1016/j.psychres.2020.113070</w:t>
      </w:r>
    </w:p>
    <w:p w14:paraId="3DD7F942" w14:textId="038733F3"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MINSA. (2018). </w:t>
      </w:r>
      <w:r w:rsidRPr="00DE042E">
        <w:rPr>
          <w:i/>
          <w:iCs/>
          <w:noProof/>
        </w:rPr>
        <w:t>Perú 2018</w:t>
      </w:r>
      <w:r w:rsidRPr="00DE042E">
        <w:rPr>
          <w:noProof/>
        </w:rPr>
        <w:t xml:space="preserve">. </w:t>
      </w:r>
      <w:r w:rsidR="007027F5" w:rsidRPr="00DE042E">
        <w:rPr>
          <w:noProof/>
        </w:rPr>
        <w:t xml:space="preserve">Recuperado de: </w:t>
      </w:r>
      <w:r w:rsidRPr="00DE042E">
        <w:rPr>
          <w:noProof/>
        </w:rPr>
        <w:t>http://www.minsa.gob.pe</w:t>
      </w:r>
    </w:p>
    <w:p w14:paraId="218240D4" w14:textId="066ECD6C"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Mejia, C., Quispe-Sancho, A., Rodriguez-Alarcon, F., Ccasa-Valero, L., Ponce-Lopez, V., Sarela-Villanueva, E., MArticorena-Flores, R., Chamorro-Espinoza, S., Avalos-Reyes, M., &amp; Vera-Gonzales, J. (2020). Factores asociados al fatalismo ante la COVID-19 en 20 ciudades del Perú en marzo. </w:t>
      </w:r>
      <w:r w:rsidRPr="00DE042E">
        <w:rPr>
          <w:i/>
          <w:iCs/>
          <w:noProof/>
        </w:rPr>
        <w:t>Revista Habanera De Ciencias Medicas</w:t>
      </w:r>
      <w:r w:rsidRPr="00DE042E">
        <w:rPr>
          <w:noProof/>
        </w:rPr>
        <w:t xml:space="preserve">, </w:t>
      </w:r>
      <w:r w:rsidRPr="00DE042E">
        <w:rPr>
          <w:i/>
          <w:iCs/>
          <w:noProof/>
        </w:rPr>
        <w:t>6</w:t>
      </w:r>
      <w:r w:rsidRPr="00DE042E">
        <w:rPr>
          <w:noProof/>
        </w:rPr>
        <w:t>(5), 1–15.</w:t>
      </w:r>
    </w:p>
    <w:p w14:paraId="1CFDD56B"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Mojica-Crespo, R., &amp; Morales-Crespo, M. M. (2020). Pandemic COVID-19, the new health emergency of international concern: A review. </w:t>
      </w:r>
      <w:r w:rsidRPr="00DE042E">
        <w:rPr>
          <w:i/>
          <w:iCs/>
          <w:noProof/>
        </w:rPr>
        <w:t>Semergen</w:t>
      </w:r>
      <w:r w:rsidRPr="00DE042E">
        <w:rPr>
          <w:noProof/>
        </w:rPr>
        <w:t xml:space="preserve">, </w:t>
      </w:r>
      <w:r w:rsidRPr="00DE042E">
        <w:rPr>
          <w:i/>
          <w:iCs/>
          <w:noProof/>
        </w:rPr>
        <w:t>in press</w:t>
      </w:r>
      <w:r w:rsidRPr="00DE042E">
        <w:rPr>
          <w:noProof/>
        </w:rPr>
        <w:t>, 1–30. https://doi.org/10.1016/j.semerg.2020.05.010</w:t>
      </w:r>
    </w:p>
    <w:p w14:paraId="50F11986"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Murillo, F. J., &amp; Duk, C. (2020). El Covid-19 y las Brechas Educativas. </w:t>
      </w:r>
      <w:r w:rsidRPr="00DE042E">
        <w:rPr>
          <w:i/>
          <w:iCs/>
          <w:noProof/>
        </w:rPr>
        <w:t>Revista Latinoamericana de Educación Inclusiva</w:t>
      </w:r>
      <w:r w:rsidRPr="00DE042E">
        <w:rPr>
          <w:noProof/>
        </w:rPr>
        <w:t xml:space="preserve">, </w:t>
      </w:r>
      <w:r w:rsidRPr="00DE042E">
        <w:rPr>
          <w:i/>
          <w:iCs/>
          <w:noProof/>
        </w:rPr>
        <w:t>14</w:t>
      </w:r>
      <w:r w:rsidRPr="00DE042E">
        <w:rPr>
          <w:noProof/>
        </w:rPr>
        <w:t>(1), 11–13. https://doi.org/10.4067/s0718-73782020000100011</w:t>
      </w:r>
    </w:p>
    <w:p w14:paraId="4C6D1799"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lastRenderedPageBreak/>
        <w:t xml:space="preserve">Moreno, C., Wykes, T., Galderisi, S., Nordentoft, M., Crossley, N., Jones, N., Cannon, M., Correll, C. U., Byrne, L., Carr, S., Chen, E. Y. H., Gorwood, P., Johnson, S., Kärkkäinen, H., Krystal, J. H., Lee, J., Lieberman, J., &amp; López-jaramillo, C. (2020). How mental health care should change as a consequence of the COVID-19 pandemic. </w:t>
      </w:r>
      <w:r w:rsidRPr="00DE042E">
        <w:rPr>
          <w:i/>
          <w:iCs/>
          <w:noProof/>
        </w:rPr>
        <w:t>The Lancet Psychiatry</w:t>
      </w:r>
      <w:r w:rsidRPr="00DE042E">
        <w:rPr>
          <w:noProof/>
        </w:rPr>
        <w:t xml:space="preserve">, </w:t>
      </w:r>
      <w:r w:rsidRPr="00DE042E">
        <w:rPr>
          <w:i/>
          <w:iCs/>
          <w:noProof/>
        </w:rPr>
        <w:t>366</w:t>
      </w:r>
      <w:r w:rsidRPr="00DE042E">
        <w:rPr>
          <w:noProof/>
        </w:rPr>
        <w:t>(20), 1–6. https://doi.org/10.1016/S2215-0366(20)30307-2</w:t>
      </w:r>
    </w:p>
    <w:p w14:paraId="102F3455"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Mowbray, H. (2020). In Beijing , coronavirus 2019-nCoV has created a siege. </w:t>
      </w:r>
      <w:r w:rsidRPr="00DE042E">
        <w:rPr>
          <w:i/>
          <w:iCs/>
          <w:noProof/>
        </w:rPr>
        <w:t>BMJ</w:t>
      </w:r>
      <w:r w:rsidRPr="00DE042E">
        <w:rPr>
          <w:noProof/>
        </w:rPr>
        <w:t xml:space="preserve">, </w:t>
      </w:r>
      <w:r w:rsidRPr="00DE042E">
        <w:rPr>
          <w:i/>
          <w:iCs/>
          <w:noProof/>
        </w:rPr>
        <w:t>516</w:t>
      </w:r>
      <w:r w:rsidRPr="00DE042E">
        <w:rPr>
          <w:noProof/>
        </w:rPr>
        <w:t>, 1–2. https://doi.org/10.1136/bmj.m516</w:t>
      </w:r>
    </w:p>
    <w:p w14:paraId="7DF75BFE"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Nes, R. B., Czajkowski, N. O., Røysamb, E., Ørstavik, R. E., Tambs, K., &amp; Reichborn-kjennerud, T. (2013). Major depression and life satisfaction : A population-based twin study. </w:t>
      </w:r>
      <w:r w:rsidRPr="00DE042E">
        <w:rPr>
          <w:i/>
          <w:iCs/>
          <w:noProof/>
        </w:rPr>
        <w:t>Journal of Affective Disorders</w:t>
      </w:r>
      <w:r w:rsidRPr="00DE042E">
        <w:rPr>
          <w:noProof/>
        </w:rPr>
        <w:t xml:space="preserve">, </w:t>
      </w:r>
      <w:r w:rsidRPr="00DE042E">
        <w:rPr>
          <w:i/>
          <w:iCs/>
          <w:noProof/>
        </w:rPr>
        <w:t>144</w:t>
      </w:r>
      <w:r w:rsidRPr="00DE042E">
        <w:rPr>
          <w:noProof/>
        </w:rPr>
        <w:t>(1–2), 51–58. https://doi.org/10.1016/j.jad.2012.05.060</w:t>
      </w:r>
    </w:p>
    <w:p w14:paraId="15912B8B"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Norris, F., Friedman, M., &amp; Watson, P. (2002). 60 , 000 Disaster Victims Speak : Part II . Summary and Implications of the Disaster Mental Health Research. </w:t>
      </w:r>
      <w:r w:rsidRPr="00DE042E">
        <w:rPr>
          <w:i/>
          <w:iCs/>
          <w:noProof/>
        </w:rPr>
        <w:t>Psychiatry</w:t>
      </w:r>
      <w:r w:rsidRPr="00DE042E">
        <w:rPr>
          <w:noProof/>
        </w:rPr>
        <w:t xml:space="preserve">, </w:t>
      </w:r>
      <w:r w:rsidRPr="00DE042E">
        <w:rPr>
          <w:i/>
          <w:iCs/>
          <w:noProof/>
        </w:rPr>
        <w:t>65</w:t>
      </w:r>
      <w:r w:rsidRPr="00DE042E">
        <w:rPr>
          <w:noProof/>
        </w:rPr>
        <w:t>(3), 240–260. 10.1521 / psyc.65.3.240.20169</w:t>
      </w:r>
    </w:p>
    <w:p w14:paraId="7D40282B"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Oladipo, S. E., Adenaike, F. A., Adejumo, A. O., &amp; Ojewumi, K. O. (2013). Psychological Predictors of Life Satisfaction Among Undergraduates. </w:t>
      </w:r>
      <w:r w:rsidRPr="00DE042E">
        <w:rPr>
          <w:i/>
          <w:iCs/>
          <w:noProof/>
        </w:rPr>
        <w:t>Procedia - Social and Behavioral Sciences</w:t>
      </w:r>
      <w:r w:rsidRPr="00DE042E">
        <w:rPr>
          <w:noProof/>
        </w:rPr>
        <w:t xml:space="preserve">, </w:t>
      </w:r>
      <w:r w:rsidRPr="00DE042E">
        <w:rPr>
          <w:i/>
          <w:iCs/>
          <w:noProof/>
        </w:rPr>
        <w:t>82</w:t>
      </w:r>
      <w:r w:rsidRPr="00DE042E">
        <w:rPr>
          <w:noProof/>
        </w:rPr>
        <w:t>, 292–297. https://doi.org/10.1016/j.sbspro.2013.06.263</w:t>
      </w:r>
    </w:p>
    <w:p w14:paraId="2151EE10"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Pakenham, K. I., Landi, G., Boccolini, G., Furlani, A., Grandi, S., &amp; Tossani, E. (2020). The moderating roles of psychological flexibility and inflexibility on the mental health impacts of COVID-19 pandemic and lockdown in Italy. </w:t>
      </w:r>
      <w:r w:rsidRPr="00DE042E">
        <w:rPr>
          <w:i/>
          <w:iCs/>
          <w:noProof/>
        </w:rPr>
        <w:t>Journal of Contextual Behavioral Science</w:t>
      </w:r>
      <w:r w:rsidRPr="00DE042E">
        <w:rPr>
          <w:noProof/>
        </w:rPr>
        <w:t xml:space="preserve">, </w:t>
      </w:r>
      <w:r w:rsidRPr="00DE042E">
        <w:rPr>
          <w:i/>
          <w:iCs/>
          <w:noProof/>
        </w:rPr>
        <w:t>17</w:t>
      </w:r>
      <w:r w:rsidRPr="00DE042E">
        <w:rPr>
          <w:noProof/>
        </w:rPr>
        <w:t>(May), 109–118. https://doi.org/10.1016/j.jcbs.2020.07.003</w:t>
      </w:r>
    </w:p>
    <w:p w14:paraId="5F2699C7"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Pappa, S., Ntella, V., Giannakas, T., Giannakoulis, V. G., Papoutsi, E., &amp; Katsaounou, P. (2020). Prevalence of depression , anxiety , and insomnia among healthcare workers during the COVID-19 pandemic : A systematic review and meta-analysis. </w:t>
      </w:r>
      <w:r w:rsidRPr="00DE042E">
        <w:rPr>
          <w:i/>
          <w:iCs/>
          <w:noProof/>
        </w:rPr>
        <w:t>Brain Behavior and Immunity</w:t>
      </w:r>
      <w:r w:rsidRPr="00DE042E">
        <w:rPr>
          <w:noProof/>
        </w:rPr>
        <w:t xml:space="preserve">, </w:t>
      </w:r>
      <w:r w:rsidRPr="00DE042E">
        <w:rPr>
          <w:i/>
          <w:iCs/>
          <w:noProof/>
        </w:rPr>
        <w:t>88</w:t>
      </w:r>
      <w:r w:rsidRPr="00DE042E">
        <w:rPr>
          <w:noProof/>
        </w:rPr>
        <w:t>, 901–907. https://doi.org/10.1016/j.bbi.2020.05.026</w:t>
      </w:r>
    </w:p>
    <w:p w14:paraId="66E64972"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Pavot, W., &amp; Diener, E. (1993). The Satisfaction With Life Scale. </w:t>
      </w:r>
      <w:r w:rsidRPr="00DE042E">
        <w:rPr>
          <w:i/>
          <w:iCs/>
          <w:noProof/>
        </w:rPr>
        <w:t>Psychological Assessment</w:t>
      </w:r>
      <w:r w:rsidRPr="00DE042E">
        <w:rPr>
          <w:noProof/>
        </w:rPr>
        <w:t xml:space="preserve">, </w:t>
      </w:r>
      <w:r w:rsidRPr="00DE042E">
        <w:rPr>
          <w:i/>
          <w:iCs/>
          <w:noProof/>
        </w:rPr>
        <w:t>5</w:t>
      </w:r>
      <w:r w:rsidRPr="00DE042E">
        <w:rPr>
          <w:noProof/>
        </w:rPr>
        <w:t>(2), 164–172. https://doi.org/10.1207/s15327752jpa4901</w:t>
      </w:r>
    </w:p>
    <w:p w14:paraId="2B9C98AB"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Perales, A., Chue, H., Padilla, A., &amp; Barahona, L. (2014). Estrés, ansiedad y depresión en magistrados de Lima, Perú. </w:t>
      </w:r>
      <w:r w:rsidRPr="00DE042E">
        <w:rPr>
          <w:i/>
          <w:iCs/>
          <w:noProof/>
        </w:rPr>
        <w:t>Revista Peruana de Medicina Experimental y Salud Pública</w:t>
      </w:r>
      <w:r w:rsidRPr="00DE042E">
        <w:rPr>
          <w:noProof/>
        </w:rPr>
        <w:t xml:space="preserve">, </w:t>
      </w:r>
      <w:r w:rsidRPr="00DE042E">
        <w:rPr>
          <w:i/>
          <w:iCs/>
          <w:noProof/>
        </w:rPr>
        <w:t>28</w:t>
      </w:r>
      <w:r w:rsidRPr="00DE042E">
        <w:rPr>
          <w:noProof/>
        </w:rPr>
        <w:t>(4), 7–12. https://doi.org/10.17843/rpmesp.2011.284.419</w:t>
      </w:r>
    </w:p>
    <w:p w14:paraId="3199B46F"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Pouralizadeh, M., Bostani, Z., Maroufizadeh, S., Ghanbari, A., Khoshbakht, M., Alavi, S. A., &amp; </w:t>
      </w:r>
      <w:r w:rsidRPr="00DE042E">
        <w:rPr>
          <w:noProof/>
        </w:rPr>
        <w:lastRenderedPageBreak/>
        <w:t xml:space="preserve">Ashrafi, S. (2020). Anxiety and Depression and the Related Factors in Nurses of Guilan Univer‐ sity of Medical Sciences Hospitals During COVID-19: A Web-based Cross- Sectional Study. </w:t>
      </w:r>
      <w:r w:rsidRPr="00DE042E">
        <w:rPr>
          <w:i/>
          <w:iCs/>
          <w:noProof/>
        </w:rPr>
        <w:t>International Journal of Africa Nursing Sciences</w:t>
      </w:r>
      <w:r w:rsidRPr="00DE042E">
        <w:rPr>
          <w:noProof/>
        </w:rPr>
        <w:t>, 100233. https://doi.org/10.1016/j.ijans.2020.100233</w:t>
      </w:r>
    </w:p>
    <w:p w14:paraId="70ABD7C5"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Ran, L., Wang, W., Ai, M., Kong, Y., Chen, J., &amp; Kuang, L. (2020). Psychological resilience , depression , anxiety , and somatization symptoms in response to COVID-19 : A study of the general population in China at the peak of its epidemic. </w:t>
      </w:r>
      <w:r w:rsidRPr="00DE042E">
        <w:rPr>
          <w:i/>
          <w:iCs/>
          <w:noProof/>
        </w:rPr>
        <w:t>Social Science &amp; Medicine</w:t>
      </w:r>
      <w:r w:rsidRPr="00DE042E">
        <w:rPr>
          <w:noProof/>
        </w:rPr>
        <w:t xml:space="preserve">, </w:t>
      </w:r>
      <w:r w:rsidRPr="00DE042E">
        <w:rPr>
          <w:i/>
          <w:iCs/>
          <w:noProof/>
        </w:rPr>
        <w:t>262</w:t>
      </w:r>
      <w:r w:rsidRPr="00DE042E">
        <w:rPr>
          <w:noProof/>
        </w:rPr>
        <w:t>. https://doi.org/10.1016/j.socscimed.2020.113261</w:t>
      </w:r>
    </w:p>
    <w:p w14:paraId="0B818B6B"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Ruiz, P., Morales-Garcia, W., White, M., &amp; Marquez-Ruiz, M. (2020). Propiedades de una escala de preocupación por el COVID-19: Análisis exploratorio en una muestra peruana. </w:t>
      </w:r>
      <w:r w:rsidRPr="00DE042E">
        <w:rPr>
          <w:i/>
          <w:iCs/>
          <w:noProof/>
        </w:rPr>
        <w:t>Medicina Clinica</w:t>
      </w:r>
      <w:r w:rsidRPr="00DE042E">
        <w:rPr>
          <w:noProof/>
        </w:rPr>
        <w:t xml:space="preserve">, </w:t>
      </w:r>
      <w:r w:rsidRPr="00DE042E">
        <w:rPr>
          <w:i/>
          <w:iCs/>
          <w:noProof/>
        </w:rPr>
        <w:t>In press</w:t>
      </w:r>
      <w:r w:rsidRPr="00DE042E">
        <w:rPr>
          <w:noProof/>
        </w:rPr>
        <w:t>, 1–7. https://doi.org/10.1016/j.medcli.2020.06.022</w:t>
      </w:r>
    </w:p>
    <w:p w14:paraId="03CE3C40"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Caycho-Rodriguez, T., Ventura-León, J., Garcia,. C., Barboza-Palomino, M., Dominguez-Vergara, J., Azabache-Alvarado, K., Cabrera-Orosco, I., &amp; Samaniego, A. (2018). Evidencia psicométrica de la escala de satisfacción con la vida de Diener en ancianos peruanos. </w:t>
      </w:r>
      <w:r w:rsidRPr="00DE042E">
        <w:rPr>
          <w:i/>
          <w:noProof/>
        </w:rPr>
        <w:t>Revista Ciencias de la Salud, 16</w:t>
      </w:r>
      <w:r w:rsidRPr="00DE042E">
        <w:rPr>
          <w:noProof/>
        </w:rPr>
        <w:t>(3), 473-491. https://doi.org/10.12804/revistas.urosario.edu.co/revsalud/a.7267</w:t>
      </w:r>
    </w:p>
    <w:p w14:paraId="19EA1574"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Sánchez, M. S., Figueroa, C. G., Cacho, B., &amp; Robles, R. (2016). Relación entre síntomas autonómicos con niveles de ansiedad y depresión en mujeres con cáncer de mama. </w:t>
      </w:r>
      <w:r w:rsidRPr="00DE042E">
        <w:rPr>
          <w:i/>
          <w:iCs/>
          <w:noProof/>
        </w:rPr>
        <w:t>Claves Del Pensamiento</w:t>
      </w:r>
      <w:r w:rsidRPr="00DE042E">
        <w:rPr>
          <w:noProof/>
        </w:rPr>
        <w:t xml:space="preserve">, </w:t>
      </w:r>
      <w:r w:rsidRPr="00DE042E">
        <w:rPr>
          <w:i/>
          <w:iCs/>
          <w:noProof/>
        </w:rPr>
        <w:t>10</w:t>
      </w:r>
      <w:r w:rsidRPr="00DE042E">
        <w:rPr>
          <w:noProof/>
        </w:rPr>
        <w:t>(19), 145–162. http://www.scielo.org.mx/pdf/enclav/v10n19/1870-879X-enclav-10-19-00145.pdf</w:t>
      </w:r>
    </w:p>
    <w:p w14:paraId="4445D171"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Satici, B., Gocet-Tekin, E., Deniz, M. E., &amp; Satici, S. A. (2020). Adaptation of the Fear of COVID-19 Scale : Its Association with Psychological Distress and Life Satisfaction in Turkey. </w:t>
      </w:r>
      <w:r w:rsidRPr="00DE042E">
        <w:rPr>
          <w:i/>
          <w:iCs/>
          <w:noProof/>
        </w:rPr>
        <w:t>International Journal of Mental Health and Addiction</w:t>
      </w:r>
      <w:r w:rsidRPr="00DE042E">
        <w:rPr>
          <w:noProof/>
        </w:rPr>
        <w:t>, 1–9. https://doi.org/10.1007/s11469-020-00294-0</w:t>
      </w:r>
    </w:p>
    <w:p w14:paraId="4580AEC6"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Steverink, N., &amp; Lindenberg, S. (2006). Which Social Needs Are Important for Subjective Well-Being ? What Happens to Them With Aging ? </w:t>
      </w:r>
      <w:r w:rsidRPr="00DE042E">
        <w:rPr>
          <w:i/>
          <w:iCs/>
          <w:noProof/>
        </w:rPr>
        <w:t>Psychology and Aging</w:t>
      </w:r>
      <w:r w:rsidRPr="00DE042E">
        <w:rPr>
          <w:noProof/>
        </w:rPr>
        <w:t xml:space="preserve">, </w:t>
      </w:r>
      <w:r w:rsidRPr="00DE042E">
        <w:rPr>
          <w:i/>
          <w:iCs/>
          <w:noProof/>
        </w:rPr>
        <w:t>21</w:t>
      </w:r>
      <w:r w:rsidRPr="00DE042E">
        <w:rPr>
          <w:noProof/>
        </w:rPr>
        <w:t>(2), 281–290. https://doi.org/10.1037/0882-7974.21.2.281</w:t>
      </w:r>
    </w:p>
    <w:p w14:paraId="74BDA9C8"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Tanoue, Y., Nomura, S., Yoneoka, D., &amp; Kawashima, T. (2020). Mental health of family , friends , and co-workers of COVID-19 patients in Japan. </w:t>
      </w:r>
      <w:r w:rsidRPr="00DE042E">
        <w:rPr>
          <w:i/>
          <w:iCs/>
          <w:noProof/>
        </w:rPr>
        <w:t>Psychiatry Research</w:t>
      </w:r>
      <w:r w:rsidRPr="00DE042E">
        <w:rPr>
          <w:noProof/>
        </w:rPr>
        <w:t xml:space="preserve">, </w:t>
      </w:r>
      <w:r w:rsidRPr="00DE042E">
        <w:rPr>
          <w:i/>
          <w:iCs/>
          <w:noProof/>
        </w:rPr>
        <w:t>291</w:t>
      </w:r>
      <w:r w:rsidRPr="00DE042E">
        <w:rPr>
          <w:noProof/>
        </w:rPr>
        <w:t>(May), 113067. https://doi.org/10.1016/j.psychres.2020.113067</w:t>
      </w:r>
    </w:p>
    <w:p w14:paraId="2B276547"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Torales, J., O’Higgins, M., Castaldelli-Maia, J. M., &amp; Ventriglio, A. (2020). The outbreak of </w:t>
      </w:r>
      <w:r w:rsidRPr="00DE042E">
        <w:rPr>
          <w:noProof/>
        </w:rPr>
        <w:lastRenderedPageBreak/>
        <w:t xml:space="preserve">COVID-19 coronavirus and its impact on global mental health. </w:t>
      </w:r>
      <w:r w:rsidRPr="00DE042E">
        <w:rPr>
          <w:i/>
          <w:iCs/>
          <w:noProof/>
        </w:rPr>
        <w:t>International Journal of Social Psychiatry</w:t>
      </w:r>
      <w:r w:rsidRPr="00DE042E">
        <w:rPr>
          <w:noProof/>
        </w:rPr>
        <w:t xml:space="preserve">, </w:t>
      </w:r>
      <w:r w:rsidRPr="00DE042E">
        <w:rPr>
          <w:i/>
          <w:iCs/>
          <w:noProof/>
        </w:rPr>
        <w:t>66</w:t>
      </w:r>
      <w:r w:rsidRPr="00DE042E">
        <w:rPr>
          <w:noProof/>
        </w:rPr>
        <w:t>(4), 317–320. https://doi.org/10.1177/0020764020915212</w:t>
      </w:r>
    </w:p>
    <w:p w14:paraId="216525F1"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Trzebiński, J., Cabański, M., &amp; Czarnecka, J. Z. (2020). Reaction to the COVID-19 Pandemic: The Influence of Meaning in Life, Life Satisfaction, and Assumptions on World Orderliness and Positivity. </w:t>
      </w:r>
      <w:r w:rsidRPr="00DE042E">
        <w:rPr>
          <w:i/>
          <w:iCs/>
          <w:noProof/>
        </w:rPr>
        <w:t>Journal of Loss and Trauma</w:t>
      </w:r>
      <w:r w:rsidRPr="00DE042E">
        <w:rPr>
          <w:noProof/>
        </w:rPr>
        <w:t xml:space="preserve">, </w:t>
      </w:r>
      <w:r w:rsidRPr="00DE042E">
        <w:rPr>
          <w:i/>
          <w:iCs/>
          <w:noProof/>
        </w:rPr>
        <w:t>0</w:t>
      </w:r>
      <w:r w:rsidRPr="00DE042E">
        <w:rPr>
          <w:noProof/>
        </w:rPr>
        <w:t>(0), 1–14. https://doi.org/10.1080/15325024.2020.1765098</w:t>
      </w:r>
    </w:p>
    <w:p w14:paraId="406D5D87"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Urzúa, A., Vera-Villarroel, P., Caqueo-Urízar, A., &amp; Polanco-Carrasco, R. (2020). La Psicología en la prevención y manejo del COVID-19. Aportes desde la evidencia inicial. </w:t>
      </w:r>
      <w:r w:rsidRPr="00DE042E">
        <w:rPr>
          <w:i/>
          <w:iCs/>
          <w:noProof/>
        </w:rPr>
        <w:t>Terapia Psicológica</w:t>
      </w:r>
      <w:r w:rsidRPr="00DE042E">
        <w:rPr>
          <w:noProof/>
        </w:rPr>
        <w:t xml:space="preserve">, </w:t>
      </w:r>
      <w:r w:rsidRPr="00DE042E">
        <w:rPr>
          <w:i/>
          <w:iCs/>
          <w:noProof/>
        </w:rPr>
        <w:t>38</w:t>
      </w:r>
      <w:r w:rsidRPr="00DE042E">
        <w:rPr>
          <w:noProof/>
        </w:rPr>
        <w:t>(1), 103–118. https://doi.org/10.4067/s0718-48082020000100103</w:t>
      </w:r>
    </w:p>
    <w:p w14:paraId="3EA9C8C1" w14:textId="77777777" w:rsidR="000C419F" w:rsidRPr="00DE042E" w:rsidRDefault="000C419F" w:rsidP="009C6DEC">
      <w:pPr>
        <w:widowControl w:val="0"/>
        <w:autoSpaceDE w:val="0"/>
        <w:autoSpaceDN w:val="0"/>
        <w:adjustRightInd w:val="0"/>
        <w:spacing w:line="360" w:lineRule="auto"/>
        <w:ind w:left="709" w:hanging="709"/>
      </w:pPr>
      <w:r w:rsidRPr="00DE042E">
        <w:rPr>
          <w:noProof/>
        </w:rPr>
        <w:t xml:space="preserve">Vindegaard, N., &amp; Benros, M. E. (2020). Brain , Behavior , and Immunity COVID-19 pandemic and mental health consequences : Systematic review of the current evidence. </w:t>
      </w:r>
      <w:r w:rsidRPr="00DE042E">
        <w:rPr>
          <w:i/>
          <w:iCs/>
          <w:noProof/>
        </w:rPr>
        <w:t>Brain Behavior and Immunity</w:t>
      </w:r>
      <w:r w:rsidRPr="00DE042E">
        <w:rPr>
          <w:noProof/>
        </w:rPr>
        <w:t xml:space="preserve">, </w:t>
      </w:r>
      <w:r w:rsidRPr="00DE042E">
        <w:rPr>
          <w:i/>
          <w:iCs/>
          <w:noProof/>
        </w:rPr>
        <w:t>y</w:t>
      </w:r>
      <w:r w:rsidRPr="00DE042E">
        <w:rPr>
          <w:noProof/>
        </w:rPr>
        <w:t>, 1–12. https://doi.org/10.1016/j.bbi.2020.05.048</w:t>
      </w:r>
      <w:r w:rsidRPr="00DE042E">
        <w:fldChar w:fldCharType="end"/>
      </w:r>
    </w:p>
    <w:p w14:paraId="12875D3F" w14:textId="77777777" w:rsidR="000C419F" w:rsidRPr="00DE042E" w:rsidRDefault="000C419F" w:rsidP="009C6DEC">
      <w:pPr>
        <w:widowControl w:val="0"/>
        <w:autoSpaceDE w:val="0"/>
        <w:autoSpaceDN w:val="0"/>
        <w:adjustRightInd w:val="0"/>
        <w:spacing w:line="360" w:lineRule="auto"/>
        <w:ind w:left="709" w:hanging="709"/>
        <w:rPr>
          <w:noProof/>
        </w:rPr>
      </w:pPr>
      <w:r w:rsidRPr="00DE042E">
        <w:rPr>
          <w:noProof/>
        </w:rPr>
        <w:t xml:space="preserve">Zhang, S. X., Wang, Y., Rauch, A., &amp; Wei, F. (2020). Unprecedented disruption of lives and work: Health , distress and life satisfaction of working adults in China one month into the COVID-19 outbreak. </w:t>
      </w:r>
      <w:r w:rsidRPr="00DE042E">
        <w:rPr>
          <w:i/>
          <w:iCs/>
          <w:noProof/>
        </w:rPr>
        <w:t>Psychiatry Research</w:t>
      </w:r>
      <w:r w:rsidRPr="00DE042E">
        <w:rPr>
          <w:noProof/>
        </w:rPr>
        <w:t xml:space="preserve">, </w:t>
      </w:r>
      <w:r w:rsidRPr="00DE042E">
        <w:rPr>
          <w:i/>
          <w:iCs/>
          <w:noProof/>
        </w:rPr>
        <w:t>288</w:t>
      </w:r>
      <w:r w:rsidRPr="00DE042E">
        <w:rPr>
          <w:noProof/>
        </w:rPr>
        <w:t>, 112958. https://doi.org/10.1016/j.psychres.2020.112958</w:t>
      </w:r>
    </w:p>
    <w:sectPr w:rsidR="000C419F" w:rsidRPr="00DE042E"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6471" w14:textId="77777777" w:rsidR="003F0C56" w:rsidRDefault="003F0C56" w:rsidP="00C413D4">
      <w:r>
        <w:separator/>
      </w:r>
    </w:p>
  </w:endnote>
  <w:endnote w:type="continuationSeparator" w:id="0">
    <w:p w14:paraId="193F2346" w14:textId="77777777" w:rsidR="003F0C56" w:rsidRDefault="003F0C5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CA1A3E8" w:rsidR="00FA0F87" w:rsidRDefault="00FA0F87"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325AE">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FA0F87" w:rsidRDefault="00FA0F8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5D78D0E5" w:rsidR="00FA0F87" w:rsidRDefault="00FA0F8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325AE">
          <w:rPr>
            <w:rStyle w:val="Nmerodepgina"/>
            <w:rFonts w:ascii="Times" w:hAnsi="Times"/>
            <w:noProof/>
            <w:sz w:val="16"/>
            <w:szCs w:val="16"/>
          </w:rPr>
          <w:t>3</w:t>
        </w:r>
        <w:r w:rsidRPr="007F5913">
          <w:rPr>
            <w:rStyle w:val="Nmerodepgina"/>
            <w:rFonts w:ascii="Times" w:hAnsi="Times"/>
            <w:sz w:val="16"/>
            <w:szCs w:val="16"/>
          </w:rPr>
          <w:fldChar w:fldCharType="end"/>
        </w:r>
      </w:p>
    </w:sdtContent>
  </w:sdt>
  <w:p w14:paraId="4E421D5C" w14:textId="77777777" w:rsidR="00FA0F87" w:rsidRDefault="00FA0F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722E0" w14:textId="77777777" w:rsidR="003F0C56" w:rsidRDefault="003F0C56" w:rsidP="00C413D4">
      <w:r>
        <w:separator/>
      </w:r>
    </w:p>
  </w:footnote>
  <w:footnote w:type="continuationSeparator" w:id="0">
    <w:p w14:paraId="2882D385" w14:textId="77777777" w:rsidR="003F0C56" w:rsidRDefault="003F0C56"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FA0F87" w:rsidRPr="00B02133" w:rsidRDefault="00FA0F87"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FA0F87" w:rsidRDefault="00FA0F87" w:rsidP="00C413D4">
    <w:pPr>
      <w:pStyle w:val="Encabezado"/>
      <w:jc w:val="right"/>
      <w:rPr>
        <w:rFonts w:ascii="Times" w:hAnsi="Times"/>
        <w:i/>
        <w:sz w:val="18"/>
        <w:szCs w:val="18"/>
        <w:lang w:val="es-ES"/>
      </w:rPr>
    </w:pPr>
    <w:r>
      <w:rPr>
        <w:noProof/>
        <w:lang w:val="es-PE" w:eastAsia="es-PE"/>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FA0F87" w:rsidRDefault="00FA0F87" w:rsidP="00977250">
    <w:pPr>
      <w:pStyle w:val="Encabezad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03485D"/>
    <w:multiLevelType w:val="hybridMultilevel"/>
    <w:tmpl w:val="440A7EE2"/>
    <w:lvl w:ilvl="0" w:tplc="67F6BC1E">
      <w:start w:val="1"/>
      <w:numFmt w:val="bullet"/>
      <w:lvlText w:val="-"/>
      <w:lvlJc w:val="left"/>
      <w:pPr>
        <w:ind w:left="720" w:hanging="360"/>
      </w:pPr>
      <w:rPr>
        <w:rFonts w:ascii="Arial" w:eastAsiaTheme="minorHAns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1"/>
  </w:num>
  <w:num w:numId="12">
    <w:abstractNumId w:val="12"/>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25CB2"/>
    <w:rsid w:val="000365CA"/>
    <w:rsid w:val="00076F0A"/>
    <w:rsid w:val="000A7F5D"/>
    <w:rsid w:val="000B4672"/>
    <w:rsid w:val="000B5D4C"/>
    <w:rsid w:val="000C419F"/>
    <w:rsid w:val="001253E7"/>
    <w:rsid w:val="00127870"/>
    <w:rsid w:val="00144620"/>
    <w:rsid w:val="001516ED"/>
    <w:rsid w:val="00153DC5"/>
    <w:rsid w:val="0015691C"/>
    <w:rsid w:val="00156BFC"/>
    <w:rsid w:val="001727B2"/>
    <w:rsid w:val="00185C77"/>
    <w:rsid w:val="001F7509"/>
    <w:rsid w:val="00202116"/>
    <w:rsid w:val="00215D49"/>
    <w:rsid w:val="00227DD2"/>
    <w:rsid w:val="00231BED"/>
    <w:rsid w:val="00234E5C"/>
    <w:rsid w:val="00246D04"/>
    <w:rsid w:val="002624E0"/>
    <w:rsid w:val="002641F5"/>
    <w:rsid w:val="002651B9"/>
    <w:rsid w:val="00271502"/>
    <w:rsid w:val="00284BE9"/>
    <w:rsid w:val="00294547"/>
    <w:rsid w:val="00295FA1"/>
    <w:rsid w:val="00297AFB"/>
    <w:rsid w:val="00297D04"/>
    <w:rsid w:val="002B2297"/>
    <w:rsid w:val="002B644E"/>
    <w:rsid w:val="002C009C"/>
    <w:rsid w:val="002C1EB1"/>
    <w:rsid w:val="002C3A8D"/>
    <w:rsid w:val="002C7C6D"/>
    <w:rsid w:val="002C7DF0"/>
    <w:rsid w:val="002D1053"/>
    <w:rsid w:val="002E0320"/>
    <w:rsid w:val="002E5C8E"/>
    <w:rsid w:val="002F070D"/>
    <w:rsid w:val="002F257B"/>
    <w:rsid w:val="002F38C8"/>
    <w:rsid w:val="00302C5C"/>
    <w:rsid w:val="00327290"/>
    <w:rsid w:val="00344538"/>
    <w:rsid w:val="00380094"/>
    <w:rsid w:val="003819B2"/>
    <w:rsid w:val="003909A7"/>
    <w:rsid w:val="003C4AA4"/>
    <w:rsid w:val="003C6B6A"/>
    <w:rsid w:val="003D112F"/>
    <w:rsid w:val="003E4B06"/>
    <w:rsid w:val="003F0C56"/>
    <w:rsid w:val="00413E91"/>
    <w:rsid w:val="0042142D"/>
    <w:rsid w:val="0043058C"/>
    <w:rsid w:val="00430C97"/>
    <w:rsid w:val="00433027"/>
    <w:rsid w:val="00447E89"/>
    <w:rsid w:val="00462C90"/>
    <w:rsid w:val="00475FC0"/>
    <w:rsid w:val="00475FE2"/>
    <w:rsid w:val="0047779B"/>
    <w:rsid w:val="00483D6B"/>
    <w:rsid w:val="0048651A"/>
    <w:rsid w:val="00491E9A"/>
    <w:rsid w:val="004A7B4D"/>
    <w:rsid w:val="004C0823"/>
    <w:rsid w:val="004C1FD8"/>
    <w:rsid w:val="004C2A6E"/>
    <w:rsid w:val="004D5719"/>
    <w:rsid w:val="00507B29"/>
    <w:rsid w:val="00542090"/>
    <w:rsid w:val="005478D1"/>
    <w:rsid w:val="00570894"/>
    <w:rsid w:val="00575541"/>
    <w:rsid w:val="00576894"/>
    <w:rsid w:val="005813E0"/>
    <w:rsid w:val="0059034C"/>
    <w:rsid w:val="00594317"/>
    <w:rsid w:val="005B5614"/>
    <w:rsid w:val="0061199D"/>
    <w:rsid w:val="00681FD9"/>
    <w:rsid w:val="006937D3"/>
    <w:rsid w:val="006A1BA2"/>
    <w:rsid w:val="006B0812"/>
    <w:rsid w:val="006B088F"/>
    <w:rsid w:val="006C21BC"/>
    <w:rsid w:val="006E0865"/>
    <w:rsid w:val="006F6924"/>
    <w:rsid w:val="006F7E7E"/>
    <w:rsid w:val="007000EC"/>
    <w:rsid w:val="00700F77"/>
    <w:rsid w:val="007027F5"/>
    <w:rsid w:val="00704ECD"/>
    <w:rsid w:val="007141D5"/>
    <w:rsid w:val="00724F5C"/>
    <w:rsid w:val="0074214E"/>
    <w:rsid w:val="00742E4A"/>
    <w:rsid w:val="00770AE4"/>
    <w:rsid w:val="00773783"/>
    <w:rsid w:val="0078702D"/>
    <w:rsid w:val="00795D57"/>
    <w:rsid w:val="007A7C7C"/>
    <w:rsid w:val="007A7CDC"/>
    <w:rsid w:val="007C3C14"/>
    <w:rsid w:val="007E34D6"/>
    <w:rsid w:val="007E3B8D"/>
    <w:rsid w:val="007F5690"/>
    <w:rsid w:val="008114AC"/>
    <w:rsid w:val="008151AB"/>
    <w:rsid w:val="00816268"/>
    <w:rsid w:val="00824D3A"/>
    <w:rsid w:val="0085789A"/>
    <w:rsid w:val="00863414"/>
    <w:rsid w:val="00872EFD"/>
    <w:rsid w:val="00880120"/>
    <w:rsid w:val="008A7FB7"/>
    <w:rsid w:val="008B0F10"/>
    <w:rsid w:val="008C409A"/>
    <w:rsid w:val="008C775E"/>
    <w:rsid w:val="008D4303"/>
    <w:rsid w:val="008D509E"/>
    <w:rsid w:val="009032D5"/>
    <w:rsid w:val="00903DEB"/>
    <w:rsid w:val="009167A9"/>
    <w:rsid w:val="0092101F"/>
    <w:rsid w:val="00921C52"/>
    <w:rsid w:val="00977250"/>
    <w:rsid w:val="009850BE"/>
    <w:rsid w:val="00993241"/>
    <w:rsid w:val="009A583F"/>
    <w:rsid w:val="009B3EF3"/>
    <w:rsid w:val="009C6DEC"/>
    <w:rsid w:val="009D2551"/>
    <w:rsid w:val="009E37BF"/>
    <w:rsid w:val="009F3976"/>
    <w:rsid w:val="00A15422"/>
    <w:rsid w:val="00A30790"/>
    <w:rsid w:val="00A3141C"/>
    <w:rsid w:val="00A325AE"/>
    <w:rsid w:val="00A457D0"/>
    <w:rsid w:val="00A45820"/>
    <w:rsid w:val="00A516C7"/>
    <w:rsid w:val="00A52A3B"/>
    <w:rsid w:val="00A62218"/>
    <w:rsid w:val="00A741BB"/>
    <w:rsid w:val="00A7718B"/>
    <w:rsid w:val="00A871FB"/>
    <w:rsid w:val="00A93146"/>
    <w:rsid w:val="00A96141"/>
    <w:rsid w:val="00AA586C"/>
    <w:rsid w:val="00AD3238"/>
    <w:rsid w:val="00AE48D4"/>
    <w:rsid w:val="00B02133"/>
    <w:rsid w:val="00B043A9"/>
    <w:rsid w:val="00B06283"/>
    <w:rsid w:val="00B2475C"/>
    <w:rsid w:val="00B34864"/>
    <w:rsid w:val="00B35B61"/>
    <w:rsid w:val="00B4503C"/>
    <w:rsid w:val="00B511FB"/>
    <w:rsid w:val="00B60E75"/>
    <w:rsid w:val="00B6522A"/>
    <w:rsid w:val="00B74D71"/>
    <w:rsid w:val="00B800E0"/>
    <w:rsid w:val="00B83A6E"/>
    <w:rsid w:val="00B845A1"/>
    <w:rsid w:val="00B9678D"/>
    <w:rsid w:val="00BB72D9"/>
    <w:rsid w:val="00BC2AFB"/>
    <w:rsid w:val="00BD26F5"/>
    <w:rsid w:val="00BF59E7"/>
    <w:rsid w:val="00C07CD9"/>
    <w:rsid w:val="00C13F32"/>
    <w:rsid w:val="00C413D4"/>
    <w:rsid w:val="00C43335"/>
    <w:rsid w:val="00C64ECF"/>
    <w:rsid w:val="00C84812"/>
    <w:rsid w:val="00C90F14"/>
    <w:rsid w:val="00CA3BFF"/>
    <w:rsid w:val="00CA3C92"/>
    <w:rsid w:val="00CA6FE1"/>
    <w:rsid w:val="00CB631E"/>
    <w:rsid w:val="00CB7C91"/>
    <w:rsid w:val="00CE7D65"/>
    <w:rsid w:val="00CF4E1F"/>
    <w:rsid w:val="00CF5D21"/>
    <w:rsid w:val="00D14A84"/>
    <w:rsid w:val="00D609BB"/>
    <w:rsid w:val="00D772F5"/>
    <w:rsid w:val="00D928D0"/>
    <w:rsid w:val="00D94A3F"/>
    <w:rsid w:val="00DA0BBE"/>
    <w:rsid w:val="00DB4A71"/>
    <w:rsid w:val="00DB6400"/>
    <w:rsid w:val="00DE042E"/>
    <w:rsid w:val="00DE1119"/>
    <w:rsid w:val="00DF5F18"/>
    <w:rsid w:val="00E00E23"/>
    <w:rsid w:val="00E060E6"/>
    <w:rsid w:val="00E25900"/>
    <w:rsid w:val="00E26883"/>
    <w:rsid w:val="00E317A9"/>
    <w:rsid w:val="00E32653"/>
    <w:rsid w:val="00E3671F"/>
    <w:rsid w:val="00E416F6"/>
    <w:rsid w:val="00E43AB2"/>
    <w:rsid w:val="00E449A9"/>
    <w:rsid w:val="00E55124"/>
    <w:rsid w:val="00E73FE7"/>
    <w:rsid w:val="00E97D42"/>
    <w:rsid w:val="00EA6646"/>
    <w:rsid w:val="00EB213C"/>
    <w:rsid w:val="00ED2663"/>
    <w:rsid w:val="00F21272"/>
    <w:rsid w:val="00F33453"/>
    <w:rsid w:val="00F526CA"/>
    <w:rsid w:val="00F80E2A"/>
    <w:rsid w:val="00FA0F87"/>
    <w:rsid w:val="00FB0419"/>
    <w:rsid w:val="00FC5C57"/>
    <w:rsid w:val="00FD2D27"/>
    <w:rsid w:val="00FF0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419"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CB7C91"/>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CB7C91"/>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A45820"/>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A45820"/>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label">
    <w:name w:val="label"/>
    <w:basedOn w:val="Fuentedeprrafopredeter"/>
    <w:rsid w:val="00FA0F87"/>
  </w:style>
  <w:style w:type="paragraph" w:styleId="Prrafodelista">
    <w:name w:val="List Paragraph"/>
    <w:basedOn w:val="Normal"/>
    <w:uiPriority w:val="34"/>
    <w:qFormat/>
    <w:rsid w:val="003819B2"/>
    <w:pPr>
      <w:spacing w:after="160" w:line="256" w:lineRule="auto"/>
      <w:ind w:left="720"/>
      <w:contextualSpacing/>
    </w:pPr>
    <w:rPr>
      <w:rFonts w:asciiTheme="minorHAnsi" w:eastAsiaTheme="minorHAnsi" w:hAnsiTheme="minorHAnsi" w:cstheme="minorBid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0950">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94863159">
      <w:bodyDiv w:val="1"/>
      <w:marLeft w:val="0"/>
      <w:marRight w:val="0"/>
      <w:marTop w:val="0"/>
      <w:marBottom w:val="0"/>
      <w:divBdr>
        <w:top w:val="none" w:sz="0" w:space="0" w:color="auto"/>
        <w:left w:val="none" w:sz="0" w:space="0" w:color="auto"/>
        <w:bottom w:val="none" w:sz="0" w:space="0" w:color="auto"/>
        <w:right w:val="none" w:sz="0" w:space="0" w:color="auto"/>
      </w:divBdr>
    </w:div>
    <w:div w:id="101994269">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0946629">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388118422">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5515878">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70439180">
      <w:bodyDiv w:val="1"/>
      <w:marLeft w:val="0"/>
      <w:marRight w:val="0"/>
      <w:marTop w:val="0"/>
      <w:marBottom w:val="0"/>
      <w:divBdr>
        <w:top w:val="none" w:sz="0" w:space="0" w:color="auto"/>
        <w:left w:val="none" w:sz="0" w:space="0" w:color="auto"/>
        <w:bottom w:val="none" w:sz="0" w:space="0" w:color="auto"/>
        <w:right w:val="none" w:sz="0" w:space="0" w:color="auto"/>
      </w:divBdr>
    </w:div>
    <w:div w:id="492598929">
      <w:bodyDiv w:val="1"/>
      <w:marLeft w:val="0"/>
      <w:marRight w:val="0"/>
      <w:marTop w:val="0"/>
      <w:marBottom w:val="0"/>
      <w:divBdr>
        <w:top w:val="none" w:sz="0" w:space="0" w:color="auto"/>
        <w:left w:val="none" w:sz="0" w:space="0" w:color="auto"/>
        <w:bottom w:val="none" w:sz="0" w:space="0" w:color="auto"/>
        <w:right w:val="none" w:sz="0" w:space="0" w:color="auto"/>
      </w:divBdr>
    </w:div>
    <w:div w:id="546575944">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92010317">
      <w:bodyDiv w:val="1"/>
      <w:marLeft w:val="0"/>
      <w:marRight w:val="0"/>
      <w:marTop w:val="0"/>
      <w:marBottom w:val="0"/>
      <w:divBdr>
        <w:top w:val="none" w:sz="0" w:space="0" w:color="auto"/>
        <w:left w:val="none" w:sz="0" w:space="0" w:color="auto"/>
        <w:bottom w:val="none" w:sz="0" w:space="0" w:color="auto"/>
        <w:right w:val="none" w:sz="0" w:space="0" w:color="auto"/>
      </w:divBdr>
    </w:div>
    <w:div w:id="656612205">
      <w:bodyDiv w:val="1"/>
      <w:marLeft w:val="0"/>
      <w:marRight w:val="0"/>
      <w:marTop w:val="0"/>
      <w:marBottom w:val="0"/>
      <w:divBdr>
        <w:top w:val="none" w:sz="0" w:space="0" w:color="auto"/>
        <w:left w:val="none" w:sz="0" w:space="0" w:color="auto"/>
        <w:bottom w:val="none" w:sz="0" w:space="0" w:color="auto"/>
        <w:right w:val="none" w:sz="0" w:space="0" w:color="auto"/>
      </w:divBdr>
    </w:div>
    <w:div w:id="664817100">
      <w:bodyDiv w:val="1"/>
      <w:marLeft w:val="0"/>
      <w:marRight w:val="0"/>
      <w:marTop w:val="0"/>
      <w:marBottom w:val="0"/>
      <w:divBdr>
        <w:top w:val="none" w:sz="0" w:space="0" w:color="auto"/>
        <w:left w:val="none" w:sz="0" w:space="0" w:color="auto"/>
        <w:bottom w:val="none" w:sz="0" w:space="0" w:color="auto"/>
        <w:right w:val="none" w:sz="0" w:space="0" w:color="auto"/>
      </w:divBdr>
    </w:div>
    <w:div w:id="677198749">
      <w:bodyDiv w:val="1"/>
      <w:marLeft w:val="0"/>
      <w:marRight w:val="0"/>
      <w:marTop w:val="0"/>
      <w:marBottom w:val="0"/>
      <w:divBdr>
        <w:top w:val="none" w:sz="0" w:space="0" w:color="auto"/>
        <w:left w:val="none" w:sz="0" w:space="0" w:color="auto"/>
        <w:bottom w:val="none" w:sz="0" w:space="0" w:color="auto"/>
        <w:right w:val="none" w:sz="0" w:space="0" w:color="auto"/>
      </w:divBdr>
    </w:div>
    <w:div w:id="699280506">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4649525">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9868208">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24756332">
      <w:bodyDiv w:val="1"/>
      <w:marLeft w:val="0"/>
      <w:marRight w:val="0"/>
      <w:marTop w:val="0"/>
      <w:marBottom w:val="0"/>
      <w:divBdr>
        <w:top w:val="none" w:sz="0" w:space="0" w:color="auto"/>
        <w:left w:val="none" w:sz="0" w:space="0" w:color="auto"/>
        <w:bottom w:val="none" w:sz="0" w:space="0" w:color="auto"/>
        <w:right w:val="none" w:sz="0" w:space="0" w:color="auto"/>
      </w:divBdr>
    </w:div>
    <w:div w:id="1264648795">
      <w:bodyDiv w:val="1"/>
      <w:marLeft w:val="0"/>
      <w:marRight w:val="0"/>
      <w:marTop w:val="0"/>
      <w:marBottom w:val="0"/>
      <w:divBdr>
        <w:top w:val="none" w:sz="0" w:space="0" w:color="auto"/>
        <w:left w:val="none" w:sz="0" w:space="0" w:color="auto"/>
        <w:bottom w:val="none" w:sz="0" w:space="0" w:color="auto"/>
        <w:right w:val="none" w:sz="0" w:space="0" w:color="auto"/>
      </w:divBdr>
    </w:div>
    <w:div w:id="1329213755">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53513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41804888">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65724945">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56035088">
      <w:bodyDiv w:val="1"/>
      <w:marLeft w:val="0"/>
      <w:marRight w:val="0"/>
      <w:marTop w:val="0"/>
      <w:marBottom w:val="0"/>
      <w:divBdr>
        <w:top w:val="none" w:sz="0" w:space="0" w:color="auto"/>
        <w:left w:val="none" w:sz="0" w:space="0" w:color="auto"/>
        <w:bottom w:val="none" w:sz="0" w:space="0" w:color="auto"/>
        <w:right w:val="none" w:sz="0" w:space="0" w:color="auto"/>
      </w:divBdr>
    </w:div>
    <w:div w:id="166235135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71450594">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37861435">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065641338">
      <w:bodyDiv w:val="1"/>
      <w:marLeft w:val="0"/>
      <w:marRight w:val="0"/>
      <w:marTop w:val="0"/>
      <w:marBottom w:val="0"/>
      <w:divBdr>
        <w:top w:val="none" w:sz="0" w:space="0" w:color="auto"/>
        <w:left w:val="none" w:sz="0" w:space="0" w:color="auto"/>
        <w:bottom w:val="none" w:sz="0" w:space="0" w:color="auto"/>
        <w:right w:val="none" w:sz="0" w:space="0" w:color="auto"/>
      </w:divBdr>
    </w:div>
    <w:div w:id="21324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4A03-53D4-4652-A2A1-CFB19AC8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6472</Words>
  <Characters>35598</Characters>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2020-09-28T18:55:00Z</dcterms:created>
  <dcterms:modified xsi:type="dcterms:W3CDTF">2020-09-28T18:55:00Z</dcterms:modified>
</cp:coreProperties>
</file>