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079299BB" w:rsidR="00742E4A" w:rsidRPr="002B04BE" w:rsidRDefault="00384E6B" w:rsidP="002B04BE">
      <w:pPr>
        <w:pStyle w:val="Titulodeartculo"/>
      </w:pPr>
      <w:bookmarkStart w:id="0" w:name="_Hlk90834151"/>
      <w:bookmarkEnd w:id="0"/>
      <w:r w:rsidRPr="00333677">
        <w:rPr>
          <w:lang w:val="en-GB" w:eastAsia="es-AR"/>
        </w:rPr>
        <w:drawing>
          <wp:anchor distT="0" distB="0" distL="114300" distR="114300" simplePos="0" relativeHeight="251664384" behindDoc="0" locked="0" layoutInCell="1" allowOverlap="1" wp14:anchorId="4437BD97" wp14:editId="00FD3F0A">
            <wp:simplePos x="0" y="0"/>
            <wp:positionH relativeFrom="column">
              <wp:posOffset>4942840</wp:posOffset>
            </wp:positionH>
            <wp:positionV relativeFrom="paragraph">
              <wp:posOffset>334709</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2B04BE" w:rsidRPr="002B04BE">
        <w:t>Trastornos de sueño y conductuales provocados por la epilepsia: Efecto protector de la Gabapentina</w:t>
      </w:r>
    </w:p>
    <w:p w14:paraId="07B1149B" w14:textId="79DADEBD" w:rsidR="008E17AF" w:rsidRPr="002B04BE" w:rsidRDefault="008E17AF" w:rsidP="00C413D4">
      <w:pPr>
        <w:rPr>
          <w:b/>
        </w:rPr>
      </w:pPr>
    </w:p>
    <w:p w14:paraId="110A42C5" w14:textId="794E7898" w:rsidR="00CC7D22" w:rsidRPr="00444BAD" w:rsidRDefault="00444BAD" w:rsidP="00CC7D22">
      <w:pPr>
        <w:pStyle w:val="Body"/>
        <w:jc w:val="both"/>
        <w:rPr>
          <w:b/>
          <w:bCs/>
          <w:color w:val="222222"/>
          <w:sz w:val="26"/>
          <w:szCs w:val="26"/>
          <w:u w:color="222222"/>
        </w:rPr>
      </w:pPr>
      <w:bookmarkStart w:id="1" w:name="_Hlk90835901"/>
      <w:r w:rsidRPr="00444BAD">
        <w:rPr>
          <w:b/>
          <w:bCs/>
          <w:color w:val="222222"/>
          <w:sz w:val="26"/>
          <w:szCs w:val="26"/>
          <w:u w:color="222222"/>
        </w:rPr>
        <w:t>Fructuoso Ayala Guerrero</w:t>
      </w:r>
      <w:r w:rsidR="0014506C" w:rsidRPr="00444BAD">
        <w:rPr>
          <w:b/>
          <w:bCs/>
          <w:color w:val="222222"/>
          <w:sz w:val="26"/>
          <w:szCs w:val="26"/>
          <w:u w:color="222222"/>
        </w:rPr>
        <w:t xml:space="preserve"> </w:t>
      </w:r>
      <w:r w:rsidR="001E0A61" w:rsidRPr="00886B3C">
        <w:rPr>
          <w:b/>
          <w:bCs/>
          <w:color w:val="222222"/>
          <w:sz w:val="26"/>
          <w:szCs w:val="26"/>
          <w:u w:color="222222"/>
          <w:vertAlign w:val="superscript"/>
          <w:lang w:val="en-GB"/>
        </w:rPr>
        <w:footnoteReference w:id="1"/>
      </w:r>
      <w:r w:rsidR="001E0A61">
        <w:rPr>
          <w:b/>
          <w:bCs/>
          <w:color w:val="4472C4" w:themeColor="accent1"/>
          <w:sz w:val="26"/>
          <w:szCs w:val="26"/>
          <w:u w:color="222222"/>
          <w:vertAlign w:val="superscript"/>
        </w:rPr>
        <w:t>a</w:t>
      </w:r>
      <w:r w:rsidR="005E205D" w:rsidRPr="00886B3C">
        <w:rPr>
          <w:b/>
          <w:bCs/>
          <w:noProof/>
          <w:color w:val="222222"/>
          <w:sz w:val="26"/>
          <w:szCs w:val="26"/>
          <w:u w:color="222222"/>
          <w:lang w:val="en-GB" w:eastAsia="es-AR"/>
        </w:rPr>
        <w:drawing>
          <wp:inline distT="0" distB="0" distL="0" distR="0" wp14:anchorId="16FCC1C7" wp14:editId="63E678D4">
            <wp:extent cx="133200" cy="133200"/>
            <wp:effectExtent l="0" t="0" r="0" b="0"/>
            <wp:docPr id="11"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E92FE9" w:rsidRPr="00444BAD">
        <w:rPr>
          <w:b/>
          <w:bCs/>
          <w:color w:val="222222"/>
          <w:sz w:val="26"/>
          <w:szCs w:val="26"/>
          <w:u w:color="222222"/>
        </w:rPr>
        <w:t xml:space="preserve">, </w:t>
      </w:r>
      <w:r w:rsidRPr="00444BAD">
        <w:rPr>
          <w:b/>
          <w:bCs/>
          <w:color w:val="222222"/>
          <w:sz w:val="26"/>
          <w:szCs w:val="26"/>
          <w:u w:color="222222"/>
        </w:rPr>
        <w:t xml:space="preserve">Graciela Mexicano Medina </w:t>
      </w:r>
      <w:r w:rsidR="001E0A61">
        <w:rPr>
          <w:b/>
          <w:bCs/>
          <w:color w:val="4472C4" w:themeColor="accent1"/>
          <w:sz w:val="26"/>
          <w:szCs w:val="26"/>
          <w:u w:color="222222"/>
          <w:vertAlign w:val="superscript"/>
        </w:rPr>
        <w:t>a</w:t>
      </w:r>
      <w:r w:rsidRPr="00886B3C">
        <w:rPr>
          <w:b/>
          <w:bCs/>
          <w:noProof/>
          <w:color w:val="222222"/>
          <w:sz w:val="26"/>
          <w:szCs w:val="26"/>
          <w:u w:color="222222"/>
          <w:lang w:val="en-GB" w:eastAsia="es-AR"/>
        </w:rPr>
        <w:drawing>
          <wp:inline distT="0" distB="0" distL="0" distR="0" wp14:anchorId="1D8932D1" wp14:editId="72600804">
            <wp:extent cx="133200" cy="133200"/>
            <wp:effectExtent l="0" t="0" r="0" b="0"/>
            <wp:docPr id="1"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Pr="00444BAD">
        <w:rPr>
          <w:b/>
          <w:bCs/>
          <w:color w:val="222222"/>
          <w:sz w:val="26"/>
          <w:szCs w:val="26"/>
          <w:u w:color="222222"/>
        </w:rPr>
        <w:t xml:space="preserve">, </w:t>
      </w:r>
      <w:proofErr w:type="spellStart"/>
      <w:r w:rsidRPr="00444BAD">
        <w:rPr>
          <w:b/>
          <w:bCs/>
          <w:color w:val="222222"/>
          <w:sz w:val="26"/>
          <w:szCs w:val="26"/>
          <w:u w:color="222222"/>
        </w:rPr>
        <w:t>Angel</w:t>
      </w:r>
      <w:proofErr w:type="spellEnd"/>
      <w:r w:rsidRPr="00444BAD">
        <w:rPr>
          <w:b/>
          <w:bCs/>
          <w:color w:val="222222"/>
          <w:sz w:val="26"/>
          <w:szCs w:val="26"/>
          <w:u w:color="222222"/>
        </w:rPr>
        <w:t xml:space="preserve"> Guerrero </w:t>
      </w:r>
      <w:r w:rsidR="001E0A61">
        <w:rPr>
          <w:b/>
          <w:bCs/>
          <w:color w:val="4472C4" w:themeColor="accent1"/>
          <w:sz w:val="26"/>
          <w:szCs w:val="26"/>
          <w:u w:color="222222"/>
          <w:vertAlign w:val="superscript"/>
        </w:rPr>
        <w:t>a</w:t>
      </w:r>
      <w:r w:rsidRPr="00886B3C">
        <w:rPr>
          <w:b/>
          <w:bCs/>
          <w:noProof/>
          <w:color w:val="222222"/>
          <w:sz w:val="26"/>
          <w:szCs w:val="26"/>
          <w:u w:color="222222"/>
          <w:lang w:val="en-GB" w:eastAsia="es-AR"/>
        </w:rPr>
        <w:drawing>
          <wp:inline distT="0" distB="0" distL="0" distR="0" wp14:anchorId="08091551" wp14:editId="33399B0B">
            <wp:extent cx="133200" cy="133200"/>
            <wp:effectExtent l="0" t="0" r="0" b="0"/>
            <wp:docPr id="3"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3"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Pr="00444BAD">
        <w:rPr>
          <w:b/>
          <w:bCs/>
          <w:color w:val="222222"/>
          <w:sz w:val="26"/>
          <w:szCs w:val="26"/>
          <w:u w:color="222222"/>
        </w:rPr>
        <w:t xml:space="preserve">, </w:t>
      </w:r>
      <w:r w:rsidR="001E0A61" w:rsidRPr="00444BAD">
        <w:rPr>
          <w:b/>
          <w:bCs/>
          <w:color w:val="222222"/>
          <w:sz w:val="26"/>
          <w:szCs w:val="26"/>
          <w:u w:color="222222"/>
        </w:rPr>
        <w:t>Carlos Alberto Gutiérrez Chávez</w:t>
      </w:r>
      <w:r w:rsidR="001E0A61">
        <w:rPr>
          <w:b/>
          <w:bCs/>
          <w:color w:val="222222"/>
          <w:sz w:val="26"/>
          <w:szCs w:val="26"/>
          <w:u w:color="222222"/>
        </w:rPr>
        <w:t xml:space="preserve"> </w:t>
      </w:r>
      <w:r w:rsidR="001E0A61">
        <w:rPr>
          <w:b/>
          <w:bCs/>
          <w:color w:val="4472C4" w:themeColor="accent1"/>
          <w:sz w:val="26"/>
          <w:szCs w:val="26"/>
          <w:u w:color="222222"/>
          <w:vertAlign w:val="superscript"/>
        </w:rPr>
        <w:t>b</w:t>
      </w:r>
      <w:r w:rsidR="001E0A61" w:rsidRPr="00886B3C">
        <w:rPr>
          <w:b/>
          <w:bCs/>
          <w:noProof/>
          <w:color w:val="222222"/>
          <w:sz w:val="26"/>
          <w:szCs w:val="26"/>
          <w:u w:color="222222"/>
          <w:lang w:val="en-GB" w:eastAsia="es-AR"/>
        </w:rPr>
        <w:drawing>
          <wp:inline distT="0" distB="0" distL="0" distR="0" wp14:anchorId="5E7D9212" wp14:editId="12599CE6">
            <wp:extent cx="133200" cy="133200"/>
            <wp:effectExtent l="0" t="0" r="0" b="0"/>
            <wp:docPr id="1073741827"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4"/>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1E0A61">
        <w:rPr>
          <w:b/>
          <w:bCs/>
          <w:color w:val="4472C4" w:themeColor="accent1"/>
          <w:sz w:val="26"/>
          <w:szCs w:val="26"/>
          <w:u w:color="222222"/>
          <w:vertAlign w:val="superscript"/>
        </w:rPr>
        <w:t xml:space="preserve">, </w:t>
      </w:r>
      <w:proofErr w:type="spellStart"/>
      <w:r w:rsidRPr="00444BAD">
        <w:rPr>
          <w:b/>
          <w:bCs/>
          <w:color w:val="222222"/>
          <w:sz w:val="26"/>
          <w:szCs w:val="26"/>
          <w:u w:color="222222"/>
        </w:rPr>
        <w:t>Legna</w:t>
      </w:r>
      <w:proofErr w:type="spellEnd"/>
      <w:r w:rsidRPr="00444BAD">
        <w:rPr>
          <w:b/>
          <w:bCs/>
          <w:color w:val="222222"/>
          <w:sz w:val="26"/>
          <w:szCs w:val="26"/>
          <w:u w:color="222222"/>
        </w:rPr>
        <w:t xml:space="preserve"> Alejandra Lazo Sánchez </w:t>
      </w:r>
      <w:r w:rsidR="001E0A61">
        <w:rPr>
          <w:b/>
          <w:bCs/>
          <w:color w:val="4472C4" w:themeColor="accent1"/>
          <w:sz w:val="26"/>
          <w:szCs w:val="26"/>
          <w:u w:color="222222"/>
          <w:vertAlign w:val="superscript"/>
        </w:rPr>
        <w:t>a</w:t>
      </w:r>
      <w:r w:rsidRPr="00886B3C">
        <w:rPr>
          <w:b/>
          <w:bCs/>
          <w:noProof/>
          <w:color w:val="222222"/>
          <w:sz w:val="26"/>
          <w:szCs w:val="26"/>
          <w:u w:color="222222"/>
          <w:lang w:val="en-GB" w:eastAsia="es-AR"/>
        </w:rPr>
        <w:drawing>
          <wp:inline distT="0" distB="0" distL="0" distR="0" wp14:anchorId="499D5907" wp14:editId="17B6CFDE">
            <wp:extent cx="133200" cy="133200"/>
            <wp:effectExtent l="0" t="0" r="0" b="0"/>
            <wp:docPr id="4"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4" name="officeArt object" descr="Imagen 1">
                      <a:hlinkClick r:id="rId15"/>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Pr="00444BAD">
        <w:rPr>
          <w:b/>
          <w:bCs/>
          <w:color w:val="222222"/>
          <w:sz w:val="26"/>
          <w:szCs w:val="26"/>
          <w:u w:color="222222"/>
        </w:rPr>
        <w:t xml:space="preserve">, </w:t>
      </w:r>
      <w:r w:rsidR="00CC7D22" w:rsidRPr="00444BAD">
        <w:rPr>
          <w:b/>
          <w:bCs/>
          <w:color w:val="222222"/>
          <w:sz w:val="26"/>
          <w:szCs w:val="26"/>
          <w:u w:color="222222"/>
        </w:rPr>
        <w:t xml:space="preserve">&amp; </w:t>
      </w:r>
      <w:r w:rsidRPr="00444BAD">
        <w:rPr>
          <w:b/>
          <w:bCs/>
          <w:color w:val="222222"/>
          <w:sz w:val="26"/>
          <w:szCs w:val="26"/>
          <w:u w:color="222222"/>
        </w:rPr>
        <w:t>Erik Leonardo Mateos Salgado</w:t>
      </w:r>
      <w:bookmarkEnd w:id="1"/>
      <w:r w:rsidR="00EE0F35" w:rsidRPr="00EE0F35">
        <w:rPr>
          <w:b/>
          <w:bCs/>
          <w:color w:val="4472C4" w:themeColor="accent1"/>
          <w:sz w:val="26"/>
          <w:szCs w:val="26"/>
          <w:u w:color="222222"/>
          <w:vertAlign w:val="superscript"/>
        </w:rPr>
        <w:t xml:space="preserve"> </w:t>
      </w:r>
      <w:r w:rsidR="001E0A61">
        <w:rPr>
          <w:b/>
          <w:bCs/>
          <w:color w:val="4472C4" w:themeColor="accent1"/>
          <w:sz w:val="26"/>
          <w:szCs w:val="26"/>
          <w:u w:color="222222"/>
          <w:vertAlign w:val="superscript"/>
        </w:rPr>
        <w:t>a</w:t>
      </w:r>
      <w:r w:rsidR="00CC7D22" w:rsidRPr="00886B3C">
        <w:rPr>
          <w:b/>
          <w:bCs/>
          <w:noProof/>
          <w:color w:val="222222"/>
          <w:sz w:val="26"/>
          <w:szCs w:val="26"/>
          <w:u w:color="222222"/>
          <w:lang w:val="en-GB" w:eastAsia="es-AR"/>
        </w:rPr>
        <w:drawing>
          <wp:inline distT="0" distB="0" distL="0" distR="0" wp14:anchorId="20800533" wp14:editId="5CD7F6EE">
            <wp:extent cx="133200" cy="133200"/>
            <wp:effectExtent l="0" t="0" r="0" b="0"/>
            <wp:docPr id="6"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6"/>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7D7E6B" w:rsidRPr="00444BAD">
        <w:rPr>
          <w:b/>
          <w:bCs/>
          <w:color w:val="4472C4" w:themeColor="accent1"/>
          <w:sz w:val="26"/>
          <w:szCs w:val="26"/>
          <w:u w:color="222222"/>
          <w:vertAlign w:val="superscript"/>
        </w:rPr>
        <w:t xml:space="preserve"> </w:t>
      </w:r>
      <w:r w:rsidR="00922B3A" w:rsidRPr="00444BAD">
        <w:rPr>
          <w:b/>
          <w:bCs/>
          <w:color w:val="4472C4" w:themeColor="accent1"/>
          <w:sz w:val="26"/>
          <w:szCs w:val="26"/>
          <w:u w:color="222222"/>
          <w:vertAlign w:val="superscript"/>
        </w:rPr>
        <w:t xml:space="preserve">  </w:t>
      </w:r>
      <w:r w:rsidR="00CC7D22" w:rsidRPr="00886B3C">
        <w:rPr>
          <w:rStyle w:val="Refdenotaalpie"/>
          <w:b/>
          <w:bCs/>
          <w:color w:val="auto"/>
          <w:sz w:val="26"/>
          <w:szCs w:val="26"/>
          <w:u w:color="222222"/>
          <w:lang w:val="en-GB"/>
        </w:rPr>
        <w:footnoteReference w:id="2"/>
      </w:r>
    </w:p>
    <w:p w14:paraId="7DE2414F" w14:textId="77777777" w:rsidR="004B2E6E" w:rsidRPr="00444BAD" w:rsidRDefault="004B2E6E" w:rsidP="00DB239D">
      <w:pPr>
        <w:rPr>
          <w:i/>
          <w:sz w:val="28"/>
          <w:szCs w:val="28"/>
        </w:rPr>
      </w:pPr>
    </w:p>
    <w:p w14:paraId="52BD8014" w14:textId="1C6959B1" w:rsidR="00CC7D22" w:rsidRPr="00EE0F35" w:rsidRDefault="001E0A61" w:rsidP="00CC7D22">
      <w:pPr>
        <w:tabs>
          <w:tab w:val="left" w:pos="7005"/>
        </w:tabs>
        <w:jc w:val="both"/>
        <w:rPr>
          <w:rFonts w:eastAsia="Arial Unicode MS" w:cs="Arial Unicode MS"/>
          <w:i/>
          <w:iCs/>
          <w:sz w:val="28"/>
          <w:szCs w:val="28"/>
        </w:rPr>
      </w:pPr>
      <w:r w:rsidRPr="00EE0F35">
        <w:rPr>
          <w:rFonts w:eastAsia="Arial Unicode MS" w:cs="Arial Unicode MS"/>
          <w:bCs/>
          <w:i/>
          <w:iCs/>
          <w:sz w:val="28"/>
          <w:szCs w:val="28"/>
        </w:rPr>
        <w:t>Universidad Nacional Autónoma de México, México, México</w:t>
      </w:r>
      <w:r>
        <w:rPr>
          <w:rFonts w:eastAsia="Arial Unicode MS" w:cs="Arial Unicode MS"/>
          <w:bCs/>
          <w:i/>
          <w:iCs/>
          <w:sz w:val="28"/>
          <w:szCs w:val="28"/>
        </w:rPr>
        <w:t xml:space="preserve"> </w:t>
      </w:r>
      <w:r w:rsidRPr="00EE0F35">
        <w:rPr>
          <w:b/>
          <w:bCs/>
          <w:color w:val="4472C4" w:themeColor="accent1"/>
          <w:sz w:val="26"/>
          <w:szCs w:val="26"/>
          <w:u w:color="222222"/>
          <w:vertAlign w:val="superscript"/>
        </w:rPr>
        <w:t>a</w:t>
      </w:r>
      <w:r>
        <w:rPr>
          <w:rFonts w:eastAsia="Arial Unicode MS" w:cs="Arial Unicode MS"/>
          <w:bCs/>
          <w:i/>
          <w:iCs/>
          <w:sz w:val="28"/>
          <w:szCs w:val="28"/>
        </w:rPr>
        <w:t xml:space="preserve">; </w:t>
      </w:r>
      <w:r w:rsidR="00EE0F35" w:rsidRPr="00EE0F35">
        <w:rPr>
          <w:rFonts w:eastAsia="Arial Unicode MS" w:cs="Arial Unicode MS"/>
          <w:bCs/>
          <w:i/>
          <w:iCs/>
          <w:sz w:val="28"/>
          <w:szCs w:val="28"/>
        </w:rPr>
        <w:t>Universidad Autónoma del Estado de México, Toluca de Lerdo, México</w:t>
      </w:r>
      <w:r>
        <w:rPr>
          <w:rFonts w:eastAsia="Arial Unicode MS" w:cs="Arial Unicode MS"/>
          <w:bCs/>
          <w:i/>
          <w:iCs/>
          <w:sz w:val="28"/>
          <w:szCs w:val="28"/>
        </w:rPr>
        <w:t xml:space="preserve"> </w:t>
      </w:r>
      <w:r w:rsidR="00EE0F35">
        <w:rPr>
          <w:b/>
          <w:bCs/>
          <w:color w:val="4472C4" w:themeColor="accent1"/>
          <w:sz w:val="26"/>
          <w:szCs w:val="26"/>
          <w:u w:color="222222"/>
          <w:vertAlign w:val="superscript"/>
        </w:rPr>
        <w:t>b</w:t>
      </w:r>
      <w:r w:rsidR="00EE0F35" w:rsidRPr="00EE0F35">
        <w:rPr>
          <w:rFonts w:eastAsia="Arial Unicode MS" w:cs="Arial Unicode MS"/>
          <w:bCs/>
          <w:i/>
          <w:iCs/>
          <w:sz w:val="28"/>
          <w:szCs w:val="28"/>
        </w:rPr>
        <w:t>.</w:t>
      </w:r>
    </w:p>
    <w:p w14:paraId="540F2DB5" w14:textId="3394557E" w:rsidR="004E5581" w:rsidRPr="00EE0F35" w:rsidRDefault="004E5581" w:rsidP="00CC7D22">
      <w:pPr>
        <w:tabs>
          <w:tab w:val="left" w:pos="7005"/>
        </w:tabs>
        <w:jc w:val="both"/>
        <w:rPr>
          <w:rFonts w:eastAsia="Arial Unicode MS" w:cs="Arial Unicode MS"/>
          <w:i/>
          <w:iCs/>
          <w:sz w:val="28"/>
          <w:szCs w:val="28"/>
        </w:rPr>
      </w:pPr>
    </w:p>
    <w:p w14:paraId="0F81A079" w14:textId="68E6A4D4" w:rsidR="000928CA" w:rsidRPr="00EE0F35" w:rsidRDefault="001C4E1C" w:rsidP="00075F71">
      <w:pPr>
        <w:rPr>
          <w:rFonts w:ascii="Times" w:hAnsi="Times"/>
          <w:i/>
          <w:sz w:val="28"/>
          <w:szCs w:val="28"/>
        </w:rPr>
      </w:pPr>
      <w:r w:rsidRPr="00333677">
        <w:rPr>
          <w:noProof/>
          <w:lang w:val="en-GB"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EE0F35" w:rsidRDefault="00A95630" w:rsidP="008B5E31">
      <w:pPr>
        <w:rPr>
          <w:bCs/>
          <w:iCs/>
          <w:sz w:val="20"/>
          <w:szCs w:val="20"/>
        </w:rPr>
      </w:pPr>
    </w:p>
    <w:p w14:paraId="60C74093" w14:textId="706D0DA7" w:rsidR="00C413D4" w:rsidRPr="0019293F" w:rsidRDefault="00E272F5" w:rsidP="00686DA9">
      <w:pPr>
        <w:pStyle w:val="TtuloResumen"/>
        <w:rPr>
          <w:lang w:val="es-AR"/>
        </w:rPr>
      </w:pPr>
      <w:r w:rsidRPr="0019293F">
        <w:rPr>
          <w:lang w:val="es-AR"/>
        </w:rPr>
        <w:t>Resum</w:t>
      </w:r>
      <w:r w:rsidR="0019293F" w:rsidRPr="0019293F">
        <w:rPr>
          <w:lang w:val="es-AR"/>
        </w:rPr>
        <w:t>en</w:t>
      </w:r>
    </w:p>
    <w:p w14:paraId="570537B8" w14:textId="6A903286" w:rsidR="00C413D4" w:rsidRPr="0019293F" w:rsidRDefault="0019293F" w:rsidP="001006DE">
      <w:pPr>
        <w:pStyle w:val="Resumen"/>
        <w:rPr>
          <w:lang w:val="es-AR"/>
        </w:rPr>
      </w:pPr>
      <w:r w:rsidRPr="0019293F">
        <w:rPr>
          <w:bCs/>
          <w:lang w:val="es-AR"/>
        </w:rPr>
        <w:t xml:space="preserve">Se han descrito numerosas alteraciones del sueño inducidas por la epilepsia nocturna. La </w:t>
      </w:r>
      <w:proofErr w:type="spellStart"/>
      <w:r w:rsidRPr="0019293F">
        <w:rPr>
          <w:bCs/>
          <w:lang w:val="es-AR"/>
        </w:rPr>
        <w:t>gabapentina</w:t>
      </w:r>
      <w:proofErr w:type="spellEnd"/>
      <w:r w:rsidRPr="0019293F">
        <w:rPr>
          <w:bCs/>
          <w:lang w:val="es-AR"/>
        </w:rPr>
        <w:t xml:space="preserve"> (GBP), es utilizada como adyuvante o como tratamiento </w:t>
      </w:r>
      <w:proofErr w:type="spellStart"/>
      <w:r w:rsidRPr="0019293F">
        <w:rPr>
          <w:bCs/>
          <w:lang w:val="es-AR"/>
        </w:rPr>
        <w:t>monoterapéutico</w:t>
      </w:r>
      <w:proofErr w:type="spellEnd"/>
      <w:r w:rsidRPr="0019293F">
        <w:rPr>
          <w:bCs/>
          <w:lang w:val="es-AR"/>
        </w:rPr>
        <w:t xml:space="preserve">, ya que induce una mejoría significativa en pacientes con convulsiones focales parciales o secundariamente generalizadas. En modelos animales experimentales de epilepsia, la GBP protege contra las convulsiones generadas con </w:t>
      </w:r>
      <w:proofErr w:type="spellStart"/>
      <w:r w:rsidRPr="0019293F">
        <w:rPr>
          <w:bCs/>
          <w:lang w:val="es-AR"/>
        </w:rPr>
        <w:t>pentilentetrazol</w:t>
      </w:r>
      <w:proofErr w:type="spellEnd"/>
      <w:r w:rsidRPr="0019293F">
        <w:rPr>
          <w:bCs/>
          <w:lang w:val="es-AR"/>
        </w:rPr>
        <w:t xml:space="preserve"> (PTZ). El objetivo de este trabajo fue investigar la eficacia de la GBP para proteger contra alteraciones motoras y del sueño provocadas por crisis convulsivas inducidas por PTZ. Se realizaron tres registros poligráficos a cuatro grupos de ratas </w:t>
      </w:r>
      <w:proofErr w:type="spellStart"/>
      <w:r w:rsidRPr="0019293F">
        <w:rPr>
          <w:bCs/>
          <w:lang w:val="es-AR"/>
        </w:rPr>
        <w:t>Wistar</w:t>
      </w:r>
      <w:proofErr w:type="spellEnd"/>
      <w:r w:rsidRPr="0019293F">
        <w:rPr>
          <w:bCs/>
          <w:lang w:val="es-AR"/>
        </w:rPr>
        <w:t xml:space="preserve"> macho. A cada grupo se les administró PTZ para inducir crisis convulsivas; 30 minutos antes de la administración de PTZ se aplicaron dosis de GB, un grupo recibió 15 mg/kg, otro grupo recibió 30 mg/kg y un tercer grupo recibió 60 mg/kg. Después de la administración de PTZ, se observaron las manifestaciones electrofisiológicas y conductuales que caracterizan a las crisis convulsivas. Además, los estados de vigilancia se alteraron significativamente, incrementándose la cantidad de vigilia, mientras que el sueño se inhibió durante un período de tiempo. La administración de dosis crecientes de GBP, tendió a inhibir la presencia de conductas motoras anormales, facilitando la presencia de sueño.</w:t>
      </w:r>
    </w:p>
    <w:p w14:paraId="3D52E5CF" w14:textId="77777777" w:rsidR="00B5244C" w:rsidRPr="0019293F" w:rsidRDefault="00B5244C" w:rsidP="00B87BAC">
      <w:pPr>
        <w:pStyle w:val="Ttulodepalabrasclave"/>
        <w:rPr>
          <w:lang w:val="es-AR"/>
        </w:rPr>
      </w:pPr>
    </w:p>
    <w:p w14:paraId="7E377265" w14:textId="3AED5140" w:rsidR="001006DE" w:rsidRPr="006E0173" w:rsidRDefault="00B5244C" w:rsidP="00B87BAC">
      <w:pPr>
        <w:pStyle w:val="Ttulodepalabrasclave"/>
        <w:rPr>
          <w:lang w:val="es-AR"/>
        </w:rPr>
      </w:pPr>
      <w:r w:rsidRPr="006E0173">
        <w:rPr>
          <w:lang w:val="es-AR"/>
        </w:rPr>
        <w:t>Palabras Clave</w:t>
      </w:r>
    </w:p>
    <w:p w14:paraId="328941F6" w14:textId="1BD1F99B" w:rsidR="00F07D24" w:rsidRPr="0019293F" w:rsidRDefault="0019293F" w:rsidP="00F07D24">
      <w:pPr>
        <w:rPr>
          <w:bCs/>
          <w:iCs/>
          <w:sz w:val="20"/>
          <w:szCs w:val="20"/>
        </w:rPr>
      </w:pPr>
      <w:r w:rsidRPr="0019293F">
        <w:rPr>
          <w:bCs/>
          <w:iCs/>
          <w:sz w:val="20"/>
          <w:szCs w:val="20"/>
        </w:rPr>
        <w:t xml:space="preserve">epilepsia, vigilia, sueño, </w:t>
      </w:r>
      <w:proofErr w:type="spellStart"/>
      <w:r w:rsidRPr="0019293F">
        <w:rPr>
          <w:bCs/>
          <w:iCs/>
          <w:sz w:val="20"/>
          <w:szCs w:val="20"/>
        </w:rPr>
        <w:t>gabapentina</w:t>
      </w:r>
      <w:proofErr w:type="spellEnd"/>
      <w:r w:rsidRPr="0019293F">
        <w:rPr>
          <w:bCs/>
          <w:iCs/>
          <w:sz w:val="20"/>
          <w:szCs w:val="20"/>
        </w:rPr>
        <w:t>, conducta animal, acción farmacológica</w:t>
      </w:r>
    </w:p>
    <w:p w14:paraId="5883BB39" w14:textId="77777777" w:rsidR="008547C7" w:rsidRPr="0019293F" w:rsidRDefault="008547C7" w:rsidP="00F07D24">
      <w:pPr>
        <w:rPr>
          <w:bCs/>
          <w:iCs/>
          <w:sz w:val="20"/>
          <w:szCs w:val="20"/>
        </w:rPr>
      </w:pPr>
    </w:p>
    <w:p w14:paraId="1BF37552" w14:textId="0F22412A" w:rsidR="002D6B30" w:rsidRPr="00E272F5" w:rsidRDefault="00DF29D2" w:rsidP="002D6B30">
      <w:pPr>
        <w:pStyle w:val="TtuloResumen"/>
        <w:rPr>
          <w:bCs/>
          <w:lang w:val="en-US"/>
        </w:rPr>
      </w:pPr>
      <w:r w:rsidRPr="00333677">
        <w:rPr>
          <w:noProof/>
          <w:lang w:val="en-GB" w:eastAsia="es-AR"/>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7"/>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971421">
        <w:rPr>
          <w:bCs/>
          <w:iCs/>
          <w:lang w:val="en-US"/>
        </w:rPr>
        <w:t xml:space="preserve"> </w:t>
      </w:r>
      <w:r w:rsidR="00E272F5" w:rsidRPr="00E272F5">
        <w:rPr>
          <w:lang w:val="en-US"/>
        </w:rPr>
        <w:t>Abstract</w:t>
      </w:r>
    </w:p>
    <w:p w14:paraId="65E89737" w14:textId="7494977B" w:rsidR="002D6B30" w:rsidRPr="00E272F5" w:rsidRDefault="0019293F" w:rsidP="002D6B30">
      <w:pPr>
        <w:pStyle w:val="Resumen"/>
      </w:pPr>
      <w:r w:rsidRPr="0019293F">
        <w:t xml:space="preserve">Numerous sleep disturbances induced by nocturnal epilepsy have been described. Gabapentin (GBP) is used as an adjuvant or as a </w:t>
      </w:r>
      <w:proofErr w:type="spellStart"/>
      <w:r w:rsidRPr="0019293F">
        <w:t>monotherapeutic</w:t>
      </w:r>
      <w:proofErr w:type="spellEnd"/>
      <w:r w:rsidRPr="0019293F">
        <w:t xml:space="preserve"> treatment, as it induces significant improvement in patients with partial or secondarily generalized focal seizures. In experimental animal models of epilepsy, GBP protects against seizures generated with </w:t>
      </w:r>
      <w:proofErr w:type="spellStart"/>
      <w:r w:rsidRPr="0019293F">
        <w:t>pentylenetrazol</w:t>
      </w:r>
      <w:proofErr w:type="spellEnd"/>
      <w:r w:rsidRPr="0019293F">
        <w:t xml:space="preserve"> (PTZ). The objective of this work was to investigate the efficacy of GBP to protect against motor and sleep disturbances caused by seizures induced by PTZ. Three </w:t>
      </w:r>
      <w:proofErr w:type="spellStart"/>
      <w:r w:rsidRPr="0019293F">
        <w:t>polygraphic</w:t>
      </w:r>
      <w:proofErr w:type="spellEnd"/>
      <w:r w:rsidRPr="0019293F">
        <w:t xml:space="preserve"> recordings were performed on four groups of male Wistar rats. Each group was given PTZ to induce seizures, 30 minutes before PTZ administration doses of GB were applied, one group received 15 mg/kg, another group received 30 mg/kg and a third group received 60 mg/kg. After administration of PTZ, electrophysiological and behavioral manifestations that characterize seizures were observed. In addition, vigilance states were significantly altered, increasing the amount of wakefulness, while sleep was inhibited for a period of time. The administration of increased doses of GBP tended to inhibit the presence of abnormal motor behaviors, facilitating the presence of sleep.</w:t>
      </w:r>
    </w:p>
    <w:p w14:paraId="26FDFD50" w14:textId="77777777" w:rsidR="002D6B30" w:rsidRPr="00E272F5" w:rsidRDefault="002D6B30" w:rsidP="002D6B30">
      <w:pPr>
        <w:pStyle w:val="Ttulodepalabrasclave"/>
      </w:pPr>
    </w:p>
    <w:p w14:paraId="79031265" w14:textId="10BE2C2F" w:rsidR="00B5244C" w:rsidRPr="00F07D24" w:rsidRDefault="00971421" w:rsidP="00B5244C">
      <w:pPr>
        <w:pStyle w:val="Ttulodepalabrasclave"/>
        <w:rPr>
          <w:lang w:val="en-GB"/>
        </w:rPr>
      </w:pPr>
      <w:r w:rsidRPr="00F07D24">
        <w:rPr>
          <w:lang w:val="en-GB"/>
        </w:rPr>
        <w:t>Keywords</w:t>
      </w:r>
    </w:p>
    <w:p w14:paraId="3792DCB8" w14:textId="1AC392B7" w:rsidR="002D6B30" w:rsidRPr="00E976E9" w:rsidRDefault="0019293F">
      <w:pPr>
        <w:rPr>
          <w:bCs/>
          <w:iCs/>
          <w:sz w:val="20"/>
          <w:szCs w:val="20"/>
          <w:lang w:val="en-US"/>
        </w:rPr>
      </w:pPr>
      <w:r>
        <w:rPr>
          <w:bCs/>
          <w:iCs/>
          <w:sz w:val="20"/>
          <w:szCs w:val="20"/>
          <w:lang w:val="en-US"/>
        </w:rPr>
        <w:t>e</w:t>
      </w:r>
      <w:r w:rsidRPr="0019293F">
        <w:rPr>
          <w:bCs/>
          <w:iCs/>
          <w:sz w:val="20"/>
          <w:szCs w:val="20"/>
          <w:lang w:val="en-US"/>
        </w:rPr>
        <w:t>pilepsy, wakefulness, sleep, gabapentin, animal behavior, pharmacologic effects</w:t>
      </w:r>
      <w:r w:rsidR="00E272F5" w:rsidRPr="00E976E9">
        <w:rPr>
          <w:bCs/>
          <w:iCs/>
          <w:sz w:val="20"/>
          <w:szCs w:val="20"/>
          <w:lang w:val="en-US"/>
        </w:rPr>
        <w:t xml:space="preserve"> </w:t>
      </w:r>
      <w:r w:rsidR="002D6B30" w:rsidRPr="00E976E9">
        <w:rPr>
          <w:bCs/>
          <w:iCs/>
          <w:sz w:val="20"/>
          <w:szCs w:val="20"/>
          <w:lang w:val="en-US"/>
        </w:rPr>
        <w:br w:type="page"/>
      </w:r>
    </w:p>
    <w:p w14:paraId="45D157E5" w14:textId="2E184718" w:rsidR="00333677" w:rsidRPr="00DE1400" w:rsidRDefault="0019293F" w:rsidP="00AE2924">
      <w:pPr>
        <w:pStyle w:val="Prrafocomn"/>
        <w:ind w:firstLine="0"/>
        <w:jc w:val="center"/>
      </w:pPr>
      <w:r w:rsidRPr="0019293F">
        <w:lastRenderedPageBreak/>
        <w:t>Sleep and behavioral disturbances induced by epilepsy: Protective effect of Gabapentin</w:t>
      </w:r>
    </w:p>
    <w:p w14:paraId="512A04F3" w14:textId="244646AD" w:rsidR="00333677" w:rsidRPr="006E0173" w:rsidRDefault="0019293F" w:rsidP="00F42476">
      <w:pPr>
        <w:pStyle w:val="Ttulosinternos"/>
        <w:rPr>
          <w:lang w:val="es-AR"/>
        </w:rPr>
      </w:pPr>
      <w:r w:rsidRPr="006E0173">
        <w:rPr>
          <w:lang w:val="es-AR"/>
        </w:rPr>
        <w:t>Introducción</w:t>
      </w:r>
    </w:p>
    <w:p w14:paraId="33AF6CD1" w14:textId="77777777" w:rsidR="0019293F" w:rsidRPr="0019293F" w:rsidRDefault="0019293F" w:rsidP="0019293F">
      <w:pPr>
        <w:pStyle w:val="Prrafocomn"/>
        <w:spacing w:line="400" w:lineRule="exact"/>
        <w:ind w:firstLine="709"/>
        <w:rPr>
          <w:lang w:val="es-MX"/>
        </w:rPr>
      </w:pPr>
      <w:r w:rsidRPr="0019293F">
        <w:rPr>
          <w:lang w:val="es-MX"/>
        </w:rPr>
        <w:t>La epilepsia es una enfermedad neurológica que se considera un problema de salud importante y cuyo control continúa siendo un reto en la actualidad (</w:t>
      </w:r>
      <w:bookmarkStart w:id="2" w:name="_Hlk24632564"/>
      <w:r w:rsidRPr="0019293F">
        <w:rPr>
          <w:lang w:val="es-MX"/>
        </w:rPr>
        <w:t>Thijs, Surges, O´Brien, &amp; Sander, 2019)</w:t>
      </w:r>
      <w:bookmarkEnd w:id="2"/>
      <w:r w:rsidRPr="0019293F">
        <w:rPr>
          <w:lang w:val="es-MX"/>
        </w:rPr>
        <w:t>.</w:t>
      </w:r>
    </w:p>
    <w:p w14:paraId="6BEE5003" w14:textId="77777777" w:rsidR="0019293F" w:rsidRPr="0019293F" w:rsidRDefault="0019293F" w:rsidP="0019293F">
      <w:pPr>
        <w:pStyle w:val="Prrafocomn"/>
        <w:spacing w:line="400" w:lineRule="exact"/>
        <w:ind w:firstLine="709"/>
        <w:rPr>
          <w:lang w:val="es-CO"/>
        </w:rPr>
      </w:pPr>
      <w:r w:rsidRPr="0019293F">
        <w:rPr>
          <w:lang w:val="es-CO"/>
        </w:rPr>
        <w:t>Por otra parte, el sueño es un estado reversible de inconsciencia, durante el cual el umbral sensorial permanece elevado, disminuyendo la capacidad de respuesta a estímulos medio-ambientales, dependiendo de la especie del reino animal, se presenta un estado de reposo en horas específicas del día, en un sitio y postura específica, con cambios de temperatura, tono muscular y movimientos oculares (</w:t>
      </w:r>
      <w:proofErr w:type="spellStart"/>
      <w:r w:rsidRPr="0019293F">
        <w:rPr>
          <w:lang w:val="es-CO"/>
        </w:rPr>
        <w:t>Deboer</w:t>
      </w:r>
      <w:proofErr w:type="spellEnd"/>
      <w:r w:rsidRPr="0019293F">
        <w:rPr>
          <w:lang w:val="es-CO"/>
        </w:rPr>
        <w:t xml:space="preserve">, 2015). </w:t>
      </w:r>
    </w:p>
    <w:p w14:paraId="308064DF" w14:textId="2A6DE0B6" w:rsidR="0019293F" w:rsidRPr="0019293F" w:rsidRDefault="0019293F" w:rsidP="0019293F">
      <w:pPr>
        <w:pStyle w:val="Prrafocomn"/>
        <w:spacing w:line="400" w:lineRule="exact"/>
        <w:ind w:firstLine="709"/>
        <w:rPr>
          <w:lang w:val="es-CO"/>
        </w:rPr>
      </w:pPr>
      <w:r w:rsidRPr="0019293F">
        <w:rPr>
          <w:lang w:val="es-CO"/>
        </w:rPr>
        <w:t>Tanto en el humano como en otras especies de mamíferos, el sueño está integrado esencialmente por dos estados: Sueño de ondas lentas o sueño sin movimientos oculares rápidos (NMOR) y sueño de movimientos oculares rápidos (MOR) (Ayala-Guerrero</w:t>
      </w:r>
      <w:r w:rsidR="00C45E73">
        <w:rPr>
          <w:lang w:val="es-CO"/>
        </w:rPr>
        <w:t xml:space="preserve"> et al.</w:t>
      </w:r>
      <w:r w:rsidRPr="0019293F">
        <w:rPr>
          <w:lang w:val="es-CO"/>
        </w:rPr>
        <w:t xml:space="preserve">, 2010; </w:t>
      </w:r>
      <w:r w:rsidRPr="0019293F">
        <w:rPr>
          <w:lang w:val="es-MX"/>
        </w:rPr>
        <w:t>Kryger</w:t>
      </w:r>
      <w:r w:rsidR="00C45E73">
        <w:rPr>
          <w:lang w:val="es-MX"/>
        </w:rPr>
        <w:t xml:space="preserve"> et al.</w:t>
      </w:r>
      <w:r w:rsidRPr="0019293F">
        <w:rPr>
          <w:lang w:val="es-MX"/>
        </w:rPr>
        <w:t>, 2017).</w:t>
      </w:r>
    </w:p>
    <w:p w14:paraId="48AA9A80" w14:textId="387F7C66" w:rsidR="0019293F" w:rsidRPr="0019293F" w:rsidRDefault="0019293F" w:rsidP="0019293F">
      <w:pPr>
        <w:pStyle w:val="Prrafocomn"/>
        <w:spacing w:line="400" w:lineRule="exact"/>
        <w:ind w:firstLine="709"/>
        <w:rPr>
          <w:lang w:val="es-MX"/>
        </w:rPr>
      </w:pPr>
      <w:r w:rsidRPr="0019293F">
        <w:rPr>
          <w:lang w:val="es-MX"/>
        </w:rPr>
        <w:t>Se ha descrito desde hace tiempo que existe una relación funcional estrecha entre el sueño y la epilepsia (Malow, 2007), ya que tanto la presencia del sueño, particularmente el sueño NMOR, como la falta de sueño en general, tienen un efecto excitador sobre la génesis y la propagación de las crisis convulsivas (Foldvary-Schaefer</w:t>
      </w:r>
      <w:r w:rsidR="008C3A89">
        <w:rPr>
          <w:lang w:val="es-MX"/>
        </w:rPr>
        <w:t>, &amp;</w:t>
      </w:r>
      <w:r w:rsidRPr="0019293F">
        <w:rPr>
          <w:lang w:val="es-MX"/>
        </w:rPr>
        <w:t xml:space="preserve"> Grigg-Damberger, 2006</w:t>
      </w:r>
      <w:bookmarkStart w:id="3" w:name="_Hlk26543115"/>
      <w:r w:rsidRPr="0019293F">
        <w:rPr>
          <w:lang w:val="es-MX"/>
        </w:rPr>
        <w:t>; Halász, 2013).</w:t>
      </w:r>
      <w:bookmarkEnd w:id="3"/>
    </w:p>
    <w:p w14:paraId="53F5F205" w14:textId="1F31E336" w:rsidR="0019293F" w:rsidRPr="0019293F" w:rsidRDefault="0019293F" w:rsidP="0019293F">
      <w:pPr>
        <w:pStyle w:val="Prrafocomn"/>
        <w:spacing w:line="400" w:lineRule="exact"/>
        <w:ind w:firstLine="709"/>
        <w:rPr>
          <w:lang w:val="es-MX"/>
        </w:rPr>
      </w:pPr>
      <w:r w:rsidRPr="0019293F">
        <w:rPr>
          <w:lang w:val="es-CO"/>
        </w:rPr>
        <w:t xml:space="preserve">Cualquier tipo de alteración que presente el sueño, afecta la salud y la calidad de vida de los pacientes. En el caso de la epilepsia, se ha descrito que modifica la </w:t>
      </w:r>
      <w:r w:rsidRPr="0019293F">
        <w:rPr>
          <w:lang w:val="es-MX"/>
        </w:rPr>
        <w:t>estructura del sueño e incrementa la latencia de inicio del sueño. Asimismo, reduce su eficiencia y su cantidad (Barreto</w:t>
      </w:r>
      <w:r w:rsidR="00C45E73">
        <w:rPr>
          <w:lang w:val="es-MX"/>
        </w:rPr>
        <w:t xml:space="preserve"> et al.</w:t>
      </w:r>
      <w:r w:rsidRPr="0019293F">
        <w:rPr>
          <w:lang w:val="es-MX"/>
        </w:rPr>
        <w:t>, 2002; Manni</w:t>
      </w:r>
      <w:r w:rsidR="008C3A89">
        <w:rPr>
          <w:lang w:val="es-MX"/>
        </w:rPr>
        <w:t>, &amp;</w:t>
      </w:r>
      <w:r w:rsidRPr="0019293F">
        <w:rPr>
          <w:lang w:val="es-MX"/>
        </w:rPr>
        <w:t xml:space="preserve"> Terzaghi, 2010). Además, tanto la epilepsia nocturna como la farmacoterapia antiepiléptica influyen en la presencia de síntomas diurnos como somnolencia excesiva y trastornos cognitivos.  </w:t>
      </w:r>
    </w:p>
    <w:p w14:paraId="1D529BA3" w14:textId="3ADAFDDA" w:rsidR="0019293F" w:rsidRPr="0019293F" w:rsidRDefault="0019293F" w:rsidP="0019293F">
      <w:pPr>
        <w:pStyle w:val="Prrafocomn"/>
        <w:spacing w:line="400" w:lineRule="exact"/>
        <w:ind w:firstLine="709"/>
        <w:rPr>
          <w:lang w:val="es-MX"/>
        </w:rPr>
      </w:pPr>
      <w:r w:rsidRPr="0019293F">
        <w:rPr>
          <w:lang w:val="es-MX"/>
        </w:rPr>
        <w:t>Debido a que la excitabilidad del cerebro varía dependiendo de la fase de sueño, algunos tipos de epilepsia pueden originarse en un momento determinado del ciclo sueño-vigilia (Carreño</w:t>
      </w:r>
      <w:r w:rsidR="008C3A89">
        <w:rPr>
          <w:lang w:val="es-MX"/>
        </w:rPr>
        <w:t>, &amp;</w:t>
      </w:r>
      <w:r w:rsidRPr="0019293F">
        <w:rPr>
          <w:lang w:val="es-MX"/>
        </w:rPr>
        <w:t xml:space="preserve"> Fernández, 2016; Malow</w:t>
      </w:r>
      <w:r w:rsidR="00C45E73">
        <w:rPr>
          <w:lang w:val="es-MX"/>
        </w:rPr>
        <w:t xml:space="preserve"> et al.</w:t>
      </w:r>
      <w:r w:rsidRPr="0019293F">
        <w:rPr>
          <w:lang w:val="es-MX"/>
        </w:rPr>
        <w:t>, 1997; Minecan</w:t>
      </w:r>
      <w:r w:rsidR="00C45E73">
        <w:rPr>
          <w:lang w:val="es-MX"/>
        </w:rPr>
        <w:t xml:space="preserve"> et al.</w:t>
      </w:r>
      <w:r w:rsidRPr="0019293F">
        <w:rPr>
          <w:lang w:val="es-MX"/>
        </w:rPr>
        <w:t xml:space="preserve">, 2002). Sin embargo, los mecanismos neurofisiológicos implicados en estos cambios de excitabilidad siguen siendo poco conocidos. </w:t>
      </w:r>
    </w:p>
    <w:p w14:paraId="05296C53" w14:textId="61ECA27E" w:rsidR="0019293F" w:rsidRPr="0019293F" w:rsidRDefault="0019293F" w:rsidP="0019293F">
      <w:pPr>
        <w:pStyle w:val="Prrafocomn"/>
        <w:spacing w:line="400" w:lineRule="exact"/>
        <w:ind w:firstLine="709"/>
        <w:rPr>
          <w:lang w:val="es-MX"/>
        </w:rPr>
      </w:pPr>
      <w:r w:rsidRPr="0019293F">
        <w:rPr>
          <w:lang w:val="es-MX"/>
        </w:rPr>
        <w:t>Un método para estudiar el efecto de la epilepsia sobre el sueño, está relacionado con el uso de modelos animales experimentales (Ayala-Guerrero et al., 2002; Ayala-Guerrero</w:t>
      </w:r>
      <w:r w:rsidR="008C3A89">
        <w:rPr>
          <w:lang w:val="es-MX"/>
        </w:rPr>
        <w:t>, &amp;</w:t>
      </w:r>
      <w:r w:rsidRPr="0019293F">
        <w:rPr>
          <w:lang w:val="es-MX"/>
        </w:rPr>
        <w:t xml:space="preserve"> Mexicano, 2017). En este contexto, el pentilentetrazol (PTZ) se ha utilizado </w:t>
      </w:r>
      <w:r w:rsidRPr="0019293F">
        <w:rPr>
          <w:lang w:val="es-MX"/>
        </w:rPr>
        <w:lastRenderedPageBreak/>
        <w:t>como agente inductor de convulsiones generalizadas (Klioueva</w:t>
      </w:r>
      <w:r w:rsidR="00C45E73">
        <w:rPr>
          <w:lang w:val="es-MX"/>
        </w:rPr>
        <w:t xml:space="preserve"> et al.</w:t>
      </w:r>
      <w:r w:rsidRPr="0019293F">
        <w:rPr>
          <w:lang w:val="es-MX"/>
        </w:rPr>
        <w:t>, 2001), las cuales son similares a las de los humanos con epilepsia (Nehlig et al., 2006). Por lo cual el modelo de PTZ, se ha usado para analizar el efecto de las convulsiones generalizadas sobre la estructura del sueño y probar la eficacia de fármacos antiepilépticos (Akula</w:t>
      </w:r>
      <w:r w:rsidR="00C45E73">
        <w:rPr>
          <w:lang w:val="es-MX"/>
        </w:rPr>
        <w:t xml:space="preserve"> et al.</w:t>
      </w:r>
      <w:r w:rsidRPr="0019293F">
        <w:rPr>
          <w:lang w:val="es-MX"/>
        </w:rPr>
        <w:t>, 2009)</w:t>
      </w:r>
    </w:p>
    <w:p w14:paraId="212D50CB" w14:textId="77777777" w:rsidR="0019293F" w:rsidRPr="0019293F" w:rsidRDefault="0019293F" w:rsidP="0019293F">
      <w:pPr>
        <w:pStyle w:val="Prrafocomn"/>
        <w:spacing w:line="400" w:lineRule="exact"/>
        <w:ind w:firstLine="709"/>
        <w:rPr>
          <w:lang w:val="es-MX"/>
        </w:rPr>
      </w:pPr>
      <w:r w:rsidRPr="0019293F">
        <w:rPr>
          <w:lang w:val="es-MX"/>
        </w:rPr>
        <w:t xml:space="preserve">El análisis del comportamiento mostrado durante las convulsiones, contribuye a establecer el nivel de gravedad alcanzado por la epilepsia. En este contexto, Racine (1972) describió un método que ha sido utilizado por diferentes grupos de investigación, sobre la base de la detección de diferentes comportamientos repetitivos, relacionados con la intensidad de la actividad convulsiva. </w:t>
      </w:r>
    </w:p>
    <w:p w14:paraId="62814EC4" w14:textId="6910ECDD" w:rsidR="0019293F" w:rsidRPr="0019293F" w:rsidRDefault="0019293F" w:rsidP="0019293F">
      <w:pPr>
        <w:pStyle w:val="Prrafocomn"/>
        <w:spacing w:line="400" w:lineRule="exact"/>
        <w:ind w:firstLine="709"/>
        <w:rPr>
          <w:lang w:val="es-MX"/>
        </w:rPr>
      </w:pPr>
      <w:r w:rsidRPr="0019293F">
        <w:rPr>
          <w:lang w:val="es-MX"/>
        </w:rPr>
        <w:t>En relación con fármacos antiepilépticos, la Gabapentina (GBP) es un agonista del ácido γ-aminobutírico (GABA) que no tiene afinidad por el complejo receptor GABA</w:t>
      </w:r>
      <w:r w:rsidRPr="0019293F">
        <w:rPr>
          <w:vertAlign w:val="superscript"/>
          <w:lang w:val="es-MX"/>
        </w:rPr>
        <w:t xml:space="preserve">A </w:t>
      </w:r>
      <w:r w:rsidRPr="0019293F">
        <w:rPr>
          <w:lang w:val="es-MX"/>
        </w:rPr>
        <w:t>y pasa fácilmente a través de la barrera hematoencefálica. Aunque, no se ha identificado el mecanismo de acción preciso de la GBP en humanos (Sills, 2006), su uso clínico como fármaco único o adyuvante, induce mejoría en pacientes con crisis parciales focales secundariamente generalizadas (Czuczwar</w:t>
      </w:r>
      <w:r w:rsidR="008C3A89">
        <w:rPr>
          <w:lang w:val="es-MX"/>
        </w:rPr>
        <w:t>, &amp;</w:t>
      </w:r>
      <w:r w:rsidRPr="0019293F">
        <w:rPr>
          <w:lang w:val="es-MX"/>
        </w:rPr>
        <w:t xml:space="preserve"> Patsalos, 2001; Larsen Burns</w:t>
      </w:r>
      <w:r w:rsidR="00C45E73">
        <w:rPr>
          <w:lang w:val="es-MX"/>
        </w:rPr>
        <w:t xml:space="preserve"> et al.</w:t>
      </w:r>
      <w:r w:rsidRPr="0019293F">
        <w:rPr>
          <w:lang w:val="es-MX"/>
        </w:rPr>
        <w:t>, 2019).   El mecanismo de acción de la GBP está asociado a su unión a una proteína auxiliar en la subunidad α2-δ de los canales de calcio dependientes de voltaje. Esta unión provoca la  reducción  del  influjo  de  calcio  en  los  terminales  presinápticos,  impidiendo la liberación de glutamato, noradrenalina y sustancia P, lo que explica su efecto antiepiléptico (Targas</w:t>
      </w:r>
      <w:r w:rsidR="00C45E73">
        <w:rPr>
          <w:lang w:val="es-MX"/>
        </w:rPr>
        <w:t xml:space="preserve"> et al.</w:t>
      </w:r>
      <w:r w:rsidRPr="0019293F">
        <w:rPr>
          <w:lang w:val="es-MX"/>
        </w:rPr>
        <w:t>, 2014).  En algunos modelos experimentales de epilepsia, se ha reportado que la GBP protege contra las crisis convulsivas inducidas por PTZ (</w:t>
      </w:r>
      <w:bookmarkStart w:id="4" w:name="_Hlk26532377"/>
      <w:r w:rsidRPr="0019293F">
        <w:rPr>
          <w:lang w:val="es-MX"/>
        </w:rPr>
        <w:t>Ayala-Guerrero et al., 2019</w:t>
      </w:r>
      <w:bookmarkEnd w:id="4"/>
      <w:r w:rsidRPr="0019293F">
        <w:rPr>
          <w:lang w:val="es-MX"/>
        </w:rPr>
        <w:t>; Dalby</w:t>
      </w:r>
      <w:r w:rsidR="008C3A89">
        <w:rPr>
          <w:lang w:val="es-MX"/>
        </w:rPr>
        <w:t>, &amp;</w:t>
      </w:r>
      <w:r w:rsidRPr="0019293F">
        <w:rPr>
          <w:lang w:val="es-MX"/>
        </w:rPr>
        <w:t xml:space="preserve"> Nielsen, 1997).</w:t>
      </w:r>
    </w:p>
    <w:p w14:paraId="15B798F0" w14:textId="1B432B37" w:rsidR="0019293F" w:rsidRPr="0019293F" w:rsidRDefault="0019293F" w:rsidP="0019293F">
      <w:pPr>
        <w:pStyle w:val="Prrafocomn"/>
        <w:spacing w:line="400" w:lineRule="exact"/>
        <w:ind w:firstLine="709"/>
        <w:rPr>
          <w:lang w:val="es-MX"/>
        </w:rPr>
      </w:pPr>
      <w:r w:rsidRPr="0019293F">
        <w:rPr>
          <w:lang w:val="es-MX"/>
        </w:rPr>
        <w:t>Se tienen indicios de que la GBP mejora el sueño en pacientes con insomnio primario (Lo et al., 2010). Por lo cual, este fármaco antiepiléptico, pudiera ser efectivo para el tratamiento de diferentes tipos de insomnio (Robinson</w:t>
      </w:r>
      <w:r w:rsidR="008C3A89">
        <w:rPr>
          <w:lang w:val="es-MX"/>
        </w:rPr>
        <w:t>, &amp;</w:t>
      </w:r>
      <w:r w:rsidRPr="0019293F">
        <w:rPr>
          <w:lang w:val="es-MX"/>
        </w:rPr>
        <w:t xml:space="preserve"> Malow, 2013; Schweitzer</w:t>
      </w:r>
      <w:r w:rsidR="008C3A89">
        <w:rPr>
          <w:lang w:val="es-MX"/>
        </w:rPr>
        <w:t>, &amp;</w:t>
      </w:r>
      <w:r w:rsidRPr="0019293F">
        <w:rPr>
          <w:lang w:val="es-MX"/>
        </w:rPr>
        <w:t xml:space="preserve"> Feren, 2017). Además, la GBP incrementa el sueño NMOR (Foldvary‐Schaefer et al., 2002). En estudios futuros analizaremos el efecto sobre el sueño de la administración de únicamente GBP, para corroborar en nuestro modelo experimental lo descrito superficialmente en humanos. La evidencia de estos estudios nos lleva a plantear la hipótesis que la administración de GBP ejerce un efecto protector sobre las alteraciones en el sueño inducidas por las crisis convulsivas provocadas por el PTZ. </w:t>
      </w:r>
    </w:p>
    <w:p w14:paraId="45C9B3BA" w14:textId="14379E09" w:rsidR="00012352" w:rsidRPr="0019293F" w:rsidRDefault="0019293F" w:rsidP="0019293F">
      <w:pPr>
        <w:pStyle w:val="Prrafocomn"/>
        <w:spacing w:line="400" w:lineRule="exact"/>
        <w:ind w:firstLine="709"/>
        <w:rPr>
          <w:lang w:val="es-AR"/>
        </w:rPr>
      </w:pPr>
      <w:r w:rsidRPr="0019293F">
        <w:rPr>
          <w:lang w:val="es-AR"/>
        </w:rPr>
        <w:lastRenderedPageBreak/>
        <w:t>En consideración a las propiedades de la GBP descritas anteriormente, el objetivo de este trabajo fue investigar su eficacia para proteger contra las alteraciones del comportamiento y del sueño provocadas por las crisis convulsivas</w:t>
      </w:r>
      <w:r w:rsidR="00DE1400" w:rsidRPr="0019293F">
        <w:rPr>
          <w:lang w:val="es-AR"/>
        </w:rPr>
        <w:t>.</w:t>
      </w:r>
    </w:p>
    <w:p w14:paraId="3BEA5576" w14:textId="77777777" w:rsidR="00012352" w:rsidRPr="0019293F" w:rsidRDefault="00012352" w:rsidP="00012352">
      <w:pPr>
        <w:pStyle w:val="Ttulosinternos"/>
        <w:rPr>
          <w:lang w:val="es-AR"/>
        </w:rPr>
      </w:pPr>
      <w:r w:rsidRPr="0019293F">
        <w:rPr>
          <w:lang w:val="es-AR"/>
        </w:rPr>
        <w:t>Método</w:t>
      </w:r>
    </w:p>
    <w:p w14:paraId="27DD5720" w14:textId="5C425549" w:rsidR="00012352" w:rsidRPr="0019293F" w:rsidRDefault="0019293F" w:rsidP="00012352">
      <w:pPr>
        <w:pStyle w:val="SubtituloInterno"/>
      </w:pPr>
      <w:r w:rsidRPr="0019293F">
        <w:rPr>
          <w:bCs/>
          <w:iCs/>
        </w:rPr>
        <w:t>Sujetos</w:t>
      </w:r>
    </w:p>
    <w:p w14:paraId="7164367F" w14:textId="6A236C86" w:rsidR="00012352" w:rsidRPr="0019293F" w:rsidRDefault="0019293F" w:rsidP="00012352">
      <w:pPr>
        <w:pStyle w:val="Prrafocomn"/>
        <w:rPr>
          <w:lang w:val="es-AR"/>
        </w:rPr>
      </w:pPr>
      <w:r w:rsidRPr="0019293F">
        <w:rPr>
          <w:lang w:val="es-AR"/>
        </w:rPr>
        <w:t xml:space="preserve">Se utilizaron 32 ratas </w:t>
      </w:r>
      <w:proofErr w:type="spellStart"/>
      <w:r w:rsidRPr="0019293F">
        <w:rPr>
          <w:lang w:val="es-AR"/>
        </w:rPr>
        <w:t>Wistar</w:t>
      </w:r>
      <w:proofErr w:type="spellEnd"/>
      <w:r w:rsidRPr="0019293F">
        <w:rPr>
          <w:lang w:val="es-AR"/>
        </w:rPr>
        <w:t xml:space="preserve"> macho adultas de 90-120 días de edad,  con</w:t>
      </w:r>
      <w:r w:rsidRPr="0019293F">
        <w:rPr>
          <w:i/>
          <w:lang w:val="es-AR"/>
        </w:rPr>
        <w:t xml:space="preserve"> </w:t>
      </w:r>
      <w:r w:rsidRPr="0019293F">
        <w:rPr>
          <w:lang w:val="es-AR"/>
        </w:rPr>
        <w:t xml:space="preserve">un peso de 250 a 350 g, estabuladas en el </w:t>
      </w:r>
      <w:proofErr w:type="spellStart"/>
      <w:r w:rsidRPr="0019293F">
        <w:rPr>
          <w:lang w:val="es-AR"/>
        </w:rPr>
        <w:t>bioterio</w:t>
      </w:r>
      <w:proofErr w:type="spellEnd"/>
      <w:r w:rsidRPr="0019293F">
        <w:rPr>
          <w:lang w:val="es-AR"/>
        </w:rPr>
        <w:t xml:space="preserve"> de la facultad de psicología de la Universidad Nacional Autónoma de México (UNAM). No se consideró la utilización de hembras debido a que su ciclo </w:t>
      </w:r>
      <w:proofErr w:type="spellStart"/>
      <w:r w:rsidRPr="0019293F">
        <w:rPr>
          <w:lang w:val="es-AR"/>
        </w:rPr>
        <w:t>estral</w:t>
      </w:r>
      <w:proofErr w:type="spellEnd"/>
      <w:r w:rsidRPr="0019293F">
        <w:rPr>
          <w:lang w:val="es-AR"/>
        </w:rPr>
        <w:t xml:space="preserve"> modifica las cantidades de sueño NMOR y MOR (Swift et al., 2020).</w:t>
      </w:r>
      <w:r w:rsidR="00012352" w:rsidRPr="0019293F">
        <w:rPr>
          <w:lang w:val="es-AR"/>
        </w:rPr>
        <w:t xml:space="preserve"> </w:t>
      </w:r>
    </w:p>
    <w:p w14:paraId="6943789A" w14:textId="1598598A" w:rsidR="00012352" w:rsidRPr="0019293F" w:rsidRDefault="0019293F" w:rsidP="00012352">
      <w:pPr>
        <w:pStyle w:val="SubtituloInterno"/>
      </w:pPr>
      <w:r w:rsidRPr="0019293F">
        <w:rPr>
          <w:bCs/>
          <w:iCs/>
        </w:rPr>
        <w:t>Materiales</w:t>
      </w:r>
    </w:p>
    <w:p w14:paraId="7D54DE8A" w14:textId="6FED139A" w:rsidR="00012352" w:rsidRPr="0019293F" w:rsidRDefault="0019293F" w:rsidP="007A015E">
      <w:pPr>
        <w:pStyle w:val="Prrafocomn"/>
        <w:rPr>
          <w:lang w:val="es-AR"/>
        </w:rPr>
      </w:pPr>
      <w:r w:rsidRPr="0019293F">
        <w:rPr>
          <w:lang w:val="es-AR"/>
        </w:rPr>
        <w:t xml:space="preserve">Polígrafo marca </w:t>
      </w:r>
      <w:proofErr w:type="spellStart"/>
      <w:r w:rsidRPr="0019293F">
        <w:rPr>
          <w:lang w:val="es-AR"/>
        </w:rPr>
        <w:t>Grass</w:t>
      </w:r>
      <w:proofErr w:type="spellEnd"/>
      <w:r w:rsidRPr="0019293F">
        <w:rPr>
          <w:lang w:val="es-AR"/>
        </w:rPr>
        <w:t xml:space="preserve"> modelo 7, cámara web Logitech modelo C170. Además, </w:t>
      </w:r>
      <w:proofErr w:type="spellStart"/>
      <w:r w:rsidRPr="0019293F">
        <w:rPr>
          <w:lang w:val="es-AR"/>
        </w:rPr>
        <w:t>pentobarbital</w:t>
      </w:r>
      <w:proofErr w:type="spellEnd"/>
      <w:r w:rsidRPr="0019293F">
        <w:rPr>
          <w:lang w:val="es-AR"/>
        </w:rPr>
        <w:t xml:space="preserve"> sódico marca </w:t>
      </w:r>
      <w:proofErr w:type="spellStart"/>
      <w:r w:rsidRPr="0019293F">
        <w:rPr>
          <w:lang w:val="es-AR"/>
        </w:rPr>
        <w:t>PiSA</w:t>
      </w:r>
      <w:proofErr w:type="spellEnd"/>
      <w:r w:rsidRPr="0019293F">
        <w:rPr>
          <w:lang w:val="es-AR"/>
        </w:rPr>
        <w:t xml:space="preserve"> agropecuaria, </w:t>
      </w:r>
      <w:proofErr w:type="spellStart"/>
      <w:r w:rsidRPr="0019293F">
        <w:rPr>
          <w:lang w:val="es-AR"/>
        </w:rPr>
        <w:t>convutin</w:t>
      </w:r>
      <w:proofErr w:type="spellEnd"/>
      <w:r w:rsidRPr="0019293F">
        <w:rPr>
          <w:lang w:val="es-AR"/>
        </w:rPr>
        <w:t xml:space="preserve"> (</w:t>
      </w:r>
      <w:proofErr w:type="spellStart"/>
      <w:r w:rsidRPr="0019293F">
        <w:rPr>
          <w:lang w:val="es-AR"/>
        </w:rPr>
        <w:t>Gabapentina</w:t>
      </w:r>
      <w:proofErr w:type="spellEnd"/>
      <w:r w:rsidRPr="0019293F">
        <w:rPr>
          <w:lang w:val="es-AR"/>
        </w:rPr>
        <w:t xml:space="preserve">) marca APOTEX y </w:t>
      </w:r>
      <w:proofErr w:type="spellStart"/>
      <w:r w:rsidRPr="0019293F">
        <w:rPr>
          <w:lang w:val="es-AR"/>
        </w:rPr>
        <w:t>pentilentetrazol</w:t>
      </w:r>
      <w:proofErr w:type="spellEnd"/>
      <w:r w:rsidRPr="0019293F">
        <w:rPr>
          <w:lang w:val="es-AR"/>
        </w:rPr>
        <w:t xml:space="preserve"> marca SIGMA-ALDRICH.</w:t>
      </w:r>
    </w:p>
    <w:p w14:paraId="0C6D222D" w14:textId="26B3840A" w:rsidR="007A015E" w:rsidRPr="001C7D0A" w:rsidRDefault="001C7D0A" w:rsidP="007A015E">
      <w:pPr>
        <w:pStyle w:val="SubtituloInterno"/>
      </w:pPr>
      <w:r w:rsidRPr="001C7D0A">
        <w:rPr>
          <w:bCs/>
          <w:iCs/>
        </w:rPr>
        <w:t>Procedimiento</w:t>
      </w:r>
    </w:p>
    <w:p w14:paraId="39AAC826" w14:textId="299500E7" w:rsidR="001C7D0A" w:rsidRPr="001C7D0A" w:rsidRDefault="001C7D0A" w:rsidP="001C7D0A">
      <w:pPr>
        <w:pStyle w:val="Prrafocomn"/>
        <w:rPr>
          <w:bCs/>
          <w:lang w:val="es-MX"/>
        </w:rPr>
      </w:pPr>
      <w:r w:rsidRPr="001C7D0A">
        <w:rPr>
          <w:bCs/>
          <w:lang w:val="es-MX"/>
        </w:rPr>
        <w:t>Bajo anestesia general (pentobarbital sódico; 50 mg/kg ip), se colocó un par de electrodos de acero inoxidable en el área anterior (2 mm anterior a bregma 2,5 mm lateral a la línea media) y otro par en el área posterior (5 mm posterior a bregma 2,5 mm lateral a la línea media) del cerebro, para monitorear la actividad eléctrica cerebral bajo diferentes condiciones experimentales. Además, se registró el electro-oculograma (EOG) mediante dos electrodos de acero inoxidable, colocados en el canto externo e interno del ojo derecho. El electromiograma (EMG) se obtuvo por medio de dos filamentos de acero inoxidable insertados en los músculos de la nuca.</w:t>
      </w:r>
    </w:p>
    <w:p w14:paraId="67CD1D3D" w14:textId="77777777" w:rsidR="001C7D0A" w:rsidRPr="001C7D0A" w:rsidRDefault="001C7D0A" w:rsidP="001C7D0A">
      <w:pPr>
        <w:pStyle w:val="Prrafocomn"/>
        <w:rPr>
          <w:bCs/>
          <w:lang w:val="es-MX"/>
        </w:rPr>
      </w:pPr>
      <w:r w:rsidRPr="001C7D0A">
        <w:rPr>
          <w:bCs/>
          <w:lang w:val="es-MX"/>
        </w:rPr>
        <w:t>Los electrodos se soldaron a un conector, el cual era fijado en el cráneo con cemento acrílico. Los animales conectados a los cables de registro, se colocaban por separado en cajas transparentes de plexiglás, para observar y valorar su comportamiento a lo largo de los períodos experimentales y relacionarlo con los registros electrofisiológicos.</w:t>
      </w:r>
    </w:p>
    <w:p w14:paraId="42E79948" w14:textId="7706E4C3" w:rsidR="001C7D0A" w:rsidRPr="001C7D0A" w:rsidRDefault="001C7D0A" w:rsidP="001C7D0A">
      <w:pPr>
        <w:pStyle w:val="Prrafocomn"/>
        <w:rPr>
          <w:bCs/>
          <w:lang w:val="es-MX"/>
        </w:rPr>
      </w:pPr>
      <w:r w:rsidRPr="001C7D0A">
        <w:rPr>
          <w:bCs/>
          <w:lang w:val="es-MX"/>
        </w:rPr>
        <w:lastRenderedPageBreak/>
        <w:t xml:space="preserve">Los animales fueron separados en 4 grupos diferentes de 8 individuos cada uno y tenían acceso libre a alimentos y agua, manteniéndose a una temperatura ambiental de 23 ± 2 ° C, bajo un ciclo de luz-oscuridad de 12 h (de 07 a 19 h y de 19 a 07 h). En los cuatro grupos se administró PTZ de forma subcutánea (50 mg/kg). En tres grupos, 30 minutos antes de la administración de PTZ se aplicaron dosis de GB de forma intraperitoneal, un grupo de dosis baja (DB) recibió 15 mg/kg, un grupo de dosis media (DM) recibió 30 mg/kg, y un grupo de dosis alta (DA) recibió 60 mg/kg. Mientras que un grupo solamente recibió </w:t>
      </w:r>
      <w:r w:rsidR="00C45E73">
        <w:rPr>
          <w:bCs/>
          <w:lang w:val="es-MX"/>
        </w:rPr>
        <w:t xml:space="preserve">una </w:t>
      </w:r>
      <w:r w:rsidRPr="001C7D0A">
        <w:rPr>
          <w:bCs/>
          <w:lang w:val="es-MX"/>
        </w:rPr>
        <w:t>dosis de PTZ.</w:t>
      </w:r>
    </w:p>
    <w:p w14:paraId="49F03D1E" w14:textId="77777777" w:rsidR="001C7D0A" w:rsidRPr="001C7D0A" w:rsidRDefault="001C7D0A" w:rsidP="001C7D0A">
      <w:pPr>
        <w:pStyle w:val="Prrafocomn"/>
        <w:rPr>
          <w:bCs/>
          <w:lang w:val="es-MX"/>
        </w:rPr>
      </w:pPr>
      <w:r w:rsidRPr="001C7D0A">
        <w:rPr>
          <w:bCs/>
          <w:lang w:val="es-MX"/>
        </w:rPr>
        <w:t xml:space="preserve">El experimento se realizó durante tres días consecutivos: </w:t>
      </w:r>
    </w:p>
    <w:p w14:paraId="20657933" w14:textId="77777777" w:rsidR="001C7D0A" w:rsidRPr="001C7D0A" w:rsidRDefault="001C7D0A" w:rsidP="001C7D0A">
      <w:pPr>
        <w:pStyle w:val="Prrafocomn"/>
        <w:rPr>
          <w:bCs/>
          <w:lang w:val="es-MX"/>
        </w:rPr>
      </w:pPr>
      <w:r w:rsidRPr="001C7D0A">
        <w:rPr>
          <w:bCs/>
          <w:lang w:val="es-MX"/>
        </w:rPr>
        <w:t>Día 1, de línea base, en el cual los animales recibieron solo la aplicación de solución salina.</w:t>
      </w:r>
    </w:p>
    <w:p w14:paraId="6FE75013" w14:textId="77777777" w:rsidR="001C7D0A" w:rsidRPr="001C7D0A" w:rsidRDefault="001C7D0A" w:rsidP="001C7D0A">
      <w:pPr>
        <w:pStyle w:val="Prrafocomn"/>
        <w:rPr>
          <w:bCs/>
          <w:lang w:val="es-MX"/>
        </w:rPr>
      </w:pPr>
      <w:r w:rsidRPr="001C7D0A">
        <w:rPr>
          <w:bCs/>
          <w:lang w:val="es-MX"/>
        </w:rPr>
        <w:t xml:space="preserve">Día 2, de tratamiento, en el cual se administraron PTZ y GBP en los grupos respectivos. </w:t>
      </w:r>
    </w:p>
    <w:p w14:paraId="17F7CBBC" w14:textId="77777777" w:rsidR="001C7D0A" w:rsidRPr="001C7D0A" w:rsidRDefault="001C7D0A" w:rsidP="001C7D0A">
      <w:pPr>
        <w:pStyle w:val="Prrafocomn"/>
        <w:rPr>
          <w:bCs/>
          <w:lang w:val="es-MX"/>
        </w:rPr>
      </w:pPr>
      <w:r w:rsidRPr="001C7D0A">
        <w:rPr>
          <w:bCs/>
          <w:lang w:val="es-MX"/>
        </w:rPr>
        <w:t>Día 3, de postratamiento, no se administraron sustancias.</w:t>
      </w:r>
    </w:p>
    <w:p w14:paraId="184FB541" w14:textId="77777777" w:rsidR="001C7D0A" w:rsidRPr="001C7D0A" w:rsidRDefault="001C7D0A" w:rsidP="001C7D0A">
      <w:pPr>
        <w:pStyle w:val="Prrafocomn"/>
        <w:rPr>
          <w:bCs/>
          <w:lang w:val="es-MX"/>
        </w:rPr>
      </w:pPr>
      <w:r w:rsidRPr="001C7D0A">
        <w:rPr>
          <w:bCs/>
          <w:lang w:val="es-MX"/>
        </w:rPr>
        <w:t xml:space="preserve">Durante estos tres días se realizaron los registros electrofisiológicos y conductuales durante 9 horas continuas (10 a 19 h), a una velocidad del papel de 3 mm/s, obteniéndose muestras a otras velocidades con el objeto de confirmar la calidad de los registros. Además, se hicieron videograbaciones del comportamiento. </w:t>
      </w:r>
    </w:p>
    <w:p w14:paraId="44E93CCE" w14:textId="77777777" w:rsidR="001C7D0A" w:rsidRPr="001C7D0A" w:rsidRDefault="001C7D0A" w:rsidP="001C7D0A">
      <w:pPr>
        <w:pStyle w:val="SubtituloInterno"/>
        <w:rPr>
          <w:bCs/>
          <w:iCs/>
        </w:rPr>
      </w:pPr>
      <w:r w:rsidRPr="001C7D0A">
        <w:rPr>
          <w:bCs/>
          <w:iCs/>
        </w:rPr>
        <w:t>Evaluación de las conductas convulsivas</w:t>
      </w:r>
    </w:p>
    <w:p w14:paraId="51C4E081" w14:textId="3D18AF16" w:rsidR="007A015E" w:rsidRDefault="001C7D0A" w:rsidP="001C7D0A">
      <w:pPr>
        <w:pStyle w:val="Prrafocomn"/>
        <w:rPr>
          <w:bCs/>
          <w:lang w:val="es-AR"/>
        </w:rPr>
      </w:pPr>
      <w:r w:rsidRPr="001C7D0A">
        <w:rPr>
          <w:bCs/>
          <w:lang w:val="es-AR"/>
        </w:rPr>
        <w:t xml:space="preserve">Para analizar los niveles de intensidad de la actividad convulsiva alcanzada por los animales, se usó la escala de Racine que considera desde movimientos de masticación y </w:t>
      </w:r>
      <w:proofErr w:type="spellStart"/>
      <w:r w:rsidRPr="001C7D0A">
        <w:rPr>
          <w:bCs/>
          <w:lang w:val="es-AR"/>
        </w:rPr>
        <w:t>mioclonías</w:t>
      </w:r>
      <w:proofErr w:type="spellEnd"/>
      <w:r w:rsidRPr="001C7D0A">
        <w:rPr>
          <w:bCs/>
          <w:lang w:val="es-AR"/>
        </w:rPr>
        <w:t xml:space="preserve"> faciales, hasta contracciones tónicas y clónicas generalizadas (Racine, 1972) (Tabla 1).</w:t>
      </w:r>
    </w:p>
    <w:p w14:paraId="22175C08" w14:textId="77777777" w:rsidR="001C7D0A" w:rsidRPr="001C7D0A" w:rsidRDefault="001C7D0A" w:rsidP="001C7D0A">
      <w:pPr>
        <w:pStyle w:val="SubtituloInterno"/>
        <w:rPr>
          <w:bCs/>
          <w:iCs/>
        </w:rPr>
      </w:pPr>
      <w:r w:rsidRPr="001C7D0A">
        <w:rPr>
          <w:bCs/>
          <w:iCs/>
        </w:rPr>
        <w:t>Evaluación de los estados de vigilancia</w:t>
      </w:r>
    </w:p>
    <w:p w14:paraId="75326722" w14:textId="6A209E75" w:rsidR="001C7D0A" w:rsidRDefault="001C7D0A" w:rsidP="001C7D0A">
      <w:pPr>
        <w:pStyle w:val="Prrafocomn"/>
        <w:rPr>
          <w:lang w:val="es-AR"/>
        </w:rPr>
      </w:pPr>
      <w:r w:rsidRPr="001C7D0A">
        <w:rPr>
          <w:lang w:val="es-AR"/>
        </w:rPr>
        <w:t>Los registros electrofisiológicos obtenidos se analizaron visualmente para identificar los estados de vigilancia (vigilia, sueño NMOR y MOR) y se cuantificó el tiempo total empleado por los animales en cada uno de los estados durante las 9 horas de registro. Tanto los registros electrofisiológicos como las videograbaciones del comportamiento fueron calificados de forma independiente por dos experimentadores</w:t>
      </w:r>
      <w:r w:rsidRPr="001C7D0A">
        <w:rPr>
          <w:i/>
          <w:lang w:val="es-AR"/>
        </w:rPr>
        <w:t xml:space="preserve"> </w:t>
      </w:r>
      <w:r w:rsidRPr="001C7D0A">
        <w:rPr>
          <w:lang w:val="es-AR"/>
        </w:rPr>
        <w:t>con bastante experiencia ya que han venido participando en análisis similares, en caso de desacuerdo se recurría a una tercera opinión.</w:t>
      </w:r>
    </w:p>
    <w:tbl>
      <w:tblPr>
        <w:tblStyle w:val="Tablaconcuadrcula"/>
        <w:tblW w:w="5000" w:type="pct"/>
        <w:tblLook w:val="04A0" w:firstRow="1" w:lastRow="0" w:firstColumn="1" w:lastColumn="0" w:noHBand="0" w:noVBand="1"/>
      </w:tblPr>
      <w:tblGrid>
        <w:gridCol w:w="1701"/>
        <w:gridCol w:w="6803"/>
      </w:tblGrid>
      <w:tr w:rsidR="001C7D0A" w:rsidRPr="00F220D8" w14:paraId="050D41CA" w14:textId="77777777" w:rsidTr="001C7D0A">
        <w:trPr>
          <w:cantSplit/>
          <w:trHeight w:val="850"/>
        </w:trPr>
        <w:tc>
          <w:tcPr>
            <w:tcW w:w="5000" w:type="pct"/>
            <w:gridSpan w:val="2"/>
            <w:tcBorders>
              <w:top w:val="nil"/>
              <w:left w:val="nil"/>
              <w:bottom w:val="single" w:sz="4" w:space="0" w:color="auto"/>
              <w:right w:val="nil"/>
            </w:tcBorders>
          </w:tcPr>
          <w:p w14:paraId="4730638E" w14:textId="77777777" w:rsidR="001C7D0A" w:rsidRPr="00F9570E" w:rsidRDefault="001C7D0A" w:rsidP="00F50E6A">
            <w:pPr>
              <w:pStyle w:val="Sinespaciado"/>
              <w:spacing w:line="360" w:lineRule="auto"/>
              <w:ind w:firstLine="0"/>
              <w:rPr>
                <w:rFonts w:ascii="Times New Roman" w:hAnsi="Times New Roman"/>
                <w:sz w:val="24"/>
                <w:szCs w:val="24"/>
              </w:rPr>
            </w:pPr>
            <w:r w:rsidRPr="00F9570E">
              <w:rPr>
                <w:rFonts w:ascii="Times New Roman" w:hAnsi="Times New Roman"/>
                <w:sz w:val="24"/>
                <w:szCs w:val="24"/>
              </w:rPr>
              <w:lastRenderedPageBreak/>
              <w:t>Tabla 1</w:t>
            </w:r>
            <w:r>
              <w:rPr>
                <w:rFonts w:ascii="Times New Roman" w:hAnsi="Times New Roman"/>
                <w:sz w:val="24"/>
                <w:szCs w:val="24"/>
              </w:rPr>
              <w:t>.</w:t>
            </w:r>
          </w:p>
          <w:p w14:paraId="26682983" w14:textId="77777777" w:rsidR="001C7D0A" w:rsidRPr="00CD7A41" w:rsidRDefault="001C7D0A" w:rsidP="00F50E6A">
            <w:pPr>
              <w:pStyle w:val="Sinespaciado"/>
              <w:spacing w:line="360" w:lineRule="auto"/>
              <w:ind w:firstLine="0"/>
              <w:rPr>
                <w:rFonts w:ascii="Times New Roman" w:hAnsi="Times New Roman"/>
                <w:i/>
                <w:iCs/>
                <w:sz w:val="24"/>
                <w:szCs w:val="24"/>
              </w:rPr>
            </w:pPr>
            <w:r w:rsidRPr="00CD7A41">
              <w:rPr>
                <w:rFonts w:ascii="Times New Roman" w:hAnsi="Times New Roman"/>
                <w:i/>
                <w:iCs/>
                <w:sz w:val="24"/>
                <w:szCs w:val="24"/>
              </w:rPr>
              <w:t>Niveles de intensidad de las crisis convulsivas en la rata.</w:t>
            </w:r>
          </w:p>
        </w:tc>
      </w:tr>
      <w:tr w:rsidR="001C7D0A" w:rsidRPr="00764C32" w14:paraId="4083EAD1" w14:textId="77777777" w:rsidTr="001C7D0A">
        <w:trPr>
          <w:cantSplit/>
          <w:trHeight w:val="567"/>
        </w:trPr>
        <w:tc>
          <w:tcPr>
            <w:tcW w:w="1000" w:type="pct"/>
            <w:tcBorders>
              <w:left w:val="nil"/>
              <w:bottom w:val="nil"/>
              <w:right w:val="nil"/>
            </w:tcBorders>
            <w:vAlign w:val="center"/>
          </w:tcPr>
          <w:p w14:paraId="68A18286" w14:textId="77777777" w:rsidR="001C7D0A" w:rsidRPr="00764C32" w:rsidRDefault="001C7D0A" w:rsidP="00F50E6A">
            <w:pPr>
              <w:pStyle w:val="Sinespaciado"/>
              <w:jc w:val="center"/>
              <w:rPr>
                <w:rFonts w:ascii="Times New Roman" w:hAnsi="Times New Roman"/>
                <w:sz w:val="24"/>
                <w:szCs w:val="24"/>
              </w:rPr>
            </w:pPr>
            <w:r w:rsidRPr="00764C32">
              <w:rPr>
                <w:rFonts w:ascii="Times New Roman" w:hAnsi="Times New Roman"/>
                <w:sz w:val="24"/>
                <w:szCs w:val="24"/>
              </w:rPr>
              <w:t>Estado 1</w:t>
            </w:r>
          </w:p>
        </w:tc>
        <w:tc>
          <w:tcPr>
            <w:tcW w:w="4000" w:type="pct"/>
            <w:tcBorders>
              <w:left w:val="nil"/>
              <w:bottom w:val="nil"/>
              <w:right w:val="nil"/>
            </w:tcBorders>
            <w:vAlign w:val="center"/>
          </w:tcPr>
          <w:p w14:paraId="17194BF6" w14:textId="77777777" w:rsidR="001C7D0A" w:rsidRPr="00764C32" w:rsidRDefault="001C7D0A" w:rsidP="00F50E6A">
            <w:pPr>
              <w:pStyle w:val="Sinespaciado"/>
              <w:ind w:firstLine="0"/>
              <w:rPr>
                <w:rFonts w:ascii="Times New Roman" w:hAnsi="Times New Roman"/>
                <w:sz w:val="24"/>
                <w:szCs w:val="24"/>
              </w:rPr>
            </w:pPr>
            <w:r w:rsidRPr="00764C32">
              <w:rPr>
                <w:rFonts w:ascii="Times New Roman" w:hAnsi="Times New Roman"/>
                <w:sz w:val="24"/>
                <w:szCs w:val="24"/>
              </w:rPr>
              <w:t>Mioclonías faciales y movimientos de masticación, ausencias.</w:t>
            </w:r>
          </w:p>
        </w:tc>
      </w:tr>
      <w:tr w:rsidR="001C7D0A" w:rsidRPr="00764C32" w14:paraId="50A4164B" w14:textId="77777777" w:rsidTr="001C7D0A">
        <w:trPr>
          <w:cantSplit/>
          <w:trHeight w:val="567"/>
        </w:trPr>
        <w:tc>
          <w:tcPr>
            <w:tcW w:w="1000" w:type="pct"/>
            <w:tcBorders>
              <w:top w:val="nil"/>
              <w:left w:val="nil"/>
              <w:bottom w:val="nil"/>
              <w:right w:val="nil"/>
            </w:tcBorders>
            <w:vAlign w:val="center"/>
          </w:tcPr>
          <w:p w14:paraId="1FD43496" w14:textId="77777777" w:rsidR="001C7D0A" w:rsidRPr="00764C32" w:rsidRDefault="001C7D0A" w:rsidP="00F50E6A">
            <w:pPr>
              <w:pStyle w:val="Sinespaciado"/>
              <w:jc w:val="center"/>
              <w:rPr>
                <w:rFonts w:ascii="Times New Roman" w:hAnsi="Times New Roman"/>
                <w:sz w:val="24"/>
                <w:szCs w:val="24"/>
              </w:rPr>
            </w:pPr>
          </w:p>
          <w:p w14:paraId="2AF21E1C" w14:textId="77777777" w:rsidR="001C7D0A" w:rsidRPr="00764C32" w:rsidRDefault="001C7D0A" w:rsidP="00F50E6A">
            <w:pPr>
              <w:pStyle w:val="Sinespaciado"/>
              <w:jc w:val="center"/>
              <w:rPr>
                <w:rFonts w:ascii="Times New Roman" w:hAnsi="Times New Roman"/>
                <w:sz w:val="24"/>
                <w:szCs w:val="24"/>
              </w:rPr>
            </w:pPr>
            <w:r w:rsidRPr="00764C32">
              <w:rPr>
                <w:rFonts w:ascii="Times New Roman" w:hAnsi="Times New Roman"/>
                <w:sz w:val="24"/>
                <w:szCs w:val="24"/>
              </w:rPr>
              <w:t>Estado 2</w:t>
            </w:r>
          </w:p>
          <w:p w14:paraId="2579D3D1" w14:textId="77777777" w:rsidR="001C7D0A" w:rsidRPr="00764C32" w:rsidRDefault="001C7D0A" w:rsidP="00F50E6A">
            <w:pPr>
              <w:pStyle w:val="Sinespaciado"/>
              <w:jc w:val="center"/>
              <w:rPr>
                <w:rFonts w:ascii="Times New Roman" w:hAnsi="Times New Roman"/>
                <w:sz w:val="24"/>
                <w:szCs w:val="24"/>
              </w:rPr>
            </w:pPr>
          </w:p>
        </w:tc>
        <w:tc>
          <w:tcPr>
            <w:tcW w:w="4000" w:type="pct"/>
            <w:tcBorders>
              <w:top w:val="nil"/>
              <w:left w:val="nil"/>
              <w:bottom w:val="nil"/>
              <w:right w:val="nil"/>
            </w:tcBorders>
            <w:vAlign w:val="center"/>
          </w:tcPr>
          <w:p w14:paraId="4DBFC2E1" w14:textId="77777777" w:rsidR="001C7D0A" w:rsidRPr="00764C32" w:rsidRDefault="001C7D0A" w:rsidP="00F50E6A">
            <w:pPr>
              <w:pStyle w:val="Sinespaciado"/>
              <w:ind w:firstLine="0"/>
              <w:rPr>
                <w:rFonts w:ascii="Times New Roman" w:hAnsi="Times New Roman"/>
                <w:sz w:val="24"/>
                <w:szCs w:val="24"/>
              </w:rPr>
            </w:pPr>
            <w:r w:rsidRPr="00764C32">
              <w:rPr>
                <w:rFonts w:ascii="Times New Roman" w:hAnsi="Times New Roman"/>
                <w:sz w:val="24"/>
                <w:szCs w:val="24"/>
              </w:rPr>
              <w:t>Movimientos clónicos de la cabeza (jalones y/o movimientos repetitivos en U o V), “sacudidas de perro”.</w:t>
            </w:r>
          </w:p>
        </w:tc>
      </w:tr>
      <w:tr w:rsidR="001C7D0A" w:rsidRPr="00764C32" w14:paraId="47429C4B" w14:textId="77777777" w:rsidTr="001C7D0A">
        <w:trPr>
          <w:cantSplit/>
          <w:trHeight w:val="567"/>
        </w:trPr>
        <w:tc>
          <w:tcPr>
            <w:tcW w:w="1000" w:type="pct"/>
            <w:tcBorders>
              <w:top w:val="nil"/>
              <w:left w:val="nil"/>
              <w:bottom w:val="nil"/>
              <w:right w:val="nil"/>
            </w:tcBorders>
            <w:vAlign w:val="center"/>
          </w:tcPr>
          <w:p w14:paraId="41F80BF2" w14:textId="77777777" w:rsidR="001C7D0A" w:rsidRPr="00764C32" w:rsidRDefault="001C7D0A" w:rsidP="00F50E6A">
            <w:pPr>
              <w:pStyle w:val="Sinespaciado"/>
              <w:jc w:val="center"/>
              <w:rPr>
                <w:rFonts w:ascii="Times New Roman" w:hAnsi="Times New Roman"/>
                <w:sz w:val="24"/>
                <w:szCs w:val="24"/>
              </w:rPr>
            </w:pPr>
            <w:r w:rsidRPr="00764C32">
              <w:rPr>
                <w:rFonts w:ascii="Times New Roman" w:hAnsi="Times New Roman"/>
                <w:sz w:val="24"/>
                <w:szCs w:val="24"/>
              </w:rPr>
              <w:t>Estado 3</w:t>
            </w:r>
          </w:p>
          <w:p w14:paraId="63EF0E71" w14:textId="77777777" w:rsidR="001C7D0A" w:rsidRPr="00764C32" w:rsidRDefault="001C7D0A" w:rsidP="00F50E6A">
            <w:pPr>
              <w:pStyle w:val="Sinespaciado"/>
              <w:jc w:val="center"/>
              <w:rPr>
                <w:rFonts w:ascii="Times New Roman" w:hAnsi="Times New Roman"/>
                <w:sz w:val="24"/>
                <w:szCs w:val="24"/>
              </w:rPr>
            </w:pPr>
          </w:p>
        </w:tc>
        <w:tc>
          <w:tcPr>
            <w:tcW w:w="4000" w:type="pct"/>
            <w:tcBorders>
              <w:top w:val="nil"/>
              <w:left w:val="nil"/>
              <w:bottom w:val="nil"/>
              <w:right w:val="nil"/>
            </w:tcBorders>
            <w:vAlign w:val="center"/>
          </w:tcPr>
          <w:p w14:paraId="6509E27C" w14:textId="77777777" w:rsidR="001C7D0A" w:rsidRPr="00764C32" w:rsidRDefault="001C7D0A" w:rsidP="00F50E6A">
            <w:pPr>
              <w:pStyle w:val="Sinespaciado"/>
              <w:ind w:firstLine="0"/>
              <w:rPr>
                <w:rFonts w:ascii="Times New Roman" w:hAnsi="Times New Roman"/>
                <w:sz w:val="24"/>
                <w:szCs w:val="24"/>
              </w:rPr>
            </w:pPr>
            <w:r w:rsidRPr="00764C32">
              <w:rPr>
                <w:rFonts w:ascii="Times New Roman" w:hAnsi="Times New Roman"/>
                <w:sz w:val="24"/>
                <w:szCs w:val="24"/>
              </w:rPr>
              <w:t>Clonus unilateral de los miembros delanteros seguido por clonus contralateral.</w:t>
            </w:r>
          </w:p>
        </w:tc>
      </w:tr>
      <w:tr w:rsidR="001C7D0A" w:rsidRPr="00764C32" w14:paraId="1F3B13EE" w14:textId="77777777" w:rsidTr="001C7D0A">
        <w:trPr>
          <w:cantSplit/>
          <w:trHeight w:val="567"/>
        </w:trPr>
        <w:tc>
          <w:tcPr>
            <w:tcW w:w="1000" w:type="pct"/>
            <w:tcBorders>
              <w:top w:val="nil"/>
              <w:left w:val="nil"/>
              <w:bottom w:val="nil"/>
              <w:right w:val="nil"/>
            </w:tcBorders>
            <w:vAlign w:val="center"/>
          </w:tcPr>
          <w:p w14:paraId="6172BCA4" w14:textId="77777777" w:rsidR="001C7D0A" w:rsidRDefault="001C7D0A" w:rsidP="00F50E6A">
            <w:pPr>
              <w:pStyle w:val="Sinespaciado"/>
              <w:jc w:val="center"/>
              <w:rPr>
                <w:rFonts w:ascii="Times New Roman" w:hAnsi="Times New Roman"/>
                <w:sz w:val="24"/>
                <w:szCs w:val="24"/>
              </w:rPr>
            </w:pPr>
          </w:p>
          <w:p w14:paraId="09BBBFCA" w14:textId="77777777" w:rsidR="001C7D0A" w:rsidRPr="00764C32" w:rsidRDefault="001C7D0A" w:rsidP="00F50E6A">
            <w:pPr>
              <w:pStyle w:val="Sinespaciado"/>
              <w:jc w:val="center"/>
              <w:rPr>
                <w:rFonts w:ascii="Times New Roman" w:hAnsi="Times New Roman"/>
                <w:sz w:val="24"/>
                <w:szCs w:val="24"/>
              </w:rPr>
            </w:pPr>
            <w:r w:rsidRPr="00764C32">
              <w:rPr>
                <w:rFonts w:ascii="Times New Roman" w:hAnsi="Times New Roman"/>
                <w:sz w:val="24"/>
                <w:szCs w:val="24"/>
              </w:rPr>
              <w:t>Estado 4</w:t>
            </w:r>
          </w:p>
          <w:p w14:paraId="02B9648E" w14:textId="77777777" w:rsidR="001C7D0A" w:rsidRPr="00764C32" w:rsidRDefault="001C7D0A" w:rsidP="00F50E6A">
            <w:pPr>
              <w:pStyle w:val="Sinespaciado"/>
              <w:jc w:val="center"/>
              <w:rPr>
                <w:rFonts w:ascii="Times New Roman" w:hAnsi="Times New Roman"/>
                <w:sz w:val="24"/>
                <w:szCs w:val="24"/>
              </w:rPr>
            </w:pPr>
          </w:p>
        </w:tc>
        <w:tc>
          <w:tcPr>
            <w:tcW w:w="4000" w:type="pct"/>
            <w:tcBorders>
              <w:top w:val="nil"/>
              <w:left w:val="nil"/>
              <w:bottom w:val="nil"/>
              <w:right w:val="nil"/>
            </w:tcBorders>
            <w:vAlign w:val="center"/>
          </w:tcPr>
          <w:p w14:paraId="1D534998" w14:textId="77777777" w:rsidR="001C7D0A" w:rsidRPr="00764C32" w:rsidRDefault="001C7D0A" w:rsidP="00F50E6A">
            <w:pPr>
              <w:pStyle w:val="Sinespaciado"/>
              <w:ind w:firstLine="0"/>
              <w:rPr>
                <w:rFonts w:ascii="Times New Roman" w:hAnsi="Times New Roman"/>
                <w:sz w:val="24"/>
                <w:szCs w:val="24"/>
              </w:rPr>
            </w:pPr>
            <w:r w:rsidRPr="00764C32">
              <w:rPr>
                <w:rFonts w:ascii="Times New Roman" w:hAnsi="Times New Roman"/>
                <w:sz w:val="24"/>
                <w:szCs w:val="24"/>
              </w:rPr>
              <w:t>Erguimiento y sacudida de miembros delanteros.</w:t>
            </w:r>
          </w:p>
        </w:tc>
      </w:tr>
      <w:tr w:rsidR="001C7D0A" w:rsidRPr="00764C32" w14:paraId="5ABADD42" w14:textId="77777777" w:rsidTr="001C7D0A">
        <w:trPr>
          <w:cantSplit/>
          <w:trHeight w:val="850"/>
        </w:trPr>
        <w:tc>
          <w:tcPr>
            <w:tcW w:w="1000" w:type="pct"/>
            <w:tcBorders>
              <w:top w:val="nil"/>
              <w:left w:val="nil"/>
              <w:right w:val="nil"/>
            </w:tcBorders>
            <w:vAlign w:val="center"/>
          </w:tcPr>
          <w:p w14:paraId="3878556C" w14:textId="77777777" w:rsidR="001C7D0A" w:rsidRPr="00764C32" w:rsidRDefault="001C7D0A" w:rsidP="00F50E6A">
            <w:pPr>
              <w:pStyle w:val="Sinespaciado"/>
              <w:jc w:val="center"/>
              <w:rPr>
                <w:rFonts w:ascii="Times New Roman" w:hAnsi="Times New Roman"/>
                <w:sz w:val="24"/>
                <w:szCs w:val="24"/>
              </w:rPr>
            </w:pPr>
            <w:r w:rsidRPr="00764C32">
              <w:rPr>
                <w:rFonts w:ascii="Times New Roman" w:hAnsi="Times New Roman"/>
                <w:sz w:val="24"/>
                <w:szCs w:val="24"/>
              </w:rPr>
              <w:t>Estado 5</w:t>
            </w:r>
          </w:p>
        </w:tc>
        <w:tc>
          <w:tcPr>
            <w:tcW w:w="4000" w:type="pct"/>
            <w:tcBorders>
              <w:top w:val="nil"/>
              <w:left w:val="nil"/>
              <w:right w:val="nil"/>
            </w:tcBorders>
            <w:vAlign w:val="center"/>
          </w:tcPr>
          <w:p w14:paraId="7B71E068" w14:textId="77777777" w:rsidR="001C7D0A" w:rsidRPr="00764C32" w:rsidRDefault="001C7D0A" w:rsidP="00F50E6A">
            <w:pPr>
              <w:pStyle w:val="Sinespaciado"/>
              <w:ind w:firstLine="0"/>
              <w:rPr>
                <w:rFonts w:ascii="Times New Roman" w:hAnsi="Times New Roman"/>
                <w:sz w:val="24"/>
                <w:szCs w:val="24"/>
              </w:rPr>
            </w:pPr>
            <w:r w:rsidRPr="00764C32">
              <w:rPr>
                <w:rFonts w:ascii="Times New Roman" w:hAnsi="Times New Roman"/>
                <w:sz w:val="24"/>
                <w:szCs w:val="24"/>
              </w:rPr>
              <w:t>Contracciones tónico clónicas generalizadas, pérdida de control postural y caída.</w:t>
            </w:r>
          </w:p>
        </w:tc>
      </w:tr>
    </w:tbl>
    <w:p w14:paraId="29AB8774" w14:textId="77777777" w:rsidR="001C7D0A" w:rsidRPr="001C7D0A" w:rsidRDefault="001C7D0A" w:rsidP="001C7D0A">
      <w:pPr>
        <w:pStyle w:val="SubtituloInterno"/>
        <w:rPr>
          <w:bCs/>
          <w:iCs/>
        </w:rPr>
      </w:pPr>
      <w:r w:rsidRPr="001C7D0A">
        <w:rPr>
          <w:bCs/>
          <w:iCs/>
        </w:rPr>
        <w:t>Análisis estadísticos</w:t>
      </w:r>
    </w:p>
    <w:p w14:paraId="3478299C" w14:textId="215A9BF0" w:rsidR="001C7D0A" w:rsidRPr="001C7D0A" w:rsidRDefault="001C7D0A" w:rsidP="001C7D0A">
      <w:pPr>
        <w:pStyle w:val="Prrafocomn"/>
        <w:rPr>
          <w:lang w:val="es-MX"/>
        </w:rPr>
      </w:pPr>
      <w:r w:rsidRPr="001C7D0A">
        <w:rPr>
          <w:lang w:val="es-MX"/>
        </w:rPr>
        <w:t>Por medio de la prueba de Shapiro-Wilk se determinó que no todas las variables tenían una distribución normal por lo cual se llevaron a cabo análisis no paramétricos. Se realizó análisis de tipo intra-grupal mediante la prueba de Friedman, con la cual se comparó el tiempo empleado por los animales en cada estado de vigilancia bajo las condiciones experimentales mencionadas anteriormente. También, se realizó un análisis de tipo inter-grupal de cada estado de vigilancia y conductas convulsivas mediante la prueba de Kruskal-Wallis. El valor de significancia se estableció con un valor p &lt;.05.</w:t>
      </w:r>
    </w:p>
    <w:p w14:paraId="00E10F8E" w14:textId="77777777" w:rsidR="001C7D0A" w:rsidRPr="001C7D0A" w:rsidRDefault="001C7D0A" w:rsidP="001C7D0A">
      <w:pPr>
        <w:pStyle w:val="SubtituloInterno"/>
        <w:rPr>
          <w:bCs/>
          <w:iCs/>
        </w:rPr>
      </w:pPr>
      <w:r w:rsidRPr="001C7D0A">
        <w:rPr>
          <w:bCs/>
          <w:iCs/>
        </w:rPr>
        <w:t>Consideraciones éticas</w:t>
      </w:r>
    </w:p>
    <w:p w14:paraId="7701A13A" w14:textId="551E71CF" w:rsidR="001C7D0A" w:rsidRPr="001C7D0A" w:rsidRDefault="001C7D0A" w:rsidP="001C7D0A">
      <w:pPr>
        <w:pStyle w:val="Prrafocomn"/>
        <w:rPr>
          <w:lang w:val="es-AR"/>
        </w:rPr>
      </w:pPr>
      <w:r w:rsidRPr="001C7D0A">
        <w:rPr>
          <w:lang w:val="es-MX"/>
        </w:rPr>
        <w:t>Todos</w:t>
      </w:r>
      <w:r w:rsidRPr="001C7D0A">
        <w:rPr>
          <w:lang w:val="es-AR"/>
        </w:rPr>
        <w:t xml:space="preserve"> los animales fueron tratados de acuerdo con las regulaciones especificadas por el Comité de Bioética y la Norma Mexicana para el cuidado de la producción y el uso de animales de laboratorio (NOM-062-Z00-1999).</w:t>
      </w:r>
    </w:p>
    <w:p w14:paraId="487BF736" w14:textId="27B57021" w:rsidR="00B775DB" w:rsidRPr="006E0173" w:rsidRDefault="009A0192" w:rsidP="00F42476">
      <w:pPr>
        <w:pStyle w:val="Ttulosinternos"/>
        <w:rPr>
          <w:lang w:val="es-AR"/>
        </w:rPr>
      </w:pPr>
      <w:r w:rsidRPr="006E0173">
        <w:rPr>
          <w:lang w:val="es-AR"/>
        </w:rPr>
        <w:t>Resultados</w:t>
      </w:r>
    </w:p>
    <w:p w14:paraId="68DC71FA" w14:textId="2A1B044E" w:rsidR="001941FE" w:rsidRDefault="001C7D0A" w:rsidP="001444E3">
      <w:pPr>
        <w:pStyle w:val="Prrafocomn"/>
        <w:spacing w:line="460" w:lineRule="exact"/>
        <w:rPr>
          <w:bCs/>
          <w:lang w:val="es-AR"/>
        </w:rPr>
      </w:pPr>
      <w:r w:rsidRPr="001C7D0A">
        <w:rPr>
          <w:bCs/>
          <w:lang w:val="es-AR"/>
        </w:rPr>
        <w:t xml:space="preserve">Los animales presentaron tres estados diferentes de vigilancia con características electrofisiológicas y conductuales determinadas: durante la vigilia, la actividad cerebral estuvo constituida por ondas rápidas de baja amplitud y se presentaron potenciales musculares relacionados con movimientos del animal; mientras que durante el sueño NMOR la actividad cerebral fue lenta y de gran amplitud. Al presentarse el sueño MOR, </w:t>
      </w:r>
      <w:r w:rsidRPr="001C7D0A">
        <w:rPr>
          <w:bCs/>
          <w:lang w:val="es-AR"/>
        </w:rPr>
        <w:lastRenderedPageBreak/>
        <w:t>la actividad cerebral fue semejante a la de la vigilia y se presentaron potenciales relacionados con sacudidas musculares (Figura 1).</w:t>
      </w:r>
    </w:p>
    <w:p w14:paraId="43C87A6F" w14:textId="77777777" w:rsidR="001C7D0A" w:rsidRDefault="001C7D0A" w:rsidP="001C7D0A">
      <w:pPr>
        <w:pStyle w:val="Sinespaciado"/>
        <w:spacing w:line="360" w:lineRule="auto"/>
        <w:ind w:firstLine="0"/>
        <w:jc w:val="left"/>
        <w:rPr>
          <w:rFonts w:ascii="Times New Roman" w:hAnsi="Times New Roman"/>
          <w:bCs/>
          <w:sz w:val="24"/>
          <w:szCs w:val="24"/>
          <w:lang w:val="pt-BR"/>
        </w:rPr>
      </w:pPr>
      <w:r w:rsidRPr="00CD7A41">
        <w:rPr>
          <w:rFonts w:ascii="Times New Roman" w:hAnsi="Times New Roman"/>
          <w:bCs/>
          <w:sz w:val="24"/>
          <w:szCs w:val="24"/>
          <w:lang w:val="pt-BR"/>
        </w:rPr>
        <w:t xml:space="preserve">Figura 1. </w:t>
      </w:r>
    </w:p>
    <w:p w14:paraId="7D0DBF19" w14:textId="77777777" w:rsidR="001C7D0A" w:rsidRPr="00CD7A41" w:rsidRDefault="001C7D0A" w:rsidP="001C7D0A">
      <w:pPr>
        <w:pStyle w:val="Sinespaciado"/>
        <w:spacing w:line="360" w:lineRule="auto"/>
        <w:ind w:firstLine="0"/>
        <w:jc w:val="left"/>
        <w:rPr>
          <w:rFonts w:ascii="Times New Roman" w:hAnsi="Times New Roman"/>
          <w:i/>
          <w:iCs/>
          <w:sz w:val="24"/>
          <w:szCs w:val="24"/>
        </w:rPr>
      </w:pPr>
      <w:r w:rsidRPr="00CD7A41">
        <w:rPr>
          <w:rFonts w:ascii="Times New Roman" w:hAnsi="Times New Roman"/>
          <w:bCs/>
          <w:i/>
          <w:iCs/>
          <w:sz w:val="24"/>
          <w:szCs w:val="24"/>
          <w:lang w:val="es-AR"/>
        </w:rPr>
        <w:t>Estados del ciclo vigilia-sueño</w:t>
      </w:r>
    </w:p>
    <w:p w14:paraId="13692CED" w14:textId="77777777" w:rsidR="001C7D0A" w:rsidRPr="00764C32" w:rsidRDefault="001C7D0A" w:rsidP="001C7D0A">
      <w:pPr>
        <w:widowControl w:val="0"/>
        <w:autoSpaceDE w:val="0"/>
        <w:autoSpaceDN w:val="0"/>
        <w:adjustRightInd w:val="0"/>
        <w:spacing w:line="360" w:lineRule="auto"/>
        <w:jc w:val="center"/>
      </w:pPr>
      <w:r>
        <w:rPr>
          <w:noProof/>
          <w:lang w:val="es-MX"/>
        </w:rPr>
        <w:drawing>
          <wp:inline distT="0" distB="0" distL="0" distR="0" wp14:anchorId="5E38F989" wp14:editId="4AC9D5B6">
            <wp:extent cx="3276600" cy="46545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6600" cy="4654550"/>
                    </a:xfrm>
                    <a:prstGeom prst="rect">
                      <a:avLst/>
                    </a:prstGeom>
                    <a:noFill/>
                    <a:ln>
                      <a:noFill/>
                    </a:ln>
                  </pic:spPr>
                </pic:pic>
              </a:graphicData>
            </a:graphic>
          </wp:inline>
        </w:drawing>
      </w:r>
    </w:p>
    <w:p w14:paraId="6980F4CF" w14:textId="133282AC" w:rsidR="001C7D0A" w:rsidRPr="00EA59EE" w:rsidRDefault="001C7D0A" w:rsidP="00EA59EE">
      <w:pPr>
        <w:pStyle w:val="Sinespaciado"/>
        <w:spacing w:line="360" w:lineRule="auto"/>
        <w:ind w:firstLine="0"/>
        <w:jc w:val="left"/>
        <w:rPr>
          <w:rFonts w:ascii="Times New Roman" w:hAnsi="Times New Roman"/>
          <w:sz w:val="24"/>
          <w:szCs w:val="24"/>
          <w:lang w:val="es-AR"/>
        </w:rPr>
      </w:pPr>
      <w:r w:rsidRPr="00CD7A41">
        <w:rPr>
          <w:rFonts w:ascii="Times New Roman" w:hAnsi="Times New Roman"/>
          <w:bCs/>
          <w:i/>
          <w:iCs/>
          <w:sz w:val="24"/>
          <w:szCs w:val="24"/>
          <w:lang w:val="pt-BR"/>
        </w:rPr>
        <w:t>Nota.</w:t>
      </w:r>
      <w:r w:rsidRPr="00CD7A41">
        <w:rPr>
          <w:rFonts w:ascii="Times New Roman" w:hAnsi="Times New Roman"/>
          <w:bCs/>
          <w:sz w:val="24"/>
          <w:szCs w:val="24"/>
          <w:lang w:val="pt-BR"/>
        </w:rPr>
        <w:t xml:space="preserve"> V, </w:t>
      </w:r>
      <w:proofErr w:type="spellStart"/>
      <w:r w:rsidRPr="00CD7A41">
        <w:rPr>
          <w:rFonts w:ascii="Times New Roman" w:hAnsi="Times New Roman"/>
          <w:bCs/>
          <w:sz w:val="24"/>
          <w:szCs w:val="24"/>
          <w:lang w:val="pt-BR"/>
        </w:rPr>
        <w:t>vigilia</w:t>
      </w:r>
      <w:proofErr w:type="spellEnd"/>
      <w:r w:rsidRPr="00CD7A41">
        <w:rPr>
          <w:rFonts w:ascii="Times New Roman" w:hAnsi="Times New Roman"/>
          <w:bCs/>
          <w:sz w:val="24"/>
          <w:szCs w:val="24"/>
          <w:lang w:val="pt-BR"/>
        </w:rPr>
        <w:t>;</w:t>
      </w:r>
      <w:r w:rsidRPr="00CD7A41">
        <w:rPr>
          <w:rFonts w:ascii="Times New Roman" w:hAnsi="Times New Roman"/>
          <w:sz w:val="24"/>
          <w:szCs w:val="24"/>
          <w:lang w:val="pt-BR"/>
        </w:rPr>
        <w:t xml:space="preserve"> EOG, </w:t>
      </w:r>
      <w:proofErr w:type="spellStart"/>
      <w:r w:rsidRPr="00CD7A41">
        <w:rPr>
          <w:rFonts w:ascii="Times New Roman" w:hAnsi="Times New Roman"/>
          <w:sz w:val="24"/>
          <w:szCs w:val="24"/>
          <w:lang w:val="pt-BR"/>
        </w:rPr>
        <w:t>Electro-oculograma</w:t>
      </w:r>
      <w:proofErr w:type="spellEnd"/>
      <w:r w:rsidRPr="00CD7A41">
        <w:rPr>
          <w:rFonts w:ascii="Times New Roman" w:hAnsi="Times New Roman"/>
          <w:sz w:val="24"/>
          <w:szCs w:val="24"/>
          <w:lang w:val="pt-BR"/>
        </w:rPr>
        <w:t xml:space="preserve">; CA, </w:t>
      </w:r>
      <w:proofErr w:type="spellStart"/>
      <w:r w:rsidRPr="00CD7A41">
        <w:rPr>
          <w:rFonts w:ascii="Times New Roman" w:hAnsi="Times New Roman"/>
          <w:sz w:val="24"/>
          <w:szCs w:val="24"/>
          <w:lang w:val="pt-BR"/>
        </w:rPr>
        <w:t>corteza</w:t>
      </w:r>
      <w:proofErr w:type="spellEnd"/>
      <w:r w:rsidRPr="00CD7A41">
        <w:rPr>
          <w:rFonts w:ascii="Times New Roman" w:hAnsi="Times New Roman"/>
          <w:sz w:val="24"/>
          <w:szCs w:val="24"/>
          <w:lang w:val="pt-BR"/>
        </w:rPr>
        <w:t xml:space="preserve"> anterior; CP, </w:t>
      </w:r>
      <w:proofErr w:type="spellStart"/>
      <w:r w:rsidRPr="00CD7A41">
        <w:rPr>
          <w:rFonts w:ascii="Times New Roman" w:hAnsi="Times New Roman"/>
          <w:sz w:val="24"/>
          <w:szCs w:val="24"/>
          <w:lang w:val="pt-BR"/>
        </w:rPr>
        <w:t>corteza</w:t>
      </w:r>
      <w:proofErr w:type="spellEnd"/>
      <w:r w:rsidRPr="00CD7A41">
        <w:rPr>
          <w:rFonts w:ascii="Times New Roman" w:hAnsi="Times New Roman"/>
          <w:sz w:val="24"/>
          <w:szCs w:val="24"/>
          <w:lang w:val="pt-BR"/>
        </w:rPr>
        <w:t xml:space="preserve"> posterior; EMG, </w:t>
      </w:r>
      <w:proofErr w:type="spellStart"/>
      <w:r w:rsidRPr="00CD7A41">
        <w:rPr>
          <w:rFonts w:ascii="Times New Roman" w:hAnsi="Times New Roman"/>
          <w:sz w:val="24"/>
          <w:szCs w:val="24"/>
          <w:lang w:val="pt-BR"/>
        </w:rPr>
        <w:t>Electromiograma</w:t>
      </w:r>
      <w:proofErr w:type="spellEnd"/>
      <w:r w:rsidRPr="00CD7A41">
        <w:rPr>
          <w:rFonts w:ascii="Times New Roman" w:hAnsi="Times New Roman"/>
          <w:sz w:val="24"/>
          <w:szCs w:val="24"/>
          <w:lang w:val="pt-BR"/>
        </w:rPr>
        <w:t xml:space="preserve">. </w:t>
      </w:r>
      <w:r w:rsidRPr="00B77C5F">
        <w:rPr>
          <w:rFonts w:ascii="Times New Roman" w:hAnsi="Times New Roman"/>
          <w:sz w:val="24"/>
          <w:szCs w:val="24"/>
          <w:lang w:val="es-AR"/>
        </w:rPr>
        <w:t xml:space="preserve">Cal. 2 s, 50 </w:t>
      </w:r>
      <w:r w:rsidRPr="00F9570E">
        <w:rPr>
          <w:rFonts w:ascii="Times New Roman" w:hAnsi="Times New Roman"/>
          <w:sz w:val="24"/>
          <w:szCs w:val="24"/>
        </w:rPr>
        <w:t>μ</w:t>
      </w:r>
      <w:r w:rsidRPr="00B77C5F">
        <w:rPr>
          <w:rFonts w:ascii="Times New Roman" w:hAnsi="Times New Roman"/>
          <w:sz w:val="24"/>
          <w:szCs w:val="24"/>
          <w:lang w:val="es-AR"/>
        </w:rPr>
        <w:t>v.</w:t>
      </w:r>
    </w:p>
    <w:p w14:paraId="7E96250C" w14:textId="6C8AF565" w:rsidR="00DA1867" w:rsidRPr="00EA59EE" w:rsidRDefault="00EA59EE" w:rsidP="001444E3">
      <w:pPr>
        <w:pStyle w:val="SubtituloInterno"/>
        <w:rPr>
          <w:bCs/>
          <w:iCs/>
          <w:lang w:val="es-MX"/>
        </w:rPr>
      </w:pPr>
      <w:r w:rsidRPr="00EA59EE">
        <w:rPr>
          <w:bCs/>
          <w:iCs/>
          <w:lang w:val="es-MX"/>
        </w:rPr>
        <w:t>Análisis de las conductas convulsivas</w:t>
      </w:r>
    </w:p>
    <w:p w14:paraId="1ED03B70" w14:textId="77777777" w:rsidR="00EA59EE" w:rsidRPr="00EA59EE" w:rsidRDefault="00EA59EE" w:rsidP="00EA59EE">
      <w:pPr>
        <w:pStyle w:val="Prrafocomn"/>
        <w:rPr>
          <w:lang w:val="es-MX"/>
        </w:rPr>
      </w:pPr>
      <w:r w:rsidRPr="00EA59EE">
        <w:rPr>
          <w:lang w:val="es-MX"/>
        </w:rPr>
        <w:t>En el primer día no se evaluó la escala de Racine, ya que no se indujo actividad convulsiva. En el tercer día pocos animales presentaron alteraciones conductuales, independientemente del grupo al que pertenecieran, por lo cual el análisis estadístico se realizó considerando las conductas del segundo día correspondiente a la administración de las sustancias.</w:t>
      </w:r>
    </w:p>
    <w:p w14:paraId="3584E791" w14:textId="77777777" w:rsidR="00EA59EE" w:rsidRPr="00EA59EE" w:rsidRDefault="00EA59EE" w:rsidP="00EA59EE">
      <w:pPr>
        <w:pStyle w:val="Prrafocomn"/>
        <w:rPr>
          <w:lang w:val="es-MX"/>
        </w:rPr>
      </w:pPr>
      <w:r w:rsidRPr="00EA59EE">
        <w:rPr>
          <w:lang w:val="es-MX"/>
        </w:rPr>
        <w:t xml:space="preserve">De manera general, la administración de PTZ, indujo convulsiones tónico-clónicas generalizadas en todos los animales, independientemente del grupo. Las </w:t>
      </w:r>
      <w:r w:rsidRPr="00EA59EE">
        <w:rPr>
          <w:lang w:val="es-MX"/>
        </w:rPr>
        <w:lastRenderedPageBreak/>
        <w:t>convulsiones se caracterizaron por una fase tónica con extensión de las extremidades posteriores y una fase clónica con mioclono de las extremidades anteriores y posteriores. Las alteraciones motoras inducidas por la administración de PTZ se instalaron progresivamente. Estas consistían en la inclinación de la cabeza, movimientos masticatorios y contracciones mioclónicas de la cara y de las extremidades.</w:t>
      </w:r>
    </w:p>
    <w:p w14:paraId="1666BF40" w14:textId="5F169A01" w:rsidR="00367C23" w:rsidRDefault="00EA59EE" w:rsidP="00EA59EE">
      <w:pPr>
        <w:pStyle w:val="Prrafocomn"/>
        <w:rPr>
          <w:lang w:val="es-AR"/>
        </w:rPr>
      </w:pPr>
      <w:r w:rsidRPr="00EA59EE">
        <w:rPr>
          <w:lang w:val="es-AR"/>
        </w:rPr>
        <w:t xml:space="preserve">Con la prueba </w:t>
      </w:r>
      <w:proofErr w:type="spellStart"/>
      <w:r w:rsidRPr="00EA59EE">
        <w:rPr>
          <w:lang w:val="es-AR"/>
        </w:rPr>
        <w:t>Kruskal</w:t>
      </w:r>
      <w:proofErr w:type="spellEnd"/>
      <w:r w:rsidRPr="00EA59EE">
        <w:rPr>
          <w:lang w:val="es-AR"/>
        </w:rPr>
        <w:t>-Wallis se encontraron diferencias significativas entre los cuatro grupos en las conductas evaluadas con la escala de Racine (p=.013; Chi-cuadrado=10.8; grados de libertad=3). El grupo que recibió solamente PTZ, fue el que tuvo mayor número de estados asociados a conductas convulsivas, mientras que la administración de GBP redujo la cantidad e intensidad de las alteraciones conductuales de acuerdo a la dosis administrada (</w:t>
      </w:r>
      <w:r w:rsidR="00B52DF1">
        <w:rPr>
          <w:lang w:val="es-AR"/>
        </w:rPr>
        <w:t>F</w:t>
      </w:r>
      <w:r w:rsidRPr="00EA59EE">
        <w:rPr>
          <w:lang w:val="es-AR"/>
        </w:rPr>
        <w:t>igura 2). Los animales que recibieron dosis media y alta de GBP ya no alcanzaron el nivel máximo de la escala de Racine. De acuerdo a estos datos, la cantidad total de alteraciones conductuales inducidas por la epilepsia, se reducía a medida que la dosis de GBP administrada aumentaba, Asimismo, se reducía la intensidad de la respuesta conductual.</w:t>
      </w:r>
    </w:p>
    <w:p w14:paraId="6FE7D072" w14:textId="77777777" w:rsidR="00EA59EE" w:rsidRDefault="00EA59EE" w:rsidP="00EA59EE">
      <w:pPr>
        <w:pStyle w:val="Sinespaciado"/>
        <w:spacing w:line="360" w:lineRule="auto"/>
        <w:ind w:firstLine="0"/>
        <w:jc w:val="left"/>
        <w:rPr>
          <w:rFonts w:ascii="Times New Roman" w:eastAsia="Times New Roman" w:hAnsi="Times New Roman"/>
          <w:bCs/>
          <w:sz w:val="24"/>
          <w:szCs w:val="24"/>
          <w:lang w:eastAsia="es-MX"/>
        </w:rPr>
      </w:pPr>
      <w:r w:rsidRPr="00F9570E">
        <w:rPr>
          <w:rFonts w:ascii="Times New Roman" w:eastAsia="Times New Roman" w:hAnsi="Times New Roman"/>
          <w:bCs/>
          <w:sz w:val="24"/>
          <w:szCs w:val="24"/>
          <w:lang w:eastAsia="es-MX"/>
        </w:rPr>
        <w:t>Figura 2.</w:t>
      </w:r>
    </w:p>
    <w:p w14:paraId="2B34A23F" w14:textId="77777777" w:rsidR="00EA59EE" w:rsidRPr="00803820" w:rsidRDefault="00EA59EE" w:rsidP="00EA59EE">
      <w:pPr>
        <w:pStyle w:val="Sinespaciado"/>
        <w:spacing w:line="360" w:lineRule="auto"/>
        <w:ind w:firstLine="0"/>
        <w:jc w:val="left"/>
        <w:rPr>
          <w:rFonts w:ascii="Times New Roman" w:hAnsi="Times New Roman"/>
          <w:i/>
          <w:iCs/>
          <w:sz w:val="24"/>
          <w:szCs w:val="24"/>
        </w:rPr>
      </w:pPr>
      <w:r>
        <w:rPr>
          <w:rFonts w:ascii="Times New Roman" w:eastAsia="Times New Roman" w:hAnsi="Times New Roman"/>
          <w:bCs/>
          <w:i/>
          <w:iCs/>
          <w:sz w:val="24"/>
          <w:szCs w:val="24"/>
          <w:lang w:eastAsia="es-MX"/>
        </w:rPr>
        <w:t>M</w:t>
      </w:r>
      <w:r w:rsidRPr="00803820">
        <w:rPr>
          <w:rFonts w:ascii="Times New Roman" w:eastAsia="Times New Roman" w:hAnsi="Times New Roman"/>
          <w:bCs/>
          <w:i/>
          <w:iCs/>
          <w:sz w:val="24"/>
          <w:szCs w:val="24"/>
          <w:lang w:eastAsia="es-MX"/>
        </w:rPr>
        <w:t>ediana del número de estados de la escala de Racine de cada grupo durante el día 2</w:t>
      </w:r>
    </w:p>
    <w:p w14:paraId="1D41160B" w14:textId="77777777" w:rsidR="00EA59EE" w:rsidRDefault="00EA59EE" w:rsidP="00EA59EE">
      <w:pPr>
        <w:spacing w:line="360" w:lineRule="auto"/>
        <w:jc w:val="both"/>
        <w:rPr>
          <w:bCs/>
          <w:lang w:val="es-MX"/>
        </w:rPr>
      </w:pPr>
      <w:r>
        <w:rPr>
          <w:noProof/>
          <w:lang w:val="es-MX"/>
        </w:rPr>
        <w:drawing>
          <wp:inline distT="0" distB="0" distL="0" distR="0" wp14:anchorId="00F4A259" wp14:editId="1BF1F7C3">
            <wp:extent cx="5394191" cy="2985770"/>
            <wp:effectExtent l="0" t="0" r="16510" b="11430"/>
            <wp:docPr id="12" name="Gráfico 12">
              <a:extLst xmlns:a="http://schemas.openxmlformats.org/drawingml/2006/main">
                <a:ext uri="{FF2B5EF4-FFF2-40B4-BE49-F238E27FC236}">
                  <a16:creationId xmlns:a16="http://schemas.microsoft.com/office/drawing/2014/main" id="{59C486A2-9C55-4290-A6CF-239496B715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C1B258E" w14:textId="2DD38E81" w:rsidR="00EA59EE" w:rsidRDefault="00EA59EE" w:rsidP="00EA59EE">
      <w:pPr>
        <w:pStyle w:val="Prrafocomn"/>
        <w:ind w:firstLine="0"/>
        <w:rPr>
          <w:bCs/>
          <w:lang w:val="es-MX" w:eastAsia="es-MX"/>
        </w:rPr>
      </w:pPr>
      <w:r w:rsidRPr="00803820">
        <w:rPr>
          <w:bCs/>
          <w:i/>
          <w:iCs/>
          <w:lang w:val="es-MX" w:eastAsia="es-MX"/>
        </w:rPr>
        <w:t>Nota.</w:t>
      </w:r>
      <w:r w:rsidRPr="00F9570E">
        <w:rPr>
          <w:bCs/>
          <w:lang w:val="es-MX" w:eastAsia="es-MX"/>
        </w:rPr>
        <w:t xml:space="preserve"> DB, dosis baja; DM</w:t>
      </w:r>
      <w:r w:rsidR="008C15A4">
        <w:rPr>
          <w:bCs/>
          <w:lang w:val="es-MX" w:eastAsia="es-MX"/>
        </w:rPr>
        <w:t>,</w:t>
      </w:r>
      <w:r w:rsidRPr="00F9570E">
        <w:rPr>
          <w:bCs/>
          <w:lang w:val="es-MX" w:eastAsia="es-MX"/>
        </w:rPr>
        <w:t xml:space="preserve"> </w:t>
      </w:r>
      <w:r w:rsidR="008C15A4">
        <w:rPr>
          <w:bCs/>
          <w:lang w:val="es-MX" w:eastAsia="es-MX"/>
        </w:rPr>
        <w:t>d</w:t>
      </w:r>
      <w:r w:rsidRPr="00F9570E">
        <w:rPr>
          <w:bCs/>
          <w:lang w:val="es-MX" w:eastAsia="es-MX"/>
        </w:rPr>
        <w:t>osis media y DA, dosis alta de GBP administrada. Se observa una</w:t>
      </w:r>
      <w:r w:rsidRPr="00D97345">
        <w:rPr>
          <w:bCs/>
          <w:lang w:val="es-MX" w:eastAsia="es-MX"/>
        </w:rPr>
        <w:t xml:space="preserve"> mayor cantidad de trastornos motores cuando solamente se administró PTZ. Esta cantidad se reduce progresivamente de acuerdo a la dosis de GBP administrada</w:t>
      </w:r>
      <w:r w:rsidRPr="00EA59EE">
        <w:rPr>
          <w:bCs/>
          <w:lang w:val="es-MX" w:eastAsia="es-MX"/>
        </w:rPr>
        <w:t>.</w:t>
      </w:r>
    </w:p>
    <w:p w14:paraId="4220FE4D" w14:textId="77777777" w:rsidR="00EA59EE" w:rsidRPr="00EA59EE" w:rsidRDefault="00EA59EE" w:rsidP="00EA59EE">
      <w:pPr>
        <w:pStyle w:val="Prrafocomn"/>
        <w:ind w:firstLine="0"/>
        <w:rPr>
          <w:lang w:val="es-AR"/>
        </w:rPr>
      </w:pPr>
    </w:p>
    <w:p w14:paraId="1997D0D3" w14:textId="27AA0473" w:rsidR="009F7B75" w:rsidRPr="00EA59EE" w:rsidRDefault="00EA59EE" w:rsidP="001444E3">
      <w:pPr>
        <w:pStyle w:val="SubtituloInterno"/>
      </w:pPr>
      <w:r w:rsidRPr="00EA59EE">
        <w:rPr>
          <w:bCs/>
        </w:rPr>
        <w:lastRenderedPageBreak/>
        <w:t>Efecto del PTZ sobre la duración de los estados de vigilancia</w:t>
      </w:r>
    </w:p>
    <w:p w14:paraId="3A9523F9" w14:textId="49F3ED5D" w:rsidR="00750D6C" w:rsidRDefault="00EA59EE" w:rsidP="00750D6C">
      <w:pPr>
        <w:pStyle w:val="Prrafocomn"/>
        <w:rPr>
          <w:bCs/>
          <w:iCs/>
          <w:lang w:val="es-AR"/>
        </w:rPr>
      </w:pPr>
      <w:r w:rsidRPr="00EA59EE">
        <w:rPr>
          <w:bCs/>
          <w:iCs/>
          <w:lang w:val="es-AR"/>
        </w:rPr>
        <w:t xml:space="preserve">En el grupo que recibió </w:t>
      </w:r>
      <w:r w:rsidR="008C15A4" w:rsidRPr="00EA59EE">
        <w:rPr>
          <w:bCs/>
          <w:iCs/>
          <w:lang w:val="es-AR"/>
        </w:rPr>
        <w:t>únicamente</w:t>
      </w:r>
      <w:r w:rsidRPr="00EA59EE">
        <w:rPr>
          <w:bCs/>
          <w:iCs/>
          <w:lang w:val="es-AR"/>
        </w:rPr>
        <w:t xml:space="preserve"> PTZ,  la administración de este fármaco (Día 2) provocó que la cantidad de vigilia se incrementara de manera significativa y que disminuyeran tanto la cantidad de sueño NMOR como la de MOR (Tabla 2). El efecto del PTZ sobre la reducción del sueño NMOR y MOR fue inmediato, precediendo la aparición de actividad convulsiva. La duración de este efecto inhibidor sobre del sueño permaneció durante todo el registro.  Al día siguiente (Día 3), se observó una recuperación, ya que los valores de estos 3 estados de vigilancia fueron similares a los del día 1 de línea base (Tabla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9"/>
        <w:gridCol w:w="1768"/>
        <w:gridCol w:w="1313"/>
        <w:gridCol w:w="1313"/>
        <w:gridCol w:w="1313"/>
        <w:gridCol w:w="1337"/>
        <w:gridCol w:w="661"/>
      </w:tblGrid>
      <w:tr w:rsidR="00EA59EE" w:rsidRPr="0000587D" w14:paraId="705AF78C" w14:textId="77777777" w:rsidTr="00EA59EE">
        <w:trPr>
          <w:trHeight w:val="300"/>
        </w:trPr>
        <w:tc>
          <w:tcPr>
            <w:tcW w:w="5000" w:type="pct"/>
            <w:gridSpan w:val="7"/>
            <w:tcBorders>
              <w:top w:val="nil"/>
              <w:left w:val="nil"/>
              <w:bottom w:val="nil"/>
              <w:right w:val="nil"/>
            </w:tcBorders>
            <w:shd w:val="clear" w:color="auto" w:fill="auto"/>
            <w:noWrap/>
            <w:vAlign w:val="bottom"/>
            <w:hideMark/>
          </w:tcPr>
          <w:p w14:paraId="7D383520" w14:textId="77777777" w:rsidR="00EA59EE" w:rsidRPr="00650F8B" w:rsidRDefault="00EA59EE" w:rsidP="00F50E6A">
            <w:pPr>
              <w:rPr>
                <w:lang w:val="es-MX"/>
              </w:rPr>
            </w:pPr>
            <w:r w:rsidRPr="00650F8B">
              <w:rPr>
                <w:color w:val="000000"/>
                <w:lang w:val="es-MX"/>
              </w:rPr>
              <w:t>Tabla 2</w:t>
            </w:r>
            <w:r>
              <w:rPr>
                <w:color w:val="000000"/>
                <w:lang w:val="es-MX"/>
              </w:rPr>
              <w:t>.</w:t>
            </w:r>
          </w:p>
        </w:tc>
      </w:tr>
      <w:tr w:rsidR="00EA59EE" w:rsidRPr="00803820" w14:paraId="25DB8A53" w14:textId="77777777" w:rsidTr="00EA59EE">
        <w:trPr>
          <w:trHeight w:val="300"/>
        </w:trPr>
        <w:tc>
          <w:tcPr>
            <w:tcW w:w="5000" w:type="pct"/>
            <w:gridSpan w:val="7"/>
            <w:tcBorders>
              <w:top w:val="nil"/>
              <w:left w:val="nil"/>
              <w:bottom w:val="single" w:sz="4" w:space="0" w:color="auto"/>
              <w:right w:val="nil"/>
            </w:tcBorders>
            <w:shd w:val="clear" w:color="auto" w:fill="auto"/>
            <w:noWrap/>
            <w:vAlign w:val="bottom"/>
          </w:tcPr>
          <w:p w14:paraId="6CD7977D" w14:textId="77777777" w:rsidR="00EA59EE" w:rsidRPr="00803820" w:rsidRDefault="00EA59EE" w:rsidP="00F50E6A">
            <w:pPr>
              <w:rPr>
                <w:i/>
                <w:iCs/>
                <w:lang w:val="es-MX"/>
              </w:rPr>
            </w:pPr>
            <w:r w:rsidRPr="00803820">
              <w:rPr>
                <w:i/>
                <w:iCs/>
                <w:lang w:val="es-MX"/>
              </w:rPr>
              <w:t>Comparación entre los tres días de registro en los cuatro grupos</w:t>
            </w:r>
          </w:p>
        </w:tc>
      </w:tr>
      <w:tr w:rsidR="00EA59EE" w:rsidRPr="00650F8B" w14:paraId="2FCBE4D7" w14:textId="77777777" w:rsidTr="00EA59EE">
        <w:trPr>
          <w:trHeight w:val="300"/>
        </w:trPr>
        <w:tc>
          <w:tcPr>
            <w:tcW w:w="449" w:type="pct"/>
            <w:tcBorders>
              <w:left w:val="nil"/>
              <w:bottom w:val="single" w:sz="4" w:space="0" w:color="auto"/>
              <w:right w:val="nil"/>
            </w:tcBorders>
            <w:shd w:val="clear" w:color="auto" w:fill="auto"/>
            <w:noWrap/>
            <w:vAlign w:val="bottom"/>
            <w:hideMark/>
          </w:tcPr>
          <w:p w14:paraId="72566BFD" w14:textId="77777777" w:rsidR="00EA59EE" w:rsidRPr="00650F8B" w:rsidRDefault="00EA59EE" w:rsidP="00F50E6A">
            <w:pPr>
              <w:rPr>
                <w:color w:val="000000"/>
                <w:lang w:val="es-MX"/>
              </w:rPr>
            </w:pPr>
            <w:r w:rsidRPr="00650F8B">
              <w:rPr>
                <w:color w:val="000000"/>
                <w:lang w:val="es-MX"/>
              </w:rPr>
              <w:t>Grupo</w:t>
            </w:r>
          </w:p>
        </w:tc>
        <w:tc>
          <w:tcPr>
            <w:tcW w:w="1067" w:type="pct"/>
            <w:tcBorders>
              <w:left w:val="nil"/>
              <w:bottom w:val="single" w:sz="4" w:space="0" w:color="auto"/>
              <w:right w:val="nil"/>
            </w:tcBorders>
            <w:shd w:val="clear" w:color="auto" w:fill="auto"/>
            <w:noWrap/>
            <w:vAlign w:val="bottom"/>
            <w:hideMark/>
          </w:tcPr>
          <w:p w14:paraId="7879C0F1" w14:textId="77777777" w:rsidR="00EA59EE" w:rsidRPr="00650F8B" w:rsidRDefault="00EA59EE" w:rsidP="00F50E6A">
            <w:pPr>
              <w:rPr>
                <w:color w:val="000000"/>
                <w:lang w:val="es-MX"/>
              </w:rPr>
            </w:pPr>
            <w:r>
              <w:rPr>
                <w:color w:val="000000"/>
                <w:lang w:val="es-MX"/>
              </w:rPr>
              <w:t>Estado de vigilancia</w:t>
            </w:r>
          </w:p>
        </w:tc>
        <w:tc>
          <w:tcPr>
            <w:tcW w:w="777" w:type="pct"/>
            <w:tcBorders>
              <w:left w:val="nil"/>
              <w:bottom w:val="single" w:sz="4" w:space="0" w:color="auto"/>
              <w:right w:val="nil"/>
            </w:tcBorders>
            <w:shd w:val="clear" w:color="auto" w:fill="auto"/>
            <w:noWrap/>
            <w:vAlign w:val="bottom"/>
            <w:hideMark/>
          </w:tcPr>
          <w:p w14:paraId="71EBDD73" w14:textId="77777777" w:rsidR="00EA59EE" w:rsidRPr="00650F8B" w:rsidRDefault="00EA59EE" w:rsidP="00F50E6A">
            <w:pPr>
              <w:rPr>
                <w:color w:val="000000"/>
                <w:lang w:val="es-MX"/>
              </w:rPr>
            </w:pPr>
            <w:r>
              <w:rPr>
                <w:color w:val="000000"/>
                <w:lang w:val="es-MX"/>
              </w:rPr>
              <w:t xml:space="preserve">     </w:t>
            </w:r>
            <w:r w:rsidRPr="00650F8B">
              <w:rPr>
                <w:color w:val="000000"/>
                <w:lang w:val="es-MX"/>
              </w:rPr>
              <w:t>D</w:t>
            </w:r>
            <w:r>
              <w:rPr>
                <w:color w:val="000000"/>
                <w:lang w:val="es-MX"/>
              </w:rPr>
              <w:t>ía 1</w:t>
            </w:r>
          </w:p>
        </w:tc>
        <w:tc>
          <w:tcPr>
            <w:tcW w:w="777" w:type="pct"/>
            <w:tcBorders>
              <w:left w:val="nil"/>
              <w:bottom w:val="single" w:sz="4" w:space="0" w:color="auto"/>
              <w:right w:val="nil"/>
            </w:tcBorders>
            <w:shd w:val="clear" w:color="auto" w:fill="auto"/>
            <w:noWrap/>
            <w:vAlign w:val="bottom"/>
            <w:hideMark/>
          </w:tcPr>
          <w:p w14:paraId="009B8762" w14:textId="77777777" w:rsidR="00EA59EE" w:rsidRPr="00650F8B" w:rsidRDefault="00EA59EE" w:rsidP="00F50E6A">
            <w:pPr>
              <w:rPr>
                <w:color w:val="000000"/>
                <w:lang w:val="es-MX"/>
              </w:rPr>
            </w:pPr>
            <w:r>
              <w:rPr>
                <w:color w:val="000000"/>
                <w:lang w:val="es-MX"/>
              </w:rPr>
              <w:t xml:space="preserve">    </w:t>
            </w:r>
            <w:r w:rsidRPr="00650F8B">
              <w:rPr>
                <w:color w:val="000000"/>
                <w:lang w:val="es-MX"/>
              </w:rPr>
              <w:t>D</w:t>
            </w:r>
            <w:r>
              <w:rPr>
                <w:color w:val="000000"/>
                <w:lang w:val="es-MX"/>
              </w:rPr>
              <w:t>ía 2</w:t>
            </w:r>
          </w:p>
        </w:tc>
        <w:tc>
          <w:tcPr>
            <w:tcW w:w="777" w:type="pct"/>
            <w:tcBorders>
              <w:left w:val="nil"/>
              <w:bottom w:val="single" w:sz="4" w:space="0" w:color="auto"/>
              <w:right w:val="nil"/>
            </w:tcBorders>
            <w:shd w:val="clear" w:color="auto" w:fill="auto"/>
            <w:noWrap/>
            <w:vAlign w:val="bottom"/>
            <w:hideMark/>
          </w:tcPr>
          <w:p w14:paraId="69A55ECA" w14:textId="77777777" w:rsidR="00EA59EE" w:rsidRPr="00650F8B" w:rsidRDefault="00EA59EE" w:rsidP="00F50E6A">
            <w:pPr>
              <w:rPr>
                <w:color w:val="000000"/>
                <w:lang w:val="es-MX"/>
              </w:rPr>
            </w:pPr>
            <w:r>
              <w:rPr>
                <w:color w:val="000000"/>
                <w:lang w:val="es-MX"/>
              </w:rPr>
              <w:t xml:space="preserve">    </w:t>
            </w:r>
            <w:r w:rsidRPr="00650F8B">
              <w:rPr>
                <w:color w:val="000000"/>
                <w:lang w:val="es-MX"/>
              </w:rPr>
              <w:t>D</w:t>
            </w:r>
            <w:r>
              <w:rPr>
                <w:color w:val="000000"/>
                <w:lang w:val="es-MX"/>
              </w:rPr>
              <w:t>ía 3</w:t>
            </w:r>
          </w:p>
        </w:tc>
        <w:tc>
          <w:tcPr>
            <w:tcW w:w="792" w:type="pct"/>
            <w:tcBorders>
              <w:left w:val="nil"/>
              <w:bottom w:val="single" w:sz="4" w:space="0" w:color="auto"/>
              <w:right w:val="nil"/>
            </w:tcBorders>
            <w:shd w:val="clear" w:color="auto" w:fill="auto"/>
            <w:noWrap/>
            <w:vAlign w:val="bottom"/>
            <w:hideMark/>
          </w:tcPr>
          <w:p w14:paraId="08326153" w14:textId="77777777" w:rsidR="00EA59EE" w:rsidRPr="00650F8B" w:rsidRDefault="00EA59EE" w:rsidP="00F50E6A">
            <w:pPr>
              <w:rPr>
                <w:color w:val="000000"/>
                <w:lang w:val="es-MX"/>
              </w:rPr>
            </w:pPr>
            <w:r>
              <w:rPr>
                <w:color w:val="000000"/>
                <w:lang w:val="es-MX"/>
              </w:rPr>
              <w:t xml:space="preserve"> </w:t>
            </w:r>
            <w:r w:rsidRPr="00650F8B">
              <w:rPr>
                <w:color w:val="000000"/>
                <w:lang w:val="es-MX"/>
              </w:rPr>
              <w:t>Chi-</w:t>
            </w:r>
            <w:r>
              <w:rPr>
                <w:color w:val="000000"/>
                <w:lang w:val="es-MX"/>
              </w:rPr>
              <w:t>cuadrada</w:t>
            </w:r>
          </w:p>
        </w:tc>
        <w:tc>
          <w:tcPr>
            <w:tcW w:w="360" w:type="pct"/>
            <w:tcBorders>
              <w:left w:val="nil"/>
              <w:bottom w:val="single" w:sz="4" w:space="0" w:color="auto"/>
              <w:right w:val="nil"/>
            </w:tcBorders>
            <w:shd w:val="clear" w:color="auto" w:fill="auto"/>
            <w:noWrap/>
            <w:vAlign w:val="bottom"/>
            <w:hideMark/>
          </w:tcPr>
          <w:p w14:paraId="0FCC6859" w14:textId="77777777" w:rsidR="00EA59EE" w:rsidRPr="00650F8B" w:rsidRDefault="00EA59EE" w:rsidP="00F50E6A">
            <w:pPr>
              <w:rPr>
                <w:color w:val="000000"/>
                <w:lang w:val="es-MX"/>
              </w:rPr>
            </w:pPr>
            <w:r>
              <w:rPr>
                <w:color w:val="000000"/>
                <w:lang w:val="es-MX"/>
              </w:rPr>
              <w:t xml:space="preserve">    </w:t>
            </w:r>
            <w:r w:rsidRPr="00650F8B">
              <w:rPr>
                <w:color w:val="000000"/>
                <w:lang w:val="es-MX"/>
              </w:rPr>
              <w:t>p</w:t>
            </w:r>
          </w:p>
        </w:tc>
      </w:tr>
      <w:tr w:rsidR="00EA59EE" w:rsidRPr="00650F8B" w14:paraId="24636042" w14:textId="77777777" w:rsidTr="00EA59EE">
        <w:trPr>
          <w:trHeight w:val="300"/>
        </w:trPr>
        <w:tc>
          <w:tcPr>
            <w:tcW w:w="449" w:type="pct"/>
            <w:tcBorders>
              <w:left w:val="nil"/>
              <w:bottom w:val="nil"/>
              <w:right w:val="nil"/>
            </w:tcBorders>
            <w:shd w:val="clear" w:color="auto" w:fill="auto"/>
            <w:noWrap/>
            <w:vAlign w:val="bottom"/>
            <w:hideMark/>
          </w:tcPr>
          <w:p w14:paraId="3C16E306" w14:textId="77777777" w:rsidR="00EA59EE" w:rsidRPr="00650F8B" w:rsidRDefault="00EA59EE" w:rsidP="00F50E6A">
            <w:pPr>
              <w:rPr>
                <w:color w:val="000000"/>
                <w:lang w:val="es-MX"/>
              </w:rPr>
            </w:pPr>
            <w:r w:rsidRPr="00650F8B">
              <w:rPr>
                <w:color w:val="000000"/>
                <w:lang w:val="es-MX"/>
              </w:rPr>
              <w:t>DB</w:t>
            </w:r>
          </w:p>
        </w:tc>
        <w:tc>
          <w:tcPr>
            <w:tcW w:w="1067" w:type="pct"/>
            <w:tcBorders>
              <w:left w:val="nil"/>
              <w:bottom w:val="nil"/>
              <w:right w:val="nil"/>
            </w:tcBorders>
            <w:shd w:val="clear" w:color="auto" w:fill="auto"/>
            <w:noWrap/>
            <w:vAlign w:val="bottom"/>
            <w:hideMark/>
          </w:tcPr>
          <w:p w14:paraId="55102BA1" w14:textId="77777777" w:rsidR="00EA59EE" w:rsidRPr="00650F8B" w:rsidRDefault="00EA59EE" w:rsidP="00F50E6A">
            <w:pPr>
              <w:rPr>
                <w:color w:val="000000"/>
                <w:lang w:val="es-MX"/>
              </w:rPr>
            </w:pPr>
            <w:r w:rsidRPr="00650F8B">
              <w:rPr>
                <w:color w:val="000000"/>
                <w:lang w:val="es-MX"/>
              </w:rPr>
              <w:t>V</w:t>
            </w:r>
            <w:r>
              <w:rPr>
                <w:color w:val="000000"/>
                <w:lang w:val="es-MX"/>
              </w:rPr>
              <w:t>igilia</w:t>
            </w:r>
          </w:p>
        </w:tc>
        <w:tc>
          <w:tcPr>
            <w:tcW w:w="777" w:type="pct"/>
            <w:tcBorders>
              <w:left w:val="nil"/>
              <w:bottom w:val="nil"/>
              <w:right w:val="nil"/>
            </w:tcBorders>
            <w:shd w:val="clear" w:color="auto" w:fill="auto"/>
            <w:noWrap/>
            <w:vAlign w:val="bottom"/>
          </w:tcPr>
          <w:p w14:paraId="6866A025" w14:textId="77777777" w:rsidR="00EA59EE" w:rsidRPr="004420D7" w:rsidRDefault="00EA59EE" w:rsidP="00F50E6A">
            <w:pPr>
              <w:jc w:val="right"/>
              <w:rPr>
                <w:color w:val="000000"/>
                <w:lang w:val="es-MX"/>
              </w:rPr>
            </w:pPr>
            <w:r w:rsidRPr="004420D7">
              <w:rPr>
                <w:color w:val="000000"/>
              </w:rPr>
              <w:t>240(228-244)</w:t>
            </w:r>
          </w:p>
        </w:tc>
        <w:tc>
          <w:tcPr>
            <w:tcW w:w="777" w:type="pct"/>
            <w:tcBorders>
              <w:left w:val="nil"/>
              <w:bottom w:val="nil"/>
              <w:right w:val="nil"/>
            </w:tcBorders>
            <w:shd w:val="clear" w:color="auto" w:fill="auto"/>
            <w:noWrap/>
            <w:vAlign w:val="bottom"/>
          </w:tcPr>
          <w:p w14:paraId="441A916B" w14:textId="77777777" w:rsidR="00EA59EE" w:rsidRPr="004420D7" w:rsidRDefault="00EA59EE" w:rsidP="00F50E6A">
            <w:pPr>
              <w:jc w:val="right"/>
              <w:rPr>
                <w:color w:val="000000"/>
                <w:lang w:val="es-MX"/>
              </w:rPr>
            </w:pPr>
            <w:r>
              <w:rPr>
                <w:color w:val="000000"/>
                <w:lang w:val="es-MX"/>
              </w:rPr>
              <w:t>246(210-277)</w:t>
            </w:r>
          </w:p>
        </w:tc>
        <w:tc>
          <w:tcPr>
            <w:tcW w:w="777" w:type="pct"/>
            <w:tcBorders>
              <w:left w:val="nil"/>
              <w:bottom w:val="nil"/>
              <w:right w:val="nil"/>
            </w:tcBorders>
            <w:shd w:val="clear" w:color="auto" w:fill="auto"/>
            <w:noWrap/>
            <w:vAlign w:val="bottom"/>
          </w:tcPr>
          <w:p w14:paraId="4A4997E1" w14:textId="77777777" w:rsidR="00EA59EE" w:rsidRPr="004420D7" w:rsidRDefault="00EA59EE" w:rsidP="00F50E6A">
            <w:pPr>
              <w:jc w:val="right"/>
              <w:rPr>
                <w:color w:val="000000"/>
                <w:lang w:val="es-MX"/>
              </w:rPr>
            </w:pPr>
            <w:r>
              <w:rPr>
                <w:color w:val="000000"/>
                <w:lang w:val="es-MX"/>
              </w:rPr>
              <w:t>231(218-270)</w:t>
            </w:r>
          </w:p>
        </w:tc>
        <w:tc>
          <w:tcPr>
            <w:tcW w:w="792" w:type="pct"/>
            <w:tcBorders>
              <w:left w:val="nil"/>
              <w:bottom w:val="nil"/>
              <w:right w:val="nil"/>
            </w:tcBorders>
            <w:shd w:val="clear" w:color="auto" w:fill="auto"/>
            <w:noWrap/>
            <w:vAlign w:val="bottom"/>
            <w:hideMark/>
          </w:tcPr>
          <w:p w14:paraId="04545CB2" w14:textId="77777777" w:rsidR="00EA59EE" w:rsidRPr="00650F8B" w:rsidRDefault="00EA59EE" w:rsidP="00F50E6A">
            <w:pPr>
              <w:jc w:val="right"/>
              <w:rPr>
                <w:color w:val="000000"/>
                <w:lang w:val="es-MX"/>
              </w:rPr>
            </w:pPr>
            <w:r w:rsidRPr="00650F8B">
              <w:rPr>
                <w:color w:val="000000"/>
                <w:lang w:val="es-MX"/>
              </w:rPr>
              <w:t>1</w:t>
            </w:r>
          </w:p>
        </w:tc>
        <w:tc>
          <w:tcPr>
            <w:tcW w:w="360" w:type="pct"/>
            <w:tcBorders>
              <w:left w:val="nil"/>
              <w:bottom w:val="nil"/>
              <w:right w:val="nil"/>
            </w:tcBorders>
            <w:shd w:val="clear" w:color="auto" w:fill="auto"/>
            <w:noWrap/>
            <w:vAlign w:val="bottom"/>
            <w:hideMark/>
          </w:tcPr>
          <w:p w14:paraId="3374D6DB" w14:textId="77777777" w:rsidR="00EA59EE" w:rsidRPr="00650F8B" w:rsidRDefault="00EA59EE" w:rsidP="00F50E6A">
            <w:pPr>
              <w:jc w:val="right"/>
              <w:rPr>
                <w:color w:val="000000"/>
                <w:lang w:val="es-MX"/>
              </w:rPr>
            </w:pPr>
            <w:r>
              <w:rPr>
                <w:color w:val="000000"/>
                <w:lang w:val="es-MX"/>
              </w:rPr>
              <w:t>ns</w:t>
            </w:r>
          </w:p>
        </w:tc>
      </w:tr>
      <w:tr w:rsidR="00EA59EE" w:rsidRPr="00650F8B" w14:paraId="13AE9A3E" w14:textId="77777777" w:rsidTr="00EA59EE">
        <w:trPr>
          <w:trHeight w:val="300"/>
        </w:trPr>
        <w:tc>
          <w:tcPr>
            <w:tcW w:w="449" w:type="pct"/>
            <w:tcBorders>
              <w:top w:val="nil"/>
              <w:left w:val="nil"/>
              <w:bottom w:val="nil"/>
              <w:right w:val="nil"/>
            </w:tcBorders>
            <w:shd w:val="clear" w:color="auto" w:fill="auto"/>
            <w:noWrap/>
            <w:vAlign w:val="bottom"/>
            <w:hideMark/>
          </w:tcPr>
          <w:p w14:paraId="13708F82" w14:textId="77777777" w:rsidR="00EA59EE" w:rsidRPr="00650F8B" w:rsidRDefault="00EA59EE" w:rsidP="00F50E6A">
            <w:pPr>
              <w:jc w:val="right"/>
              <w:rPr>
                <w:color w:val="000000"/>
                <w:lang w:val="es-MX"/>
              </w:rPr>
            </w:pPr>
          </w:p>
        </w:tc>
        <w:tc>
          <w:tcPr>
            <w:tcW w:w="1067" w:type="pct"/>
            <w:tcBorders>
              <w:top w:val="nil"/>
              <w:left w:val="nil"/>
              <w:bottom w:val="nil"/>
              <w:right w:val="nil"/>
            </w:tcBorders>
            <w:shd w:val="clear" w:color="auto" w:fill="auto"/>
            <w:noWrap/>
            <w:vAlign w:val="bottom"/>
            <w:hideMark/>
          </w:tcPr>
          <w:p w14:paraId="603E254C" w14:textId="77777777" w:rsidR="00EA59EE" w:rsidRPr="00650F8B" w:rsidRDefault="00EA59EE" w:rsidP="00F50E6A">
            <w:pPr>
              <w:rPr>
                <w:color w:val="000000"/>
                <w:lang w:val="es-MX"/>
              </w:rPr>
            </w:pPr>
            <w:r>
              <w:rPr>
                <w:color w:val="000000"/>
                <w:lang w:val="es-MX"/>
              </w:rPr>
              <w:t>NMOR</w:t>
            </w:r>
          </w:p>
        </w:tc>
        <w:tc>
          <w:tcPr>
            <w:tcW w:w="777" w:type="pct"/>
            <w:tcBorders>
              <w:top w:val="nil"/>
              <w:left w:val="nil"/>
              <w:bottom w:val="nil"/>
              <w:right w:val="nil"/>
            </w:tcBorders>
            <w:shd w:val="clear" w:color="auto" w:fill="auto"/>
            <w:noWrap/>
            <w:vAlign w:val="bottom"/>
          </w:tcPr>
          <w:p w14:paraId="4B29C1DB" w14:textId="77777777" w:rsidR="00EA59EE" w:rsidRPr="004420D7" w:rsidRDefault="00EA59EE" w:rsidP="00F50E6A">
            <w:pPr>
              <w:jc w:val="right"/>
              <w:rPr>
                <w:color w:val="000000"/>
                <w:lang w:val="es-MX"/>
              </w:rPr>
            </w:pPr>
            <w:r>
              <w:rPr>
                <w:color w:val="000000"/>
                <w:lang w:val="es-MX"/>
              </w:rPr>
              <w:t>253(247-251)</w:t>
            </w:r>
          </w:p>
        </w:tc>
        <w:tc>
          <w:tcPr>
            <w:tcW w:w="777" w:type="pct"/>
            <w:tcBorders>
              <w:top w:val="nil"/>
              <w:left w:val="nil"/>
              <w:bottom w:val="nil"/>
              <w:right w:val="nil"/>
            </w:tcBorders>
            <w:shd w:val="clear" w:color="auto" w:fill="auto"/>
            <w:noWrap/>
            <w:vAlign w:val="bottom"/>
          </w:tcPr>
          <w:p w14:paraId="1BFEC1F5" w14:textId="77777777" w:rsidR="00EA59EE" w:rsidRPr="004420D7" w:rsidRDefault="00EA59EE" w:rsidP="00F50E6A">
            <w:pPr>
              <w:jc w:val="right"/>
              <w:rPr>
                <w:color w:val="000000"/>
                <w:lang w:val="es-MX"/>
              </w:rPr>
            </w:pPr>
            <w:r>
              <w:rPr>
                <w:color w:val="000000"/>
                <w:lang w:val="es-MX"/>
              </w:rPr>
              <w:t>226(204-268)</w:t>
            </w:r>
          </w:p>
        </w:tc>
        <w:tc>
          <w:tcPr>
            <w:tcW w:w="777" w:type="pct"/>
            <w:tcBorders>
              <w:top w:val="nil"/>
              <w:left w:val="nil"/>
              <w:bottom w:val="nil"/>
              <w:right w:val="nil"/>
            </w:tcBorders>
            <w:shd w:val="clear" w:color="auto" w:fill="auto"/>
            <w:noWrap/>
            <w:vAlign w:val="bottom"/>
          </w:tcPr>
          <w:p w14:paraId="17638DDA" w14:textId="77777777" w:rsidR="00EA59EE" w:rsidRPr="004420D7" w:rsidRDefault="00EA59EE" w:rsidP="00F50E6A">
            <w:pPr>
              <w:jc w:val="right"/>
              <w:rPr>
                <w:color w:val="000000"/>
                <w:lang w:val="es-MX"/>
              </w:rPr>
            </w:pPr>
            <w:r>
              <w:rPr>
                <w:color w:val="000000"/>
                <w:lang w:val="es-MX"/>
              </w:rPr>
              <w:t>245(208-252)</w:t>
            </w:r>
          </w:p>
        </w:tc>
        <w:tc>
          <w:tcPr>
            <w:tcW w:w="792" w:type="pct"/>
            <w:tcBorders>
              <w:top w:val="nil"/>
              <w:left w:val="nil"/>
              <w:bottom w:val="nil"/>
              <w:right w:val="nil"/>
            </w:tcBorders>
            <w:shd w:val="clear" w:color="auto" w:fill="auto"/>
            <w:noWrap/>
            <w:vAlign w:val="bottom"/>
            <w:hideMark/>
          </w:tcPr>
          <w:p w14:paraId="6145A05C" w14:textId="77777777" w:rsidR="00EA59EE" w:rsidRPr="00650F8B" w:rsidRDefault="00EA59EE" w:rsidP="00F50E6A">
            <w:pPr>
              <w:jc w:val="right"/>
              <w:rPr>
                <w:color w:val="000000"/>
                <w:lang w:val="es-MX"/>
              </w:rPr>
            </w:pPr>
            <w:r w:rsidRPr="00650F8B">
              <w:rPr>
                <w:color w:val="000000"/>
                <w:lang w:val="es-MX"/>
              </w:rPr>
              <w:t>3</w:t>
            </w:r>
          </w:p>
        </w:tc>
        <w:tc>
          <w:tcPr>
            <w:tcW w:w="360" w:type="pct"/>
            <w:tcBorders>
              <w:top w:val="nil"/>
              <w:left w:val="nil"/>
              <w:bottom w:val="nil"/>
              <w:right w:val="nil"/>
            </w:tcBorders>
            <w:shd w:val="clear" w:color="auto" w:fill="auto"/>
            <w:noWrap/>
            <w:vAlign w:val="bottom"/>
            <w:hideMark/>
          </w:tcPr>
          <w:p w14:paraId="4725E428" w14:textId="77777777" w:rsidR="00EA59EE" w:rsidRPr="00650F8B" w:rsidRDefault="00EA59EE" w:rsidP="00F50E6A">
            <w:pPr>
              <w:jc w:val="right"/>
              <w:rPr>
                <w:color w:val="000000"/>
                <w:lang w:val="es-MX"/>
              </w:rPr>
            </w:pPr>
            <w:r>
              <w:rPr>
                <w:color w:val="000000"/>
                <w:lang w:val="es-MX"/>
              </w:rPr>
              <w:t>ns</w:t>
            </w:r>
          </w:p>
        </w:tc>
      </w:tr>
      <w:tr w:rsidR="00EA59EE" w:rsidRPr="00650F8B" w14:paraId="23CCC7D6" w14:textId="77777777" w:rsidTr="00EA59EE">
        <w:trPr>
          <w:trHeight w:val="300"/>
        </w:trPr>
        <w:tc>
          <w:tcPr>
            <w:tcW w:w="449" w:type="pct"/>
            <w:tcBorders>
              <w:top w:val="nil"/>
              <w:left w:val="nil"/>
              <w:bottom w:val="nil"/>
              <w:right w:val="nil"/>
            </w:tcBorders>
            <w:shd w:val="clear" w:color="auto" w:fill="auto"/>
            <w:noWrap/>
            <w:vAlign w:val="bottom"/>
            <w:hideMark/>
          </w:tcPr>
          <w:p w14:paraId="2C5FE97B" w14:textId="77777777" w:rsidR="00EA59EE" w:rsidRPr="00650F8B" w:rsidRDefault="00EA59EE" w:rsidP="00F50E6A">
            <w:pPr>
              <w:jc w:val="right"/>
              <w:rPr>
                <w:color w:val="000000"/>
                <w:lang w:val="es-MX"/>
              </w:rPr>
            </w:pPr>
          </w:p>
        </w:tc>
        <w:tc>
          <w:tcPr>
            <w:tcW w:w="1067" w:type="pct"/>
            <w:tcBorders>
              <w:top w:val="nil"/>
              <w:left w:val="nil"/>
              <w:bottom w:val="nil"/>
              <w:right w:val="nil"/>
            </w:tcBorders>
            <w:shd w:val="clear" w:color="auto" w:fill="auto"/>
            <w:noWrap/>
            <w:vAlign w:val="bottom"/>
            <w:hideMark/>
          </w:tcPr>
          <w:p w14:paraId="768CECEC" w14:textId="77777777" w:rsidR="00EA59EE" w:rsidRPr="00650F8B" w:rsidRDefault="00EA59EE" w:rsidP="00F50E6A">
            <w:pPr>
              <w:rPr>
                <w:color w:val="000000"/>
                <w:lang w:val="es-MX"/>
              </w:rPr>
            </w:pPr>
            <w:r w:rsidRPr="00650F8B">
              <w:rPr>
                <w:color w:val="000000"/>
                <w:lang w:val="es-MX"/>
              </w:rPr>
              <w:t>MOR</w:t>
            </w:r>
          </w:p>
        </w:tc>
        <w:tc>
          <w:tcPr>
            <w:tcW w:w="777" w:type="pct"/>
            <w:tcBorders>
              <w:top w:val="nil"/>
              <w:left w:val="nil"/>
              <w:bottom w:val="nil"/>
              <w:right w:val="nil"/>
            </w:tcBorders>
            <w:shd w:val="clear" w:color="auto" w:fill="auto"/>
            <w:noWrap/>
            <w:vAlign w:val="bottom"/>
          </w:tcPr>
          <w:p w14:paraId="176A0064" w14:textId="77777777" w:rsidR="00EA59EE" w:rsidRPr="004420D7" w:rsidRDefault="00EA59EE" w:rsidP="00F50E6A">
            <w:pPr>
              <w:jc w:val="right"/>
              <w:rPr>
                <w:color w:val="000000"/>
                <w:lang w:val="es-MX"/>
              </w:rPr>
            </w:pPr>
            <w:r>
              <w:rPr>
                <w:color w:val="000000"/>
                <w:lang w:val="es-MX"/>
              </w:rPr>
              <w:t>49(42-54)</w:t>
            </w:r>
          </w:p>
        </w:tc>
        <w:tc>
          <w:tcPr>
            <w:tcW w:w="777" w:type="pct"/>
            <w:tcBorders>
              <w:top w:val="nil"/>
              <w:left w:val="nil"/>
              <w:bottom w:val="nil"/>
              <w:right w:val="nil"/>
            </w:tcBorders>
            <w:shd w:val="clear" w:color="auto" w:fill="auto"/>
            <w:noWrap/>
            <w:vAlign w:val="bottom"/>
          </w:tcPr>
          <w:p w14:paraId="589DAA1C" w14:textId="77777777" w:rsidR="00EA59EE" w:rsidRPr="004420D7" w:rsidRDefault="00EA59EE" w:rsidP="00F50E6A">
            <w:pPr>
              <w:jc w:val="right"/>
              <w:rPr>
                <w:color w:val="000000"/>
                <w:lang w:val="es-MX"/>
              </w:rPr>
            </w:pPr>
            <w:r>
              <w:rPr>
                <w:color w:val="000000"/>
                <w:lang w:val="es-MX"/>
              </w:rPr>
              <w:t>62(51-71)</w:t>
            </w:r>
          </w:p>
        </w:tc>
        <w:tc>
          <w:tcPr>
            <w:tcW w:w="777" w:type="pct"/>
            <w:tcBorders>
              <w:top w:val="nil"/>
              <w:left w:val="nil"/>
              <w:bottom w:val="nil"/>
              <w:right w:val="nil"/>
            </w:tcBorders>
            <w:shd w:val="clear" w:color="auto" w:fill="auto"/>
            <w:noWrap/>
            <w:vAlign w:val="bottom"/>
          </w:tcPr>
          <w:p w14:paraId="3393CD56" w14:textId="77777777" w:rsidR="00EA59EE" w:rsidRPr="004420D7" w:rsidRDefault="00EA59EE" w:rsidP="00F50E6A">
            <w:pPr>
              <w:jc w:val="right"/>
              <w:rPr>
                <w:color w:val="000000"/>
                <w:lang w:val="es-MX"/>
              </w:rPr>
            </w:pPr>
            <w:r>
              <w:rPr>
                <w:color w:val="000000"/>
                <w:lang w:val="es-MX"/>
              </w:rPr>
              <w:t>64(56-74)</w:t>
            </w:r>
          </w:p>
        </w:tc>
        <w:tc>
          <w:tcPr>
            <w:tcW w:w="792" w:type="pct"/>
            <w:tcBorders>
              <w:top w:val="nil"/>
              <w:left w:val="nil"/>
              <w:bottom w:val="nil"/>
              <w:right w:val="nil"/>
            </w:tcBorders>
            <w:shd w:val="clear" w:color="auto" w:fill="auto"/>
            <w:noWrap/>
            <w:vAlign w:val="bottom"/>
            <w:hideMark/>
          </w:tcPr>
          <w:p w14:paraId="48393BED" w14:textId="77777777" w:rsidR="00EA59EE" w:rsidRPr="00650F8B" w:rsidRDefault="00EA59EE" w:rsidP="00F50E6A">
            <w:pPr>
              <w:jc w:val="right"/>
              <w:rPr>
                <w:color w:val="000000"/>
                <w:lang w:val="es-MX"/>
              </w:rPr>
            </w:pPr>
            <w:r w:rsidRPr="00650F8B">
              <w:rPr>
                <w:color w:val="000000"/>
                <w:lang w:val="es-MX"/>
              </w:rPr>
              <w:t>12.</w:t>
            </w:r>
            <w:r>
              <w:rPr>
                <w:color w:val="000000"/>
                <w:lang w:val="es-MX"/>
              </w:rPr>
              <w:t>3</w:t>
            </w:r>
          </w:p>
        </w:tc>
        <w:tc>
          <w:tcPr>
            <w:tcW w:w="360" w:type="pct"/>
            <w:tcBorders>
              <w:top w:val="nil"/>
              <w:left w:val="nil"/>
              <w:bottom w:val="nil"/>
              <w:right w:val="nil"/>
            </w:tcBorders>
            <w:shd w:val="clear" w:color="auto" w:fill="auto"/>
            <w:noWrap/>
            <w:vAlign w:val="bottom"/>
            <w:hideMark/>
          </w:tcPr>
          <w:p w14:paraId="56BCCB36" w14:textId="77777777" w:rsidR="00EA59EE" w:rsidRPr="00650F8B" w:rsidRDefault="00EA59EE" w:rsidP="00F50E6A">
            <w:pPr>
              <w:jc w:val="right"/>
              <w:rPr>
                <w:color w:val="000000"/>
                <w:lang w:val="es-MX"/>
              </w:rPr>
            </w:pPr>
            <w:r w:rsidRPr="00650F8B">
              <w:rPr>
                <w:color w:val="000000"/>
                <w:lang w:val="es-MX"/>
              </w:rPr>
              <w:t>.002</w:t>
            </w:r>
          </w:p>
        </w:tc>
      </w:tr>
      <w:tr w:rsidR="00EA59EE" w:rsidRPr="00650F8B" w14:paraId="4E6FCD36" w14:textId="77777777" w:rsidTr="00EA59EE">
        <w:trPr>
          <w:trHeight w:val="300"/>
        </w:trPr>
        <w:tc>
          <w:tcPr>
            <w:tcW w:w="449" w:type="pct"/>
            <w:tcBorders>
              <w:top w:val="nil"/>
              <w:left w:val="nil"/>
              <w:bottom w:val="nil"/>
              <w:right w:val="nil"/>
            </w:tcBorders>
            <w:shd w:val="clear" w:color="auto" w:fill="auto"/>
            <w:noWrap/>
            <w:vAlign w:val="bottom"/>
            <w:hideMark/>
          </w:tcPr>
          <w:p w14:paraId="021B21D5" w14:textId="77777777" w:rsidR="00EA59EE" w:rsidRPr="00650F8B" w:rsidRDefault="00EA59EE" w:rsidP="00F50E6A">
            <w:pPr>
              <w:rPr>
                <w:color w:val="000000"/>
                <w:lang w:val="es-MX"/>
              </w:rPr>
            </w:pPr>
            <w:r w:rsidRPr="00650F8B">
              <w:rPr>
                <w:color w:val="000000"/>
                <w:lang w:val="es-MX"/>
              </w:rPr>
              <w:t>DM</w:t>
            </w:r>
          </w:p>
        </w:tc>
        <w:tc>
          <w:tcPr>
            <w:tcW w:w="1067" w:type="pct"/>
            <w:tcBorders>
              <w:top w:val="nil"/>
              <w:left w:val="nil"/>
              <w:bottom w:val="nil"/>
              <w:right w:val="nil"/>
            </w:tcBorders>
            <w:shd w:val="clear" w:color="auto" w:fill="auto"/>
            <w:noWrap/>
            <w:vAlign w:val="bottom"/>
            <w:hideMark/>
          </w:tcPr>
          <w:p w14:paraId="65ED879F" w14:textId="77777777" w:rsidR="00EA59EE" w:rsidRPr="00650F8B" w:rsidRDefault="00EA59EE" w:rsidP="00F50E6A">
            <w:pPr>
              <w:rPr>
                <w:color w:val="000000"/>
                <w:lang w:val="es-MX"/>
              </w:rPr>
            </w:pPr>
            <w:r w:rsidRPr="00650F8B">
              <w:rPr>
                <w:color w:val="000000"/>
                <w:lang w:val="es-MX"/>
              </w:rPr>
              <w:t>V</w:t>
            </w:r>
            <w:r>
              <w:rPr>
                <w:color w:val="000000"/>
                <w:lang w:val="es-MX"/>
              </w:rPr>
              <w:t>igilia</w:t>
            </w:r>
          </w:p>
        </w:tc>
        <w:tc>
          <w:tcPr>
            <w:tcW w:w="777" w:type="pct"/>
            <w:tcBorders>
              <w:top w:val="nil"/>
              <w:left w:val="nil"/>
              <w:bottom w:val="nil"/>
              <w:right w:val="nil"/>
            </w:tcBorders>
            <w:shd w:val="clear" w:color="auto" w:fill="auto"/>
            <w:noWrap/>
            <w:vAlign w:val="bottom"/>
          </w:tcPr>
          <w:p w14:paraId="6478D526" w14:textId="77777777" w:rsidR="00EA59EE" w:rsidRPr="004420D7" w:rsidRDefault="00EA59EE" w:rsidP="00F50E6A">
            <w:pPr>
              <w:jc w:val="right"/>
              <w:rPr>
                <w:color w:val="000000"/>
                <w:lang w:val="es-MX"/>
              </w:rPr>
            </w:pPr>
            <w:r>
              <w:rPr>
                <w:color w:val="000000"/>
                <w:lang w:val="es-MX"/>
              </w:rPr>
              <w:t>236(220-267)</w:t>
            </w:r>
          </w:p>
        </w:tc>
        <w:tc>
          <w:tcPr>
            <w:tcW w:w="777" w:type="pct"/>
            <w:tcBorders>
              <w:top w:val="nil"/>
              <w:left w:val="nil"/>
              <w:bottom w:val="nil"/>
              <w:right w:val="nil"/>
            </w:tcBorders>
            <w:shd w:val="clear" w:color="auto" w:fill="auto"/>
            <w:noWrap/>
            <w:vAlign w:val="bottom"/>
          </w:tcPr>
          <w:p w14:paraId="0A96035A" w14:textId="77777777" w:rsidR="00EA59EE" w:rsidRPr="004420D7" w:rsidRDefault="00EA59EE" w:rsidP="00F50E6A">
            <w:pPr>
              <w:jc w:val="right"/>
              <w:rPr>
                <w:color w:val="000000"/>
                <w:lang w:val="es-MX"/>
              </w:rPr>
            </w:pPr>
            <w:r>
              <w:rPr>
                <w:color w:val="000000"/>
                <w:lang w:val="es-MX"/>
              </w:rPr>
              <w:t>209(171-221)</w:t>
            </w:r>
          </w:p>
        </w:tc>
        <w:tc>
          <w:tcPr>
            <w:tcW w:w="777" w:type="pct"/>
            <w:tcBorders>
              <w:top w:val="nil"/>
              <w:left w:val="nil"/>
              <w:bottom w:val="nil"/>
              <w:right w:val="nil"/>
            </w:tcBorders>
            <w:shd w:val="clear" w:color="auto" w:fill="auto"/>
            <w:noWrap/>
            <w:vAlign w:val="bottom"/>
          </w:tcPr>
          <w:p w14:paraId="380B406E" w14:textId="77777777" w:rsidR="00EA59EE" w:rsidRPr="004420D7" w:rsidRDefault="00EA59EE" w:rsidP="00F50E6A">
            <w:pPr>
              <w:jc w:val="right"/>
              <w:rPr>
                <w:color w:val="000000"/>
                <w:lang w:val="es-MX"/>
              </w:rPr>
            </w:pPr>
            <w:r>
              <w:rPr>
                <w:color w:val="000000"/>
                <w:lang w:val="es-MX"/>
              </w:rPr>
              <w:t>195(172-211)</w:t>
            </w:r>
          </w:p>
        </w:tc>
        <w:tc>
          <w:tcPr>
            <w:tcW w:w="792" w:type="pct"/>
            <w:tcBorders>
              <w:top w:val="nil"/>
              <w:left w:val="nil"/>
              <w:bottom w:val="nil"/>
              <w:right w:val="nil"/>
            </w:tcBorders>
            <w:shd w:val="clear" w:color="auto" w:fill="auto"/>
            <w:noWrap/>
            <w:vAlign w:val="bottom"/>
            <w:hideMark/>
          </w:tcPr>
          <w:p w14:paraId="22B3804C" w14:textId="77777777" w:rsidR="00EA59EE" w:rsidRPr="00650F8B" w:rsidRDefault="00EA59EE" w:rsidP="00F50E6A">
            <w:pPr>
              <w:jc w:val="right"/>
              <w:rPr>
                <w:color w:val="000000"/>
                <w:lang w:val="es-MX"/>
              </w:rPr>
            </w:pPr>
            <w:r w:rsidRPr="00650F8B">
              <w:rPr>
                <w:color w:val="000000"/>
                <w:lang w:val="es-MX"/>
              </w:rPr>
              <w:t>12.</w:t>
            </w:r>
            <w:r>
              <w:rPr>
                <w:color w:val="000000"/>
                <w:lang w:val="es-MX"/>
              </w:rPr>
              <w:t>3</w:t>
            </w:r>
          </w:p>
        </w:tc>
        <w:tc>
          <w:tcPr>
            <w:tcW w:w="360" w:type="pct"/>
            <w:tcBorders>
              <w:top w:val="nil"/>
              <w:left w:val="nil"/>
              <w:bottom w:val="nil"/>
              <w:right w:val="nil"/>
            </w:tcBorders>
            <w:shd w:val="clear" w:color="auto" w:fill="auto"/>
            <w:noWrap/>
            <w:vAlign w:val="bottom"/>
            <w:hideMark/>
          </w:tcPr>
          <w:p w14:paraId="5B4DB042" w14:textId="77777777" w:rsidR="00EA59EE" w:rsidRPr="00650F8B" w:rsidRDefault="00EA59EE" w:rsidP="00F50E6A">
            <w:pPr>
              <w:jc w:val="right"/>
              <w:rPr>
                <w:color w:val="000000"/>
                <w:lang w:val="es-MX"/>
              </w:rPr>
            </w:pPr>
            <w:r w:rsidRPr="00650F8B">
              <w:rPr>
                <w:color w:val="000000"/>
                <w:lang w:val="es-MX"/>
              </w:rPr>
              <w:t>.002</w:t>
            </w:r>
          </w:p>
        </w:tc>
      </w:tr>
      <w:tr w:rsidR="00EA59EE" w:rsidRPr="00650F8B" w14:paraId="19A48A29" w14:textId="77777777" w:rsidTr="00EA59EE">
        <w:trPr>
          <w:trHeight w:val="300"/>
        </w:trPr>
        <w:tc>
          <w:tcPr>
            <w:tcW w:w="449" w:type="pct"/>
            <w:tcBorders>
              <w:top w:val="nil"/>
              <w:left w:val="nil"/>
              <w:bottom w:val="nil"/>
              <w:right w:val="nil"/>
            </w:tcBorders>
            <w:shd w:val="clear" w:color="auto" w:fill="auto"/>
            <w:noWrap/>
            <w:vAlign w:val="bottom"/>
            <w:hideMark/>
          </w:tcPr>
          <w:p w14:paraId="32206669" w14:textId="77777777" w:rsidR="00EA59EE" w:rsidRPr="00650F8B" w:rsidRDefault="00EA59EE" w:rsidP="00F50E6A">
            <w:pPr>
              <w:jc w:val="right"/>
              <w:rPr>
                <w:color w:val="000000"/>
                <w:lang w:val="es-MX"/>
              </w:rPr>
            </w:pPr>
          </w:p>
        </w:tc>
        <w:tc>
          <w:tcPr>
            <w:tcW w:w="1067" w:type="pct"/>
            <w:tcBorders>
              <w:top w:val="nil"/>
              <w:left w:val="nil"/>
              <w:bottom w:val="nil"/>
              <w:right w:val="nil"/>
            </w:tcBorders>
            <w:shd w:val="clear" w:color="auto" w:fill="auto"/>
            <w:noWrap/>
            <w:vAlign w:val="bottom"/>
            <w:hideMark/>
          </w:tcPr>
          <w:p w14:paraId="2005A329" w14:textId="77777777" w:rsidR="00EA59EE" w:rsidRPr="00650F8B" w:rsidRDefault="00EA59EE" w:rsidP="00F50E6A">
            <w:pPr>
              <w:rPr>
                <w:color w:val="000000"/>
                <w:lang w:val="es-MX"/>
              </w:rPr>
            </w:pPr>
            <w:r>
              <w:rPr>
                <w:color w:val="000000"/>
                <w:lang w:val="es-MX"/>
              </w:rPr>
              <w:t>NMOR</w:t>
            </w:r>
          </w:p>
        </w:tc>
        <w:tc>
          <w:tcPr>
            <w:tcW w:w="777" w:type="pct"/>
            <w:tcBorders>
              <w:top w:val="nil"/>
              <w:left w:val="nil"/>
              <w:bottom w:val="nil"/>
              <w:right w:val="nil"/>
            </w:tcBorders>
            <w:shd w:val="clear" w:color="auto" w:fill="auto"/>
            <w:noWrap/>
            <w:vAlign w:val="bottom"/>
          </w:tcPr>
          <w:p w14:paraId="13512DA5" w14:textId="77777777" w:rsidR="00EA59EE" w:rsidRPr="004420D7" w:rsidRDefault="00EA59EE" w:rsidP="00F50E6A">
            <w:pPr>
              <w:jc w:val="right"/>
              <w:rPr>
                <w:color w:val="000000"/>
                <w:lang w:val="es-MX"/>
              </w:rPr>
            </w:pPr>
            <w:r>
              <w:rPr>
                <w:color w:val="000000"/>
                <w:lang w:val="es-MX"/>
              </w:rPr>
              <w:t>252(230-267)</w:t>
            </w:r>
          </w:p>
        </w:tc>
        <w:tc>
          <w:tcPr>
            <w:tcW w:w="777" w:type="pct"/>
            <w:tcBorders>
              <w:top w:val="nil"/>
              <w:left w:val="nil"/>
              <w:bottom w:val="nil"/>
              <w:right w:val="nil"/>
            </w:tcBorders>
            <w:shd w:val="clear" w:color="auto" w:fill="auto"/>
            <w:noWrap/>
            <w:vAlign w:val="bottom"/>
          </w:tcPr>
          <w:p w14:paraId="2C50CCF0" w14:textId="77777777" w:rsidR="00EA59EE" w:rsidRPr="004420D7" w:rsidRDefault="00EA59EE" w:rsidP="00F50E6A">
            <w:pPr>
              <w:jc w:val="right"/>
              <w:rPr>
                <w:color w:val="000000"/>
                <w:lang w:val="es-MX"/>
              </w:rPr>
            </w:pPr>
            <w:r>
              <w:rPr>
                <w:color w:val="000000"/>
                <w:lang w:val="es-MX"/>
              </w:rPr>
              <w:t>273(255-293)</w:t>
            </w:r>
          </w:p>
        </w:tc>
        <w:tc>
          <w:tcPr>
            <w:tcW w:w="777" w:type="pct"/>
            <w:tcBorders>
              <w:top w:val="nil"/>
              <w:left w:val="nil"/>
              <w:bottom w:val="nil"/>
              <w:right w:val="nil"/>
            </w:tcBorders>
            <w:shd w:val="clear" w:color="auto" w:fill="auto"/>
            <w:noWrap/>
            <w:vAlign w:val="bottom"/>
          </w:tcPr>
          <w:p w14:paraId="32D2DD4B" w14:textId="77777777" w:rsidR="00EA59EE" w:rsidRPr="004420D7" w:rsidRDefault="00EA59EE" w:rsidP="00F50E6A">
            <w:pPr>
              <w:jc w:val="right"/>
              <w:rPr>
                <w:color w:val="000000"/>
                <w:lang w:val="es-MX"/>
              </w:rPr>
            </w:pPr>
            <w:r>
              <w:rPr>
                <w:color w:val="000000"/>
                <w:lang w:val="es-MX"/>
              </w:rPr>
              <w:t>270(260-286)</w:t>
            </w:r>
          </w:p>
        </w:tc>
        <w:tc>
          <w:tcPr>
            <w:tcW w:w="792" w:type="pct"/>
            <w:tcBorders>
              <w:top w:val="nil"/>
              <w:left w:val="nil"/>
              <w:bottom w:val="nil"/>
              <w:right w:val="nil"/>
            </w:tcBorders>
            <w:shd w:val="clear" w:color="auto" w:fill="auto"/>
            <w:noWrap/>
            <w:vAlign w:val="bottom"/>
            <w:hideMark/>
          </w:tcPr>
          <w:p w14:paraId="5E80525F" w14:textId="77777777" w:rsidR="00EA59EE" w:rsidRPr="00650F8B" w:rsidRDefault="00EA59EE" w:rsidP="00F50E6A">
            <w:pPr>
              <w:jc w:val="right"/>
              <w:rPr>
                <w:color w:val="000000"/>
                <w:lang w:val="es-MX"/>
              </w:rPr>
            </w:pPr>
            <w:r w:rsidRPr="00650F8B">
              <w:rPr>
                <w:color w:val="000000"/>
                <w:lang w:val="es-MX"/>
              </w:rPr>
              <w:t>4.</w:t>
            </w:r>
            <w:r>
              <w:rPr>
                <w:color w:val="000000"/>
                <w:lang w:val="es-MX"/>
              </w:rPr>
              <w:t>8</w:t>
            </w:r>
          </w:p>
        </w:tc>
        <w:tc>
          <w:tcPr>
            <w:tcW w:w="360" w:type="pct"/>
            <w:tcBorders>
              <w:top w:val="nil"/>
              <w:left w:val="nil"/>
              <w:bottom w:val="nil"/>
              <w:right w:val="nil"/>
            </w:tcBorders>
            <w:shd w:val="clear" w:color="auto" w:fill="auto"/>
            <w:noWrap/>
            <w:vAlign w:val="bottom"/>
            <w:hideMark/>
          </w:tcPr>
          <w:p w14:paraId="7BE4F554" w14:textId="77777777" w:rsidR="00EA59EE" w:rsidRPr="00650F8B" w:rsidRDefault="00EA59EE" w:rsidP="00F50E6A">
            <w:pPr>
              <w:jc w:val="right"/>
              <w:rPr>
                <w:color w:val="000000"/>
                <w:lang w:val="es-MX"/>
              </w:rPr>
            </w:pPr>
            <w:r>
              <w:rPr>
                <w:color w:val="000000"/>
                <w:lang w:val="es-MX"/>
              </w:rPr>
              <w:t>ns</w:t>
            </w:r>
          </w:p>
        </w:tc>
      </w:tr>
      <w:tr w:rsidR="00EA59EE" w:rsidRPr="00650F8B" w14:paraId="51FA4F95" w14:textId="77777777" w:rsidTr="00EA59EE">
        <w:trPr>
          <w:trHeight w:val="300"/>
        </w:trPr>
        <w:tc>
          <w:tcPr>
            <w:tcW w:w="449" w:type="pct"/>
            <w:tcBorders>
              <w:top w:val="nil"/>
              <w:left w:val="nil"/>
              <w:bottom w:val="nil"/>
              <w:right w:val="nil"/>
            </w:tcBorders>
            <w:shd w:val="clear" w:color="auto" w:fill="auto"/>
            <w:noWrap/>
            <w:vAlign w:val="bottom"/>
            <w:hideMark/>
          </w:tcPr>
          <w:p w14:paraId="5854F713" w14:textId="77777777" w:rsidR="00EA59EE" w:rsidRPr="00650F8B" w:rsidRDefault="00EA59EE" w:rsidP="00F50E6A">
            <w:pPr>
              <w:jc w:val="right"/>
              <w:rPr>
                <w:color w:val="000000"/>
                <w:lang w:val="es-MX"/>
              </w:rPr>
            </w:pPr>
          </w:p>
        </w:tc>
        <w:tc>
          <w:tcPr>
            <w:tcW w:w="1067" w:type="pct"/>
            <w:tcBorders>
              <w:top w:val="nil"/>
              <w:left w:val="nil"/>
              <w:bottom w:val="nil"/>
              <w:right w:val="nil"/>
            </w:tcBorders>
            <w:shd w:val="clear" w:color="auto" w:fill="auto"/>
            <w:noWrap/>
            <w:vAlign w:val="bottom"/>
            <w:hideMark/>
          </w:tcPr>
          <w:p w14:paraId="4E9765E0" w14:textId="77777777" w:rsidR="00EA59EE" w:rsidRPr="00650F8B" w:rsidRDefault="00EA59EE" w:rsidP="00F50E6A">
            <w:pPr>
              <w:rPr>
                <w:color w:val="000000"/>
                <w:lang w:val="es-MX"/>
              </w:rPr>
            </w:pPr>
            <w:r w:rsidRPr="00650F8B">
              <w:rPr>
                <w:color w:val="000000"/>
                <w:lang w:val="es-MX"/>
              </w:rPr>
              <w:t>MOR</w:t>
            </w:r>
          </w:p>
        </w:tc>
        <w:tc>
          <w:tcPr>
            <w:tcW w:w="777" w:type="pct"/>
            <w:tcBorders>
              <w:top w:val="nil"/>
              <w:left w:val="nil"/>
              <w:bottom w:val="nil"/>
              <w:right w:val="nil"/>
            </w:tcBorders>
            <w:shd w:val="clear" w:color="auto" w:fill="auto"/>
            <w:noWrap/>
            <w:vAlign w:val="bottom"/>
          </w:tcPr>
          <w:p w14:paraId="212C1147" w14:textId="77777777" w:rsidR="00EA59EE" w:rsidRPr="004420D7" w:rsidRDefault="00EA59EE" w:rsidP="00F50E6A">
            <w:pPr>
              <w:jc w:val="right"/>
              <w:rPr>
                <w:color w:val="000000"/>
                <w:lang w:val="es-MX"/>
              </w:rPr>
            </w:pPr>
            <w:r>
              <w:rPr>
                <w:color w:val="000000"/>
                <w:lang w:val="es-MX"/>
              </w:rPr>
              <w:t>50(45-54)</w:t>
            </w:r>
          </w:p>
        </w:tc>
        <w:tc>
          <w:tcPr>
            <w:tcW w:w="777" w:type="pct"/>
            <w:tcBorders>
              <w:top w:val="nil"/>
              <w:left w:val="nil"/>
              <w:bottom w:val="nil"/>
              <w:right w:val="nil"/>
            </w:tcBorders>
            <w:shd w:val="clear" w:color="auto" w:fill="auto"/>
            <w:noWrap/>
            <w:vAlign w:val="bottom"/>
          </w:tcPr>
          <w:p w14:paraId="329F8E89" w14:textId="77777777" w:rsidR="00EA59EE" w:rsidRPr="004420D7" w:rsidRDefault="00EA59EE" w:rsidP="00F50E6A">
            <w:pPr>
              <w:jc w:val="right"/>
              <w:rPr>
                <w:color w:val="000000"/>
                <w:lang w:val="es-MX"/>
              </w:rPr>
            </w:pPr>
            <w:r>
              <w:rPr>
                <w:color w:val="000000"/>
                <w:lang w:val="es-MX"/>
              </w:rPr>
              <w:t>65(56-79)</w:t>
            </w:r>
          </w:p>
        </w:tc>
        <w:tc>
          <w:tcPr>
            <w:tcW w:w="777" w:type="pct"/>
            <w:tcBorders>
              <w:top w:val="nil"/>
              <w:left w:val="nil"/>
              <w:bottom w:val="nil"/>
              <w:right w:val="nil"/>
            </w:tcBorders>
            <w:shd w:val="clear" w:color="auto" w:fill="auto"/>
            <w:noWrap/>
            <w:vAlign w:val="bottom"/>
          </w:tcPr>
          <w:p w14:paraId="2E2BEB06" w14:textId="77777777" w:rsidR="00EA59EE" w:rsidRPr="004420D7" w:rsidRDefault="00EA59EE" w:rsidP="00F50E6A">
            <w:pPr>
              <w:jc w:val="right"/>
              <w:rPr>
                <w:color w:val="000000"/>
                <w:lang w:val="es-MX"/>
              </w:rPr>
            </w:pPr>
            <w:r>
              <w:rPr>
                <w:color w:val="000000"/>
                <w:lang w:val="es-MX"/>
              </w:rPr>
              <w:t>77(71-82)</w:t>
            </w:r>
          </w:p>
        </w:tc>
        <w:tc>
          <w:tcPr>
            <w:tcW w:w="792" w:type="pct"/>
            <w:tcBorders>
              <w:top w:val="nil"/>
              <w:left w:val="nil"/>
              <w:bottom w:val="nil"/>
              <w:right w:val="nil"/>
            </w:tcBorders>
            <w:shd w:val="clear" w:color="auto" w:fill="auto"/>
            <w:noWrap/>
            <w:vAlign w:val="bottom"/>
            <w:hideMark/>
          </w:tcPr>
          <w:p w14:paraId="65E40312" w14:textId="77777777" w:rsidR="00EA59EE" w:rsidRPr="00650F8B" w:rsidRDefault="00EA59EE" w:rsidP="00F50E6A">
            <w:pPr>
              <w:jc w:val="right"/>
              <w:rPr>
                <w:color w:val="000000"/>
                <w:lang w:val="es-MX"/>
              </w:rPr>
            </w:pPr>
            <w:r w:rsidRPr="00650F8B">
              <w:rPr>
                <w:color w:val="000000"/>
                <w:lang w:val="es-MX"/>
              </w:rPr>
              <w:t>13</w:t>
            </w:r>
          </w:p>
        </w:tc>
        <w:tc>
          <w:tcPr>
            <w:tcW w:w="360" w:type="pct"/>
            <w:tcBorders>
              <w:top w:val="nil"/>
              <w:left w:val="nil"/>
              <w:bottom w:val="nil"/>
              <w:right w:val="nil"/>
            </w:tcBorders>
            <w:shd w:val="clear" w:color="auto" w:fill="auto"/>
            <w:noWrap/>
            <w:vAlign w:val="bottom"/>
            <w:hideMark/>
          </w:tcPr>
          <w:p w14:paraId="7756A4B9" w14:textId="77777777" w:rsidR="00EA59EE" w:rsidRPr="00650F8B" w:rsidRDefault="00EA59EE" w:rsidP="00F50E6A">
            <w:pPr>
              <w:jc w:val="right"/>
              <w:rPr>
                <w:color w:val="000000"/>
                <w:lang w:val="es-MX"/>
              </w:rPr>
            </w:pPr>
            <w:r w:rsidRPr="00650F8B">
              <w:rPr>
                <w:color w:val="000000"/>
                <w:lang w:val="es-MX"/>
              </w:rPr>
              <w:t>.002</w:t>
            </w:r>
          </w:p>
        </w:tc>
      </w:tr>
      <w:tr w:rsidR="00EA59EE" w:rsidRPr="00650F8B" w14:paraId="10CD139A" w14:textId="77777777" w:rsidTr="00EA59EE">
        <w:trPr>
          <w:trHeight w:val="300"/>
        </w:trPr>
        <w:tc>
          <w:tcPr>
            <w:tcW w:w="449" w:type="pct"/>
            <w:tcBorders>
              <w:top w:val="nil"/>
              <w:left w:val="nil"/>
              <w:bottom w:val="nil"/>
              <w:right w:val="nil"/>
            </w:tcBorders>
            <w:shd w:val="clear" w:color="auto" w:fill="auto"/>
            <w:noWrap/>
            <w:vAlign w:val="bottom"/>
            <w:hideMark/>
          </w:tcPr>
          <w:p w14:paraId="0ACBE312" w14:textId="77777777" w:rsidR="00EA59EE" w:rsidRPr="00650F8B" w:rsidRDefault="00EA59EE" w:rsidP="00F50E6A">
            <w:pPr>
              <w:rPr>
                <w:color w:val="000000"/>
                <w:lang w:val="es-MX"/>
              </w:rPr>
            </w:pPr>
            <w:r w:rsidRPr="00650F8B">
              <w:rPr>
                <w:color w:val="000000"/>
                <w:lang w:val="es-MX"/>
              </w:rPr>
              <w:t>DA</w:t>
            </w:r>
          </w:p>
        </w:tc>
        <w:tc>
          <w:tcPr>
            <w:tcW w:w="1067" w:type="pct"/>
            <w:tcBorders>
              <w:top w:val="nil"/>
              <w:left w:val="nil"/>
              <w:bottom w:val="nil"/>
              <w:right w:val="nil"/>
            </w:tcBorders>
            <w:shd w:val="clear" w:color="auto" w:fill="auto"/>
            <w:noWrap/>
            <w:vAlign w:val="bottom"/>
            <w:hideMark/>
          </w:tcPr>
          <w:p w14:paraId="4AD2D825" w14:textId="77777777" w:rsidR="00EA59EE" w:rsidRPr="00650F8B" w:rsidRDefault="00EA59EE" w:rsidP="00F50E6A">
            <w:pPr>
              <w:rPr>
                <w:color w:val="000000"/>
                <w:lang w:val="es-MX"/>
              </w:rPr>
            </w:pPr>
            <w:r w:rsidRPr="00650F8B">
              <w:rPr>
                <w:color w:val="000000"/>
                <w:lang w:val="es-MX"/>
              </w:rPr>
              <w:t>V</w:t>
            </w:r>
            <w:r>
              <w:rPr>
                <w:color w:val="000000"/>
                <w:lang w:val="es-MX"/>
              </w:rPr>
              <w:t>igilia</w:t>
            </w:r>
          </w:p>
        </w:tc>
        <w:tc>
          <w:tcPr>
            <w:tcW w:w="777" w:type="pct"/>
            <w:tcBorders>
              <w:top w:val="nil"/>
              <w:left w:val="nil"/>
              <w:bottom w:val="nil"/>
              <w:right w:val="nil"/>
            </w:tcBorders>
            <w:shd w:val="clear" w:color="auto" w:fill="auto"/>
            <w:noWrap/>
            <w:vAlign w:val="bottom"/>
          </w:tcPr>
          <w:p w14:paraId="15BADC89" w14:textId="77777777" w:rsidR="00EA59EE" w:rsidRPr="004420D7" w:rsidRDefault="00EA59EE" w:rsidP="00F50E6A">
            <w:pPr>
              <w:jc w:val="right"/>
              <w:rPr>
                <w:color w:val="000000"/>
                <w:lang w:val="es-MX"/>
              </w:rPr>
            </w:pPr>
            <w:r>
              <w:rPr>
                <w:color w:val="000000"/>
                <w:lang w:val="es-MX"/>
              </w:rPr>
              <w:t>245(208-269)</w:t>
            </w:r>
          </w:p>
        </w:tc>
        <w:tc>
          <w:tcPr>
            <w:tcW w:w="777" w:type="pct"/>
            <w:tcBorders>
              <w:top w:val="nil"/>
              <w:left w:val="nil"/>
              <w:bottom w:val="nil"/>
              <w:right w:val="nil"/>
            </w:tcBorders>
            <w:shd w:val="clear" w:color="auto" w:fill="auto"/>
            <w:noWrap/>
            <w:vAlign w:val="bottom"/>
          </w:tcPr>
          <w:p w14:paraId="3CAB261F" w14:textId="77777777" w:rsidR="00EA59EE" w:rsidRPr="004420D7" w:rsidRDefault="00EA59EE" w:rsidP="00F50E6A">
            <w:pPr>
              <w:jc w:val="right"/>
              <w:rPr>
                <w:color w:val="000000"/>
                <w:lang w:val="es-MX"/>
              </w:rPr>
            </w:pPr>
            <w:r>
              <w:rPr>
                <w:color w:val="000000"/>
                <w:lang w:val="es-MX"/>
              </w:rPr>
              <w:t>178(163-196)</w:t>
            </w:r>
          </w:p>
        </w:tc>
        <w:tc>
          <w:tcPr>
            <w:tcW w:w="777" w:type="pct"/>
            <w:tcBorders>
              <w:top w:val="nil"/>
              <w:left w:val="nil"/>
              <w:bottom w:val="nil"/>
              <w:right w:val="nil"/>
            </w:tcBorders>
            <w:shd w:val="clear" w:color="auto" w:fill="auto"/>
            <w:noWrap/>
            <w:vAlign w:val="bottom"/>
          </w:tcPr>
          <w:p w14:paraId="0CE24F80" w14:textId="77777777" w:rsidR="00EA59EE" w:rsidRPr="004420D7" w:rsidRDefault="00EA59EE" w:rsidP="00F50E6A">
            <w:pPr>
              <w:jc w:val="right"/>
              <w:rPr>
                <w:color w:val="000000"/>
                <w:lang w:val="es-MX"/>
              </w:rPr>
            </w:pPr>
            <w:r>
              <w:rPr>
                <w:color w:val="000000"/>
                <w:lang w:val="es-MX"/>
              </w:rPr>
              <w:t>170(160-207)</w:t>
            </w:r>
          </w:p>
        </w:tc>
        <w:tc>
          <w:tcPr>
            <w:tcW w:w="792" w:type="pct"/>
            <w:tcBorders>
              <w:top w:val="nil"/>
              <w:left w:val="nil"/>
              <w:bottom w:val="nil"/>
              <w:right w:val="nil"/>
            </w:tcBorders>
            <w:shd w:val="clear" w:color="auto" w:fill="auto"/>
            <w:noWrap/>
            <w:vAlign w:val="bottom"/>
            <w:hideMark/>
          </w:tcPr>
          <w:p w14:paraId="6110ABFA" w14:textId="77777777" w:rsidR="00EA59EE" w:rsidRPr="00650F8B" w:rsidRDefault="00EA59EE" w:rsidP="00F50E6A">
            <w:pPr>
              <w:jc w:val="right"/>
              <w:rPr>
                <w:color w:val="000000"/>
                <w:lang w:val="es-MX"/>
              </w:rPr>
            </w:pPr>
            <w:r w:rsidRPr="00650F8B">
              <w:rPr>
                <w:color w:val="000000"/>
                <w:lang w:val="es-MX"/>
              </w:rPr>
              <w:t>13</w:t>
            </w:r>
          </w:p>
        </w:tc>
        <w:tc>
          <w:tcPr>
            <w:tcW w:w="360" w:type="pct"/>
            <w:tcBorders>
              <w:top w:val="nil"/>
              <w:left w:val="nil"/>
              <w:bottom w:val="nil"/>
              <w:right w:val="nil"/>
            </w:tcBorders>
            <w:shd w:val="clear" w:color="auto" w:fill="auto"/>
            <w:noWrap/>
            <w:vAlign w:val="bottom"/>
            <w:hideMark/>
          </w:tcPr>
          <w:p w14:paraId="57A284CA" w14:textId="77777777" w:rsidR="00EA59EE" w:rsidRPr="00650F8B" w:rsidRDefault="00EA59EE" w:rsidP="00F50E6A">
            <w:pPr>
              <w:jc w:val="right"/>
              <w:rPr>
                <w:color w:val="000000"/>
                <w:lang w:val="es-MX"/>
              </w:rPr>
            </w:pPr>
            <w:r w:rsidRPr="00650F8B">
              <w:rPr>
                <w:color w:val="000000"/>
                <w:lang w:val="es-MX"/>
              </w:rPr>
              <w:t>.002</w:t>
            </w:r>
          </w:p>
        </w:tc>
      </w:tr>
      <w:tr w:rsidR="00EA59EE" w:rsidRPr="00650F8B" w14:paraId="16E33001" w14:textId="77777777" w:rsidTr="00EA59EE">
        <w:trPr>
          <w:trHeight w:val="300"/>
        </w:trPr>
        <w:tc>
          <w:tcPr>
            <w:tcW w:w="449" w:type="pct"/>
            <w:tcBorders>
              <w:top w:val="nil"/>
              <w:left w:val="nil"/>
              <w:bottom w:val="nil"/>
              <w:right w:val="nil"/>
            </w:tcBorders>
            <w:shd w:val="clear" w:color="auto" w:fill="auto"/>
            <w:noWrap/>
            <w:vAlign w:val="bottom"/>
            <w:hideMark/>
          </w:tcPr>
          <w:p w14:paraId="2675A2BC" w14:textId="77777777" w:rsidR="00EA59EE" w:rsidRPr="00650F8B" w:rsidRDefault="00EA59EE" w:rsidP="00F50E6A">
            <w:pPr>
              <w:jc w:val="right"/>
              <w:rPr>
                <w:color w:val="000000"/>
                <w:lang w:val="es-MX"/>
              </w:rPr>
            </w:pPr>
          </w:p>
        </w:tc>
        <w:tc>
          <w:tcPr>
            <w:tcW w:w="1067" w:type="pct"/>
            <w:tcBorders>
              <w:top w:val="nil"/>
              <w:left w:val="nil"/>
              <w:bottom w:val="nil"/>
              <w:right w:val="nil"/>
            </w:tcBorders>
            <w:shd w:val="clear" w:color="auto" w:fill="auto"/>
            <w:noWrap/>
            <w:vAlign w:val="bottom"/>
            <w:hideMark/>
          </w:tcPr>
          <w:p w14:paraId="09F0CB16" w14:textId="77777777" w:rsidR="00EA59EE" w:rsidRPr="00650F8B" w:rsidRDefault="00EA59EE" w:rsidP="00F50E6A">
            <w:pPr>
              <w:rPr>
                <w:color w:val="000000"/>
                <w:lang w:val="es-MX"/>
              </w:rPr>
            </w:pPr>
            <w:r>
              <w:rPr>
                <w:color w:val="000000"/>
                <w:lang w:val="es-MX"/>
              </w:rPr>
              <w:t>NMOR</w:t>
            </w:r>
          </w:p>
        </w:tc>
        <w:tc>
          <w:tcPr>
            <w:tcW w:w="777" w:type="pct"/>
            <w:tcBorders>
              <w:top w:val="nil"/>
              <w:left w:val="nil"/>
              <w:bottom w:val="nil"/>
              <w:right w:val="nil"/>
            </w:tcBorders>
            <w:shd w:val="clear" w:color="auto" w:fill="auto"/>
            <w:noWrap/>
            <w:vAlign w:val="bottom"/>
          </w:tcPr>
          <w:p w14:paraId="75ABB4B9" w14:textId="77777777" w:rsidR="00EA59EE" w:rsidRPr="004420D7" w:rsidRDefault="00EA59EE" w:rsidP="00F50E6A">
            <w:pPr>
              <w:jc w:val="right"/>
              <w:rPr>
                <w:color w:val="000000"/>
                <w:lang w:val="es-MX"/>
              </w:rPr>
            </w:pPr>
            <w:r>
              <w:rPr>
                <w:color w:val="000000"/>
                <w:lang w:val="es-MX"/>
              </w:rPr>
              <w:t>241(228-284)</w:t>
            </w:r>
          </w:p>
        </w:tc>
        <w:tc>
          <w:tcPr>
            <w:tcW w:w="777" w:type="pct"/>
            <w:tcBorders>
              <w:top w:val="nil"/>
              <w:left w:val="nil"/>
              <w:bottom w:val="nil"/>
              <w:right w:val="nil"/>
            </w:tcBorders>
            <w:shd w:val="clear" w:color="auto" w:fill="auto"/>
            <w:noWrap/>
            <w:vAlign w:val="bottom"/>
          </w:tcPr>
          <w:p w14:paraId="57412414" w14:textId="77777777" w:rsidR="00EA59EE" w:rsidRPr="004420D7" w:rsidRDefault="00EA59EE" w:rsidP="00F50E6A">
            <w:pPr>
              <w:jc w:val="right"/>
              <w:rPr>
                <w:color w:val="000000"/>
                <w:lang w:val="es-MX"/>
              </w:rPr>
            </w:pPr>
            <w:r>
              <w:rPr>
                <w:color w:val="000000"/>
                <w:lang w:val="es-MX"/>
              </w:rPr>
              <w:t>292(284-297)</w:t>
            </w:r>
          </w:p>
        </w:tc>
        <w:tc>
          <w:tcPr>
            <w:tcW w:w="777" w:type="pct"/>
            <w:tcBorders>
              <w:top w:val="nil"/>
              <w:left w:val="nil"/>
              <w:bottom w:val="nil"/>
              <w:right w:val="nil"/>
            </w:tcBorders>
            <w:shd w:val="clear" w:color="auto" w:fill="auto"/>
            <w:noWrap/>
            <w:vAlign w:val="bottom"/>
          </w:tcPr>
          <w:p w14:paraId="7911EB4E" w14:textId="77777777" w:rsidR="00EA59EE" w:rsidRPr="004420D7" w:rsidRDefault="00EA59EE" w:rsidP="00F50E6A">
            <w:pPr>
              <w:jc w:val="right"/>
              <w:rPr>
                <w:color w:val="000000"/>
                <w:lang w:val="es-MX"/>
              </w:rPr>
            </w:pPr>
            <w:r>
              <w:rPr>
                <w:color w:val="000000"/>
                <w:lang w:val="es-MX"/>
              </w:rPr>
              <w:t>289(272-304)</w:t>
            </w:r>
          </w:p>
        </w:tc>
        <w:tc>
          <w:tcPr>
            <w:tcW w:w="792" w:type="pct"/>
            <w:tcBorders>
              <w:top w:val="nil"/>
              <w:left w:val="nil"/>
              <w:bottom w:val="nil"/>
              <w:right w:val="nil"/>
            </w:tcBorders>
            <w:shd w:val="clear" w:color="auto" w:fill="auto"/>
            <w:noWrap/>
            <w:vAlign w:val="bottom"/>
            <w:hideMark/>
          </w:tcPr>
          <w:p w14:paraId="3F7CF996" w14:textId="77777777" w:rsidR="00EA59EE" w:rsidRPr="00650F8B" w:rsidRDefault="00EA59EE" w:rsidP="00F50E6A">
            <w:pPr>
              <w:jc w:val="right"/>
              <w:rPr>
                <w:color w:val="000000"/>
                <w:lang w:val="es-MX"/>
              </w:rPr>
            </w:pPr>
            <w:r w:rsidRPr="00650F8B">
              <w:rPr>
                <w:color w:val="000000"/>
                <w:lang w:val="es-MX"/>
              </w:rPr>
              <w:t>9.</w:t>
            </w:r>
            <w:r>
              <w:rPr>
                <w:color w:val="000000"/>
                <w:lang w:val="es-MX"/>
              </w:rPr>
              <w:t>3</w:t>
            </w:r>
          </w:p>
        </w:tc>
        <w:tc>
          <w:tcPr>
            <w:tcW w:w="360" w:type="pct"/>
            <w:tcBorders>
              <w:top w:val="nil"/>
              <w:left w:val="nil"/>
              <w:bottom w:val="nil"/>
              <w:right w:val="nil"/>
            </w:tcBorders>
            <w:shd w:val="clear" w:color="auto" w:fill="auto"/>
            <w:noWrap/>
            <w:vAlign w:val="bottom"/>
            <w:hideMark/>
          </w:tcPr>
          <w:p w14:paraId="387FB8D9" w14:textId="77777777" w:rsidR="00EA59EE" w:rsidRPr="00650F8B" w:rsidRDefault="00EA59EE" w:rsidP="00F50E6A">
            <w:pPr>
              <w:jc w:val="right"/>
              <w:rPr>
                <w:color w:val="000000"/>
                <w:lang w:val="es-MX"/>
              </w:rPr>
            </w:pPr>
            <w:r w:rsidRPr="00650F8B">
              <w:rPr>
                <w:color w:val="000000"/>
                <w:lang w:val="es-MX"/>
              </w:rPr>
              <w:t>.01</w:t>
            </w:r>
          </w:p>
        </w:tc>
      </w:tr>
      <w:tr w:rsidR="00EA59EE" w:rsidRPr="00650F8B" w14:paraId="66916296" w14:textId="77777777" w:rsidTr="00EA59EE">
        <w:trPr>
          <w:trHeight w:val="300"/>
        </w:trPr>
        <w:tc>
          <w:tcPr>
            <w:tcW w:w="449" w:type="pct"/>
            <w:tcBorders>
              <w:top w:val="nil"/>
              <w:left w:val="nil"/>
              <w:bottom w:val="nil"/>
              <w:right w:val="nil"/>
            </w:tcBorders>
            <w:shd w:val="clear" w:color="auto" w:fill="auto"/>
            <w:noWrap/>
            <w:vAlign w:val="bottom"/>
            <w:hideMark/>
          </w:tcPr>
          <w:p w14:paraId="24B561AB" w14:textId="77777777" w:rsidR="00EA59EE" w:rsidRPr="00650F8B" w:rsidRDefault="00EA59EE" w:rsidP="00F50E6A">
            <w:pPr>
              <w:jc w:val="right"/>
              <w:rPr>
                <w:color w:val="000000"/>
                <w:lang w:val="es-MX"/>
              </w:rPr>
            </w:pPr>
          </w:p>
        </w:tc>
        <w:tc>
          <w:tcPr>
            <w:tcW w:w="1067" w:type="pct"/>
            <w:tcBorders>
              <w:top w:val="nil"/>
              <w:left w:val="nil"/>
              <w:bottom w:val="nil"/>
              <w:right w:val="nil"/>
            </w:tcBorders>
            <w:shd w:val="clear" w:color="auto" w:fill="auto"/>
            <w:noWrap/>
            <w:vAlign w:val="bottom"/>
            <w:hideMark/>
          </w:tcPr>
          <w:p w14:paraId="5D70A5A6" w14:textId="77777777" w:rsidR="00EA59EE" w:rsidRPr="00650F8B" w:rsidRDefault="00EA59EE" w:rsidP="00F50E6A">
            <w:pPr>
              <w:rPr>
                <w:color w:val="000000"/>
                <w:lang w:val="es-MX"/>
              </w:rPr>
            </w:pPr>
            <w:r w:rsidRPr="00650F8B">
              <w:rPr>
                <w:color w:val="000000"/>
                <w:lang w:val="es-MX"/>
              </w:rPr>
              <w:t>MOR</w:t>
            </w:r>
          </w:p>
        </w:tc>
        <w:tc>
          <w:tcPr>
            <w:tcW w:w="777" w:type="pct"/>
            <w:tcBorders>
              <w:top w:val="nil"/>
              <w:left w:val="nil"/>
              <w:bottom w:val="nil"/>
              <w:right w:val="nil"/>
            </w:tcBorders>
            <w:shd w:val="clear" w:color="auto" w:fill="auto"/>
            <w:noWrap/>
            <w:vAlign w:val="bottom"/>
          </w:tcPr>
          <w:p w14:paraId="458FCAEA" w14:textId="77777777" w:rsidR="00EA59EE" w:rsidRPr="004420D7" w:rsidRDefault="00EA59EE" w:rsidP="00F50E6A">
            <w:pPr>
              <w:jc w:val="right"/>
              <w:rPr>
                <w:color w:val="000000"/>
                <w:lang w:val="es-MX"/>
              </w:rPr>
            </w:pPr>
            <w:r>
              <w:rPr>
                <w:color w:val="000000"/>
                <w:lang w:val="es-MX"/>
              </w:rPr>
              <w:t>46(43-49)</w:t>
            </w:r>
          </w:p>
        </w:tc>
        <w:tc>
          <w:tcPr>
            <w:tcW w:w="777" w:type="pct"/>
            <w:tcBorders>
              <w:top w:val="nil"/>
              <w:left w:val="nil"/>
              <w:bottom w:val="nil"/>
              <w:right w:val="nil"/>
            </w:tcBorders>
            <w:shd w:val="clear" w:color="auto" w:fill="auto"/>
            <w:noWrap/>
            <w:vAlign w:val="bottom"/>
          </w:tcPr>
          <w:p w14:paraId="38684548" w14:textId="77777777" w:rsidR="00EA59EE" w:rsidRPr="004420D7" w:rsidRDefault="00EA59EE" w:rsidP="00F50E6A">
            <w:pPr>
              <w:jc w:val="right"/>
              <w:rPr>
                <w:color w:val="000000"/>
                <w:lang w:val="es-MX"/>
              </w:rPr>
            </w:pPr>
            <w:r>
              <w:rPr>
                <w:color w:val="000000"/>
                <w:lang w:val="es-MX"/>
              </w:rPr>
              <w:t>72(63-82)</w:t>
            </w:r>
          </w:p>
        </w:tc>
        <w:tc>
          <w:tcPr>
            <w:tcW w:w="777" w:type="pct"/>
            <w:tcBorders>
              <w:top w:val="nil"/>
              <w:left w:val="nil"/>
              <w:bottom w:val="nil"/>
              <w:right w:val="nil"/>
            </w:tcBorders>
            <w:shd w:val="clear" w:color="auto" w:fill="auto"/>
            <w:noWrap/>
            <w:vAlign w:val="bottom"/>
          </w:tcPr>
          <w:p w14:paraId="13369F92" w14:textId="77777777" w:rsidR="00EA59EE" w:rsidRPr="004420D7" w:rsidRDefault="00EA59EE" w:rsidP="00F50E6A">
            <w:pPr>
              <w:jc w:val="right"/>
              <w:rPr>
                <w:color w:val="000000"/>
                <w:lang w:val="es-MX"/>
              </w:rPr>
            </w:pPr>
            <w:r>
              <w:rPr>
                <w:color w:val="000000"/>
                <w:lang w:val="es-MX"/>
              </w:rPr>
              <w:t>78(67-86)</w:t>
            </w:r>
          </w:p>
        </w:tc>
        <w:tc>
          <w:tcPr>
            <w:tcW w:w="792" w:type="pct"/>
            <w:tcBorders>
              <w:top w:val="nil"/>
              <w:left w:val="nil"/>
              <w:bottom w:val="nil"/>
              <w:right w:val="nil"/>
            </w:tcBorders>
            <w:shd w:val="clear" w:color="auto" w:fill="auto"/>
            <w:noWrap/>
            <w:vAlign w:val="bottom"/>
            <w:hideMark/>
          </w:tcPr>
          <w:p w14:paraId="3194514C" w14:textId="77777777" w:rsidR="00EA59EE" w:rsidRPr="00650F8B" w:rsidRDefault="00EA59EE" w:rsidP="00F50E6A">
            <w:pPr>
              <w:jc w:val="right"/>
              <w:rPr>
                <w:color w:val="000000"/>
                <w:lang w:val="es-MX"/>
              </w:rPr>
            </w:pPr>
            <w:r w:rsidRPr="00650F8B">
              <w:rPr>
                <w:color w:val="000000"/>
                <w:lang w:val="es-MX"/>
              </w:rPr>
              <w:t>13</w:t>
            </w:r>
          </w:p>
        </w:tc>
        <w:tc>
          <w:tcPr>
            <w:tcW w:w="360" w:type="pct"/>
            <w:tcBorders>
              <w:top w:val="nil"/>
              <w:left w:val="nil"/>
              <w:bottom w:val="nil"/>
              <w:right w:val="nil"/>
            </w:tcBorders>
            <w:shd w:val="clear" w:color="auto" w:fill="auto"/>
            <w:noWrap/>
            <w:vAlign w:val="bottom"/>
            <w:hideMark/>
          </w:tcPr>
          <w:p w14:paraId="21FF9F5C" w14:textId="77777777" w:rsidR="00EA59EE" w:rsidRPr="00650F8B" w:rsidRDefault="00EA59EE" w:rsidP="00F50E6A">
            <w:pPr>
              <w:jc w:val="right"/>
              <w:rPr>
                <w:color w:val="000000"/>
                <w:lang w:val="es-MX"/>
              </w:rPr>
            </w:pPr>
            <w:r w:rsidRPr="00650F8B">
              <w:rPr>
                <w:color w:val="000000"/>
                <w:lang w:val="es-MX"/>
              </w:rPr>
              <w:t>.002</w:t>
            </w:r>
          </w:p>
        </w:tc>
      </w:tr>
      <w:tr w:rsidR="00EA59EE" w:rsidRPr="00650F8B" w14:paraId="1E47A078" w14:textId="77777777" w:rsidTr="00EA59EE">
        <w:trPr>
          <w:trHeight w:val="300"/>
        </w:trPr>
        <w:tc>
          <w:tcPr>
            <w:tcW w:w="449" w:type="pct"/>
            <w:tcBorders>
              <w:top w:val="nil"/>
              <w:left w:val="nil"/>
              <w:bottom w:val="nil"/>
              <w:right w:val="nil"/>
            </w:tcBorders>
            <w:shd w:val="clear" w:color="auto" w:fill="auto"/>
            <w:noWrap/>
            <w:vAlign w:val="bottom"/>
            <w:hideMark/>
          </w:tcPr>
          <w:p w14:paraId="72801059" w14:textId="77777777" w:rsidR="00EA59EE" w:rsidRPr="008235D0" w:rsidRDefault="00EA59EE" w:rsidP="00F50E6A">
            <w:pPr>
              <w:rPr>
                <w:lang w:val="es-MX"/>
              </w:rPr>
            </w:pPr>
            <w:r w:rsidRPr="008235D0">
              <w:rPr>
                <w:lang w:val="es-MX"/>
              </w:rPr>
              <w:t xml:space="preserve">PTZ </w:t>
            </w:r>
          </w:p>
        </w:tc>
        <w:tc>
          <w:tcPr>
            <w:tcW w:w="1067" w:type="pct"/>
            <w:tcBorders>
              <w:top w:val="nil"/>
              <w:left w:val="nil"/>
              <w:bottom w:val="nil"/>
              <w:right w:val="nil"/>
            </w:tcBorders>
            <w:shd w:val="clear" w:color="auto" w:fill="auto"/>
            <w:noWrap/>
            <w:vAlign w:val="bottom"/>
            <w:hideMark/>
          </w:tcPr>
          <w:p w14:paraId="360009D6" w14:textId="77777777" w:rsidR="00EA59EE" w:rsidRPr="00650F8B" w:rsidRDefault="00EA59EE" w:rsidP="00F50E6A">
            <w:pPr>
              <w:rPr>
                <w:color w:val="000000"/>
                <w:lang w:val="es-MX"/>
              </w:rPr>
            </w:pPr>
            <w:r w:rsidRPr="00650F8B">
              <w:rPr>
                <w:color w:val="000000"/>
                <w:lang w:val="es-MX"/>
              </w:rPr>
              <w:t>V</w:t>
            </w:r>
            <w:r>
              <w:rPr>
                <w:color w:val="000000"/>
                <w:lang w:val="es-MX"/>
              </w:rPr>
              <w:t>igilia</w:t>
            </w:r>
          </w:p>
        </w:tc>
        <w:tc>
          <w:tcPr>
            <w:tcW w:w="777" w:type="pct"/>
            <w:tcBorders>
              <w:top w:val="nil"/>
              <w:left w:val="nil"/>
              <w:bottom w:val="nil"/>
              <w:right w:val="nil"/>
            </w:tcBorders>
            <w:shd w:val="clear" w:color="auto" w:fill="auto"/>
            <w:noWrap/>
            <w:vAlign w:val="bottom"/>
          </w:tcPr>
          <w:p w14:paraId="3A8638F9" w14:textId="77777777" w:rsidR="00EA59EE" w:rsidRPr="004420D7" w:rsidRDefault="00EA59EE" w:rsidP="00F50E6A">
            <w:pPr>
              <w:jc w:val="right"/>
              <w:rPr>
                <w:color w:val="000000"/>
                <w:lang w:val="es-MX"/>
              </w:rPr>
            </w:pPr>
            <w:r>
              <w:rPr>
                <w:color w:val="000000"/>
                <w:lang w:val="es-MX"/>
              </w:rPr>
              <w:t>236(205-261)</w:t>
            </w:r>
          </w:p>
        </w:tc>
        <w:tc>
          <w:tcPr>
            <w:tcW w:w="777" w:type="pct"/>
            <w:tcBorders>
              <w:top w:val="nil"/>
              <w:left w:val="nil"/>
              <w:bottom w:val="nil"/>
              <w:right w:val="nil"/>
            </w:tcBorders>
            <w:shd w:val="clear" w:color="auto" w:fill="auto"/>
            <w:noWrap/>
            <w:vAlign w:val="bottom"/>
          </w:tcPr>
          <w:p w14:paraId="4A448751" w14:textId="77777777" w:rsidR="00EA59EE" w:rsidRPr="004420D7" w:rsidRDefault="00EA59EE" w:rsidP="00F50E6A">
            <w:pPr>
              <w:jc w:val="right"/>
              <w:rPr>
                <w:color w:val="000000"/>
                <w:lang w:val="es-MX"/>
              </w:rPr>
            </w:pPr>
            <w:r>
              <w:rPr>
                <w:color w:val="000000"/>
                <w:lang w:val="es-MX"/>
              </w:rPr>
              <w:t>436(412-485)</w:t>
            </w:r>
          </w:p>
        </w:tc>
        <w:tc>
          <w:tcPr>
            <w:tcW w:w="777" w:type="pct"/>
            <w:tcBorders>
              <w:top w:val="nil"/>
              <w:left w:val="nil"/>
              <w:bottom w:val="nil"/>
              <w:right w:val="nil"/>
            </w:tcBorders>
            <w:shd w:val="clear" w:color="auto" w:fill="auto"/>
            <w:noWrap/>
            <w:vAlign w:val="bottom"/>
          </w:tcPr>
          <w:p w14:paraId="4208069E" w14:textId="77777777" w:rsidR="00EA59EE" w:rsidRPr="004420D7" w:rsidRDefault="00EA59EE" w:rsidP="00F50E6A">
            <w:pPr>
              <w:jc w:val="right"/>
              <w:rPr>
                <w:color w:val="000000"/>
                <w:lang w:val="es-MX"/>
              </w:rPr>
            </w:pPr>
            <w:r>
              <w:rPr>
                <w:color w:val="000000"/>
                <w:lang w:val="es-MX"/>
              </w:rPr>
              <w:t>223(189-258)</w:t>
            </w:r>
          </w:p>
        </w:tc>
        <w:tc>
          <w:tcPr>
            <w:tcW w:w="792" w:type="pct"/>
            <w:tcBorders>
              <w:top w:val="nil"/>
              <w:left w:val="nil"/>
              <w:bottom w:val="nil"/>
              <w:right w:val="nil"/>
            </w:tcBorders>
            <w:shd w:val="clear" w:color="auto" w:fill="auto"/>
            <w:noWrap/>
            <w:vAlign w:val="bottom"/>
            <w:hideMark/>
          </w:tcPr>
          <w:p w14:paraId="48F2AD38" w14:textId="77777777" w:rsidR="00EA59EE" w:rsidRPr="00650F8B" w:rsidRDefault="00EA59EE" w:rsidP="00F50E6A">
            <w:pPr>
              <w:jc w:val="right"/>
              <w:rPr>
                <w:color w:val="000000"/>
                <w:lang w:val="es-MX"/>
              </w:rPr>
            </w:pPr>
            <w:r w:rsidRPr="00650F8B">
              <w:rPr>
                <w:color w:val="000000"/>
                <w:lang w:val="es-MX"/>
              </w:rPr>
              <w:t>12</w:t>
            </w:r>
          </w:p>
        </w:tc>
        <w:tc>
          <w:tcPr>
            <w:tcW w:w="360" w:type="pct"/>
            <w:tcBorders>
              <w:top w:val="nil"/>
              <w:left w:val="nil"/>
              <w:bottom w:val="nil"/>
              <w:right w:val="nil"/>
            </w:tcBorders>
            <w:shd w:val="clear" w:color="auto" w:fill="auto"/>
            <w:noWrap/>
            <w:vAlign w:val="bottom"/>
            <w:hideMark/>
          </w:tcPr>
          <w:p w14:paraId="20EC24AC" w14:textId="77777777" w:rsidR="00EA59EE" w:rsidRPr="00650F8B" w:rsidRDefault="00EA59EE" w:rsidP="00F50E6A">
            <w:pPr>
              <w:jc w:val="right"/>
              <w:rPr>
                <w:color w:val="000000"/>
                <w:lang w:val="es-MX"/>
              </w:rPr>
            </w:pPr>
            <w:r w:rsidRPr="00650F8B">
              <w:rPr>
                <w:color w:val="000000"/>
                <w:lang w:val="es-MX"/>
              </w:rPr>
              <w:t>.002</w:t>
            </w:r>
          </w:p>
        </w:tc>
      </w:tr>
      <w:tr w:rsidR="00EA59EE" w:rsidRPr="00650F8B" w14:paraId="7EFA5432" w14:textId="77777777" w:rsidTr="00EA59EE">
        <w:trPr>
          <w:trHeight w:val="300"/>
        </w:trPr>
        <w:tc>
          <w:tcPr>
            <w:tcW w:w="449" w:type="pct"/>
            <w:tcBorders>
              <w:top w:val="nil"/>
              <w:left w:val="nil"/>
              <w:bottom w:val="nil"/>
              <w:right w:val="nil"/>
            </w:tcBorders>
            <w:shd w:val="clear" w:color="auto" w:fill="auto"/>
            <w:noWrap/>
            <w:vAlign w:val="bottom"/>
            <w:hideMark/>
          </w:tcPr>
          <w:p w14:paraId="3CE3E819" w14:textId="77777777" w:rsidR="00EA59EE" w:rsidRPr="00650F8B" w:rsidRDefault="00EA59EE" w:rsidP="00F50E6A">
            <w:pPr>
              <w:jc w:val="right"/>
              <w:rPr>
                <w:color w:val="000000"/>
                <w:lang w:val="es-MX"/>
              </w:rPr>
            </w:pPr>
          </w:p>
        </w:tc>
        <w:tc>
          <w:tcPr>
            <w:tcW w:w="1067" w:type="pct"/>
            <w:tcBorders>
              <w:top w:val="nil"/>
              <w:left w:val="nil"/>
              <w:bottom w:val="nil"/>
              <w:right w:val="nil"/>
            </w:tcBorders>
            <w:shd w:val="clear" w:color="auto" w:fill="auto"/>
            <w:noWrap/>
            <w:vAlign w:val="bottom"/>
            <w:hideMark/>
          </w:tcPr>
          <w:p w14:paraId="0E4BCC05" w14:textId="77777777" w:rsidR="00EA59EE" w:rsidRPr="00650F8B" w:rsidRDefault="00EA59EE" w:rsidP="00F50E6A">
            <w:pPr>
              <w:rPr>
                <w:color w:val="000000"/>
                <w:lang w:val="es-MX"/>
              </w:rPr>
            </w:pPr>
            <w:r>
              <w:rPr>
                <w:color w:val="000000"/>
                <w:lang w:val="es-MX"/>
              </w:rPr>
              <w:t>NMOR</w:t>
            </w:r>
          </w:p>
        </w:tc>
        <w:tc>
          <w:tcPr>
            <w:tcW w:w="777" w:type="pct"/>
            <w:tcBorders>
              <w:top w:val="nil"/>
              <w:left w:val="nil"/>
              <w:bottom w:val="nil"/>
              <w:right w:val="nil"/>
            </w:tcBorders>
            <w:shd w:val="clear" w:color="auto" w:fill="auto"/>
            <w:noWrap/>
            <w:vAlign w:val="bottom"/>
          </w:tcPr>
          <w:p w14:paraId="0CDE937E" w14:textId="77777777" w:rsidR="00EA59EE" w:rsidRPr="004420D7" w:rsidRDefault="00EA59EE" w:rsidP="00F50E6A">
            <w:pPr>
              <w:jc w:val="right"/>
              <w:rPr>
                <w:color w:val="000000"/>
                <w:lang w:val="es-MX"/>
              </w:rPr>
            </w:pPr>
            <w:r>
              <w:rPr>
                <w:color w:val="000000"/>
                <w:lang w:val="es-MX"/>
              </w:rPr>
              <w:t>258(238-297)</w:t>
            </w:r>
          </w:p>
        </w:tc>
        <w:tc>
          <w:tcPr>
            <w:tcW w:w="777" w:type="pct"/>
            <w:tcBorders>
              <w:top w:val="nil"/>
              <w:left w:val="nil"/>
              <w:bottom w:val="nil"/>
              <w:right w:val="nil"/>
            </w:tcBorders>
            <w:shd w:val="clear" w:color="auto" w:fill="auto"/>
            <w:noWrap/>
            <w:vAlign w:val="bottom"/>
          </w:tcPr>
          <w:p w14:paraId="51CCFAAD" w14:textId="77777777" w:rsidR="00EA59EE" w:rsidRPr="004420D7" w:rsidRDefault="00EA59EE" w:rsidP="00F50E6A">
            <w:pPr>
              <w:jc w:val="right"/>
              <w:rPr>
                <w:color w:val="000000"/>
                <w:lang w:val="es-MX"/>
              </w:rPr>
            </w:pPr>
            <w:r>
              <w:rPr>
                <w:color w:val="000000"/>
                <w:lang w:val="es-MX"/>
              </w:rPr>
              <w:t>100(53-128)</w:t>
            </w:r>
          </w:p>
        </w:tc>
        <w:tc>
          <w:tcPr>
            <w:tcW w:w="777" w:type="pct"/>
            <w:tcBorders>
              <w:top w:val="nil"/>
              <w:left w:val="nil"/>
              <w:bottom w:val="nil"/>
              <w:right w:val="nil"/>
            </w:tcBorders>
            <w:shd w:val="clear" w:color="auto" w:fill="auto"/>
            <w:noWrap/>
            <w:vAlign w:val="bottom"/>
          </w:tcPr>
          <w:p w14:paraId="3FB997A3" w14:textId="77777777" w:rsidR="00EA59EE" w:rsidRPr="004420D7" w:rsidRDefault="00EA59EE" w:rsidP="00F50E6A">
            <w:pPr>
              <w:jc w:val="right"/>
              <w:rPr>
                <w:color w:val="000000"/>
                <w:lang w:val="es-MX"/>
              </w:rPr>
            </w:pPr>
            <w:r>
              <w:rPr>
                <w:color w:val="000000"/>
                <w:lang w:val="es-MX"/>
              </w:rPr>
              <w:t>275(246-302)</w:t>
            </w:r>
          </w:p>
        </w:tc>
        <w:tc>
          <w:tcPr>
            <w:tcW w:w="792" w:type="pct"/>
            <w:tcBorders>
              <w:top w:val="nil"/>
              <w:left w:val="nil"/>
              <w:bottom w:val="nil"/>
              <w:right w:val="nil"/>
            </w:tcBorders>
            <w:shd w:val="clear" w:color="auto" w:fill="auto"/>
            <w:noWrap/>
            <w:vAlign w:val="bottom"/>
            <w:hideMark/>
          </w:tcPr>
          <w:p w14:paraId="4DFB2B6B" w14:textId="77777777" w:rsidR="00EA59EE" w:rsidRPr="00650F8B" w:rsidRDefault="00EA59EE" w:rsidP="00F50E6A">
            <w:pPr>
              <w:jc w:val="right"/>
              <w:rPr>
                <w:color w:val="000000"/>
                <w:lang w:val="es-MX"/>
              </w:rPr>
            </w:pPr>
            <w:r w:rsidRPr="00650F8B">
              <w:rPr>
                <w:color w:val="000000"/>
                <w:lang w:val="es-MX"/>
              </w:rPr>
              <w:t>14.</w:t>
            </w:r>
            <w:r>
              <w:rPr>
                <w:color w:val="000000"/>
                <w:lang w:val="es-MX"/>
              </w:rPr>
              <w:t>3</w:t>
            </w:r>
          </w:p>
        </w:tc>
        <w:tc>
          <w:tcPr>
            <w:tcW w:w="360" w:type="pct"/>
            <w:tcBorders>
              <w:top w:val="nil"/>
              <w:left w:val="nil"/>
              <w:bottom w:val="nil"/>
              <w:right w:val="nil"/>
            </w:tcBorders>
            <w:shd w:val="clear" w:color="auto" w:fill="auto"/>
            <w:noWrap/>
            <w:vAlign w:val="bottom"/>
            <w:hideMark/>
          </w:tcPr>
          <w:p w14:paraId="37BD9498" w14:textId="77777777" w:rsidR="00EA59EE" w:rsidRPr="00650F8B" w:rsidRDefault="00EA59EE" w:rsidP="00F50E6A">
            <w:pPr>
              <w:jc w:val="right"/>
              <w:rPr>
                <w:color w:val="000000"/>
                <w:lang w:val="es-MX"/>
              </w:rPr>
            </w:pPr>
            <w:r w:rsidRPr="00650F8B">
              <w:rPr>
                <w:color w:val="000000"/>
                <w:lang w:val="es-MX"/>
              </w:rPr>
              <w:t>.001</w:t>
            </w:r>
          </w:p>
        </w:tc>
      </w:tr>
      <w:tr w:rsidR="00EA59EE" w:rsidRPr="00650F8B" w14:paraId="136EC281" w14:textId="77777777" w:rsidTr="00EA59EE">
        <w:trPr>
          <w:trHeight w:val="300"/>
        </w:trPr>
        <w:tc>
          <w:tcPr>
            <w:tcW w:w="449" w:type="pct"/>
            <w:tcBorders>
              <w:top w:val="nil"/>
              <w:left w:val="nil"/>
              <w:right w:val="nil"/>
            </w:tcBorders>
            <w:shd w:val="clear" w:color="auto" w:fill="auto"/>
            <w:noWrap/>
            <w:vAlign w:val="bottom"/>
            <w:hideMark/>
          </w:tcPr>
          <w:p w14:paraId="647CFF38" w14:textId="77777777" w:rsidR="00EA59EE" w:rsidRPr="00650F8B" w:rsidRDefault="00EA59EE" w:rsidP="00F50E6A">
            <w:pPr>
              <w:jc w:val="right"/>
              <w:rPr>
                <w:color w:val="000000"/>
                <w:lang w:val="es-MX"/>
              </w:rPr>
            </w:pPr>
          </w:p>
        </w:tc>
        <w:tc>
          <w:tcPr>
            <w:tcW w:w="1067" w:type="pct"/>
            <w:tcBorders>
              <w:top w:val="nil"/>
              <w:left w:val="nil"/>
              <w:right w:val="nil"/>
            </w:tcBorders>
            <w:shd w:val="clear" w:color="auto" w:fill="auto"/>
            <w:noWrap/>
            <w:vAlign w:val="bottom"/>
            <w:hideMark/>
          </w:tcPr>
          <w:p w14:paraId="2A57E754" w14:textId="77777777" w:rsidR="00EA59EE" w:rsidRPr="00650F8B" w:rsidRDefault="00EA59EE" w:rsidP="00F50E6A">
            <w:pPr>
              <w:rPr>
                <w:color w:val="000000"/>
                <w:lang w:val="es-MX"/>
              </w:rPr>
            </w:pPr>
            <w:r w:rsidRPr="00650F8B">
              <w:rPr>
                <w:color w:val="000000"/>
                <w:lang w:val="es-MX"/>
              </w:rPr>
              <w:t>MOR</w:t>
            </w:r>
          </w:p>
        </w:tc>
        <w:tc>
          <w:tcPr>
            <w:tcW w:w="777" w:type="pct"/>
            <w:tcBorders>
              <w:top w:val="nil"/>
              <w:left w:val="nil"/>
              <w:right w:val="nil"/>
            </w:tcBorders>
            <w:shd w:val="clear" w:color="auto" w:fill="auto"/>
            <w:noWrap/>
            <w:vAlign w:val="bottom"/>
          </w:tcPr>
          <w:p w14:paraId="09524F25" w14:textId="77777777" w:rsidR="00EA59EE" w:rsidRPr="004420D7" w:rsidRDefault="00EA59EE" w:rsidP="00F50E6A">
            <w:pPr>
              <w:jc w:val="right"/>
              <w:rPr>
                <w:color w:val="000000"/>
                <w:lang w:val="es-MX"/>
              </w:rPr>
            </w:pPr>
            <w:r>
              <w:rPr>
                <w:color w:val="000000"/>
                <w:lang w:val="es-MX"/>
              </w:rPr>
              <w:t>44(36-51)</w:t>
            </w:r>
          </w:p>
        </w:tc>
        <w:tc>
          <w:tcPr>
            <w:tcW w:w="777" w:type="pct"/>
            <w:tcBorders>
              <w:top w:val="nil"/>
              <w:left w:val="nil"/>
              <w:right w:val="nil"/>
            </w:tcBorders>
            <w:shd w:val="clear" w:color="auto" w:fill="auto"/>
            <w:noWrap/>
            <w:vAlign w:val="bottom"/>
          </w:tcPr>
          <w:p w14:paraId="35B2F8D0" w14:textId="77777777" w:rsidR="00EA59EE" w:rsidRPr="004420D7" w:rsidRDefault="00EA59EE" w:rsidP="00F50E6A">
            <w:pPr>
              <w:jc w:val="right"/>
              <w:rPr>
                <w:color w:val="000000"/>
                <w:lang w:val="es-MX"/>
              </w:rPr>
            </w:pPr>
            <w:r>
              <w:rPr>
                <w:color w:val="000000"/>
                <w:lang w:val="es-MX"/>
              </w:rPr>
              <w:t>1(.4-5)</w:t>
            </w:r>
          </w:p>
        </w:tc>
        <w:tc>
          <w:tcPr>
            <w:tcW w:w="777" w:type="pct"/>
            <w:tcBorders>
              <w:top w:val="nil"/>
              <w:left w:val="nil"/>
              <w:right w:val="nil"/>
            </w:tcBorders>
            <w:shd w:val="clear" w:color="auto" w:fill="auto"/>
            <w:noWrap/>
            <w:vAlign w:val="bottom"/>
          </w:tcPr>
          <w:p w14:paraId="2E000A25" w14:textId="77777777" w:rsidR="00EA59EE" w:rsidRPr="004420D7" w:rsidRDefault="00EA59EE" w:rsidP="00F50E6A">
            <w:pPr>
              <w:jc w:val="right"/>
              <w:rPr>
                <w:color w:val="000000"/>
                <w:lang w:val="es-MX"/>
              </w:rPr>
            </w:pPr>
            <w:r>
              <w:rPr>
                <w:color w:val="000000"/>
                <w:lang w:val="es-MX"/>
              </w:rPr>
              <w:t>38(31-54)</w:t>
            </w:r>
          </w:p>
        </w:tc>
        <w:tc>
          <w:tcPr>
            <w:tcW w:w="792" w:type="pct"/>
            <w:tcBorders>
              <w:top w:val="nil"/>
              <w:left w:val="nil"/>
              <w:right w:val="nil"/>
            </w:tcBorders>
            <w:shd w:val="clear" w:color="auto" w:fill="auto"/>
            <w:noWrap/>
            <w:vAlign w:val="bottom"/>
            <w:hideMark/>
          </w:tcPr>
          <w:p w14:paraId="52920B53" w14:textId="77777777" w:rsidR="00EA59EE" w:rsidRPr="00650F8B" w:rsidRDefault="00EA59EE" w:rsidP="00F50E6A">
            <w:pPr>
              <w:jc w:val="right"/>
              <w:rPr>
                <w:color w:val="000000"/>
                <w:lang w:val="es-MX"/>
              </w:rPr>
            </w:pPr>
            <w:r w:rsidRPr="00650F8B">
              <w:rPr>
                <w:color w:val="000000"/>
                <w:lang w:val="es-MX"/>
              </w:rPr>
              <w:t>12</w:t>
            </w:r>
          </w:p>
        </w:tc>
        <w:tc>
          <w:tcPr>
            <w:tcW w:w="360" w:type="pct"/>
            <w:tcBorders>
              <w:top w:val="nil"/>
              <w:left w:val="nil"/>
              <w:right w:val="nil"/>
            </w:tcBorders>
            <w:shd w:val="clear" w:color="auto" w:fill="auto"/>
            <w:noWrap/>
            <w:vAlign w:val="bottom"/>
            <w:hideMark/>
          </w:tcPr>
          <w:p w14:paraId="47C95FD8" w14:textId="77777777" w:rsidR="00EA59EE" w:rsidRPr="00650F8B" w:rsidRDefault="00EA59EE" w:rsidP="00F50E6A">
            <w:pPr>
              <w:jc w:val="right"/>
              <w:rPr>
                <w:color w:val="000000"/>
                <w:lang w:val="es-MX"/>
              </w:rPr>
            </w:pPr>
            <w:r w:rsidRPr="00650F8B">
              <w:rPr>
                <w:color w:val="000000"/>
                <w:lang w:val="es-MX"/>
              </w:rPr>
              <w:t>.002</w:t>
            </w:r>
          </w:p>
        </w:tc>
      </w:tr>
      <w:tr w:rsidR="00EA59EE" w:rsidRPr="0000587D" w14:paraId="7D67A667" w14:textId="77777777" w:rsidTr="00EA59EE">
        <w:trPr>
          <w:trHeight w:val="300"/>
        </w:trPr>
        <w:tc>
          <w:tcPr>
            <w:tcW w:w="5000" w:type="pct"/>
            <w:gridSpan w:val="7"/>
            <w:tcBorders>
              <w:left w:val="nil"/>
              <w:right w:val="nil"/>
            </w:tcBorders>
            <w:shd w:val="clear" w:color="auto" w:fill="auto"/>
            <w:noWrap/>
            <w:vAlign w:val="bottom"/>
          </w:tcPr>
          <w:p w14:paraId="1B288AF5" w14:textId="06477CAA" w:rsidR="00EA59EE" w:rsidRPr="0000587D" w:rsidRDefault="00EA59EE" w:rsidP="00F50E6A">
            <w:pPr>
              <w:rPr>
                <w:color w:val="000000"/>
                <w:lang w:val="es-MX"/>
              </w:rPr>
            </w:pPr>
            <w:r>
              <w:t>Mediana (percentil 25-percentil 75). V</w:t>
            </w:r>
            <w:r w:rsidRPr="0000587D">
              <w:t xml:space="preserve">alores en </w:t>
            </w:r>
            <w:r w:rsidRPr="00363D8A">
              <w:t>minutos</w:t>
            </w:r>
            <w:r>
              <w:t xml:space="preserve">. </w:t>
            </w:r>
            <w:r w:rsidRPr="00363D8A">
              <w:t xml:space="preserve">DB, dosis baja de </w:t>
            </w:r>
            <w:proofErr w:type="spellStart"/>
            <w:r w:rsidRPr="00363D8A">
              <w:t>gabapentina</w:t>
            </w:r>
            <w:proofErr w:type="spellEnd"/>
            <w:r w:rsidRPr="00363D8A">
              <w:t xml:space="preserve"> (GBP); DM, dosis media</w:t>
            </w:r>
            <w:r>
              <w:t xml:space="preserve"> de GBP; DA, dosis alta de GBP; </w:t>
            </w:r>
            <w:r w:rsidR="008C15A4" w:rsidRPr="008C15A4">
              <w:t xml:space="preserve">PTZ, grupo con solo </w:t>
            </w:r>
            <w:proofErr w:type="spellStart"/>
            <w:r w:rsidR="008C15A4" w:rsidRPr="008C15A4">
              <w:t>pentilenetetrazol</w:t>
            </w:r>
            <w:proofErr w:type="spellEnd"/>
            <w:r w:rsidRPr="00363D8A">
              <w:t xml:space="preserve">; </w:t>
            </w:r>
            <w:proofErr w:type="spellStart"/>
            <w:r w:rsidRPr="00363D8A">
              <w:t>ns</w:t>
            </w:r>
            <w:proofErr w:type="spellEnd"/>
            <w:r w:rsidRPr="00363D8A">
              <w:t>, no significativo</w:t>
            </w:r>
            <w:r>
              <w:t>. Dos grados de libertad para todas las variables.</w:t>
            </w:r>
          </w:p>
        </w:tc>
      </w:tr>
    </w:tbl>
    <w:p w14:paraId="41978469" w14:textId="77777777" w:rsidR="00EA59EE" w:rsidRPr="00EA59EE" w:rsidRDefault="00EA59EE" w:rsidP="00EA59EE">
      <w:pPr>
        <w:pStyle w:val="SubtituloInterno"/>
        <w:rPr>
          <w:bCs/>
        </w:rPr>
      </w:pPr>
      <w:r w:rsidRPr="00EA59EE">
        <w:rPr>
          <w:bCs/>
        </w:rPr>
        <w:t>Efecto de la GBP sobre las alteraciones del sueño provocadas por la epilepsia</w:t>
      </w:r>
    </w:p>
    <w:p w14:paraId="6CBF821D" w14:textId="77777777" w:rsidR="00EA59EE" w:rsidRPr="00EA59EE" w:rsidRDefault="00EA59EE" w:rsidP="00EA59EE">
      <w:pPr>
        <w:pStyle w:val="Prrafocomn"/>
        <w:rPr>
          <w:iCs/>
          <w:lang w:val="es-MX"/>
        </w:rPr>
      </w:pPr>
      <w:r w:rsidRPr="00EA59EE">
        <w:rPr>
          <w:iCs/>
          <w:lang w:val="es-MX"/>
        </w:rPr>
        <w:t xml:space="preserve">De manera general, las alteraciones del sueño producidas por la administración de PTZ disminuyeron por el efecto de la GBP. La mejoría del sueño dependía de la dosis </w:t>
      </w:r>
      <w:r w:rsidRPr="00EA59EE">
        <w:rPr>
          <w:iCs/>
          <w:lang w:val="es-MX"/>
        </w:rPr>
        <w:lastRenderedPageBreak/>
        <w:t>administrada de este fármaco anticonvulsivo. En el grupo de DB, con dosis de GBP de 15 mg/kg, los valores de vigilia y sueño NMOR no tuvieron diferencias significativas entre los tres días de registro. En contraste, la cantidad de sueño MOR aumentó significativamente el día de la administración (Día 2) de la GBP, manteniéndose por encima de los niveles de la línea base durante el tercer día de registro (Tabla 2).</w:t>
      </w:r>
    </w:p>
    <w:p w14:paraId="09EF87CD" w14:textId="77777777" w:rsidR="00EA59EE" w:rsidRPr="00EA59EE" w:rsidRDefault="00EA59EE" w:rsidP="00EA59EE">
      <w:pPr>
        <w:pStyle w:val="Prrafocomn"/>
        <w:rPr>
          <w:iCs/>
          <w:lang w:val="es-MX"/>
        </w:rPr>
      </w:pPr>
      <w:r w:rsidRPr="00EA59EE">
        <w:rPr>
          <w:iCs/>
          <w:lang w:val="es-MX"/>
        </w:rPr>
        <w:t>En el grupo de DM, aunque aumentó ligeramente la cantidad de sueño NMOR, no presentó diferencias significativas en los tres días. En contraste, en comparación con el día 1 de registro, la cantidad de vigilia disminuyó y la del sueño MOR se incrementó de forma significativa. En el tercer día, la cantidad de vigilia alcanzó niveles mínimos y mientras que la del sueño MOR mostró niveles máximos (Tabla 2). En el grupo de DA en los tres estados de vigilancia se encontraron diferencias significativas entre los tres días de registro. En el segundo día, los animales del grupo DA mostraron incremento significativo tanto del sueño NMOR como del MOR, mientras que disminuía la cantidad de vigilia. Estos niveles de los tres estados de vigilancia permanecieron en el tercer día, es decir, se manifestaba todavía el efecto de la GBP (Tabla 2).</w:t>
      </w:r>
    </w:p>
    <w:p w14:paraId="4539814A" w14:textId="77777777" w:rsidR="00EA59EE" w:rsidRPr="00EA59EE" w:rsidRDefault="00EA59EE" w:rsidP="00EA59EE">
      <w:pPr>
        <w:pStyle w:val="SubtituloInterno"/>
        <w:rPr>
          <w:bCs/>
        </w:rPr>
      </w:pPr>
      <w:r w:rsidRPr="00EA59EE">
        <w:rPr>
          <w:bCs/>
        </w:rPr>
        <w:t>Análisis inter-grupal de los estados de vigilancia.</w:t>
      </w:r>
    </w:p>
    <w:p w14:paraId="4A21C81A" w14:textId="77777777" w:rsidR="00EA59EE" w:rsidRPr="00EA59EE" w:rsidRDefault="00EA59EE" w:rsidP="00EA59EE">
      <w:pPr>
        <w:pStyle w:val="Prrafocomn"/>
        <w:rPr>
          <w:iCs/>
          <w:lang w:val="es-MX"/>
        </w:rPr>
      </w:pPr>
      <w:r w:rsidRPr="00EA59EE">
        <w:rPr>
          <w:iCs/>
          <w:lang w:val="es-MX"/>
        </w:rPr>
        <w:t xml:space="preserve">Con la prueba de Kruskal-Wallis se tuvieron tres grados de libertad para todas las variables. En el día 1, no se encontraron diferencias significativas relacionadas con la duración de los estados de vigilancia entre los grupos de animales en la vigilia (p=.927; chi-cuadrado=.5), sueño NMOR (p=.638; chi-cuadrado=2) y sueño MOR (p=.329; chi-cuadrado=3.4). En el día 2, se encontraron diferencias significativas entre los grupos en vigilia (p&lt;.001; chi-cuadrado=24), sueño NMOR (p&lt;.001; chi-cuadrado=23) y sueño MOR (p&lt;.001; chi-cuadrado=19). En este segundo día, la cantidad de vigilia fue mayor en el grupo que recibió solamente PTZ, el cual desarrolló de manera intensa la actividad convulsiva, mientras que la cantidad de sueño NMOR y MOR fue menor en este grupo comparado con los que recibieron GBP.  </w:t>
      </w:r>
    </w:p>
    <w:p w14:paraId="310AC8B9" w14:textId="7F863868" w:rsidR="00EA59EE" w:rsidRDefault="00EA59EE" w:rsidP="00EA59EE">
      <w:pPr>
        <w:pStyle w:val="Prrafocomn"/>
        <w:rPr>
          <w:iCs/>
          <w:lang w:val="es-AR"/>
        </w:rPr>
      </w:pPr>
      <w:r w:rsidRPr="00EA59EE">
        <w:rPr>
          <w:iCs/>
          <w:lang w:val="es-AR"/>
        </w:rPr>
        <w:t xml:space="preserve">Finalmente, en el día 3, se tuvieron diferencias significativas en vigilia (p=.003; </w:t>
      </w:r>
      <w:proofErr w:type="spellStart"/>
      <w:r w:rsidRPr="00EA59EE">
        <w:rPr>
          <w:iCs/>
          <w:lang w:val="es-AR"/>
        </w:rPr>
        <w:t>chi</w:t>
      </w:r>
      <w:proofErr w:type="spellEnd"/>
      <w:r w:rsidRPr="00EA59EE">
        <w:rPr>
          <w:iCs/>
          <w:lang w:val="es-AR"/>
        </w:rPr>
        <w:t xml:space="preserve">-cuadrado=14) y sueño MOR (p&lt;.001; </w:t>
      </w:r>
      <w:proofErr w:type="spellStart"/>
      <w:r w:rsidRPr="00EA59EE">
        <w:rPr>
          <w:iCs/>
          <w:lang w:val="es-AR"/>
        </w:rPr>
        <w:t>chi</w:t>
      </w:r>
      <w:proofErr w:type="spellEnd"/>
      <w:r w:rsidRPr="00EA59EE">
        <w:rPr>
          <w:iCs/>
          <w:lang w:val="es-AR"/>
        </w:rPr>
        <w:t xml:space="preserve">-cuadrado=20), mientras que en el sueño NMOR no hubo diferencia entre los grupos (p=.13; </w:t>
      </w:r>
      <w:proofErr w:type="spellStart"/>
      <w:r w:rsidRPr="00EA59EE">
        <w:rPr>
          <w:iCs/>
          <w:lang w:val="es-AR"/>
        </w:rPr>
        <w:t>chi</w:t>
      </w:r>
      <w:proofErr w:type="spellEnd"/>
      <w:r w:rsidRPr="00EA59EE">
        <w:rPr>
          <w:iCs/>
          <w:lang w:val="es-AR"/>
        </w:rPr>
        <w:t>-cuadrado=11). En este día, el grupo que recibió solamente PTZ tuvo los valores menores de sueño MOR, mientras que  el grupo con mayor cantidad de vigilia fue el de DB.</w:t>
      </w:r>
    </w:p>
    <w:p w14:paraId="2DE78B72" w14:textId="26DD61F7" w:rsidR="00EA59EE" w:rsidRDefault="00EA59EE" w:rsidP="00EA59EE">
      <w:pPr>
        <w:pStyle w:val="Prrafocomn"/>
        <w:rPr>
          <w:iCs/>
          <w:lang w:val="es-AR"/>
        </w:rPr>
      </w:pPr>
    </w:p>
    <w:p w14:paraId="3C1D8141" w14:textId="52958059" w:rsidR="009B3E5E" w:rsidRPr="00EA59EE" w:rsidRDefault="00EA59EE" w:rsidP="00F42476">
      <w:pPr>
        <w:pStyle w:val="Ttulosinternos"/>
        <w:rPr>
          <w:lang w:val="es-AR"/>
        </w:rPr>
      </w:pPr>
      <w:r w:rsidRPr="00EA59EE">
        <w:rPr>
          <w:lang w:val="es-AR"/>
        </w:rPr>
        <w:lastRenderedPageBreak/>
        <w:t>Discusión</w:t>
      </w:r>
    </w:p>
    <w:p w14:paraId="30CEAE94" w14:textId="21F89ECC" w:rsidR="00EA59EE" w:rsidRPr="00EA59EE" w:rsidRDefault="00EA59EE" w:rsidP="00EA59EE">
      <w:pPr>
        <w:pStyle w:val="Prrafocomn"/>
        <w:rPr>
          <w:b/>
          <w:bCs/>
          <w:lang w:val="es-MX"/>
        </w:rPr>
      </w:pPr>
      <w:r w:rsidRPr="00EA59EE">
        <w:rPr>
          <w:bCs/>
          <w:lang w:val="es-MX"/>
        </w:rPr>
        <w:t>En esta investigación, se corroboró la utilidad del modelo animal de epilepsia generalizada, ya que los animales presentaron la gama de manifestaciones electrofisiológicas y de comportamiento descritas anteriormente por diversos autores (Avila-Luna et al., 2019; Racine, 1972; Sayyah et al., 2005; Wang</w:t>
      </w:r>
      <w:r w:rsidR="008C3A89">
        <w:rPr>
          <w:bCs/>
          <w:lang w:val="es-MX"/>
        </w:rPr>
        <w:t>, &amp;</w:t>
      </w:r>
      <w:r w:rsidRPr="00EA59EE">
        <w:rPr>
          <w:bCs/>
          <w:lang w:val="es-MX"/>
        </w:rPr>
        <w:t xml:space="preserve"> Quin, 2010). Los automatismos motores inducidos por el PTZ se manifestaron casi inmediatamente, incrementándose progresivamente de intensidad hasta dar origen a convulsiones generalizadas. Estas alteraciones del comportamiento motor, acompañadas por actividad electroencefalográfica anormal se relacionan con alteraciones bioquímicas e histológicas semejantes a las de pacientes con epilepsia (Huang et al., 2001; Sajadian et al., 2015).</w:t>
      </w:r>
    </w:p>
    <w:p w14:paraId="040C4135" w14:textId="20D63D7F" w:rsidR="00EA59EE" w:rsidRPr="00EA59EE" w:rsidRDefault="00EA59EE" w:rsidP="00EA59EE">
      <w:pPr>
        <w:pStyle w:val="Prrafocomn"/>
        <w:rPr>
          <w:bCs/>
          <w:lang w:val="es-MX"/>
        </w:rPr>
      </w:pPr>
      <w:r w:rsidRPr="00EA59EE">
        <w:rPr>
          <w:bCs/>
          <w:lang w:val="es-MX"/>
        </w:rPr>
        <w:t xml:space="preserve">En base a diversos hallazgos experimentales, se ha sugerido que las neuronas del núcleo </w:t>
      </w:r>
      <w:r w:rsidRPr="00EA59EE">
        <w:rPr>
          <w:bCs/>
          <w:i/>
          <w:iCs/>
          <w:lang w:val="es-MX"/>
        </w:rPr>
        <w:t xml:space="preserve">Pontis caudalis </w:t>
      </w:r>
      <w:r w:rsidRPr="00EA59EE">
        <w:rPr>
          <w:bCs/>
          <w:lang w:val="es-MX"/>
        </w:rPr>
        <w:t xml:space="preserve">participan en la generación y mantenimiento de las crisis </w:t>
      </w:r>
      <w:bookmarkStart w:id="5" w:name="_Hlk26541811"/>
      <w:r w:rsidRPr="00EA59EE">
        <w:rPr>
          <w:bCs/>
          <w:lang w:val="es-MX"/>
        </w:rPr>
        <w:t>convulsivas (Faingold, 1987; Merrill</w:t>
      </w:r>
      <w:r w:rsidR="008C3A89">
        <w:rPr>
          <w:bCs/>
          <w:lang w:val="es-MX"/>
        </w:rPr>
        <w:t xml:space="preserve"> et al.</w:t>
      </w:r>
      <w:r w:rsidRPr="00EA59EE">
        <w:rPr>
          <w:bCs/>
          <w:lang w:val="es-MX"/>
        </w:rPr>
        <w:t>, 2005; Raisinghani</w:t>
      </w:r>
      <w:r w:rsidR="008C3A89">
        <w:rPr>
          <w:bCs/>
          <w:lang w:val="es-MX"/>
        </w:rPr>
        <w:t>, &amp;</w:t>
      </w:r>
      <w:r w:rsidRPr="00EA59EE">
        <w:rPr>
          <w:bCs/>
          <w:lang w:val="es-MX"/>
        </w:rPr>
        <w:t xml:space="preserve"> Faingold, 2005).</w:t>
      </w:r>
      <w:bookmarkEnd w:id="5"/>
      <w:r w:rsidRPr="00EA59EE">
        <w:rPr>
          <w:bCs/>
          <w:lang w:val="es-MX"/>
        </w:rPr>
        <w:t xml:space="preserve"> En las terminaciones sinápticas de este núcleo, el PTZ se une al sitio de unión de la picrotoxina del complejo receptor GABA, alterando la actividad del canal de cloruro acoplado al sitio GABA / Benzodiacepina (Manjarrez</w:t>
      </w:r>
      <w:r w:rsidR="008C3A89">
        <w:rPr>
          <w:bCs/>
          <w:lang w:val="es-MX"/>
        </w:rPr>
        <w:t xml:space="preserve"> et al.</w:t>
      </w:r>
      <w:r w:rsidRPr="00EA59EE">
        <w:rPr>
          <w:bCs/>
          <w:lang w:val="es-MX"/>
        </w:rPr>
        <w:t>, 2001) bloqueando la inhibición postsináptica mediada por el GABA (Corda</w:t>
      </w:r>
      <w:r w:rsidR="008C3A89">
        <w:rPr>
          <w:bCs/>
          <w:lang w:val="es-MX"/>
        </w:rPr>
        <w:t xml:space="preserve"> et al.</w:t>
      </w:r>
      <w:r w:rsidRPr="00EA59EE">
        <w:rPr>
          <w:bCs/>
          <w:lang w:val="es-MX"/>
        </w:rPr>
        <w:t>, 1990). Por lo anterior, se considera que las convulsiones provocadas por el PTZ no están mediadas directamente por los receptores de las benzodiacepinas, sino que dependen de otros mecanismos (MacDonald</w:t>
      </w:r>
      <w:r w:rsidR="008C3A89">
        <w:rPr>
          <w:bCs/>
          <w:lang w:val="es-MX"/>
        </w:rPr>
        <w:t>, &amp;</w:t>
      </w:r>
      <w:r w:rsidRPr="00EA59EE">
        <w:rPr>
          <w:bCs/>
          <w:lang w:val="es-MX"/>
        </w:rPr>
        <w:t xml:space="preserve"> Barker, 1977; Huang et al., 2001). </w:t>
      </w:r>
    </w:p>
    <w:p w14:paraId="652E2EC5" w14:textId="133E26CE" w:rsidR="00EA59EE" w:rsidRPr="00EA59EE" w:rsidRDefault="00EA59EE" w:rsidP="00EA59EE">
      <w:pPr>
        <w:pStyle w:val="Prrafocomn"/>
        <w:rPr>
          <w:bCs/>
          <w:lang w:val="es-MX"/>
        </w:rPr>
      </w:pPr>
      <w:r w:rsidRPr="00EA59EE">
        <w:rPr>
          <w:bCs/>
          <w:lang w:val="es-MX"/>
        </w:rPr>
        <w:t>La administración de PTZ redujo significativamente la cantidad de sueño NMOR y MOR. La inhibición de ambos tipos de sueño se mantuvo durante un periodo de tiempo relativamente largo. No obstante, durante el tercer día de registro, la cantidad de sueño regresó a los niveles basales, hallazgos que concuerdan que los reportados previamente (Mexicano</w:t>
      </w:r>
      <w:r w:rsidR="008C3A89">
        <w:rPr>
          <w:bCs/>
          <w:lang w:val="es-MX"/>
        </w:rPr>
        <w:t xml:space="preserve"> et al.</w:t>
      </w:r>
      <w:r w:rsidRPr="00EA59EE">
        <w:rPr>
          <w:bCs/>
          <w:lang w:val="es-MX"/>
        </w:rPr>
        <w:t>, 2005).</w:t>
      </w:r>
    </w:p>
    <w:p w14:paraId="37C53553" w14:textId="2361190D" w:rsidR="00EA59EE" w:rsidRPr="00EA59EE" w:rsidRDefault="00EA59EE" w:rsidP="00EA59EE">
      <w:pPr>
        <w:pStyle w:val="Prrafocomn"/>
        <w:rPr>
          <w:bCs/>
          <w:lang w:val="es-MX"/>
        </w:rPr>
      </w:pPr>
      <w:r w:rsidRPr="00EA59EE">
        <w:rPr>
          <w:bCs/>
          <w:lang w:val="es-MX"/>
        </w:rPr>
        <w:t>El insomnio provocado por la epilepsia inducida por PTZ, pudiera estar relacionado con la activación de los núcleos de la formación reticular (Franco-Pérez</w:t>
      </w:r>
      <w:r w:rsidR="008C3A89">
        <w:rPr>
          <w:bCs/>
          <w:lang w:val="es-MX"/>
        </w:rPr>
        <w:t xml:space="preserve"> et al.</w:t>
      </w:r>
      <w:r w:rsidRPr="00EA59EE">
        <w:rPr>
          <w:bCs/>
          <w:lang w:val="es-MX"/>
        </w:rPr>
        <w:t>, 2015; Hantraye et al., 1987; Korpi</w:t>
      </w:r>
      <w:r w:rsidR="008C3A89">
        <w:rPr>
          <w:bCs/>
          <w:lang w:val="es-MX"/>
        </w:rPr>
        <w:t xml:space="preserve"> et al.</w:t>
      </w:r>
      <w:r w:rsidRPr="00EA59EE">
        <w:rPr>
          <w:bCs/>
          <w:lang w:val="es-MX"/>
        </w:rPr>
        <w:t>, 2002) que forman parte del sistema que mantiene despiertos a los organismos, consecuentemente al ser estimulados químicamente, inducen un incremento significativo de la vigilia. El PTZ reduce la conductancia de los canales de cloruro lo que facilita la hiperexcitación neuronal que provocaría diferentes niveles de activación motora y la instalación del insomnio (Hansen</w:t>
      </w:r>
      <w:r w:rsidR="008C3A89">
        <w:rPr>
          <w:bCs/>
          <w:lang w:val="es-MX"/>
        </w:rPr>
        <w:t xml:space="preserve"> </w:t>
      </w:r>
      <w:r w:rsidR="008C3A89">
        <w:rPr>
          <w:bCs/>
          <w:lang w:val="es-MX"/>
        </w:rPr>
        <w:lastRenderedPageBreak/>
        <w:t>et al.</w:t>
      </w:r>
      <w:r w:rsidRPr="00EA59EE">
        <w:rPr>
          <w:bCs/>
          <w:lang w:val="es-MX"/>
        </w:rPr>
        <w:t>, 2004; Pellmar</w:t>
      </w:r>
      <w:r w:rsidR="008C3A89">
        <w:rPr>
          <w:bCs/>
          <w:lang w:val="es-MX"/>
        </w:rPr>
        <w:t>, &amp;</w:t>
      </w:r>
      <w:r w:rsidRPr="00EA59EE">
        <w:rPr>
          <w:bCs/>
          <w:lang w:val="es-MX"/>
        </w:rPr>
        <w:t xml:space="preserve"> Wilson, 1977)</w:t>
      </w:r>
      <w:r w:rsidRPr="00EA59EE">
        <w:rPr>
          <w:b/>
          <w:bCs/>
          <w:lang w:val="es-MX"/>
        </w:rPr>
        <w:t>.</w:t>
      </w:r>
      <w:r w:rsidRPr="00EA59EE">
        <w:rPr>
          <w:bCs/>
          <w:lang w:val="es-MX"/>
        </w:rPr>
        <w:t xml:space="preserve"> Sin embargo, el mecanismo por el cual esta droga provoca su acción, aún no se conoce con precisión. </w:t>
      </w:r>
    </w:p>
    <w:p w14:paraId="239B915D" w14:textId="1D6DA022" w:rsidR="00EA59EE" w:rsidRPr="00EA59EE" w:rsidRDefault="00EA59EE" w:rsidP="00EA59EE">
      <w:pPr>
        <w:pStyle w:val="Prrafocomn"/>
        <w:rPr>
          <w:bCs/>
          <w:lang w:val="es-MX"/>
        </w:rPr>
      </w:pPr>
      <w:r w:rsidRPr="00EA59EE">
        <w:rPr>
          <w:bCs/>
          <w:lang w:val="es-MX"/>
        </w:rPr>
        <w:t>En este estudio, se puso en evidencia una relación entre la dosis de GBP y la reducción de la gravedad de las alteraciones de la conducta motora y del sueño. Estos hallazgos sugieren un efecto inhibitorio ejercido por la GBP sobre la actividad epiléptica inducida por PTZ, además de favorecer los mecanismos inductores y de mantenimiento del sueño. Este efecto, puede deberse al incremento en GABA extracelular y su relación con la activación de canales de cloruro que inducen inhibición postsináptica por hiperpolarización. También, con el bloqueo en el transporte de Ca ++ al interior neuronal, lo que contribuye a una reducción de la excitabilidad neuronal (Offord</w:t>
      </w:r>
      <w:r w:rsidR="008C3A89">
        <w:rPr>
          <w:bCs/>
          <w:lang w:val="es-MX"/>
        </w:rPr>
        <w:t>, &amp;</w:t>
      </w:r>
      <w:r w:rsidRPr="00EA59EE">
        <w:rPr>
          <w:bCs/>
          <w:lang w:val="es-MX"/>
        </w:rPr>
        <w:t xml:space="preserve"> Isom, 2016; Rose</w:t>
      </w:r>
      <w:r w:rsidR="008C3A89">
        <w:rPr>
          <w:bCs/>
          <w:lang w:val="es-MX"/>
        </w:rPr>
        <w:t>, &amp;</w:t>
      </w:r>
      <w:r w:rsidRPr="00EA59EE">
        <w:rPr>
          <w:bCs/>
          <w:lang w:val="es-MX"/>
        </w:rPr>
        <w:t xml:space="preserve"> Kam, 2002; Sills, 2006). La inhibición de la epilepsia por la administración de GBP podría deberse a su acción sobre el núcleo </w:t>
      </w:r>
      <w:r w:rsidRPr="00EA59EE">
        <w:rPr>
          <w:bCs/>
          <w:i/>
          <w:iCs/>
          <w:lang w:val="es-MX"/>
        </w:rPr>
        <w:t>Pontis oralis</w:t>
      </w:r>
      <w:r w:rsidRPr="00EA59EE">
        <w:rPr>
          <w:bCs/>
          <w:lang w:val="es-MX"/>
        </w:rPr>
        <w:t>, lo que facilitaría los mecanismos desencadenantes del sueño en concordancia con lo descrito por otros autores (Cope et al., 2009; Santín, 2013; Valdizán et al., 1999).</w:t>
      </w:r>
    </w:p>
    <w:p w14:paraId="222458F4" w14:textId="77777777" w:rsidR="00EA59EE" w:rsidRPr="00EA59EE" w:rsidRDefault="00EA59EE" w:rsidP="00EA59EE">
      <w:pPr>
        <w:pStyle w:val="Prrafocomn"/>
        <w:rPr>
          <w:bCs/>
          <w:lang w:val="es-MX"/>
        </w:rPr>
      </w:pPr>
      <w:r w:rsidRPr="00EA59EE">
        <w:rPr>
          <w:bCs/>
          <w:lang w:val="es-MX"/>
        </w:rPr>
        <w:t>Los resultados obtenidos en este trabajo experimental, pudieran ser un hallazgo importante para las terapias del sueño en pacientes que padecen epilepsia nocturna. En este contexto, resultados alentadores se han obtenido de un estudio de caso (Ayala-Guerrero, 2011), donde el paciente epiléptico después de la ingestión de GBP mostró una mejoría significativa ya que la eficiencia del sueño se incrementó de 40.76% a 86.50%, concomitantemente la fragmentación del sueño se redujo de 44 a 15 despertares durante toda la noche del registro. Además, la cantidad de fases de sueño MOR aumentó de 1 a 5 y el porcentaje de esta fase en relación con el tiempo total de sueño se incrementó de 6.41% a 27.50%. En conclusión, la GBP reduce significativamente la intensidad de las crisis epilépticas y favorece la inducción y mantenimiento del sueño. En estudios futuros analizaremos el efecto sobre el sueño de la administración de únicamente GBP para corroborar en nuestro modelo experimental sus propiedades hipnóticas.</w:t>
      </w:r>
    </w:p>
    <w:p w14:paraId="37D5A80A" w14:textId="5A612FF9" w:rsidR="000B6BFA" w:rsidRPr="00EA59EE" w:rsidRDefault="00EA59EE" w:rsidP="00EA59EE">
      <w:pPr>
        <w:pStyle w:val="Prrafocomn"/>
        <w:rPr>
          <w:bCs/>
          <w:lang w:val="es-AR"/>
        </w:rPr>
      </w:pPr>
      <w:r w:rsidRPr="00EA59EE">
        <w:rPr>
          <w:bCs/>
          <w:lang w:val="es-AR"/>
        </w:rPr>
        <w:t xml:space="preserve">Existe abundante literatura acerca de los efectos cognitivos y conductuales que originan las </w:t>
      </w:r>
      <w:r w:rsidR="008C3A89" w:rsidRPr="00EA59EE">
        <w:rPr>
          <w:bCs/>
          <w:lang w:val="es-AR"/>
        </w:rPr>
        <w:t>alteraciones</w:t>
      </w:r>
      <w:r w:rsidRPr="00EA59EE">
        <w:rPr>
          <w:bCs/>
          <w:lang w:val="es-AR"/>
        </w:rPr>
        <w:t xml:space="preserve"> del sueño (</w:t>
      </w:r>
      <w:proofErr w:type="spellStart"/>
      <w:r w:rsidRPr="00EA59EE">
        <w:rPr>
          <w:bCs/>
          <w:lang w:val="es-AR"/>
        </w:rPr>
        <w:t>Kryger</w:t>
      </w:r>
      <w:proofErr w:type="spellEnd"/>
      <w:r w:rsidRPr="00EA59EE">
        <w:rPr>
          <w:bCs/>
          <w:lang w:val="es-AR"/>
        </w:rPr>
        <w:t xml:space="preserve"> et al., 2017), por el cual, sería recomendable la utilización de fármacos que además de inhibir las crisis convulsivas inhiban o reduzcan dichas alteraciones.</w:t>
      </w:r>
    </w:p>
    <w:p w14:paraId="01C54B13" w14:textId="77777777" w:rsidR="003A1180" w:rsidRPr="00EA59EE" w:rsidRDefault="003A1180" w:rsidP="000B6BFA">
      <w:pPr>
        <w:pStyle w:val="Prrafocomn"/>
        <w:ind w:firstLine="0"/>
        <w:rPr>
          <w:lang w:val="es-AR"/>
        </w:rPr>
      </w:pPr>
      <w:r w:rsidRPr="00EA59EE">
        <w:rPr>
          <w:lang w:val="es-AR" w:eastAsia="en-US"/>
        </w:rPr>
        <w:br w:type="page"/>
      </w:r>
    </w:p>
    <w:p w14:paraId="66876945" w14:textId="5B414171" w:rsidR="003A1180" w:rsidRPr="00BC764F" w:rsidRDefault="00BC764F" w:rsidP="00F42476">
      <w:pPr>
        <w:pStyle w:val="Ttulosinternos"/>
        <w:rPr>
          <w:lang w:val="es-AR"/>
        </w:rPr>
      </w:pPr>
      <w:r w:rsidRPr="00BC764F">
        <w:rPr>
          <w:lang w:val="es-AR"/>
        </w:rPr>
        <w:lastRenderedPageBreak/>
        <w:t>Referencias</w:t>
      </w:r>
    </w:p>
    <w:p w14:paraId="18122C04" w14:textId="77777777" w:rsidR="00BC764F" w:rsidRPr="00BC764F" w:rsidRDefault="00BC764F" w:rsidP="00BC764F">
      <w:pPr>
        <w:pStyle w:val="Referencias"/>
        <w:spacing w:line="360" w:lineRule="auto"/>
        <w:rPr>
          <w:highlight w:val="white"/>
        </w:rPr>
      </w:pPr>
      <w:r w:rsidRPr="00BC764F">
        <w:rPr>
          <w:highlight w:val="white"/>
          <w:lang w:val="es-MX"/>
        </w:rPr>
        <w:t xml:space="preserve">Avila-Luna, A., Bueno-Nava, A., Cortes-Altamirano, J. L., Reyes-Long, S., Bandala, C., &amp; Alfaro-Rodríguez, A. (2019). Effect of postictal process in motor deficit and monoaminergic concentration in hippocampus, cerebellum, and cortex. </w:t>
      </w:r>
      <w:proofErr w:type="spellStart"/>
      <w:r w:rsidRPr="00BC764F">
        <w:rPr>
          <w:i/>
          <w:iCs/>
          <w:highlight w:val="white"/>
        </w:rPr>
        <w:t>Salud</w:t>
      </w:r>
      <w:proofErr w:type="spellEnd"/>
      <w:r w:rsidRPr="00BC764F">
        <w:rPr>
          <w:i/>
          <w:iCs/>
          <w:highlight w:val="white"/>
        </w:rPr>
        <w:t xml:space="preserve"> Mental</w:t>
      </w:r>
      <w:r w:rsidRPr="00BC764F">
        <w:rPr>
          <w:highlight w:val="white"/>
        </w:rPr>
        <w:t xml:space="preserve">, </w:t>
      </w:r>
      <w:r w:rsidRPr="00BC764F">
        <w:rPr>
          <w:i/>
          <w:iCs/>
          <w:highlight w:val="white"/>
        </w:rPr>
        <w:t>42</w:t>
      </w:r>
      <w:r w:rsidRPr="00BC764F">
        <w:rPr>
          <w:highlight w:val="white"/>
        </w:rPr>
        <w:t xml:space="preserve">(5), 251-256. </w:t>
      </w:r>
      <w:hyperlink r:id="rId22" w:history="1">
        <w:r w:rsidRPr="00BC764F">
          <w:rPr>
            <w:rStyle w:val="Hipervnculo"/>
            <w:highlight w:val="white"/>
          </w:rPr>
          <w:t>https://doi.org/10.17711/sm.0185-3325.2019.032</w:t>
        </w:r>
      </w:hyperlink>
      <w:r w:rsidRPr="00BC764F">
        <w:rPr>
          <w:highlight w:val="white"/>
        </w:rPr>
        <w:t xml:space="preserve"> </w:t>
      </w:r>
    </w:p>
    <w:p w14:paraId="0C2F604F" w14:textId="77777777" w:rsidR="00BC764F" w:rsidRPr="00BC764F" w:rsidRDefault="00BC764F" w:rsidP="00BC764F">
      <w:pPr>
        <w:pStyle w:val="Referencias"/>
        <w:spacing w:line="360" w:lineRule="auto"/>
        <w:rPr>
          <w:highlight w:val="white"/>
        </w:rPr>
      </w:pPr>
      <w:proofErr w:type="spellStart"/>
      <w:r w:rsidRPr="00BC764F">
        <w:rPr>
          <w:highlight w:val="white"/>
        </w:rPr>
        <w:t>Akula</w:t>
      </w:r>
      <w:proofErr w:type="spellEnd"/>
      <w:r w:rsidRPr="00BC764F">
        <w:rPr>
          <w:highlight w:val="white"/>
        </w:rPr>
        <w:t xml:space="preserve">, K. K, </w:t>
      </w:r>
      <w:proofErr w:type="spellStart"/>
      <w:r w:rsidRPr="00BC764F">
        <w:rPr>
          <w:highlight w:val="white"/>
        </w:rPr>
        <w:t>Dhir</w:t>
      </w:r>
      <w:proofErr w:type="spellEnd"/>
      <w:r w:rsidRPr="00BC764F">
        <w:rPr>
          <w:highlight w:val="white"/>
        </w:rPr>
        <w:t xml:space="preserve">, A., &amp; Kulkarni, S. K. (2009). Effect of various antiepileptic drugs in a pentylenetetrazol‐induced seizure model in mice. </w:t>
      </w:r>
      <w:r w:rsidRPr="00BC764F">
        <w:rPr>
          <w:i/>
          <w:iCs/>
          <w:highlight w:val="white"/>
        </w:rPr>
        <w:t>Methods and Findings in Experimental and Clinical Pharmacology</w:t>
      </w:r>
      <w:r w:rsidRPr="00BC764F">
        <w:rPr>
          <w:highlight w:val="white"/>
        </w:rPr>
        <w:t xml:space="preserve">, </w:t>
      </w:r>
      <w:r w:rsidRPr="00BC764F">
        <w:rPr>
          <w:i/>
          <w:iCs/>
          <w:highlight w:val="white"/>
        </w:rPr>
        <w:t>31</w:t>
      </w:r>
      <w:r w:rsidRPr="00BC764F">
        <w:rPr>
          <w:highlight w:val="white"/>
        </w:rPr>
        <w:t xml:space="preserve">(7), 423-432. </w:t>
      </w:r>
      <w:hyperlink r:id="rId23" w:history="1">
        <w:r w:rsidRPr="00BC764F">
          <w:rPr>
            <w:rStyle w:val="Hipervnculo"/>
            <w:highlight w:val="white"/>
          </w:rPr>
          <w:t>https://doi.org/10.1358/mf.2009.31.7.1393610</w:t>
        </w:r>
      </w:hyperlink>
      <w:r w:rsidRPr="00BC764F">
        <w:rPr>
          <w:highlight w:val="white"/>
        </w:rPr>
        <w:t xml:space="preserve"> </w:t>
      </w:r>
    </w:p>
    <w:p w14:paraId="108E7BC9" w14:textId="77777777" w:rsidR="00BC764F" w:rsidRPr="00BC764F" w:rsidRDefault="00BC764F" w:rsidP="00BC764F">
      <w:pPr>
        <w:pStyle w:val="Referencias"/>
        <w:spacing w:line="360" w:lineRule="auto"/>
        <w:rPr>
          <w:highlight w:val="white"/>
        </w:rPr>
      </w:pPr>
      <w:r w:rsidRPr="00BC764F">
        <w:rPr>
          <w:highlight w:val="white"/>
        </w:rPr>
        <w:t xml:space="preserve">Ayala-Guerrero, F. (2011). Effect of gabapentin on sleep patterns in a patient with nocturnal epilepsy. </w:t>
      </w:r>
      <w:r w:rsidRPr="00BC764F">
        <w:rPr>
          <w:i/>
          <w:highlight w:val="white"/>
        </w:rPr>
        <w:t>Sleep Medicine</w:t>
      </w:r>
      <w:r w:rsidRPr="00BC764F">
        <w:rPr>
          <w:highlight w:val="white"/>
        </w:rPr>
        <w:t xml:space="preserve">, </w:t>
      </w:r>
      <w:r w:rsidRPr="00BC764F">
        <w:rPr>
          <w:i/>
          <w:highlight w:val="white"/>
        </w:rPr>
        <w:t>12</w:t>
      </w:r>
      <w:r w:rsidRPr="00BC764F">
        <w:rPr>
          <w:highlight w:val="white"/>
        </w:rPr>
        <w:t>(1), S1–S130.</w:t>
      </w:r>
    </w:p>
    <w:p w14:paraId="452F93A1" w14:textId="77777777" w:rsidR="00BC764F" w:rsidRPr="00BC764F" w:rsidRDefault="00BC764F" w:rsidP="00BC764F">
      <w:pPr>
        <w:pStyle w:val="Referencias"/>
        <w:spacing w:line="360" w:lineRule="auto"/>
        <w:rPr>
          <w:highlight w:val="white"/>
        </w:rPr>
      </w:pPr>
      <w:r w:rsidRPr="00BC764F">
        <w:rPr>
          <w:highlight w:val="white"/>
        </w:rPr>
        <w:t>Ayala-Guerrero, F., Alfaro-Rodríguez, A., Martínez, C., Campos-</w:t>
      </w:r>
      <w:proofErr w:type="spellStart"/>
      <w:r w:rsidRPr="00BC764F">
        <w:rPr>
          <w:highlight w:val="white"/>
        </w:rPr>
        <w:t>Sepúlveda</w:t>
      </w:r>
      <w:proofErr w:type="spellEnd"/>
      <w:r w:rsidRPr="00BC764F">
        <w:rPr>
          <w:highlight w:val="white"/>
        </w:rPr>
        <w:t xml:space="preserve">, E., Vargas, L., &amp; </w:t>
      </w:r>
      <w:proofErr w:type="spellStart"/>
      <w:r w:rsidRPr="00BC764F">
        <w:rPr>
          <w:highlight w:val="white"/>
        </w:rPr>
        <w:t>Mexicano</w:t>
      </w:r>
      <w:proofErr w:type="spellEnd"/>
      <w:r w:rsidRPr="00BC764F">
        <w:rPr>
          <w:highlight w:val="white"/>
        </w:rPr>
        <w:t xml:space="preserve">, G. (2002). Effect of kainic acid-induced seizures on sleep patterns. </w:t>
      </w:r>
      <w:r w:rsidRPr="00BC764F">
        <w:rPr>
          <w:i/>
          <w:highlight w:val="white"/>
        </w:rPr>
        <w:t>Proceedings of the Western Pharmacology Society</w:t>
      </w:r>
      <w:r w:rsidRPr="00BC764F">
        <w:rPr>
          <w:highlight w:val="white"/>
        </w:rPr>
        <w:t xml:space="preserve">, </w:t>
      </w:r>
      <w:r w:rsidRPr="00BC764F">
        <w:rPr>
          <w:i/>
          <w:highlight w:val="white"/>
        </w:rPr>
        <w:t>45</w:t>
      </w:r>
      <w:r w:rsidRPr="00BC764F">
        <w:rPr>
          <w:highlight w:val="white"/>
        </w:rPr>
        <w:t>, 178-180.</w:t>
      </w:r>
    </w:p>
    <w:p w14:paraId="4D3F5783" w14:textId="77777777" w:rsidR="00BC764F" w:rsidRPr="00BC764F" w:rsidRDefault="00BC764F" w:rsidP="00BC764F">
      <w:pPr>
        <w:pStyle w:val="Referencias"/>
        <w:spacing w:line="360" w:lineRule="auto"/>
        <w:rPr>
          <w:highlight w:val="white"/>
          <w:lang w:val="es-MX"/>
        </w:rPr>
      </w:pPr>
      <w:r w:rsidRPr="00BC764F">
        <w:rPr>
          <w:highlight w:val="white"/>
        </w:rPr>
        <w:t xml:space="preserve">Ayala-Guerrero, F., &amp; </w:t>
      </w:r>
      <w:proofErr w:type="spellStart"/>
      <w:r w:rsidRPr="00BC764F">
        <w:rPr>
          <w:highlight w:val="white"/>
        </w:rPr>
        <w:t>Mexicano</w:t>
      </w:r>
      <w:proofErr w:type="spellEnd"/>
      <w:r w:rsidRPr="00BC764F">
        <w:rPr>
          <w:highlight w:val="white"/>
        </w:rPr>
        <w:t xml:space="preserve">, G. (2017). Effect of Generalized Seizures on Sleep Patterns [An Animal Model]. </w:t>
      </w:r>
      <w:r w:rsidRPr="00BC764F">
        <w:rPr>
          <w:i/>
          <w:highlight w:val="white"/>
          <w:lang w:val="es-MX"/>
        </w:rPr>
        <w:t>SciTz Neurology and Neurosciences</w:t>
      </w:r>
      <w:r w:rsidRPr="00BC764F">
        <w:rPr>
          <w:highlight w:val="white"/>
          <w:lang w:val="es-MX"/>
        </w:rPr>
        <w:t xml:space="preserve">, </w:t>
      </w:r>
      <w:r w:rsidRPr="00BC764F">
        <w:rPr>
          <w:i/>
          <w:highlight w:val="white"/>
          <w:lang w:val="es-MX"/>
        </w:rPr>
        <w:t>2</w:t>
      </w:r>
      <w:r w:rsidRPr="00BC764F">
        <w:rPr>
          <w:highlight w:val="white"/>
          <w:lang w:val="es-MX"/>
        </w:rPr>
        <w:t>(1), 1005.</w:t>
      </w:r>
    </w:p>
    <w:p w14:paraId="120D1622" w14:textId="77777777" w:rsidR="00BC764F" w:rsidRPr="00BC764F" w:rsidRDefault="00BC764F" w:rsidP="00BC764F">
      <w:pPr>
        <w:pStyle w:val="Referencias"/>
        <w:spacing w:line="360" w:lineRule="auto"/>
        <w:rPr>
          <w:highlight w:val="white"/>
          <w:lang w:val="es-AR"/>
        </w:rPr>
      </w:pPr>
      <w:r w:rsidRPr="00BC764F">
        <w:rPr>
          <w:highlight w:val="white"/>
          <w:lang w:val="es-MX"/>
        </w:rPr>
        <w:t xml:space="preserve">Ayala-Guerrero, F., Mexicano, G., Gutiérrez-Chávez, C.A., Lazo, L.A., &amp; Mateos, E.L. (2019). </w:t>
      </w:r>
      <w:r w:rsidRPr="00BC764F">
        <w:rPr>
          <w:highlight w:val="white"/>
        </w:rPr>
        <w:t xml:space="preserve">Effect of gabapentin on sleep patterns disturbed by epilepsy. </w:t>
      </w:r>
      <w:r w:rsidRPr="00BC764F">
        <w:rPr>
          <w:i/>
          <w:iCs/>
          <w:highlight w:val="white"/>
        </w:rPr>
        <w:t>Epilepsy &amp; Behavior</w:t>
      </w:r>
      <w:r w:rsidRPr="00BC764F">
        <w:rPr>
          <w:highlight w:val="white"/>
        </w:rPr>
        <w:t xml:space="preserve">, 92, 290-296. </w:t>
      </w:r>
      <w:hyperlink r:id="rId24" w:history="1">
        <w:r w:rsidRPr="00BC764F">
          <w:rPr>
            <w:rStyle w:val="Hipervnculo"/>
            <w:highlight w:val="white"/>
            <w:lang w:val="es-AR"/>
          </w:rPr>
          <w:t>https://doi.org/10.1016/j.yebeh.2018.12.012</w:t>
        </w:r>
      </w:hyperlink>
      <w:r w:rsidRPr="00BC764F">
        <w:rPr>
          <w:highlight w:val="white"/>
          <w:lang w:val="es-AR"/>
        </w:rPr>
        <w:t xml:space="preserve">  </w:t>
      </w:r>
    </w:p>
    <w:p w14:paraId="1B16CC27" w14:textId="12DD7470" w:rsidR="00BC764F" w:rsidRPr="00BC764F" w:rsidRDefault="00BC764F" w:rsidP="00BC764F">
      <w:pPr>
        <w:pStyle w:val="Referencias"/>
        <w:spacing w:line="360" w:lineRule="auto"/>
        <w:rPr>
          <w:highlight w:val="white"/>
        </w:rPr>
      </w:pPr>
      <w:r w:rsidRPr="00BC764F">
        <w:rPr>
          <w:highlight w:val="white"/>
          <w:lang w:val="es-MX"/>
        </w:rPr>
        <w:t>Ayala-Guerrero, F., Mexicano, G.</w:t>
      </w:r>
      <w:r w:rsidR="008C3A89">
        <w:rPr>
          <w:highlight w:val="white"/>
          <w:lang w:val="es-MX"/>
        </w:rPr>
        <w:t>,</w:t>
      </w:r>
      <w:r w:rsidRPr="00BC764F">
        <w:rPr>
          <w:highlight w:val="white"/>
          <w:lang w:val="es-MX"/>
        </w:rPr>
        <w:t xml:space="preserve"> &amp; Reyes, A. (2010). Organización del sueño. En F. Ayala-Guerrero, F.</w:t>
      </w:r>
      <w:r w:rsidR="008C3A89">
        <w:rPr>
          <w:highlight w:val="white"/>
          <w:lang w:val="es-MX"/>
        </w:rPr>
        <w:t>, &amp;</w:t>
      </w:r>
      <w:r w:rsidRPr="00BC764F">
        <w:rPr>
          <w:highlight w:val="white"/>
          <w:lang w:val="es-MX"/>
        </w:rPr>
        <w:t xml:space="preserve"> G. Mexicano (Eds), </w:t>
      </w:r>
      <w:r w:rsidRPr="00BC764F">
        <w:rPr>
          <w:i/>
          <w:iCs/>
          <w:highlight w:val="white"/>
          <w:lang w:val="es-MX"/>
        </w:rPr>
        <w:t>Efecto del dolor sobre el sueño</w:t>
      </w:r>
      <w:r w:rsidRPr="00BC764F">
        <w:rPr>
          <w:highlight w:val="white"/>
          <w:lang w:val="es-MX"/>
        </w:rPr>
        <w:t xml:space="preserve"> (pp. 1-26). </w:t>
      </w:r>
      <w:proofErr w:type="spellStart"/>
      <w:r w:rsidRPr="00BC764F">
        <w:rPr>
          <w:highlight w:val="white"/>
        </w:rPr>
        <w:t>Mente</w:t>
      </w:r>
      <w:proofErr w:type="spellEnd"/>
      <w:r w:rsidRPr="00BC764F">
        <w:rPr>
          <w:highlight w:val="white"/>
        </w:rPr>
        <w:t xml:space="preserve"> </w:t>
      </w:r>
      <w:proofErr w:type="spellStart"/>
      <w:r w:rsidRPr="00BC764F">
        <w:rPr>
          <w:highlight w:val="white"/>
        </w:rPr>
        <w:t>Abierta</w:t>
      </w:r>
      <w:proofErr w:type="spellEnd"/>
      <w:r w:rsidRPr="00BC764F">
        <w:rPr>
          <w:highlight w:val="white"/>
        </w:rPr>
        <w:t>.</w:t>
      </w:r>
    </w:p>
    <w:p w14:paraId="54A2B7AD" w14:textId="77777777" w:rsidR="00BC764F" w:rsidRPr="00BC764F" w:rsidRDefault="00BC764F" w:rsidP="00BC764F">
      <w:pPr>
        <w:pStyle w:val="Referencias"/>
        <w:spacing w:line="360" w:lineRule="auto"/>
        <w:rPr>
          <w:highlight w:val="white"/>
          <w:lang w:val="pt-BR"/>
        </w:rPr>
      </w:pPr>
      <w:r w:rsidRPr="00BC764F">
        <w:rPr>
          <w:highlight w:val="white"/>
        </w:rPr>
        <w:t xml:space="preserve">Barreto, S. J. R., Fernandes, F. R. M., &amp; Sakamoto, A. C. (2002). Correlation of sleep macrostructure parameters and idiopathic epilepsies. </w:t>
      </w:r>
      <w:r w:rsidRPr="00BC764F">
        <w:rPr>
          <w:i/>
          <w:highlight w:val="white"/>
          <w:lang w:val="pt-BR"/>
        </w:rPr>
        <w:t xml:space="preserve">Arquivos de </w:t>
      </w:r>
      <w:proofErr w:type="spellStart"/>
      <w:r w:rsidRPr="00BC764F">
        <w:rPr>
          <w:i/>
          <w:highlight w:val="white"/>
          <w:lang w:val="pt-BR"/>
        </w:rPr>
        <w:t>neuro-psiquiatra</w:t>
      </w:r>
      <w:proofErr w:type="spellEnd"/>
      <w:r w:rsidRPr="00BC764F">
        <w:rPr>
          <w:highlight w:val="white"/>
          <w:lang w:val="pt-BR"/>
        </w:rPr>
        <w:t xml:space="preserve">, </w:t>
      </w:r>
      <w:r w:rsidRPr="00BC764F">
        <w:rPr>
          <w:i/>
          <w:highlight w:val="white"/>
          <w:lang w:val="pt-BR"/>
        </w:rPr>
        <w:t>60</w:t>
      </w:r>
      <w:r w:rsidRPr="00BC764F">
        <w:rPr>
          <w:highlight w:val="white"/>
          <w:lang w:val="pt-BR"/>
        </w:rPr>
        <w:t xml:space="preserve">(2-B), 353, 357. </w:t>
      </w:r>
      <w:r w:rsidR="007C07C7">
        <w:fldChar w:fldCharType="begin"/>
      </w:r>
      <w:r w:rsidR="007C07C7" w:rsidRPr="00971421">
        <w:rPr>
          <w:lang w:val="pt-BR"/>
        </w:rPr>
        <w:instrText xml:space="preserve"> HYPERLINK "https://doi.org/10.1590/S0004-282X2002000300002" </w:instrText>
      </w:r>
      <w:r w:rsidR="007C07C7">
        <w:fldChar w:fldCharType="separate"/>
      </w:r>
      <w:r w:rsidRPr="00BC764F">
        <w:rPr>
          <w:rStyle w:val="Hipervnculo"/>
          <w:highlight w:val="white"/>
          <w:lang w:val="pt-BR"/>
        </w:rPr>
        <w:t>https://doi.org/10.1590/S0004-282X2002000300002</w:t>
      </w:r>
      <w:r w:rsidR="007C07C7">
        <w:rPr>
          <w:rStyle w:val="Hipervnculo"/>
          <w:highlight w:val="white"/>
          <w:lang w:val="pt-BR"/>
        </w:rPr>
        <w:fldChar w:fldCharType="end"/>
      </w:r>
    </w:p>
    <w:p w14:paraId="016D5AF1" w14:textId="77777777" w:rsidR="00BC764F" w:rsidRPr="001E0A61" w:rsidRDefault="00BC764F" w:rsidP="00BC764F">
      <w:pPr>
        <w:pStyle w:val="Referencias"/>
        <w:spacing w:line="360" w:lineRule="auto"/>
        <w:rPr>
          <w:highlight w:val="white"/>
        </w:rPr>
      </w:pPr>
      <w:proofErr w:type="spellStart"/>
      <w:r w:rsidRPr="00BC764F">
        <w:rPr>
          <w:highlight w:val="white"/>
          <w:lang w:val="pt-BR"/>
        </w:rPr>
        <w:t>Carreño</w:t>
      </w:r>
      <w:proofErr w:type="spellEnd"/>
      <w:r w:rsidRPr="00BC764F">
        <w:rPr>
          <w:highlight w:val="white"/>
          <w:lang w:val="pt-BR"/>
        </w:rPr>
        <w:t xml:space="preserve">, M., &amp; Fernández, S. (2016). </w:t>
      </w:r>
      <w:r w:rsidRPr="00BC764F">
        <w:rPr>
          <w:highlight w:val="white"/>
        </w:rPr>
        <w:t xml:space="preserve">Sleep-related epilepsy. </w:t>
      </w:r>
      <w:r w:rsidRPr="00BC764F">
        <w:rPr>
          <w:i/>
          <w:iCs/>
          <w:highlight w:val="white"/>
        </w:rPr>
        <w:t>Current Treatment Options in Neurology</w:t>
      </w:r>
      <w:r w:rsidRPr="00BC764F">
        <w:rPr>
          <w:highlight w:val="white"/>
        </w:rPr>
        <w:t xml:space="preserve">, </w:t>
      </w:r>
      <w:r w:rsidRPr="00BC764F">
        <w:rPr>
          <w:i/>
          <w:iCs/>
          <w:highlight w:val="white"/>
        </w:rPr>
        <w:t>18</w:t>
      </w:r>
      <w:r w:rsidRPr="00BC764F">
        <w:rPr>
          <w:highlight w:val="white"/>
        </w:rPr>
        <w:t xml:space="preserve">, 23. </w:t>
      </w:r>
      <w:hyperlink r:id="rId25" w:history="1">
        <w:r w:rsidRPr="001E0A61">
          <w:rPr>
            <w:rStyle w:val="Hipervnculo"/>
            <w:highlight w:val="white"/>
          </w:rPr>
          <w:t>https://dx.doi.org/10.1007/s11940-016-0402-9</w:t>
        </w:r>
      </w:hyperlink>
    </w:p>
    <w:p w14:paraId="5B468306" w14:textId="77777777" w:rsidR="00BC764F" w:rsidRPr="00BC764F" w:rsidRDefault="00BC764F" w:rsidP="00BC764F">
      <w:pPr>
        <w:pStyle w:val="Referencias"/>
        <w:spacing w:line="360" w:lineRule="auto"/>
        <w:rPr>
          <w:highlight w:val="white"/>
        </w:rPr>
      </w:pPr>
      <w:r w:rsidRPr="00A15339">
        <w:rPr>
          <w:highlight w:val="white"/>
        </w:rPr>
        <w:t xml:space="preserve">Cope, D. W., Di Giovanni, G., </w:t>
      </w:r>
      <w:proofErr w:type="spellStart"/>
      <w:r w:rsidRPr="00A15339">
        <w:rPr>
          <w:highlight w:val="white"/>
        </w:rPr>
        <w:t>Fyson</w:t>
      </w:r>
      <w:proofErr w:type="spellEnd"/>
      <w:r w:rsidRPr="00A15339">
        <w:rPr>
          <w:highlight w:val="white"/>
        </w:rPr>
        <w:t xml:space="preserve">, S. J., </w:t>
      </w:r>
      <w:proofErr w:type="spellStart"/>
      <w:r w:rsidRPr="00A15339">
        <w:rPr>
          <w:highlight w:val="white"/>
        </w:rPr>
        <w:t>Orbán</w:t>
      </w:r>
      <w:proofErr w:type="spellEnd"/>
      <w:r w:rsidRPr="00A15339">
        <w:rPr>
          <w:highlight w:val="white"/>
        </w:rPr>
        <w:t xml:space="preserve">, G., Errington, A. C, </w:t>
      </w:r>
      <w:proofErr w:type="spellStart"/>
      <w:r w:rsidRPr="00A15339">
        <w:rPr>
          <w:highlight w:val="white"/>
        </w:rPr>
        <w:t>Lorincz</w:t>
      </w:r>
      <w:proofErr w:type="spellEnd"/>
      <w:r w:rsidRPr="00A15339">
        <w:rPr>
          <w:highlight w:val="white"/>
        </w:rPr>
        <w:t xml:space="preserve">, M. L., … </w:t>
      </w:r>
      <w:proofErr w:type="spellStart"/>
      <w:r w:rsidRPr="00BC764F">
        <w:rPr>
          <w:highlight w:val="white"/>
        </w:rPr>
        <w:t>Crunelli</w:t>
      </w:r>
      <w:proofErr w:type="spellEnd"/>
      <w:r w:rsidRPr="00BC764F">
        <w:rPr>
          <w:highlight w:val="white"/>
        </w:rPr>
        <w:t xml:space="preserve">, V. (2009). Enhanced tonic GABAA inhibition in typical absence epilepsy. </w:t>
      </w:r>
      <w:r w:rsidRPr="00BC764F">
        <w:rPr>
          <w:i/>
          <w:iCs/>
          <w:highlight w:val="white"/>
        </w:rPr>
        <w:t>Nature Medicine</w:t>
      </w:r>
      <w:r w:rsidRPr="00BC764F">
        <w:rPr>
          <w:highlight w:val="white"/>
        </w:rPr>
        <w:t xml:space="preserve">, </w:t>
      </w:r>
      <w:r w:rsidRPr="00BC764F">
        <w:rPr>
          <w:i/>
          <w:iCs/>
          <w:highlight w:val="white"/>
        </w:rPr>
        <w:t>15</w:t>
      </w:r>
      <w:r w:rsidRPr="00BC764F">
        <w:rPr>
          <w:highlight w:val="white"/>
        </w:rPr>
        <w:t xml:space="preserve">(12), 1392–1398. </w:t>
      </w:r>
      <w:hyperlink r:id="rId26" w:history="1">
        <w:r w:rsidRPr="00BC764F">
          <w:rPr>
            <w:rStyle w:val="Hipervnculo"/>
            <w:highlight w:val="white"/>
          </w:rPr>
          <w:t>https://doi.org/10.1038/nm.2058</w:t>
        </w:r>
      </w:hyperlink>
    </w:p>
    <w:p w14:paraId="3B1D7537" w14:textId="77777777" w:rsidR="00BC764F" w:rsidRPr="00BC764F" w:rsidRDefault="00BC764F" w:rsidP="00BC764F">
      <w:pPr>
        <w:pStyle w:val="Referencias"/>
        <w:spacing w:line="360" w:lineRule="auto"/>
        <w:rPr>
          <w:highlight w:val="white"/>
        </w:rPr>
      </w:pPr>
      <w:r w:rsidRPr="00BC764F">
        <w:rPr>
          <w:highlight w:val="white"/>
        </w:rPr>
        <w:t xml:space="preserve">Corda, M. G., Giorgi, O., </w:t>
      </w:r>
      <w:proofErr w:type="spellStart"/>
      <w:r w:rsidRPr="00BC764F">
        <w:rPr>
          <w:highlight w:val="white"/>
        </w:rPr>
        <w:t>Longoni</w:t>
      </w:r>
      <w:proofErr w:type="spellEnd"/>
      <w:r w:rsidRPr="00BC764F">
        <w:rPr>
          <w:highlight w:val="white"/>
        </w:rPr>
        <w:t xml:space="preserve">, B., </w:t>
      </w:r>
      <w:proofErr w:type="spellStart"/>
      <w:r w:rsidRPr="00BC764F">
        <w:rPr>
          <w:highlight w:val="white"/>
        </w:rPr>
        <w:t>Orlandi</w:t>
      </w:r>
      <w:proofErr w:type="spellEnd"/>
      <w:r w:rsidRPr="00BC764F">
        <w:rPr>
          <w:highlight w:val="white"/>
        </w:rPr>
        <w:t xml:space="preserve">, M., &amp; </w:t>
      </w:r>
      <w:proofErr w:type="spellStart"/>
      <w:r w:rsidRPr="00BC764F">
        <w:rPr>
          <w:highlight w:val="white"/>
        </w:rPr>
        <w:t>Biggio</w:t>
      </w:r>
      <w:proofErr w:type="spellEnd"/>
      <w:r w:rsidRPr="00BC764F">
        <w:rPr>
          <w:highlight w:val="white"/>
        </w:rPr>
        <w:t xml:space="preserve">, G. (1990). Decrease in the function of the gamma-aminobutyric acid-coupled chloride channel produced by </w:t>
      </w:r>
      <w:r w:rsidRPr="00BC764F">
        <w:rPr>
          <w:highlight w:val="white"/>
        </w:rPr>
        <w:lastRenderedPageBreak/>
        <w:t xml:space="preserve">the repeated administration of pentylenetetrazol to rats. </w:t>
      </w:r>
      <w:r w:rsidRPr="00BC764F">
        <w:rPr>
          <w:i/>
          <w:highlight w:val="white"/>
        </w:rPr>
        <w:t>Journal of Neurochemistry</w:t>
      </w:r>
      <w:r w:rsidRPr="00BC764F">
        <w:rPr>
          <w:highlight w:val="white"/>
        </w:rPr>
        <w:t xml:space="preserve">, </w:t>
      </w:r>
      <w:r w:rsidRPr="00BC764F">
        <w:rPr>
          <w:i/>
          <w:highlight w:val="white"/>
        </w:rPr>
        <w:t>55</w:t>
      </w:r>
      <w:r w:rsidRPr="00BC764F">
        <w:rPr>
          <w:highlight w:val="white"/>
        </w:rPr>
        <w:t xml:space="preserve">(4), 1216-1221. </w:t>
      </w:r>
      <w:hyperlink r:id="rId27" w:history="1">
        <w:r w:rsidRPr="00BC764F">
          <w:rPr>
            <w:rStyle w:val="Hipervnculo"/>
            <w:highlight w:val="white"/>
          </w:rPr>
          <w:t>https://doi.org/10.1111/j.1471-4159.1990.tb03127.x</w:t>
        </w:r>
      </w:hyperlink>
    </w:p>
    <w:p w14:paraId="7426A3D5" w14:textId="77777777" w:rsidR="00BC764F" w:rsidRPr="00BC764F" w:rsidRDefault="00BC764F" w:rsidP="00BC764F">
      <w:pPr>
        <w:pStyle w:val="Referencias"/>
        <w:spacing w:line="360" w:lineRule="auto"/>
        <w:rPr>
          <w:highlight w:val="white"/>
        </w:rPr>
      </w:pPr>
      <w:proofErr w:type="spellStart"/>
      <w:r w:rsidRPr="00BC764F">
        <w:rPr>
          <w:highlight w:val="white"/>
        </w:rPr>
        <w:t>Czuczwar</w:t>
      </w:r>
      <w:proofErr w:type="spellEnd"/>
      <w:r w:rsidRPr="00BC764F">
        <w:rPr>
          <w:highlight w:val="white"/>
        </w:rPr>
        <w:t xml:space="preserve">, S. J., &amp; </w:t>
      </w:r>
      <w:proofErr w:type="spellStart"/>
      <w:r w:rsidRPr="00BC764F">
        <w:rPr>
          <w:highlight w:val="white"/>
        </w:rPr>
        <w:t>Patsalos</w:t>
      </w:r>
      <w:proofErr w:type="spellEnd"/>
      <w:r w:rsidRPr="00BC764F">
        <w:rPr>
          <w:highlight w:val="white"/>
        </w:rPr>
        <w:t xml:space="preserve">, P. N. (2001). The new generation of GABA enhancers. </w:t>
      </w:r>
      <w:proofErr w:type="spellStart"/>
      <w:r w:rsidRPr="00BC764F">
        <w:rPr>
          <w:highlight w:val="white"/>
        </w:rPr>
        <w:t>Potencial</w:t>
      </w:r>
      <w:proofErr w:type="spellEnd"/>
      <w:r w:rsidRPr="00BC764F">
        <w:rPr>
          <w:highlight w:val="white"/>
        </w:rPr>
        <w:t xml:space="preserve"> in the treatment of epilepsy. </w:t>
      </w:r>
      <w:r w:rsidRPr="00BC764F">
        <w:rPr>
          <w:i/>
          <w:highlight w:val="white"/>
        </w:rPr>
        <w:t>CNS Drugs</w:t>
      </w:r>
      <w:r w:rsidRPr="00BC764F">
        <w:rPr>
          <w:highlight w:val="white"/>
        </w:rPr>
        <w:t xml:space="preserve">, </w:t>
      </w:r>
      <w:r w:rsidRPr="00BC764F">
        <w:rPr>
          <w:i/>
          <w:highlight w:val="white"/>
        </w:rPr>
        <w:t>15</w:t>
      </w:r>
      <w:r w:rsidRPr="00BC764F">
        <w:rPr>
          <w:highlight w:val="white"/>
        </w:rPr>
        <w:t xml:space="preserve">(5), 339-350. </w:t>
      </w:r>
      <w:hyperlink r:id="rId28" w:history="1">
        <w:r w:rsidRPr="00BC764F">
          <w:rPr>
            <w:rStyle w:val="Hipervnculo"/>
            <w:highlight w:val="white"/>
          </w:rPr>
          <w:t>https://doi.org/10.2165/00023210-200115050-00001</w:t>
        </w:r>
      </w:hyperlink>
      <w:r w:rsidRPr="00BC764F">
        <w:rPr>
          <w:highlight w:val="white"/>
        </w:rPr>
        <w:t xml:space="preserve"> </w:t>
      </w:r>
    </w:p>
    <w:p w14:paraId="09680EF4" w14:textId="77777777" w:rsidR="00BC764F" w:rsidRPr="00BC764F" w:rsidRDefault="00BC764F" w:rsidP="00BC764F">
      <w:pPr>
        <w:pStyle w:val="Referencias"/>
        <w:spacing w:line="360" w:lineRule="auto"/>
        <w:rPr>
          <w:highlight w:val="white"/>
        </w:rPr>
      </w:pPr>
      <w:r w:rsidRPr="00BC764F">
        <w:rPr>
          <w:highlight w:val="white"/>
        </w:rPr>
        <w:t xml:space="preserve">Dalby, N. O., &amp; Nielsen, E. B. (1997). Comparison of the preclinical anticonvulsant profiles of tiagabine, lamotrigine, gabapentin and vigabatrin. </w:t>
      </w:r>
      <w:r w:rsidRPr="00BC764F">
        <w:rPr>
          <w:i/>
          <w:highlight w:val="white"/>
        </w:rPr>
        <w:t>Epilepsy Research</w:t>
      </w:r>
      <w:r w:rsidRPr="00BC764F">
        <w:rPr>
          <w:highlight w:val="white"/>
        </w:rPr>
        <w:t xml:space="preserve">, </w:t>
      </w:r>
      <w:r w:rsidRPr="00BC764F">
        <w:rPr>
          <w:i/>
          <w:highlight w:val="white"/>
        </w:rPr>
        <w:t>28</w:t>
      </w:r>
      <w:r w:rsidRPr="00BC764F">
        <w:rPr>
          <w:highlight w:val="white"/>
        </w:rPr>
        <w:t xml:space="preserve">(1), 63-72. </w:t>
      </w:r>
      <w:hyperlink r:id="rId29" w:history="1">
        <w:r w:rsidRPr="00BC764F">
          <w:rPr>
            <w:rStyle w:val="Hipervnculo"/>
            <w:highlight w:val="white"/>
          </w:rPr>
          <w:t>https://doi.org/10.1016/S0920-1211(97)00031-4</w:t>
        </w:r>
      </w:hyperlink>
      <w:r w:rsidRPr="00BC764F">
        <w:rPr>
          <w:highlight w:val="white"/>
        </w:rPr>
        <w:t xml:space="preserve"> </w:t>
      </w:r>
    </w:p>
    <w:p w14:paraId="781261C2" w14:textId="77777777" w:rsidR="00BC764F" w:rsidRPr="00BC764F" w:rsidRDefault="00BC764F" w:rsidP="00BC764F">
      <w:pPr>
        <w:pStyle w:val="Referencias"/>
        <w:spacing w:line="360" w:lineRule="auto"/>
        <w:rPr>
          <w:highlight w:val="white"/>
        </w:rPr>
      </w:pPr>
      <w:proofErr w:type="spellStart"/>
      <w:r w:rsidRPr="00BC764F">
        <w:rPr>
          <w:highlight w:val="white"/>
        </w:rPr>
        <w:t>Deboer</w:t>
      </w:r>
      <w:proofErr w:type="spellEnd"/>
      <w:r w:rsidRPr="00BC764F">
        <w:rPr>
          <w:highlight w:val="white"/>
        </w:rPr>
        <w:t xml:space="preserve">, T. (2015). Behavioral and electrophysiological correlates of sleep and sleep homeostasis. In P. </w:t>
      </w:r>
      <w:proofErr w:type="spellStart"/>
      <w:r w:rsidRPr="00BC764F">
        <w:rPr>
          <w:highlight w:val="white"/>
        </w:rPr>
        <w:t>Meerlo</w:t>
      </w:r>
      <w:proofErr w:type="spellEnd"/>
      <w:r w:rsidRPr="00BC764F">
        <w:rPr>
          <w:highlight w:val="white"/>
        </w:rPr>
        <w:t xml:space="preserve">, R. </w:t>
      </w:r>
      <w:proofErr w:type="spellStart"/>
      <w:r w:rsidRPr="00BC764F">
        <w:rPr>
          <w:highlight w:val="white"/>
        </w:rPr>
        <w:t>Benca</w:t>
      </w:r>
      <w:proofErr w:type="spellEnd"/>
      <w:r w:rsidRPr="00BC764F">
        <w:rPr>
          <w:highlight w:val="white"/>
        </w:rPr>
        <w:t xml:space="preserve"> &amp; T. Abel (Eds), </w:t>
      </w:r>
      <w:r w:rsidRPr="00BC764F">
        <w:rPr>
          <w:i/>
          <w:iCs/>
          <w:highlight w:val="white"/>
        </w:rPr>
        <w:t>Current Topics in behavioral neurosciences</w:t>
      </w:r>
      <w:r w:rsidRPr="00BC764F">
        <w:rPr>
          <w:highlight w:val="white"/>
        </w:rPr>
        <w:t xml:space="preserve"> (pp. 1-24). Springer-Verlag Berlin Heidelberg.</w:t>
      </w:r>
    </w:p>
    <w:p w14:paraId="743D3560" w14:textId="77777777" w:rsidR="00BC764F" w:rsidRPr="00BC764F" w:rsidRDefault="00BC764F" w:rsidP="00BC764F">
      <w:pPr>
        <w:pStyle w:val="Referencias"/>
        <w:spacing w:line="360" w:lineRule="auto"/>
        <w:rPr>
          <w:highlight w:val="white"/>
        </w:rPr>
      </w:pPr>
      <w:proofErr w:type="spellStart"/>
      <w:r w:rsidRPr="00BC764F">
        <w:rPr>
          <w:highlight w:val="white"/>
        </w:rPr>
        <w:t>Faingold</w:t>
      </w:r>
      <w:proofErr w:type="spellEnd"/>
      <w:r w:rsidRPr="00BC764F">
        <w:rPr>
          <w:highlight w:val="white"/>
        </w:rPr>
        <w:t xml:space="preserve">, C. L. (1987).  The role of the brain stem in generalized epileptic seizures. </w:t>
      </w:r>
      <w:r w:rsidRPr="00BC764F">
        <w:rPr>
          <w:i/>
          <w:highlight w:val="white"/>
        </w:rPr>
        <w:t>Metabolic Brain Disease</w:t>
      </w:r>
      <w:r w:rsidRPr="00BC764F">
        <w:rPr>
          <w:highlight w:val="white"/>
        </w:rPr>
        <w:t xml:space="preserve">, </w:t>
      </w:r>
      <w:r w:rsidRPr="00BC764F">
        <w:rPr>
          <w:i/>
          <w:highlight w:val="white"/>
        </w:rPr>
        <w:t>2</w:t>
      </w:r>
      <w:r w:rsidRPr="00BC764F">
        <w:rPr>
          <w:highlight w:val="white"/>
        </w:rPr>
        <w:t xml:space="preserve">(2), 81-112. </w:t>
      </w:r>
      <w:hyperlink r:id="rId30" w:history="1">
        <w:r w:rsidRPr="00BC764F">
          <w:rPr>
            <w:rStyle w:val="Hipervnculo"/>
            <w:highlight w:val="white"/>
          </w:rPr>
          <w:t>https://doi.org/10.1007/bf00999720</w:t>
        </w:r>
      </w:hyperlink>
    </w:p>
    <w:p w14:paraId="6B35A546" w14:textId="77777777" w:rsidR="00BC764F" w:rsidRPr="00BC764F" w:rsidRDefault="00BC764F" w:rsidP="00BC764F">
      <w:pPr>
        <w:pStyle w:val="Referencias"/>
        <w:spacing w:line="360" w:lineRule="auto"/>
        <w:rPr>
          <w:highlight w:val="white"/>
        </w:rPr>
      </w:pPr>
      <w:proofErr w:type="spellStart"/>
      <w:r w:rsidRPr="00BC764F">
        <w:rPr>
          <w:highlight w:val="white"/>
        </w:rPr>
        <w:t>Foldvary</w:t>
      </w:r>
      <w:proofErr w:type="spellEnd"/>
      <w:r w:rsidRPr="00BC764F">
        <w:rPr>
          <w:highlight w:val="white"/>
        </w:rPr>
        <w:t xml:space="preserve">‐Schaefer, N., De Leon Sanchez, I., </w:t>
      </w:r>
      <w:proofErr w:type="spellStart"/>
      <w:r w:rsidRPr="00BC764F">
        <w:rPr>
          <w:highlight w:val="white"/>
        </w:rPr>
        <w:t>Karafa</w:t>
      </w:r>
      <w:proofErr w:type="spellEnd"/>
      <w:r w:rsidRPr="00BC764F">
        <w:rPr>
          <w:highlight w:val="white"/>
        </w:rPr>
        <w:t xml:space="preserve">, M., </w:t>
      </w:r>
      <w:proofErr w:type="spellStart"/>
      <w:r w:rsidRPr="00BC764F">
        <w:rPr>
          <w:highlight w:val="white"/>
        </w:rPr>
        <w:t>Mascha</w:t>
      </w:r>
      <w:proofErr w:type="spellEnd"/>
      <w:r w:rsidRPr="00BC764F">
        <w:rPr>
          <w:highlight w:val="white"/>
        </w:rPr>
        <w:t xml:space="preserve">, E., Dinner, D., &amp; Morris, H. H. (2002). Gabapentin increases slow wave sleep in normal adults. </w:t>
      </w:r>
      <w:proofErr w:type="spellStart"/>
      <w:r w:rsidRPr="00BC764F">
        <w:rPr>
          <w:i/>
          <w:highlight w:val="white"/>
        </w:rPr>
        <w:t>Epilepsia</w:t>
      </w:r>
      <w:proofErr w:type="spellEnd"/>
      <w:r w:rsidRPr="00BC764F">
        <w:rPr>
          <w:highlight w:val="white"/>
        </w:rPr>
        <w:t xml:space="preserve">, </w:t>
      </w:r>
      <w:r w:rsidRPr="00BC764F">
        <w:rPr>
          <w:i/>
          <w:highlight w:val="white"/>
        </w:rPr>
        <w:t>43</w:t>
      </w:r>
      <w:r w:rsidRPr="00BC764F">
        <w:rPr>
          <w:highlight w:val="white"/>
        </w:rPr>
        <w:t xml:space="preserve">(12), 1493-1497. </w:t>
      </w:r>
      <w:hyperlink r:id="rId31" w:history="1">
        <w:r w:rsidRPr="00BC764F">
          <w:rPr>
            <w:rStyle w:val="Hipervnculo"/>
            <w:highlight w:val="white"/>
          </w:rPr>
          <w:t>https://doi.org/10.1046/j.1528-1157.2002.21002.x</w:t>
        </w:r>
      </w:hyperlink>
      <w:r w:rsidRPr="00BC764F">
        <w:rPr>
          <w:highlight w:val="white"/>
        </w:rPr>
        <w:t xml:space="preserve"> </w:t>
      </w:r>
    </w:p>
    <w:p w14:paraId="041262F2" w14:textId="77777777" w:rsidR="00BC764F" w:rsidRPr="00BC764F" w:rsidRDefault="00BC764F" w:rsidP="00BC764F">
      <w:pPr>
        <w:pStyle w:val="Referencias"/>
        <w:spacing w:line="360" w:lineRule="auto"/>
        <w:rPr>
          <w:highlight w:val="white"/>
        </w:rPr>
      </w:pPr>
      <w:proofErr w:type="spellStart"/>
      <w:r w:rsidRPr="00BC764F">
        <w:rPr>
          <w:highlight w:val="white"/>
        </w:rPr>
        <w:t>Foldvary</w:t>
      </w:r>
      <w:proofErr w:type="spellEnd"/>
      <w:r w:rsidRPr="00BC764F">
        <w:rPr>
          <w:highlight w:val="white"/>
        </w:rPr>
        <w:t>-Schaefer, N., &amp; Grigg-</w:t>
      </w:r>
      <w:proofErr w:type="spellStart"/>
      <w:r w:rsidRPr="00BC764F">
        <w:rPr>
          <w:highlight w:val="white"/>
        </w:rPr>
        <w:t>Damberger</w:t>
      </w:r>
      <w:proofErr w:type="spellEnd"/>
      <w:r w:rsidRPr="00BC764F">
        <w:rPr>
          <w:highlight w:val="white"/>
        </w:rPr>
        <w:t xml:space="preserve">, M. (2006). Sleep and epilepsy: what we know, don’t know, and need to know. </w:t>
      </w:r>
      <w:r w:rsidRPr="00BC764F">
        <w:rPr>
          <w:i/>
          <w:highlight w:val="white"/>
        </w:rPr>
        <w:t>Journal of Clinical Neurophysiology</w:t>
      </w:r>
      <w:r w:rsidRPr="00BC764F">
        <w:rPr>
          <w:highlight w:val="white"/>
        </w:rPr>
        <w:t xml:space="preserve">, </w:t>
      </w:r>
      <w:r w:rsidRPr="00BC764F">
        <w:rPr>
          <w:i/>
          <w:highlight w:val="white"/>
        </w:rPr>
        <w:t>23</w:t>
      </w:r>
      <w:r w:rsidRPr="00BC764F">
        <w:rPr>
          <w:highlight w:val="white"/>
        </w:rPr>
        <w:t xml:space="preserve">(1), 4-20. </w:t>
      </w:r>
      <w:hyperlink r:id="rId32" w:history="1">
        <w:r w:rsidRPr="00BC764F">
          <w:rPr>
            <w:rStyle w:val="Hipervnculo"/>
            <w:highlight w:val="white"/>
          </w:rPr>
          <w:t>https://doi.org/10.1097/01.wnp.0000206877.90232.cb</w:t>
        </w:r>
      </w:hyperlink>
      <w:r w:rsidRPr="00BC764F">
        <w:rPr>
          <w:highlight w:val="white"/>
        </w:rPr>
        <w:t xml:space="preserve"> </w:t>
      </w:r>
    </w:p>
    <w:p w14:paraId="506AA2C6" w14:textId="77777777" w:rsidR="00BC764F" w:rsidRPr="00BC764F" w:rsidRDefault="00BC764F" w:rsidP="00BC764F">
      <w:pPr>
        <w:pStyle w:val="Referencias"/>
        <w:spacing w:line="360" w:lineRule="auto"/>
        <w:rPr>
          <w:highlight w:val="white"/>
        </w:rPr>
      </w:pPr>
      <w:r w:rsidRPr="00BC764F">
        <w:rPr>
          <w:highlight w:val="white"/>
        </w:rPr>
        <w:t>Franco-Pérez, J., Ballesteros-</w:t>
      </w:r>
      <w:proofErr w:type="spellStart"/>
      <w:r w:rsidRPr="00BC764F">
        <w:rPr>
          <w:highlight w:val="white"/>
        </w:rPr>
        <w:t>Zebadúa</w:t>
      </w:r>
      <w:proofErr w:type="spellEnd"/>
      <w:r w:rsidRPr="00BC764F">
        <w:rPr>
          <w:highlight w:val="white"/>
        </w:rPr>
        <w:t xml:space="preserve">, P., &amp; </w:t>
      </w:r>
      <w:proofErr w:type="spellStart"/>
      <w:r w:rsidRPr="00BC764F">
        <w:rPr>
          <w:highlight w:val="white"/>
        </w:rPr>
        <w:t>Manjarrez-Marmolejo</w:t>
      </w:r>
      <w:proofErr w:type="spellEnd"/>
      <w:r w:rsidRPr="00BC764F">
        <w:rPr>
          <w:highlight w:val="white"/>
        </w:rPr>
        <w:t xml:space="preserve">, J. (2015). Unilateral microinjection of carbenoxolone into the </w:t>
      </w:r>
      <w:proofErr w:type="spellStart"/>
      <w:r w:rsidRPr="00BC764F">
        <w:rPr>
          <w:highlight w:val="white"/>
        </w:rPr>
        <w:t>pontis</w:t>
      </w:r>
      <w:proofErr w:type="spellEnd"/>
      <w:r w:rsidRPr="00BC764F">
        <w:rPr>
          <w:highlight w:val="white"/>
        </w:rPr>
        <w:t xml:space="preserve"> </w:t>
      </w:r>
      <w:proofErr w:type="spellStart"/>
      <w:r w:rsidRPr="00BC764F">
        <w:rPr>
          <w:highlight w:val="white"/>
        </w:rPr>
        <w:t>caudalis</w:t>
      </w:r>
      <w:proofErr w:type="spellEnd"/>
      <w:r w:rsidRPr="00BC764F">
        <w:rPr>
          <w:highlight w:val="white"/>
        </w:rPr>
        <w:t xml:space="preserve"> nucleus inhibits the </w:t>
      </w:r>
      <w:proofErr w:type="spellStart"/>
      <w:r w:rsidRPr="00BC764F">
        <w:rPr>
          <w:highlight w:val="white"/>
        </w:rPr>
        <w:t>pentylenetetrazole</w:t>
      </w:r>
      <w:proofErr w:type="spellEnd"/>
      <w:r w:rsidRPr="00BC764F">
        <w:rPr>
          <w:highlight w:val="white"/>
        </w:rPr>
        <w:t xml:space="preserve">-induced epileptiform activity in rats. </w:t>
      </w:r>
      <w:r w:rsidRPr="00BC764F">
        <w:rPr>
          <w:i/>
          <w:highlight w:val="white"/>
        </w:rPr>
        <w:t>Neuroscience Letters</w:t>
      </w:r>
      <w:r w:rsidRPr="00BC764F">
        <w:rPr>
          <w:highlight w:val="white"/>
        </w:rPr>
        <w:t xml:space="preserve">, </w:t>
      </w:r>
      <w:r w:rsidRPr="00BC764F">
        <w:rPr>
          <w:i/>
          <w:highlight w:val="white"/>
        </w:rPr>
        <w:t>602</w:t>
      </w:r>
      <w:r w:rsidRPr="00BC764F">
        <w:rPr>
          <w:highlight w:val="white"/>
        </w:rPr>
        <w:t xml:space="preserve">, 38-43. </w:t>
      </w:r>
      <w:hyperlink r:id="rId33" w:history="1">
        <w:r w:rsidRPr="00BC764F">
          <w:rPr>
            <w:rStyle w:val="Hipervnculo"/>
            <w:highlight w:val="white"/>
          </w:rPr>
          <w:t>https://doi.org/10.1016/j.neulet.2015.06.037</w:t>
        </w:r>
      </w:hyperlink>
    </w:p>
    <w:p w14:paraId="25F35D00" w14:textId="77777777" w:rsidR="00BC764F" w:rsidRPr="00BC764F" w:rsidRDefault="00BC764F" w:rsidP="00BC764F">
      <w:pPr>
        <w:pStyle w:val="Referencias"/>
        <w:spacing w:line="360" w:lineRule="auto"/>
        <w:rPr>
          <w:highlight w:val="white"/>
        </w:rPr>
      </w:pPr>
      <w:proofErr w:type="spellStart"/>
      <w:r w:rsidRPr="00BC764F">
        <w:rPr>
          <w:highlight w:val="white"/>
        </w:rPr>
        <w:t>Halász</w:t>
      </w:r>
      <w:proofErr w:type="spellEnd"/>
      <w:r w:rsidRPr="00BC764F">
        <w:rPr>
          <w:highlight w:val="white"/>
        </w:rPr>
        <w:t xml:space="preserve">, P. (2013). How Sleep Activates Epileptic Networks? </w:t>
      </w:r>
      <w:r w:rsidRPr="00BC764F">
        <w:rPr>
          <w:i/>
          <w:iCs/>
          <w:highlight w:val="white"/>
        </w:rPr>
        <w:t>Epilepsy Research and Treatment</w:t>
      </w:r>
      <w:r w:rsidRPr="00BC764F">
        <w:rPr>
          <w:highlight w:val="white"/>
        </w:rPr>
        <w:t xml:space="preserve">, </w:t>
      </w:r>
      <w:r w:rsidRPr="00BC764F">
        <w:rPr>
          <w:i/>
          <w:iCs/>
          <w:highlight w:val="white"/>
        </w:rPr>
        <w:t>2013</w:t>
      </w:r>
      <w:r w:rsidRPr="00BC764F">
        <w:rPr>
          <w:highlight w:val="white"/>
        </w:rPr>
        <w:t xml:space="preserve">, 425697. </w:t>
      </w:r>
      <w:hyperlink r:id="rId34" w:history="1">
        <w:r w:rsidRPr="00BC764F">
          <w:rPr>
            <w:rStyle w:val="Hipervnculo"/>
            <w:highlight w:val="white"/>
          </w:rPr>
          <w:t>https://doi.org/10.1155/2013/425697</w:t>
        </w:r>
      </w:hyperlink>
    </w:p>
    <w:p w14:paraId="04437F07" w14:textId="77777777" w:rsidR="00BC764F" w:rsidRPr="00BC764F" w:rsidRDefault="00BC764F" w:rsidP="00BC764F">
      <w:pPr>
        <w:pStyle w:val="Referencias"/>
        <w:spacing w:line="360" w:lineRule="auto"/>
        <w:rPr>
          <w:highlight w:val="white"/>
        </w:rPr>
      </w:pPr>
      <w:r w:rsidRPr="00BC764F">
        <w:rPr>
          <w:highlight w:val="white"/>
        </w:rPr>
        <w:t xml:space="preserve">Hansen, S. L., Sperling, B. B., &amp; Sánchez, C. (2004). Anticonvulsant and antiepileptogenic effects of GABAA receptor ligands in </w:t>
      </w:r>
      <w:proofErr w:type="spellStart"/>
      <w:r w:rsidRPr="00BC764F">
        <w:rPr>
          <w:highlight w:val="white"/>
        </w:rPr>
        <w:t>pentylenetetrazole</w:t>
      </w:r>
      <w:proofErr w:type="spellEnd"/>
      <w:r w:rsidRPr="00BC764F">
        <w:rPr>
          <w:highlight w:val="white"/>
        </w:rPr>
        <w:t xml:space="preserve">-kindled mice. </w:t>
      </w:r>
      <w:r w:rsidRPr="00BC764F">
        <w:rPr>
          <w:i/>
          <w:iCs/>
          <w:highlight w:val="white"/>
        </w:rPr>
        <w:t>Progress in Neuro-Psychopharmacology and Biological Psychiatry</w:t>
      </w:r>
      <w:r w:rsidRPr="00BC764F">
        <w:rPr>
          <w:highlight w:val="white"/>
        </w:rPr>
        <w:t xml:space="preserve">, </w:t>
      </w:r>
      <w:r w:rsidRPr="00BC764F">
        <w:rPr>
          <w:i/>
          <w:iCs/>
          <w:highlight w:val="white"/>
        </w:rPr>
        <w:t>28</w:t>
      </w:r>
      <w:r w:rsidRPr="00BC764F">
        <w:rPr>
          <w:highlight w:val="white"/>
        </w:rPr>
        <w:t xml:space="preserve">(1), 105-113. </w:t>
      </w:r>
      <w:hyperlink r:id="rId35" w:history="1">
        <w:r w:rsidRPr="00BC764F">
          <w:rPr>
            <w:rStyle w:val="Hipervnculo"/>
            <w:highlight w:val="white"/>
          </w:rPr>
          <w:t>https://doi.org/10.1016/j.pnpbp.2003.09.026</w:t>
        </w:r>
      </w:hyperlink>
    </w:p>
    <w:p w14:paraId="2C6CE199" w14:textId="77777777" w:rsidR="00BC764F" w:rsidRPr="00BC764F" w:rsidRDefault="00BC764F" w:rsidP="00BC764F">
      <w:pPr>
        <w:pStyle w:val="Referencias"/>
        <w:spacing w:line="360" w:lineRule="auto"/>
        <w:rPr>
          <w:highlight w:val="white"/>
        </w:rPr>
      </w:pPr>
      <w:proofErr w:type="spellStart"/>
      <w:r w:rsidRPr="00BC764F">
        <w:rPr>
          <w:highlight w:val="white"/>
        </w:rPr>
        <w:t>Hantraye</w:t>
      </w:r>
      <w:proofErr w:type="spellEnd"/>
      <w:r w:rsidRPr="00BC764F">
        <w:rPr>
          <w:highlight w:val="white"/>
        </w:rPr>
        <w:t xml:space="preserve">, P., </w:t>
      </w:r>
      <w:proofErr w:type="spellStart"/>
      <w:r w:rsidRPr="00BC764F">
        <w:rPr>
          <w:highlight w:val="white"/>
        </w:rPr>
        <w:t>Brouillet</w:t>
      </w:r>
      <w:proofErr w:type="spellEnd"/>
      <w:r w:rsidRPr="00BC764F">
        <w:rPr>
          <w:highlight w:val="white"/>
        </w:rPr>
        <w:t xml:space="preserve">, E., </w:t>
      </w:r>
      <w:proofErr w:type="spellStart"/>
      <w:r w:rsidRPr="00BC764F">
        <w:rPr>
          <w:highlight w:val="white"/>
        </w:rPr>
        <w:t>Gulbert</w:t>
      </w:r>
      <w:proofErr w:type="spellEnd"/>
      <w:r w:rsidRPr="00BC764F">
        <w:rPr>
          <w:highlight w:val="white"/>
        </w:rPr>
        <w:t xml:space="preserve">, B., </w:t>
      </w:r>
      <w:proofErr w:type="spellStart"/>
      <w:r w:rsidRPr="00BC764F">
        <w:rPr>
          <w:highlight w:val="white"/>
        </w:rPr>
        <w:t>Chavoix</w:t>
      </w:r>
      <w:proofErr w:type="spellEnd"/>
      <w:r w:rsidRPr="00BC764F">
        <w:rPr>
          <w:highlight w:val="white"/>
        </w:rPr>
        <w:t xml:space="preserve">, C., Fukuda, H., </w:t>
      </w:r>
      <w:proofErr w:type="spellStart"/>
      <w:r w:rsidRPr="00BC764F">
        <w:rPr>
          <w:highlight w:val="white"/>
        </w:rPr>
        <w:t>Prenant</w:t>
      </w:r>
      <w:proofErr w:type="spellEnd"/>
      <w:r w:rsidRPr="00BC764F">
        <w:rPr>
          <w:highlight w:val="white"/>
        </w:rPr>
        <w:t xml:space="preserve">, C., … </w:t>
      </w:r>
      <w:proofErr w:type="spellStart"/>
      <w:r w:rsidRPr="00BC764F">
        <w:rPr>
          <w:highlight w:val="white"/>
        </w:rPr>
        <w:t>Maziere</w:t>
      </w:r>
      <w:proofErr w:type="spellEnd"/>
      <w:r w:rsidRPr="00BC764F">
        <w:rPr>
          <w:highlight w:val="white"/>
        </w:rPr>
        <w:t xml:space="preserve">, M. (1987). Pentylenetetrazol-induced seizure is not mediated by benzodiazepine receptors in vivo. </w:t>
      </w:r>
      <w:r w:rsidRPr="00BC764F">
        <w:rPr>
          <w:i/>
          <w:highlight w:val="white"/>
        </w:rPr>
        <w:t>Neuropharmacology</w:t>
      </w:r>
      <w:r w:rsidRPr="00BC764F">
        <w:rPr>
          <w:highlight w:val="white"/>
        </w:rPr>
        <w:t xml:space="preserve">, </w:t>
      </w:r>
      <w:r w:rsidRPr="00BC764F">
        <w:rPr>
          <w:i/>
          <w:highlight w:val="white"/>
        </w:rPr>
        <w:t>26</w:t>
      </w:r>
      <w:r w:rsidRPr="00BC764F">
        <w:rPr>
          <w:highlight w:val="white"/>
        </w:rPr>
        <w:t xml:space="preserve">(10), 1509-1512. </w:t>
      </w:r>
      <w:hyperlink r:id="rId36" w:history="1">
        <w:r w:rsidRPr="00BC764F">
          <w:rPr>
            <w:rStyle w:val="Hipervnculo"/>
            <w:highlight w:val="white"/>
          </w:rPr>
          <w:t>https://doi.org/10.1016/0028-3908(87)90171-7</w:t>
        </w:r>
      </w:hyperlink>
    </w:p>
    <w:p w14:paraId="68176AF1" w14:textId="77777777" w:rsidR="00BC764F" w:rsidRPr="00BC764F" w:rsidRDefault="00BC764F" w:rsidP="00BC764F">
      <w:pPr>
        <w:pStyle w:val="Referencias"/>
        <w:spacing w:line="360" w:lineRule="auto"/>
        <w:rPr>
          <w:highlight w:val="white"/>
        </w:rPr>
      </w:pPr>
      <w:r w:rsidRPr="00BC764F">
        <w:rPr>
          <w:highlight w:val="white"/>
        </w:rPr>
        <w:lastRenderedPageBreak/>
        <w:t xml:space="preserve">Huang, R. Q., Bell-Horner, C. L., </w:t>
      </w:r>
      <w:proofErr w:type="spellStart"/>
      <w:r w:rsidRPr="00BC764F">
        <w:rPr>
          <w:highlight w:val="white"/>
        </w:rPr>
        <w:t>Dibas</w:t>
      </w:r>
      <w:proofErr w:type="spellEnd"/>
      <w:r w:rsidRPr="00BC764F">
        <w:rPr>
          <w:highlight w:val="white"/>
        </w:rPr>
        <w:t xml:space="preserve">, M. I., Covey, D. F., </w:t>
      </w:r>
      <w:proofErr w:type="spellStart"/>
      <w:r w:rsidRPr="00BC764F">
        <w:rPr>
          <w:highlight w:val="white"/>
        </w:rPr>
        <w:t>Drewe</w:t>
      </w:r>
      <w:proofErr w:type="spellEnd"/>
      <w:r w:rsidRPr="00BC764F">
        <w:rPr>
          <w:highlight w:val="white"/>
        </w:rPr>
        <w:t xml:space="preserve">, J. A., &amp; Dillon, G. H. (2001) Pentylenetetrazol-induced inhibition of recombinant gamma-aminobutyric acid type A (GABA(A)) receptors: mechanism and site of action. </w:t>
      </w:r>
      <w:r w:rsidRPr="00BC764F">
        <w:rPr>
          <w:i/>
          <w:iCs/>
          <w:highlight w:val="white"/>
        </w:rPr>
        <w:t>The Journal of Pharmacology and Experimental Therapeutics</w:t>
      </w:r>
      <w:r w:rsidRPr="00BC764F">
        <w:rPr>
          <w:highlight w:val="white"/>
        </w:rPr>
        <w:t xml:space="preserve">, </w:t>
      </w:r>
      <w:r w:rsidRPr="00BC764F">
        <w:rPr>
          <w:i/>
          <w:iCs/>
          <w:highlight w:val="white"/>
        </w:rPr>
        <w:t>298</w:t>
      </w:r>
      <w:r w:rsidRPr="00BC764F">
        <w:rPr>
          <w:highlight w:val="white"/>
        </w:rPr>
        <w:t xml:space="preserve">(3), 986–995.           </w:t>
      </w:r>
    </w:p>
    <w:p w14:paraId="656EA0E0" w14:textId="77777777" w:rsidR="00BC764F" w:rsidRPr="00BC764F" w:rsidRDefault="00BC764F" w:rsidP="00BC764F">
      <w:pPr>
        <w:pStyle w:val="Referencias"/>
        <w:spacing w:line="360" w:lineRule="auto"/>
        <w:rPr>
          <w:highlight w:val="white"/>
        </w:rPr>
      </w:pPr>
      <w:proofErr w:type="spellStart"/>
      <w:r w:rsidRPr="00BC764F">
        <w:rPr>
          <w:highlight w:val="white"/>
        </w:rPr>
        <w:t>Klioueva</w:t>
      </w:r>
      <w:proofErr w:type="spellEnd"/>
      <w:r w:rsidRPr="00BC764F">
        <w:rPr>
          <w:highlight w:val="white"/>
        </w:rPr>
        <w:t xml:space="preserve">, I. A., van </w:t>
      </w:r>
      <w:proofErr w:type="spellStart"/>
      <w:r w:rsidRPr="00BC764F">
        <w:rPr>
          <w:highlight w:val="white"/>
        </w:rPr>
        <w:t>Luijtelaar</w:t>
      </w:r>
      <w:proofErr w:type="spellEnd"/>
      <w:r w:rsidRPr="00BC764F">
        <w:rPr>
          <w:highlight w:val="white"/>
        </w:rPr>
        <w:t xml:space="preserve">, E. L. J. M., </w:t>
      </w:r>
      <w:proofErr w:type="spellStart"/>
      <w:r w:rsidRPr="00BC764F">
        <w:rPr>
          <w:highlight w:val="white"/>
        </w:rPr>
        <w:t>Chepurnova</w:t>
      </w:r>
      <w:proofErr w:type="spellEnd"/>
      <w:r w:rsidRPr="00BC764F">
        <w:rPr>
          <w:highlight w:val="white"/>
        </w:rPr>
        <w:t xml:space="preserve">, N. E., &amp; </w:t>
      </w:r>
      <w:proofErr w:type="spellStart"/>
      <w:r w:rsidRPr="00BC764F">
        <w:rPr>
          <w:highlight w:val="white"/>
        </w:rPr>
        <w:t>Chepurnov</w:t>
      </w:r>
      <w:proofErr w:type="spellEnd"/>
      <w:r w:rsidRPr="00BC764F">
        <w:rPr>
          <w:highlight w:val="white"/>
        </w:rPr>
        <w:t xml:space="preserve">, S. A. (2001). PTZ-induced seizures in rats: effects of age and strain. </w:t>
      </w:r>
      <w:r w:rsidRPr="00BC764F">
        <w:rPr>
          <w:i/>
          <w:highlight w:val="white"/>
        </w:rPr>
        <w:t>Physiology &amp; Behavior</w:t>
      </w:r>
      <w:r w:rsidRPr="00BC764F">
        <w:rPr>
          <w:highlight w:val="white"/>
        </w:rPr>
        <w:t xml:space="preserve">, </w:t>
      </w:r>
      <w:r w:rsidRPr="00BC764F">
        <w:rPr>
          <w:i/>
          <w:highlight w:val="white"/>
        </w:rPr>
        <w:t>72</w:t>
      </w:r>
      <w:r w:rsidRPr="00BC764F">
        <w:rPr>
          <w:highlight w:val="white"/>
        </w:rPr>
        <w:t xml:space="preserve">(3), 421-426. </w:t>
      </w:r>
      <w:hyperlink r:id="rId37" w:history="1">
        <w:r w:rsidRPr="00BC764F">
          <w:rPr>
            <w:rStyle w:val="Hipervnculo"/>
            <w:highlight w:val="white"/>
          </w:rPr>
          <w:t>https://doi.org/10.1016/S0031-9384(00)00425-X</w:t>
        </w:r>
      </w:hyperlink>
      <w:r w:rsidRPr="00BC764F">
        <w:rPr>
          <w:highlight w:val="white"/>
        </w:rPr>
        <w:t xml:space="preserve"> </w:t>
      </w:r>
    </w:p>
    <w:p w14:paraId="601E9ED8" w14:textId="77777777" w:rsidR="00BC764F" w:rsidRPr="00BC764F" w:rsidRDefault="00BC764F" w:rsidP="00BC764F">
      <w:pPr>
        <w:pStyle w:val="Referencias"/>
        <w:spacing w:line="360" w:lineRule="auto"/>
        <w:rPr>
          <w:highlight w:val="white"/>
        </w:rPr>
      </w:pPr>
      <w:proofErr w:type="spellStart"/>
      <w:r w:rsidRPr="00BC764F">
        <w:rPr>
          <w:highlight w:val="white"/>
        </w:rPr>
        <w:t>Korpi</w:t>
      </w:r>
      <w:proofErr w:type="spellEnd"/>
      <w:r w:rsidRPr="00BC764F">
        <w:rPr>
          <w:highlight w:val="white"/>
        </w:rPr>
        <w:t xml:space="preserve">, E. R., </w:t>
      </w:r>
      <w:proofErr w:type="spellStart"/>
      <w:r w:rsidRPr="00BC764F">
        <w:rPr>
          <w:highlight w:val="white"/>
        </w:rPr>
        <w:t>Grunder</w:t>
      </w:r>
      <w:proofErr w:type="spellEnd"/>
      <w:r w:rsidRPr="00BC764F">
        <w:rPr>
          <w:highlight w:val="white"/>
        </w:rPr>
        <w:t xml:space="preserve">, G., &amp; </w:t>
      </w:r>
      <w:proofErr w:type="spellStart"/>
      <w:r w:rsidRPr="00BC764F">
        <w:rPr>
          <w:highlight w:val="white"/>
        </w:rPr>
        <w:t>Lüddens</w:t>
      </w:r>
      <w:proofErr w:type="spellEnd"/>
      <w:r w:rsidRPr="00BC764F">
        <w:rPr>
          <w:highlight w:val="white"/>
        </w:rPr>
        <w:t xml:space="preserve">, H. (2002). Drug interactions at GABAA receptors. </w:t>
      </w:r>
      <w:r w:rsidRPr="00BC764F">
        <w:rPr>
          <w:i/>
          <w:iCs/>
          <w:highlight w:val="white"/>
        </w:rPr>
        <w:t>Progress in Neurobiology</w:t>
      </w:r>
      <w:r w:rsidRPr="00BC764F">
        <w:rPr>
          <w:highlight w:val="white"/>
        </w:rPr>
        <w:t xml:space="preserve">, </w:t>
      </w:r>
      <w:r w:rsidRPr="00BC764F">
        <w:rPr>
          <w:i/>
          <w:iCs/>
          <w:highlight w:val="white"/>
        </w:rPr>
        <w:t>67</w:t>
      </w:r>
      <w:r w:rsidRPr="00BC764F">
        <w:rPr>
          <w:highlight w:val="white"/>
        </w:rPr>
        <w:t xml:space="preserve">(2),113-159. </w:t>
      </w:r>
      <w:hyperlink r:id="rId38" w:history="1">
        <w:r w:rsidRPr="00BC764F">
          <w:rPr>
            <w:rStyle w:val="Hipervnculo"/>
            <w:highlight w:val="white"/>
          </w:rPr>
          <w:t>https://doi.org/10.1016/s0301-0082(02)00013-8</w:t>
        </w:r>
      </w:hyperlink>
    </w:p>
    <w:p w14:paraId="11C0ACC6" w14:textId="59277F85" w:rsidR="00BC764F" w:rsidRPr="00BC764F" w:rsidRDefault="00BC764F" w:rsidP="00BC764F">
      <w:pPr>
        <w:pStyle w:val="Referencias"/>
        <w:spacing w:line="360" w:lineRule="auto"/>
        <w:rPr>
          <w:highlight w:val="white"/>
        </w:rPr>
      </w:pPr>
      <w:proofErr w:type="spellStart"/>
      <w:r w:rsidRPr="00BC764F">
        <w:rPr>
          <w:highlight w:val="white"/>
        </w:rPr>
        <w:t>Kryger</w:t>
      </w:r>
      <w:proofErr w:type="spellEnd"/>
      <w:r w:rsidRPr="00BC764F">
        <w:rPr>
          <w:highlight w:val="white"/>
        </w:rPr>
        <w:t>, M. H., Roth, T</w:t>
      </w:r>
      <w:r w:rsidR="006D1F88">
        <w:rPr>
          <w:highlight w:val="white"/>
        </w:rPr>
        <w:t>., &amp;</w:t>
      </w:r>
      <w:r w:rsidRPr="00BC764F">
        <w:rPr>
          <w:highlight w:val="white"/>
        </w:rPr>
        <w:t xml:space="preserve"> Dement, W. C. (2017).</w:t>
      </w:r>
      <w:r w:rsidRPr="00BC764F">
        <w:rPr>
          <w:b/>
          <w:i/>
          <w:highlight w:val="white"/>
        </w:rPr>
        <w:t xml:space="preserve"> </w:t>
      </w:r>
      <w:r w:rsidRPr="00BC764F">
        <w:rPr>
          <w:i/>
          <w:highlight w:val="white"/>
        </w:rPr>
        <w:t>Principles and practice of sleep medicine.</w:t>
      </w:r>
      <w:r w:rsidRPr="00BC764F">
        <w:rPr>
          <w:highlight w:val="white"/>
        </w:rPr>
        <w:t xml:space="preserve"> Elsevier.</w:t>
      </w:r>
    </w:p>
    <w:p w14:paraId="27B0D56A" w14:textId="77777777" w:rsidR="00BC764F" w:rsidRPr="00BC764F" w:rsidRDefault="00BC764F" w:rsidP="00BC764F">
      <w:pPr>
        <w:pStyle w:val="Referencias"/>
        <w:spacing w:line="360" w:lineRule="auto"/>
        <w:rPr>
          <w:highlight w:val="white"/>
          <w:lang w:val="es-AR"/>
        </w:rPr>
      </w:pPr>
      <w:r w:rsidRPr="00BC764F">
        <w:rPr>
          <w:highlight w:val="white"/>
        </w:rPr>
        <w:t xml:space="preserve">Larsen Burns, .M, </w:t>
      </w:r>
      <w:proofErr w:type="spellStart"/>
      <w:r w:rsidRPr="00BC764F">
        <w:rPr>
          <w:highlight w:val="white"/>
        </w:rPr>
        <w:t>Kinge</w:t>
      </w:r>
      <w:proofErr w:type="spellEnd"/>
      <w:r w:rsidRPr="00BC764F">
        <w:rPr>
          <w:highlight w:val="white"/>
        </w:rPr>
        <w:t xml:space="preserve">, E., </w:t>
      </w:r>
      <w:proofErr w:type="spellStart"/>
      <w:r w:rsidRPr="00BC764F">
        <w:rPr>
          <w:highlight w:val="white"/>
        </w:rPr>
        <w:t>Stokke</w:t>
      </w:r>
      <w:proofErr w:type="spellEnd"/>
      <w:r w:rsidRPr="00BC764F">
        <w:rPr>
          <w:highlight w:val="white"/>
        </w:rPr>
        <w:t xml:space="preserve"> </w:t>
      </w:r>
      <w:proofErr w:type="spellStart"/>
      <w:r w:rsidRPr="00BC764F">
        <w:rPr>
          <w:highlight w:val="white"/>
        </w:rPr>
        <w:t>Opdal</w:t>
      </w:r>
      <w:proofErr w:type="spellEnd"/>
      <w:r w:rsidRPr="00BC764F">
        <w:rPr>
          <w:highlight w:val="white"/>
        </w:rPr>
        <w:t xml:space="preserve">, M., Johannessen, S. I., &amp; Johannessen Landmark, C. (2019). Therapeutic drug monitoring of gabapentin in various indications. </w:t>
      </w:r>
      <w:r w:rsidRPr="00BC764F">
        <w:rPr>
          <w:i/>
          <w:highlight w:val="white"/>
        </w:rPr>
        <w:t xml:space="preserve">Acta </w:t>
      </w:r>
      <w:proofErr w:type="spellStart"/>
      <w:r w:rsidRPr="00BC764F">
        <w:rPr>
          <w:i/>
          <w:highlight w:val="white"/>
        </w:rPr>
        <w:t>Neurologica</w:t>
      </w:r>
      <w:proofErr w:type="spellEnd"/>
      <w:r w:rsidRPr="00BC764F">
        <w:rPr>
          <w:i/>
          <w:highlight w:val="white"/>
        </w:rPr>
        <w:t xml:space="preserve"> Scandinavica</w:t>
      </w:r>
      <w:r w:rsidRPr="00BC764F">
        <w:rPr>
          <w:highlight w:val="white"/>
        </w:rPr>
        <w:t xml:space="preserve">, </w:t>
      </w:r>
      <w:r w:rsidRPr="00BC764F">
        <w:rPr>
          <w:i/>
          <w:highlight w:val="white"/>
        </w:rPr>
        <w:t>139</w:t>
      </w:r>
      <w:r w:rsidRPr="00BC764F">
        <w:rPr>
          <w:highlight w:val="white"/>
        </w:rPr>
        <w:t xml:space="preserve">(5), 446-454. </w:t>
      </w:r>
      <w:hyperlink r:id="rId39" w:history="1">
        <w:r w:rsidRPr="00BC764F">
          <w:rPr>
            <w:rStyle w:val="Hipervnculo"/>
            <w:highlight w:val="white"/>
            <w:lang w:val="es-AR"/>
          </w:rPr>
          <w:t>https://doi.org/10.1111/ane.13075</w:t>
        </w:r>
      </w:hyperlink>
    </w:p>
    <w:p w14:paraId="45F800CD" w14:textId="77777777" w:rsidR="00BC764F" w:rsidRPr="00BC764F" w:rsidRDefault="00BC764F" w:rsidP="00BC764F">
      <w:pPr>
        <w:pStyle w:val="Referencias"/>
        <w:spacing w:line="360" w:lineRule="auto"/>
        <w:rPr>
          <w:highlight w:val="white"/>
        </w:rPr>
      </w:pPr>
      <w:r w:rsidRPr="00BC764F">
        <w:rPr>
          <w:highlight w:val="white"/>
          <w:lang w:val="es-MX"/>
        </w:rPr>
        <w:t xml:space="preserve">Lo, H. S., Yang, C. M., Helen, G., Lo, H. G., Lee, C. Y., Ting, H., … </w:t>
      </w:r>
      <w:proofErr w:type="spellStart"/>
      <w:r w:rsidRPr="00BC764F">
        <w:rPr>
          <w:highlight w:val="white"/>
        </w:rPr>
        <w:t>Tzang</w:t>
      </w:r>
      <w:proofErr w:type="spellEnd"/>
      <w:r w:rsidRPr="00BC764F">
        <w:rPr>
          <w:highlight w:val="white"/>
        </w:rPr>
        <w:t xml:space="preserve">, B. S. (2010). Treatment effects of gabapentin for primary insomnia. </w:t>
      </w:r>
      <w:r w:rsidRPr="00BC764F">
        <w:rPr>
          <w:i/>
          <w:highlight w:val="white"/>
        </w:rPr>
        <w:t>Clinical Neuropharmacology</w:t>
      </w:r>
      <w:r w:rsidRPr="00BC764F">
        <w:rPr>
          <w:highlight w:val="white"/>
        </w:rPr>
        <w:t xml:space="preserve">, </w:t>
      </w:r>
      <w:r w:rsidRPr="00BC764F">
        <w:rPr>
          <w:i/>
          <w:highlight w:val="white"/>
        </w:rPr>
        <w:t>33</w:t>
      </w:r>
      <w:r w:rsidRPr="00BC764F">
        <w:rPr>
          <w:highlight w:val="white"/>
        </w:rPr>
        <w:t xml:space="preserve">(2), 84-90. </w:t>
      </w:r>
      <w:hyperlink r:id="rId40" w:history="1">
        <w:r w:rsidRPr="00BC764F">
          <w:rPr>
            <w:rStyle w:val="Hipervnculo"/>
            <w:highlight w:val="white"/>
          </w:rPr>
          <w:t>http://dx.doi.org/10.1097/WNF.0b013e3181cda242</w:t>
        </w:r>
      </w:hyperlink>
    </w:p>
    <w:p w14:paraId="56438247" w14:textId="77777777" w:rsidR="00BC764F" w:rsidRPr="00BC764F" w:rsidRDefault="00BC764F" w:rsidP="00BC764F">
      <w:pPr>
        <w:pStyle w:val="Referencias"/>
        <w:spacing w:line="360" w:lineRule="auto"/>
        <w:rPr>
          <w:highlight w:val="white"/>
        </w:rPr>
      </w:pPr>
      <w:r w:rsidRPr="00BC764F">
        <w:rPr>
          <w:highlight w:val="white"/>
        </w:rPr>
        <w:t xml:space="preserve">MacDonald, R. L., &amp; Barker, J. L. (1977). Pentylenetetrazol and </w:t>
      </w:r>
      <w:proofErr w:type="spellStart"/>
      <w:r w:rsidRPr="00BC764F">
        <w:rPr>
          <w:highlight w:val="white"/>
        </w:rPr>
        <w:t>penicilin</w:t>
      </w:r>
      <w:proofErr w:type="spellEnd"/>
      <w:r w:rsidRPr="00BC764F">
        <w:rPr>
          <w:highlight w:val="white"/>
        </w:rPr>
        <w:t xml:space="preserve"> are selective antagonists of GABA-mediated post-synaptic inhibition in cultured mammalian neurons. </w:t>
      </w:r>
      <w:r w:rsidRPr="00BC764F">
        <w:rPr>
          <w:i/>
          <w:highlight w:val="white"/>
        </w:rPr>
        <w:t>Nature</w:t>
      </w:r>
      <w:r w:rsidRPr="00BC764F">
        <w:rPr>
          <w:highlight w:val="white"/>
        </w:rPr>
        <w:t xml:space="preserve">, </w:t>
      </w:r>
      <w:r w:rsidRPr="00BC764F">
        <w:rPr>
          <w:i/>
          <w:highlight w:val="white"/>
        </w:rPr>
        <w:t>267</w:t>
      </w:r>
      <w:r w:rsidRPr="00BC764F">
        <w:rPr>
          <w:highlight w:val="white"/>
        </w:rPr>
        <w:t xml:space="preserve">(5613), 720-721. </w:t>
      </w:r>
      <w:hyperlink r:id="rId41" w:history="1">
        <w:r w:rsidRPr="00BC764F">
          <w:rPr>
            <w:rStyle w:val="Hipervnculo"/>
            <w:highlight w:val="white"/>
          </w:rPr>
          <w:t>https://doi.org/10.1038/267720a0</w:t>
        </w:r>
      </w:hyperlink>
    </w:p>
    <w:p w14:paraId="76E9B468" w14:textId="77777777" w:rsidR="00BC764F" w:rsidRPr="00BC764F" w:rsidRDefault="00BC764F" w:rsidP="00BC764F">
      <w:pPr>
        <w:pStyle w:val="Referencias"/>
        <w:spacing w:line="360" w:lineRule="auto"/>
        <w:rPr>
          <w:highlight w:val="white"/>
        </w:rPr>
      </w:pPr>
      <w:r w:rsidRPr="00BC764F">
        <w:rPr>
          <w:highlight w:val="white"/>
        </w:rPr>
        <w:t xml:space="preserve">Malow, B. A. (2007). The interaction between sleep and epilepsy. </w:t>
      </w:r>
      <w:proofErr w:type="spellStart"/>
      <w:r w:rsidRPr="00BC764F">
        <w:rPr>
          <w:i/>
          <w:highlight w:val="white"/>
        </w:rPr>
        <w:t>Epilepsia</w:t>
      </w:r>
      <w:proofErr w:type="spellEnd"/>
      <w:r w:rsidRPr="00BC764F">
        <w:rPr>
          <w:highlight w:val="white"/>
        </w:rPr>
        <w:t xml:space="preserve">, </w:t>
      </w:r>
      <w:r w:rsidRPr="00BC764F">
        <w:rPr>
          <w:i/>
          <w:highlight w:val="white"/>
        </w:rPr>
        <w:t>48</w:t>
      </w:r>
      <w:r w:rsidRPr="00BC764F">
        <w:rPr>
          <w:highlight w:val="white"/>
        </w:rPr>
        <w:t xml:space="preserve">(S9), 36-38. </w:t>
      </w:r>
      <w:hyperlink r:id="rId42" w:history="1">
        <w:r w:rsidRPr="00BC764F">
          <w:rPr>
            <w:rStyle w:val="Hipervnculo"/>
            <w:highlight w:val="white"/>
          </w:rPr>
          <w:t>https://doi.org/10.1111/j.1528-1167.2007.01400.x</w:t>
        </w:r>
      </w:hyperlink>
    </w:p>
    <w:p w14:paraId="7EBAF915" w14:textId="77777777" w:rsidR="00BC764F" w:rsidRPr="00BC764F" w:rsidRDefault="00BC764F" w:rsidP="00BC764F">
      <w:pPr>
        <w:pStyle w:val="Referencias"/>
        <w:spacing w:line="360" w:lineRule="auto"/>
        <w:rPr>
          <w:highlight w:val="white"/>
        </w:rPr>
      </w:pPr>
      <w:r w:rsidRPr="00BC764F">
        <w:rPr>
          <w:highlight w:val="white"/>
        </w:rPr>
        <w:t xml:space="preserve">Malow, B. A., Kushwaha, R., Lin, X., Morton, K. J., &amp; Aldrich, M. S. (1997). Relationship of interictal epileptiform discharges to sleep depth in partial epilepsy. </w:t>
      </w:r>
      <w:r w:rsidRPr="00BC764F">
        <w:rPr>
          <w:i/>
          <w:highlight w:val="white"/>
        </w:rPr>
        <w:t>Electroencephalography and Clinical Neurophysiology</w:t>
      </w:r>
      <w:r w:rsidRPr="00BC764F">
        <w:rPr>
          <w:highlight w:val="white"/>
        </w:rPr>
        <w:t xml:space="preserve">, </w:t>
      </w:r>
      <w:r w:rsidRPr="00BC764F">
        <w:rPr>
          <w:i/>
          <w:highlight w:val="white"/>
        </w:rPr>
        <w:t>102</w:t>
      </w:r>
      <w:r w:rsidRPr="00BC764F">
        <w:rPr>
          <w:highlight w:val="white"/>
        </w:rPr>
        <w:t xml:space="preserve">(1), 20-26. </w:t>
      </w:r>
      <w:hyperlink r:id="rId43" w:history="1">
        <w:r w:rsidRPr="00BC764F">
          <w:rPr>
            <w:rStyle w:val="Hipervnculo"/>
            <w:highlight w:val="white"/>
          </w:rPr>
          <w:t>https://doi.org/10.1016/S0013-4694(96)96028-9</w:t>
        </w:r>
      </w:hyperlink>
    </w:p>
    <w:p w14:paraId="65F28BD8" w14:textId="77777777" w:rsidR="00BC764F" w:rsidRPr="00BC764F" w:rsidRDefault="00BC764F" w:rsidP="00BC764F">
      <w:pPr>
        <w:pStyle w:val="Referencias"/>
        <w:spacing w:line="360" w:lineRule="auto"/>
        <w:rPr>
          <w:highlight w:val="white"/>
        </w:rPr>
      </w:pPr>
      <w:r w:rsidRPr="00BC764F">
        <w:rPr>
          <w:highlight w:val="white"/>
        </w:rPr>
        <w:t xml:space="preserve">Manni, R., &amp; Terzaghi, M. (2010). Comorbidity between epilepsy and sleep disorders. </w:t>
      </w:r>
      <w:r w:rsidRPr="00BC764F">
        <w:rPr>
          <w:i/>
          <w:highlight w:val="white"/>
        </w:rPr>
        <w:t>Epilepsy Research</w:t>
      </w:r>
      <w:r w:rsidRPr="00BC764F">
        <w:rPr>
          <w:highlight w:val="white"/>
        </w:rPr>
        <w:t xml:space="preserve">, </w:t>
      </w:r>
      <w:r w:rsidRPr="00BC764F">
        <w:rPr>
          <w:i/>
          <w:highlight w:val="white"/>
        </w:rPr>
        <w:t>90</w:t>
      </w:r>
      <w:r w:rsidRPr="00BC764F">
        <w:rPr>
          <w:highlight w:val="white"/>
        </w:rPr>
        <w:t xml:space="preserve">(3), 171-177. </w:t>
      </w:r>
      <w:hyperlink r:id="rId44" w:history="1">
        <w:r w:rsidRPr="00BC764F">
          <w:rPr>
            <w:rStyle w:val="Hipervnculo"/>
            <w:highlight w:val="white"/>
          </w:rPr>
          <w:t>https://doi.org/10.1016/j.eplepsyres.2010.05.006</w:t>
        </w:r>
      </w:hyperlink>
    </w:p>
    <w:p w14:paraId="24EBC8FE" w14:textId="77777777" w:rsidR="00BC764F" w:rsidRPr="00BC764F" w:rsidRDefault="00BC764F" w:rsidP="00BC764F">
      <w:pPr>
        <w:pStyle w:val="Referencias"/>
        <w:spacing w:line="360" w:lineRule="auto"/>
        <w:rPr>
          <w:highlight w:val="white"/>
        </w:rPr>
      </w:pPr>
      <w:proofErr w:type="spellStart"/>
      <w:r w:rsidRPr="00BC764F">
        <w:rPr>
          <w:highlight w:val="white"/>
        </w:rPr>
        <w:t>Manjarrez</w:t>
      </w:r>
      <w:proofErr w:type="spellEnd"/>
      <w:r w:rsidRPr="00BC764F">
        <w:rPr>
          <w:highlight w:val="white"/>
        </w:rPr>
        <w:t xml:space="preserve">, J., Alvarado, R., &amp; Camacho-Arroyo, I. (2001). Differential effects of NMDA </w:t>
      </w:r>
      <w:proofErr w:type="gramStart"/>
      <w:r w:rsidRPr="00BC764F">
        <w:rPr>
          <w:highlight w:val="white"/>
        </w:rPr>
        <w:t>antagonists</w:t>
      </w:r>
      <w:proofErr w:type="gramEnd"/>
      <w:r w:rsidRPr="00BC764F">
        <w:rPr>
          <w:highlight w:val="white"/>
        </w:rPr>
        <w:t xml:space="preserve"> microinjections into the nucleus reticularis </w:t>
      </w:r>
      <w:proofErr w:type="spellStart"/>
      <w:r w:rsidRPr="00BC764F">
        <w:rPr>
          <w:highlight w:val="white"/>
        </w:rPr>
        <w:t>pontis</w:t>
      </w:r>
      <w:proofErr w:type="spellEnd"/>
      <w:r w:rsidRPr="00BC764F">
        <w:rPr>
          <w:highlight w:val="white"/>
        </w:rPr>
        <w:t xml:space="preserve"> </w:t>
      </w:r>
      <w:proofErr w:type="spellStart"/>
      <w:r w:rsidRPr="00BC764F">
        <w:rPr>
          <w:highlight w:val="white"/>
        </w:rPr>
        <w:t>caudalis</w:t>
      </w:r>
      <w:proofErr w:type="spellEnd"/>
      <w:r w:rsidRPr="00BC764F">
        <w:rPr>
          <w:highlight w:val="white"/>
        </w:rPr>
        <w:t xml:space="preserve"> on seizures </w:t>
      </w:r>
      <w:r w:rsidRPr="00BC764F">
        <w:rPr>
          <w:highlight w:val="white"/>
        </w:rPr>
        <w:lastRenderedPageBreak/>
        <w:t xml:space="preserve">induced by pentylenetetrazol in the rat. </w:t>
      </w:r>
      <w:r w:rsidRPr="00BC764F">
        <w:rPr>
          <w:i/>
          <w:highlight w:val="white"/>
        </w:rPr>
        <w:t>Epilepsy Research</w:t>
      </w:r>
      <w:r w:rsidRPr="00BC764F">
        <w:rPr>
          <w:highlight w:val="white"/>
        </w:rPr>
        <w:t xml:space="preserve">, </w:t>
      </w:r>
      <w:r w:rsidRPr="00BC764F">
        <w:rPr>
          <w:i/>
          <w:highlight w:val="white"/>
        </w:rPr>
        <w:t>46</w:t>
      </w:r>
      <w:r w:rsidRPr="00BC764F">
        <w:rPr>
          <w:highlight w:val="white"/>
        </w:rPr>
        <w:t xml:space="preserve">(1), 39-44. </w:t>
      </w:r>
      <w:hyperlink r:id="rId45" w:history="1">
        <w:r w:rsidRPr="00BC764F">
          <w:rPr>
            <w:rStyle w:val="Hipervnculo"/>
            <w:highlight w:val="white"/>
          </w:rPr>
          <w:t>https://doi.org/10.1016/S0920-1211(01)00256-X</w:t>
        </w:r>
      </w:hyperlink>
      <w:r w:rsidRPr="00BC764F">
        <w:rPr>
          <w:highlight w:val="white"/>
        </w:rPr>
        <w:t xml:space="preserve"> </w:t>
      </w:r>
    </w:p>
    <w:p w14:paraId="048A84DB" w14:textId="77777777" w:rsidR="00BC764F" w:rsidRPr="00BC764F" w:rsidRDefault="00BC764F" w:rsidP="00BC764F">
      <w:pPr>
        <w:pStyle w:val="Referencias"/>
        <w:spacing w:line="360" w:lineRule="auto"/>
        <w:rPr>
          <w:highlight w:val="white"/>
          <w:lang w:val="es-MX"/>
        </w:rPr>
      </w:pPr>
      <w:r w:rsidRPr="00BC764F">
        <w:rPr>
          <w:highlight w:val="white"/>
        </w:rPr>
        <w:t xml:space="preserve">Merrill, M. A., Clough, R. W., </w:t>
      </w:r>
      <w:proofErr w:type="spellStart"/>
      <w:r w:rsidRPr="00BC764F">
        <w:rPr>
          <w:highlight w:val="white"/>
        </w:rPr>
        <w:t>Jobe</w:t>
      </w:r>
      <w:proofErr w:type="spellEnd"/>
      <w:r w:rsidRPr="00BC764F">
        <w:rPr>
          <w:highlight w:val="white"/>
        </w:rPr>
        <w:t xml:space="preserve">, P. C., &amp; Browning, R. A. (2005). Brainstem seizure severity regulates forebrain seizure expression in the audiogenic kindling model. </w:t>
      </w:r>
      <w:r w:rsidRPr="00BC764F">
        <w:rPr>
          <w:i/>
          <w:iCs/>
          <w:highlight w:val="white"/>
          <w:lang w:val="es-MX"/>
        </w:rPr>
        <w:t>Epilepsia</w:t>
      </w:r>
      <w:r w:rsidRPr="00BC764F">
        <w:rPr>
          <w:highlight w:val="white"/>
          <w:lang w:val="es-MX"/>
        </w:rPr>
        <w:t xml:space="preserve">, </w:t>
      </w:r>
      <w:r w:rsidRPr="00BC764F">
        <w:rPr>
          <w:i/>
          <w:iCs/>
          <w:highlight w:val="white"/>
          <w:lang w:val="es-MX"/>
        </w:rPr>
        <w:t>46</w:t>
      </w:r>
      <w:r w:rsidRPr="00BC764F">
        <w:rPr>
          <w:highlight w:val="white"/>
          <w:lang w:val="es-MX"/>
        </w:rPr>
        <w:t xml:space="preserve">(9), 1380-1388. </w:t>
      </w:r>
      <w:r w:rsidR="007C07C7">
        <w:fldChar w:fldCharType="begin"/>
      </w:r>
      <w:r w:rsidR="007C07C7" w:rsidRPr="00971421">
        <w:rPr>
          <w:lang w:val="es-AR"/>
        </w:rPr>
        <w:instrText xml:space="preserve"> HYPERLINK "https://doi.org/10.1111/j.1528-1167.2005.39404.x" </w:instrText>
      </w:r>
      <w:r w:rsidR="007C07C7">
        <w:fldChar w:fldCharType="separate"/>
      </w:r>
      <w:r w:rsidRPr="00BC764F">
        <w:rPr>
          <w:rStyle w:val="Hipervnculo"/>
          <w:highlight w:val="white"/>
          <w:lang w:val="es-MX"/>
        </w:rPr>
        <w:t>https://doi.org/10.1111/j.1528-1167.2005.39404.x</w:t>
      </w:r>
      <w:r w:rsidR="007C07C7">
        <w:rPr>
          <w:rStyle w:val="Hipervnculo"/>
          <w:highlight w:val="white"/>
          <w:lang w:val="es-MX"/>
        </w:rPr>
        <w:fldChar w:fldCharType="end"/>
      </w:r>
    </w:p>
    <w:p w14:paraId="51176B19" w14:textId="77777777" w:rsidR="00BC764F" w:rsidRPr="00BC764F" w:rsidRDefault="00BC764F" w:rsidP="00BC764F">
      <w:pPr>
        <w:pStyle w:val="Referencias"/>
        <w:spacing w:line="360" w:lineRule="auto"/>
        <w:rPr>
          <w:highlight w:val="white"/>
          <w:lang w:val="es-MX"/>
        </w:rPr>
      </w:pPr>
      <w:r w:rsidRPr="00BC764F">
        <w:rPr>
          <w:highlight w:val="white"/>
          <w:lang w:val="es-MX"/>
        </w:rPr>
        <w:t xml:space="preserve">Mexicano, G., Campos-Sepulveda, E., Ayala-Guerrero, F., &amp; Vargas, L. (2005, marzo). </w:t>
      </w:r>
      <w:r w:rsidRPr="00BC764F">
        <w:rPr>
          <w:i/>
          <w:iCs/>
          <w:highlight w:val="white"/>
          <w:lang w:val="es-MX"/>
        </w:rPr>
        <w:t>Alteraciones del sueño provocadas por las crisis convulsivas inducidas con metrazol</w:t>
      </w:r>
      <w:r w:rsidRPr="00BC764F">
        <w:rPr>
          <w:highlight w:val="white"/>
          <w:lang w:val="es-MX"/>
        </w:rPr>
        <w:t>. Cartel presentado en el XXVIII Congreso Nacional de Farmacología. Universidad de las Américas, Puebla, México.</w:t>
      </w:r>
    </w:p>
    <w:p w14:paraId="0A747800" w14:textId="77777777" w:rsidR="00BC764F" w:rsidRPr="00BC764F" w:rsidRDefault="00BC764F" w:rsidP="00BC764F">
      <w:pPr>
        <w:pStyle w:val="Referencias"/>
        <w:spacing w:line="360" w:lineRule="auto"/>
        <w:rPr>
          <w:highlight w:val="white"/>
        </w:rPr>
      </w:pPr>
      <w:r w:rsidRPr="00BC764F">
        <w:rPr>
          <w:highlight w:val="white"/>
          <w:lang w:val="es-MX"/>
        </w:rPr>
        <w:t xml:space="preserve">Minecan, D., Natarajan, A., Marzec, M., &amp; Malow, B. (2002). </w:t>
      </w:r>
      <w:r w:rsidRPr="00BC764F">
        <w:rPr>
          <w:highlight w:val="white"/>
        </w:rPr>
        <w:t xml:space="preserve">Relationship of epileptic seizures to sleep stage and sleep depth. </w:t>
      </w:r>
      <w:r w:rsidRPr="00BC764F">
        <w:rPr>
          <w:i/>
          <w:highlight w:val="white"/>
        </w:rPr>
        <w:t>Sleep</w:t>
      </w:r>
      <w:r w:rsidRPr="00BC764F">
        <w:rPr>
          <w:highlight w:val="white"/>
        </w:rPr>
        <w:t xml:space="preserve">, </w:t>
      </w:r>
      <w:r w:rsidRPr="00BC764F">
        <w:rPr>
          <w:i/>
          <w:highlight w:val="white"/>
        </w:rPr>
        <w:t>25</w:t>
      </w:r>
      <w:r w:rsidRPr="00BC764F">
        <w:rPr>
          <w:highlight w:val="white"/>
        </w:rPr>
        <w:t>(8), 899-904.</w:t>
      </w:r>
    </w:p>
    <w:p w14:paraId="312C4A47" w14:textId="77777777" w:rsidR="00BC764F" w:rsidRPr="00BC764F" w:rsidRDefault="00BC764F" w:rsidP="00BC764F">
      <w:pPr>
        <w:pStyle w:val="Referencias"/>
        <w:spacing w:line="360" w:lineRule="auto"/>
        <w:rPr>
          <w:highlight w:val="white"/>
        </w:rPr>
      </w:pPr>
      <w:proofErr w:type="spellStart"/>
      <w:r w:rsidRPr="00BC764F">
        <w:rPr>
          <w:highlight w:val="white"/>
        </w:rPr>
        <w:t>Nehlig</w:t>
      </w:r>
      <w:proofErr w:type="spellEnd"/>
      <w:r w:rsidRPr="00BC764F">
        <w:rPr>
          <w:highlight w:val="white"/>
        </w:rPr>
        <w:t xml:space="preserve">, A., Rudolf, G., Leroy, C., </w:t>
      </w:r>
      <w:proofErr w:type="spellStart"/>
      <w:r w:rsidRPr="00BC764F">
        <w:rPr>
          <w:highlight w:val="white"/>
        </w:rPr>
        <w:t>Rigoulot</w:t>
      </w:r>
      <w:proofErr w:type="spellEnd"/>
      <w:r w:rsidRPr="00BC764F">
        <w:rPr>
          <w:highlight w:val="white"/>
        </w:rPr>
        <w:t xml:space="preserve">, M. A., Simpson, I. A., &amp; </w:t>
      </w:r>
      <w:proofErr w:type="spellStart"/>
      <w:r w:rsidRPr="00BC764F">
        <w:rPr>
          <w:highlight w:val="white"/>
        </w:rPr>
        <w:t>Vannucci</w:t>
      </w:r>
      <w:proofErr w:type="spellEnd"/>
      <w:r w:rsidRPr="00BC764F">
        <w:rPr>
          <w:highlight w:val="white"/>
        </w:rPr>
        <w:t xml:space="preserve">, S. J. (2006). Pentylenetetrazol induced status epilepticus up-regulates the expression of glucose transporter mRNAs but not proteins in the immature rat brain. </w:t>
      </w:r>
      <w:r w:rsidRPr="00BC764F">
        <w:rPr>
          <w:i/>
          <w:highlight w:val="white"/>
        </w:rPr>
        <w:t>Brain Research</w:t>
      </w:r>
      <w:r w:rsidRPr="00BC764F">
        <w:rPr>
          <w:highlight w:val="white"/>
        </w:rPr>
        <w:t xml:space="preserve">, </w:t>
      </w:r>
      <w:r w:rsidRPr="00BC764F">
        <w:rPr>
          <w:i/>
          <w:highlight w:val="white"/>
        </w:rPr>
        <w:t>1082</w:t>
      </w:r>
      <w:r w:rsidRPr="00BC764F">
        <w:rPr>
          <w:highlight w:val="white"/>
        </w:rPr>
        <w:t xml:space="preserve">(1), 32-42. </w:t>
      </w:r>
      <w:hyperlink r:id="rId46" w:history="1">
        <w:r w:rsidRPr="00BC764F">
          <w:rPr>
            <w:rStyle w:val="Hipervnculo"/>
            <w:highlight w:val="white"/>
          </w:rPr>
          <w:t>https://doi.org/10.1016/j.brainres.2006.01.078</w:t>
        </w:r>
      </w:hyperlink>
    </w:p>
    <w:p w14:paraId="0B2A5B11" w14:textId="77777777" w:rsidR="00BC764F" w:rsidRPr="00BC764F" w:rsidRDefault="00BC764F" w:rsidP="00BC764F">
      <w:pPr>
        <w:pStyle w:val="Referencias"/>
        <w:spacing w:line="360" w:lineRule="auto"/>
        <w:rPr>
          <w:highlight w:val="white"/>
        </w:rPr>
      </w:pPr>
      <w:r w:rsidRPr="00BC764F">
        <w:rPr>
          <w:highlight w:val="white"/>
        </w:rPr>
        <w:t xml:space="preserve">Offord, J., &amp; Isom, L. L. (2016). Drugging the undruggable: gabapentin, pregabalin and the calcium channel α2δ subunit. </w:t>
      </w:r>
      <w:r w:rsidRPr="00BC764F">
        <w:rPr>
          <w:i/>
          <w:highlight w:val="white"/>
        </w:rPr>
        <w:t>Critical Reviews in Biochemistry and Molecular Biology</w:t>
      </w:r>
      <w:r w:rsidRPr="00BC764F">
        <w:rPr>
          <w:highlight w:val="white"/>
        </w:rPr>
        <w:t xml:space="preserve">, </w:t>
      </w:r>
      <w:r w:rsidRPr="00BC764F">
        <w:rPr>
          <w:i/>
          <w:highlight w:val="white"/>
        </w:rPr>
        <w:t>51</w:t>
      </w:r>
      <w:r w:rsidRPr="00BC764F">
        <w:rPr>
          <w:highlight w:val="white"/>
        </w:rPr>
        <w:t xml:space="preserve">(4): 246-256. </w:t>
      </w:r>
      <w:hyperlink r:id="rId47" w:history="1">
        <w:r w:rsidRPr="00BC764F">
          <w:rPr>
            <w:rStyle w:val="Hipervnculo"/>
            <w:highlight w:val="white"/>
          </w:rPr>
          <w:t>http://dx.doi.org/10.3109/10409238.2016.1173010</w:t>
        </w:r>
      </w:hyperlink>
    </w:p>
    <w:p w14:paraId="72F44369" w14:textId="77777777" w:rsidR="00BC764F" w:rsidRPr="00BC764F" w:rsidRDefault="00BC764F" w:rsidP="00BC764F">
      <w:pPr>
        <w:pStyle w:val="Referencias"/>
        <w:spacing w:line="360" w:lineRule="auto"/>
        <w:rPr>
          <w:highlight w:val="white"/>
        </w:rPr>
      </w:pPr>
      <w:proofErr w:type="spellStart"/>
      <w:r w:rsidRPr="00BC764F">
        <w:rPr>
          <w:highlight w:val="white"/>
        </w:rPr>
        <w:t>Pellmar</w:t>
      </w:r>
      <w:proofErr w:type="spellEnd"/>
      <w:r w:rsidRPr="00BC764F">
        <w:rPr>
          <w:highlight w:val="white"/>
        </w:rPr>
        <w:t xml:space="preserve">, T. C., &amp; Wilson, W. A. (1977). Synaptic mechanism of </w:t>
      </w:r>
      <w:proofErr w:type="spellStart"/>
      <w:r w:rsidRPr="00BC764F">
        <w:rPr>
          <w:highlight w:val="white"/>
        </w:rPr>
        <w:t>pentylenetetrazole</w:t>
      </w:r>
      <w:proofErr w:type="spellEnd"/>
      <w:r w:rsidRPr="00BC764F">
        <w:rPr>
          <w:highlight w:val="white"/>
        </w:rPr>
        <w:t xml:space="preserve">: selectivity for chloride conductance. </w:t>
      </w:r>
      <w:r w:rsidRPr="00BC764F">
        <w:rPr>
          <w:i/>
          <w:highlight w:val="white"/>
        </w:rPr>
        <w:t>Science</w:t>
      </w:r>
      <w:r w:rsidRPr="00BC764F">
        <w:rPr>
          <w:highlight w:val="white"/>
        </w:rPr>
        <w:t xml:space="preserve">, </w:t>
      </w:r>
      <w:r w:rsidRPr="00BC764F">
        <w:rPr>
          <w:i/>
          <w:highlight w:val="white"/>
        </w:rPr>
        <w:t>197</w:t>
      </w:r>
      <w:r w:rsidRPr="00BC764F">
        <w:rPr>
          <w:highlight w:val="white"/>
        </w:rPr>
        <w:t xml:space="preserve">(4306), 912-914. </w:t>
      </w:r>
      <w:hyperlink r:id="rId48" w:history="1">
        <w:r w:rsidRPr="00BC764F">
          <w:rPr>
            <w:rStyle w:val="Hipervnculo"/>
            <w:highlight w:val="white"/>
          </w:rPr>
          <w:t>https://doi.org/10.1126/science.887932</w:t>
        </w:r>
      </w:hyperlink>
    </w:p>
    <w:p w14:paraId="1FCB01BE" w14:textId="77777777" w:rsidR="00BC764F" w:rsidRPr="00BC764F" w:rsidRDefault="00BC764F" w:rsidP="00BC764F">
      <w:pPr>
        <w:pStyle w:val="Referencias"/>
        <w:spacing w:line="360" w:lineRule="auto"/>
        <w:rPr>
          <w:highlight w:val="white"/>
        </w:rPr>
      </w:pPr>
      <w:r w:rsidRPr="00BC764F">
        <w:rPr>
          <w:highlight w:val="white"/>
        </w:rPr>
        <w:t xml:space="preserve">Racine, R. J. (1972). Modification of seizure activity by electrical stimulation: II. Motor seizure. </w:t>
      </w:r>
      <w:r w:rsidRPr="00BC764F">
        <w:rPr>
          <w:i/>
          <w:highlight w:val="white"/>
        </w:rPr>
        <w:t>Electroencephalography and Clinical Neurophysiology</w:t>
      </w:r>
      <w:r w:rsidRPr="00BC764F">
        <w:rPr>
          <w:highlight w:val="white"/>
        </w:rPr>
        <w:t xml:space="preserve">, </w:t>
      </w:r>
      <w:r w:rsidRPr="00BC764F">
        <w:rPr>
          <w:i/>
          <w:highlight w:val="white"/>
        </w:rPr>
        <w:t>32</w:t>
      </w:r>
      <w:r w:rsidRPr="00BC764F">
        <w:rPr>
          <w:highlight w:val="white"/>
        </w:rPr>
        <w:t xml:space="preserve">(3), 281-294. </w:t>
      </w:r>
      <w:hyperlink r:id="rId49" w:history="1">
        <w:r w:rsidRPr="00BC764F">
          <w:rPr>
            <w:rStyle w:val="Hipervnculo"/>
            <w:highlight w:val="white"/>
          </w:rPr>
          <w:t>https://doi.org/10.1016/0013-4694(72)90177-0</w:t>
        </w:r>
      </w:hyperlink>
    </w:p>
    <w:p w14:paraId="4A0E8D65" w14:textId="77777777" w:rsidR="00BC764F" w:rsidRPr="00BC764F" w:rsidRDefault="00BC764F" w:rsidP="00BC764F">
      <w:pPr>
        <w:pStyle w:val="Referencias"/>
        <w:spacing w:line="360" w:lineRule="auto"/>
        <w:rPr>
          <w:highlight w:val="white"/>
        </w:rPr>
      </w:pPr>
      <w:proofErr w:type="spellStart"/>
      <w:r w:rsidRPr="00BC764F">
        <w:rPr>
          <w:highlight w:val="white"/>
        </w:rPr>
        <w:t>Raisinghani</w:t>
      </w:r>
      <w:proofErr w:type="spellEnd"/>
      <w:r w:rsidRPr="00BC764F">
        <w:rPr>
          <w:highlight w:val="white"/>
        </w:rPr>
        <w:t xml:space="preserve">, M., &amp; </w:t>
      </w:r>
      <w:proofErr w:type="spellStart"/>
      <w:r w:rsidRPr="00BC764F">
        <w:rPr>
          <w:highlight w:val="white"/>
        </w:rPr>
        <w:t>Faingold</w:t>
      </w:r>
      <w:proofErr w:type="spellEnd"/>
      <w:r w:rsidRPr="00BC764F">
        <w:rPr>
          <w:highlight w:val="white"/>
        </w:rPr>
        <w:t xml:space="preserve">, C.L. (2005). Pontine reticular formation neurons are implicated in the neuronal network for generalized </w:t>
      </w:r>
      <w:proofErr w:type="spellStart"/>
      <w:r w:rsidRPr="00BC764F">
        <w:rPr>
          <w:highlight w:val="white"/>
        </w:rPr>
        <w:t>clonic</w:t>
      </w:r>
      <w:proofErr w:type="spellEnd"/>
      <w:r w:rsidRPr="00BC764F">
        <w:rPr>
          <w:highlight w:val="white"/>
        </w:rPr>
        <w:t xml:space="preserve"> seizures which is intensified by audiogenic kindling. </w:t>
      </w:r>
      <w:r w:rsidRPr="00BC764F">
        <w:rPr>
          <w:i/>
          <w:iCs/>
          <w:highlight w:val="white"/>
        </w:rPr>
        <w:t>Brain Research</w:t>
      </w:r>
      <w:r w:rsidRPr="00BC764F">
        <w:rPr>
          <w:highlight w:val="white"/>
        </w:rPr>
        <w:t xml:space="preserve">, </w:t>
      </w:r>
      <w:r w:rsidRPr="00BC764F">
        <w:rPr>
          <w:i/>
          <w:iCs/>
          <w:highlight w:val="white"/>
        </w:rPr>
        <w:t>1064</w:t>
      </w:r>
      <w:r w:rsidRPr="00BC764F">
        <w:rPr>
          <w:highlight w:val="white"/>
        </w:rPr>
        <w:t xml:space="preserve">(1-2), 90-97. </w:t>
      </w:r>
      <w:hyperlink r:id="rId50" w:history="1">
        <w:r w:rsidRPr="00BC764F">
          <w:rPr>
            <w:rStyle w:val="Hipervnculo"/>
            <w:highlight w:val="white"/>
          </w:rPr>
          <w:t>https://doi.org/10.1016/j.brainres.2005.09.047</w:t>
        </w:r>
      </w:hyperlink>
    </w:p>
    <w:p w14:paraId="2B533E73" w14:textId="77777777" w:rsidR="00BC764F" w:rsidRPr="00BC764F" w:rsidRDefault="00BC764F" w:rsidP="00BC764F">
      <w:pPr>
        <w:pStyle w:val="Referencias"/>
        <w:spacing w:line="360" w:lineRule="auto"/>
        <w:rPr>
          <w:highlight w:val="white"/>
        </w:rPr>
      </w:pPr>
      <w:r w:rsidRPr="00BC764F">
        <w:rPr>
          <w:highlight w:val="white"/>
        </w:rPr>
        <w:t xml:space="preserve">Robinson, A. A., &amp; Malow, B. A. (2013). Gabapentin shows promise in treating refractory insomnia in children. </w:t>
      </w:r>
      <w:r w:rsidRPr="00BC764F">
        <w:rPr>
          <w:i/>
          <w:iCs/>
          <w:highlight w:val="white"/>
        </w:rPr>
        <w:t>Journal of Child Neurology</w:t>
      </w:r>
      <w:r w:rsidRPr="00BC764F">
        <w:rPr>
          <w:highlight w:val="white"/>
        </w:rPr>
        <w:t xml:space="preserve">, </w:t>
      </w:r>
      <w:r w:rsidRPr="00BC764F">
        <w:rPr>
          <w:i/>
          <w:iCs/>
          <w:highlight w:val="white"/>
        </w:rPr>
        <w:t>28</w:t>
      </w:r>
      <w:r w:rsidRPr="00BC764F">
        <w:rPr>
          <w:highlight w:val="white"/>
        </w:rPr>
        <w:t xml:space="preserve">(12), 1618-21. </w:t>
      </w:r>
      <w:hyperlink r:id="rId51" w:history="1">
        <w:r w:rsidRPr="00BC764F">
          <w:rPr>
            <w:rStyle w:val="Hipervnculo"/>
            <w:highlight w:val="white"/>
          </w:rPr>
          <w:t>https://doi.org/10.1177/0883073812463069</w:t>
        </w:r>
      </w:hyperlink>
    </w:p>
    <w:p w14:paraId="338F84B0" w14:textId="77777777" w:rsidR="00BC764F" w:rsidRPr="00BC764F" w:rsidRDefault="00BC764F" w:rsidP="00BC764F">
      <w:pPr>
        <w:pStyle w:val="Referencias"/>
        <w:spacing w:line="360" w:lineRule="auto"/>
        <w:rPr>
          <w:highlight w:val="white"/>
        </w:rPr>
      </w:pPr>
      <w:r w:rsidRPr="00BC764F">
        <w:rPr>
          <w:highlight w:val="white"/>
        </w:rPr>
        <w:t xml:space="preserve">Rose, M. A., &amp; Kam, P. C. (2002). Gabapentin: pharmacology and its use in pain management. </w:t>
      </w:r>
      <w:proofErr w:type="spellStart"/>
      <w:r w:rsidRPr="00BC764F">
        <w:rPr>
          <w:i/>
          <w:highlight w:val="white"/>
        </w:rPr>
        <w:t>Anaesthesia</w:t>
      </w:r>
      <w:proofErr w:type="spellEnd"/>
      <w:r w:rsidRPr="00BC764F">
        <w:rPr>
          <w:highlight w:val="white"/>
        </w:rPr>
        <w:t xml:space="preserve">, </w:t>
      </w:r>
      <w:r w:rsidRPr="00BC764F">
        <w:rPr>
          <w:i/>
          <w:highlight w:val="white"/>
        </w:rPr>
        <w:t>57</w:t>
      </w:r>
      <w:r w:rsidRPr="00BC764F">
        <w:rPr>
          <w:highlight w:val="white"/>
        </w:rPr>
        <w:t xml:space="preserve">(5), 451-62. </w:t>
      </w:r>
      <w:hyperlink r:id="rId52" w:history="1">
        <w:r w:rsidRPr="00BC764F">
          <w:rPr>
            <w:rStyle w:val="Hipervnculo"/>
            <w:highlight w:val="white"/>
          </w:rPr>
          <w:t>https://doi.org/10.1046/j.0003-2409.2001.02399.x</w:t>
        </w:r>
      </w:hyperlink>
    </w:p>
    <w:p w14:paraId="23E235A5" w14:textId="77777777" w:rsidR="00BC764F" w:rsidRPr="00BC764F" w:rsidRDefault="00BC764F" w:rsidP="00BC764F">
      <w:pPr>
        <w:pStyle w:val="Referencias"/>
        <w:spacing w:line="360" w:lineRule="auto"/>
        <w:rPr>
          <w:highlight w:val="white"/>
          <w:lang w:val="es-AR"/>
        </w:rPr>
      </w:pPr>
      <w:proofErr w:type="spellStart"/>
      <w:r w:rsidRPr="00BC764F">
        <w:rPr>
          <w:highlight w:val="white"/>
        </w:rPr>
        <w:lastRenderedPageBreak/>
        <w:t>Sajadian</w:t>
      </w:r>
      <w:proofErr w:type="spellEnd"/>
      <w:r w:rsidRPr="00BC764F">
        <w:rPr>
          <w:highlight w:val="white"/>
        </w:rPr>
        <w:t xml:space="preserve">, A., </w:t>
      </w:r>
      <w:proofErr w:type="spellStart"/>
      <w:r w:rsidRPr="00BC764F">
        <w:rPr>
          <w:highlight w:val="white"/>
        </w:rPr>
        <w:t>Esteghamat</w:t>
      </w:r>
      <w:proofErr w:type="spellEnd"/>
      <w:r w:rsidRPr="00BC764F">
        <w:rPr>
          <w:highlight w:val="white"/>
        </w:rPr>
        <w:t xml:space="preserve">, S., </w:t>
      </w:r>
      <w:proofErr w:type="spellStart"/>
      <w:r w:rsidRPr="00BC764F">
        <w:rPr>
          <w:highlight w:val="white"/>
        </w:rPr>
        <w:t>Karimzadeh</w:t>
      </w:r>
      <w:proofErr w:type="spellEnd"/>
      <w:r w:rsidRPr="00BC764F">
        <w:rPr>
          <w:highlight w:val="white"/>
        </w:rPr>
        <w:t xml:space="preserve">, F., </w:t>
      </w:r>
      <w:proofErr w:type="spellStart"/>
      <w:r w:rsidRPr="00BC764F">
        <w:rPr>
          <w:highlight w:val="white"/>
        </w:rPr>
        <w:t>Eshaghabadi</w:t>
      </w:r>
      <w:proofErr w:type="spellEnd"/>
      <w:r w:rsidRPr="00BC764F">
        <w:rPr>
          <w:highlight w:val="white"/>
        </w:rPr>
        <w:t xml:space="preserve">, A., </w:t>
      </w:r>
      <w:proofErr w:type="spellStart"/>
      <w:r w:rsidRPr="00BC764F">
        <w:rPr>
          <w:highlight w:val="white"/>
        </w:rPr>
        <w:t>Sieg</w:t>
      </w:r>
      <w:proofErr w:type="spellEnd"/>
      <w:r w:rsidRPr="00BC764F">
        <w:rPr>
          <w:highlight w:val="white"/>
        </w:rPr>
        <w:t xml:space="preserve">, F., </w:t>
      </w:r>
      <w:proofErr w:type="spellStart"/>
      <w:r w:rsidRPr="00BC764F">
        <w:rPr>
          <w:highlight w:val="white"/>
        </w:rPr>
        <w:t>Speckmann</w:t>
      </w:r>
      <w:proofErr w:type="spellEnd"/>
      <w:r w:rsidRPr="00BC764F">
        <w:rPr>
          <w:highlight w:val="white"/>
        </w:rPr>
        <w:t xml:space="preserve">, E. J., ... </w:t>
      </w:r>
      <w:proofErr w:type="spellStart"/>
      <w:r w:rsidRPr="00BC764F">
        <w:rPr>
          <w:highlight w:val="white"/>
        </w:rPr>
        <w:t>Gorji</w:t>
      </w:r>
      <w:proofErr w:type="spellEnd"/>
      <w:r w:rsidRPr="00BC764F">
        <w:rPr>
          <w:highlight w:val="white"/>
        </w:rPr>
        <w:t xml:space="preserve">, A. (2015). Anticonvulsant effect of neural regeneration peptide 2945 on pentylenetetrazol-induced seizures in rats. </w:t>
      </w:r>
      <w:proofErr w:type="spellStart"/>
      <w:r w:rsidRPr="00BC764F">
        <w:rPr>
          <w:i/>
          <w:iCs/>
          <w:highlight w:val="white"/>
          <w:lang w:val="es-AR"/>
        </w:rPr>
        <w:t>Neuropeptides</w:t>
      </w:r>
      <w:proofErr w:type="spellEnd"/>
      <w:r w:rsidRPr="00BC764F">
        <w:rPr>
          <w:highlight w:val="white"/>
          <w:lang w:val="es-AR"/>
        </w:rPr>
        <w:t>,</w:t>
      </w:r>
      <w:r w:rsidRPr="00BC764F">
        <w:rPr>
          <w:i/>
          <w:iCs/>
          <w:highlight w:val="white"/>
          <w:lang w:val="es-AR"/>
        </w:rPr>
        <w:t xml:space="preserve"> 49</w:t>
      </w:r>
      <w:r w:rsidRPr="00BC764F">
        <w:rPr>
          <w:highlight w:val="white"/>
          <w:lang w:val="es-AR"/>
        </w:rPr>
        <w:t xml:space="preserve">, 15–23. </w:t>
      </w:r>
      <w:r w:rsidR="007C07C7">
        <w:fldChar w:fldCharType="begin"/>
      </w:r>
      <w:r w:rsidR="007C07C7" w:rsidRPr="00971421">
        <w:rPr>
          <w:lang w:val="es-AR"/>
        </w:rPr>
        <w:instrText xml:space="preserve"> HYPERLINK "https://doi.org/10.1016/j.npep.2014.11.002" </w:instrText>
      </w:r>
      <w:r w:rsidR="007C07C7">
        <w:fldChar w:fldCharType="separate"/>
      </w:r>
      <w:r w:rsidRPr="00BC764F">
        <w:rPr>
          <w:rStyle w:val="Hipervnculo"/>
          <w:highlight w:val="white"/>
          <w:lang w:val="es-AR"/>
        </w:rPr>
        <w:t>https://doi.org/10.1016/j.npep.2014.11.002</w:t>
      </w:r>
      <w:r w:rsidR="007C07C7">
        <w:rPr>
          <w:rStyle w:val="Hipervnculo"/>
          <w:highlight w:val="white"/>
          <w:lang w:val="es-AR"/>
        </w:rPr>
        <w:fldChar w:fldCharType="end"/>
      </w:r>
    </w:p>
    <w:p w14:paraId="3830CF63" w14:textId="77777777" w:rsidR="00BC764F" w:rsidRPr="00BC764F" w:rsidRDefault="00BC764F" w:rsidP="00BC764F">
      <w:pPr>
        <w:pStyle w:val="Referencias"/>
        <w:spacing w:line="360" w:lineRule="auto"/>
        <w:rPr>
          <w:highlight w:val="white"/>
          <w:lang w:val="es-AR"/>
        </w:rPr>
      </w:pPr>
      <w:proofErr w:type="spellStart"/>
      <w:r w:rsidRPr="00BC764F">
        <w:rPr>
          <w:highlight w:val="white"/>
          <w:lang w:val="es-AR"/>
        </w:rPr>
        <w:t>Santín</w:t>
      </w:r>
      <w:proofErr w:type="spellEnd"/>
      <w:r w:rsidRPr="00BC764F">
        <w:rPr>
          <w:highlight w:val="white"/>
          <w:lang w:val="es-AR"/>
        </w:rPr>
        <w:t xml:space="preserve">, J. (2013). Sueño y epilepsia. </w:t>
      </w:r>
      <w:r w:rsidRPr="00BC764F">
        <w:rPr>
          <w:i/>
          <w:highlight w:val="white"/>
          <w:lang w:val="es-AR"/>
        </w:rPr>
        <w:t>Revista Médica Clínica Las Condes</w:t>
      </w:r>
      <w:r w:rsidRPr="00BC764F">
        <w:rPr>
          <w:highlight w:val="white"/>
          <w:lang w:val="es-AR"/>
        </w:rPr>
        <w:t xml:space="preserve">, </w:t>
      </w:r>
      <w:r w:rsidRPr="00BC764F">
        <w:rPr>
          <w:i/>
          <w:highlight w:val="white"/>
          <w:lang w:val="es-AR"/>
        </w:rPr>
        <w:t>24</w:t>
      </w:r>
      <w:r w:rsidRPr="00BC764F">
        <w:rPr>
          <w:highlight w:val="white"/>
          <w:lang w:val="es-AR"/>
        </w:rPr>
        <w:t xml:space="preserve">(3), 480-485. </w:t>
      </w:r>
      <w:r w:rsidR="007C07C7">
        <w:fldChar w:fldCharType="begin"/>
      </w:r>
      <w:r w:rsidR="007C07C7" w:rsidRPr="00971421">
        <w:rPr>
          <w:lang w:val="es-AR"/>
        </w:rPr>
        <w:instrText xml:space="preserve"> HYPERLINK "http://dx.doi.org/10.1016/s0716-8640(13)70184-6" </w:instrText>
      </w:r>
      <w:r w:rsidR="007C07C7">
        <w:fldChar w:fldCharType="separate"/>
      </w:r>
      <w:r w:rsidRPr="00BC764F">
        <w:rPr>
          <w:rStyle w:val="Hipervnculo"/>
          <w:highlight w:val="white"/>
          <w:lang w:val="es-AR"/>
        </w:rPr>
        <w:t>http://dx.doi.org/10.1016/s0716-8640(13)70184-6</w:t>
      </w:r>
      <w:r w:rsidR="007C07C7">
        <w:rPr>
          <w:rStyle w:val="Hipervnculo"/>
          <w:highlight w:val="white"/>
          <w:lang w:val="es-AR"/>
        </w:rPr>
        <w:fldChar w:fldCharType="end"/>
      </w:r>
    </w:p>
    <w:p w14:paraId="4390D7A4" w14:textId="77777777" w:rsidR="00BC764F" w:rsidRPr="00BC764F" w:rsidRDefault="00BC764F" w:rsidP="00BC764F">
      <w:pPr>
        <w:pStyle w:val="Referencias"/>
        <w:spacing w:line="360" w:lineRule="auto"/>
        <w:rPr>
          <w:highlight w:val="white"/>
        </w:rPr>
      </w:pPr>
      <w:proofErr w:type="spellStart"/>
      <w:r w:rsidRPr="00BC764F">
        <w:rPr>
          <w:highlight w:val="white"/>
          <w:lang w:val="es-AR"/>
        </w:rPr>
        <w:t>Sayyah</w:t>
      </w:r>
      <w:proofErr w:type="spellEnd"/>
      <w:r w:rsidRPr="00BC764F">
        <w:rPr>
          <w:highlight w:val="white"/>
          <w:lang w:val="es-AR"/>
        </w:rPr>
        <w:t xml:space="preserve">, M., </w:t>
      </w:r>
      <w:proofErr w:type="spellStart"/>
      <w:r w:rsidRPr="00BC764F">
        <w:rPr>
          <w:highlight w:val="white"/>
          <w:lang w:val="es-AR"/>
        </w:rPr>
        <w:t>Beheshti</w:t>
      </w:r>
      <w:proofErr w:type="spellEnd"/>
      <w:r w:rsidRPr="00BC764F">
        <w:rPr>
          <w:highlight w:val="white"/>
          <w:lang w:val="es-AR"/>
        </w:rPr>
        <w:t xml:space="preserve">, S., </w:t>
      </w:r>
      <w:proofErr w:type="spellStart"/>
      <w:r w:rsidRPr="00BC764F">
        <w:rPr>
          <w:highlight w:val="white"/>
          <w:lang w:val="es-AR"/>
        </w:rPr>
        <w:t>Shokrgoza</w:t>
      </w:r>
      <w:proofErr w:type="spellEnd"/>
      <w:r w:rsidRPr="00BC764F">
        <w:rPr>
          <w:highlight w:val="white"/>
          <w:lang w:val="es-AR"/>
        </w:rPr>
        <w:t xml:space="preserve">, M. A., </w:t>
      </w:r>
      <w:proofErr w:type="spellStart"/>
      <w:r w:rsidRPr="00BC764F">
        <w:rPr>
          <w:highlight w:val="white"/>
          <w:lang w:val="es-AR"/>
        </w:rPr>
        <w:t>Eslami-far</w:t>
      </w:r>
      <w:proofErr w:type="spellEnd"/>
      <w:r w:rsidRPr="00BC764F">
        <w:rPr>
          <w:highlight w:val="white"/>
          <w:lang w:val="es-AR"/>
        </w:rPr>
        <w:t xml:space="preserve">, A., </w:t>
      </w:r>
      <w:proofErr w:type="spellStart"/>
      <w:r w:rsidRPr="00BC764F">
        <w:rPr>
          <w:highlight w:val="white"/>
          <w:lang w:val="es-AR"/>
        </w:rPr>
        <w:t>Deljoo</w:t>
      </w:r>
      <w:proofErr w:type="spellEnd"/>
      <w:r w:rsidRPr="00BC764F">
        <w:rPr>
          <w:highlight w:val="white"/>
          <w:lang w:val="es-AR"/>
        </w:rPr>
        <w:t xml:space="preserve">, Z., </w:t>
      </w:r>
      <w:proofErr w:type="spellStart"/>
      <w:r w:rsidRPr="00BC764F">
        <w:rPr>
          <w:highlight w:val="white"/>
          <w:lang w:val="es-AR"/>
        </w:rPr>
        <w:t>Khabiri</w:t>
      </w:r>
      <w:proofErr w:type="spellEnd"/>
      <w:r w:rsidRPr="00BC764F">
        <w:rPr>
          <w:highlight w:val="white"/>
          <w:lang w:val="es-AR"/>
        </w:rPr>
        <w:t xml:space="preserve">, A. R., … </w:t>
      </w:r>
      <w:proofErr w:type="spellStart"/>
      <w:r w:rsidRPr="00BC764F">
        <w:rPr>
          <w:highlight w:val="white"/>
        </w:rPr>
        <w:t>Haeri</w:t>
      </w:r>
      <w:proofErr w:type="spellEnd"/>
      <w:r w:rsidRPr="00BC764F">
        <w:rPr>
          <w:highlight w:val="white"/>
        </w:rPr>
        <w:t xml:space="preserve"> </w:t>
      </w:r>
      <w:proofErr w:type="spellStart"/>
      <w:r w:rsidRPr="00BC764F">
        <w:rPr>
          <w:highlight w:val="white"/>
        </w:rPr>
        <w:t>Rohani</w:t>
      </w:r>
      <w:proofErr w:type="spellEnd"/>
      <w:r w:rsidRPr="00BC764F">
        <w:rPr>
          <w:highlight w:val="white"/>
        </w:rPr>
        <w:t xml:space="preserve">, A. (2005). Antiepileptogenic and anticonvulsant activity of interleukin-1 beta in amygdala-kindled rats. </w:t>
      </w:r>
      <w:r w:rsidRPr="00BC764F">
        <w:rPr>
          <w:i/>
          <w:highlight w:val="white"/>
        </w:rPr>
        <w:t>Experimental Neurology</w:t>
      </w:r>
      <w:r w:rsidRPr="00BC764F">
        <w:rPr>
          <w:highlight w:val="white"/>
        </w:rPr>
        <w:t xml:space="preserve">, </w:t>
      </w:r>
      <w:r w:rsidRPr="00BC764F">
        <w:rPr>
          <w:i/>
          <w:highlight w:val="white"/>
        </w:rPr>
        <w:t>191</w:t>
      </w:r>
      <w:r w:rsidRPr="00BC764F">
        <w:rPr>
          <w:highlight w:val="white"/>
        </w:rPr>
        <w:t xml:space="preserve">(1), 145-53. </w:t>
      </w:r>
      <w:hyperlink r:id="rId53" w:history="1">
        <w:r w:rsidRPr="00BC764F">
          <w:rPr>
            <w:rStyle w:val="Hipervnculo"/>
            <w:highlight w:val="white"/>
          </w:rPr>
          <w:t>https://doi.org/10.1016/j.expneurol.2004.08.032</w:t>
        </w:r>
      </w:hyperlink>
    </w:p>
    <w:p w14:paraId="26AD7DC7" w14:textId="77777777" w:rsidR="00BC764F" w:rsidRPr="00BC764F" w:rsidRDefault="00BC764F" w:rsidP="00BC764F">
      <w:pPr>
        <w:pStyle w:val="Referencias"/>
        <w:spacing w:line="360" w:lineRule="auto"/>
        <w:rPr>
          <w:highlight w:val="white"/>
        </w:rPr>
      </w:pPr>
      <w:r w:rsidRPr="00BC764F">
        <w:rPr>
          <w:highlight w:val="white"/>
        </w:rPr>
        <w:t xml:space="preserve">Sills, G. J. (2006). The mechanisms of action of gabapentin and pregabalin. </w:t>
      </w:r>
      <w:r w:rsidRPr="00BC764F">
        <w:rPr>
          <w:i/>
          <w:highlight w:val="white"/>
        </w:rPr>
        <w:t>Current Opinion in Pharmacology</w:t>
      </w:r>
      <w:r w:rsidRPr="00BC764F">
        <w:rPr>
          <w:highlight w:val="white"/>
        </w:rPr>
        <w:t xml:space="preserve">, </w:t>
      </w:r>
      <w:r w:rsidRPr="00BC764F">
        <w:rPr>
          <w:i/>
          <w:highlight w:val="white"/>
        </w:rPr>
        <w:t>6</w:t>
      </w:r>
      <w:r w:rsidRPr="00BC764F">
        <w:rPr>
          <w:highlight w:val="white"/>
        </w:rPr>
        <w:t xml:space="preserve">(1), 108–113. </w:t>
      </w:r>
      <w:hyperlink r:id="rId54" w:history="1">
        <w:r w:rsidRPr="00BC764F">
          <w:rPr>
            <w:rStyle w:val="Hipervnculo"/>
            <w:highlight w:val="white"/>
          </w:rPr>
          <w:t>https://doi.org/10.1016/j.coph.2005.11.003</w:t>
        </w:r>
      </w:hyperlink>
    </w:p>
    <w:p w14:paraId="68BF14E8" w14:textId="77777777" w:rsidR="00BC764F" w:rsidRPr="00BC764F" w:rsidRDefault="00BC764F" w:rsidP="00BC764F">
      <w:pPr>
        <w:pStyle w:val="Referencias"/>
        <w:spacing w:line="360" w:lineRule="auto"/>
        <w:rPr>
          <w:highlight w:val="white"/>
        </w:rPr>
      </w:pPr>
      <w:r w:rsidRPr="00BC764F">
        <w:rPr>
          <w:highlight w:val="white"/>
        </w:rPr>
        <w:t xml:space="preserve">Schweitzer, P. K., &amp; </w:t>
      </w:r>
      <w:proofErr w:type="spellStart"/>
      <w:r w:rsidRPr="00BC764F">
        <w:rPr>
          <w:highlight w:val="white"/>
        </w:rPr>
        <w:t>Feren</w:t>
      </w:r>
      <w:proofErr w:type="spellEnd"/>
      <w:r w:rsidRPr="00BC764F">
        <w:rPr>
          <w:highlight w:val="white"/>
        </w:rPr>
        <w:t xml:space="preserve">, S. D. (2017) Pharmacological Treatment of Insomnia. In: H. </w:t>
      </w:r>
      <w:proofErr w:type="spellStart"/>
      <w:r w:rsidRPr="00BC764F">
        <w:rPr>
          <w:highlight w:val="white"/>
        </w:rPr>
        <w:t>Attarian</w:t>
      </w:r>
      <w:proofErr w:type="spellEnd"/>
      <w:r w:rsidRPr="00BC764F">
        <w:rPr>
          <w:highlight w:val="white"/>
        </w:rPr>
        <w:t xml:space="preserve"> (ed.), </w:t>
      </w:r>
      <w:r w:rsidRPr="00BC764F">
        <w:rPr>
          <w:i/>
          <w:highlight w:val="white"/>
        </w:rPr>
        <w:t>Clinical Handbook of Insomnia</w:t>
      </w:r>
      <w:r w:rsidRPr="00BC764F">
        <w:rPr>
          <w:highlight w:val="white"/>
        </w:rPr>
        <w:t xml:space="preserve"> (pp. 97-132). Springer.</w:t>
      </w:r>
    </w:p>
    <w:p w14:paraId="0591EB6A" w14:textId="40458E9D" w:rsidR="00BC764F" w:rsidRPr="00BC764F" w:rsidRDefault="00BC764F" w:rsidP="00BC764F">
      <w:pPr>
        <w:pStyle w:val="Referencias"/>
        <w:spacing w:line="360" w:lineRule="auto"/>
        <w:rPr>
          <w:highlight w:val="white"/>
        </w:rPr>
      </w:pPr>
      <w:r w:rsidRPr="00BC764F">
        <w:rPr>
          <w:highlight w:val="white"/>
          <w:lang w:val="es-MX"/>
        </w:rPr>
        <w:t>Swift, K., Keus, K., Gonzalez, C., Cabrera, Y.,  Jimenez, J., Holloway, J., Clawson, B</w:t>
      </w:r>
      <w:r w:rsidR="006D1F88">
        <w:rPr>
          <w:highlight w:val="white"/>
          <w:lang w:val="es-MX"/>
        </w:rPr>
        <w:t>., &amp;</w:t>
      </w:r>
      <w:r w:rsidRPr="00BC764F">
        <w:rPr>
          <w:highlight w:val="white"/>
          <w:lang w:val="es-MX"/>
        </w:rPr>
        <w:t xml:space="preserve"> Poe, G. (2020). </w:t>
      </w:r>
      <w:r w:rsidRPr="00BC764F">
        <w:rPr>
          <w:highlight w:val="white"/>
        </w:rPr>
        <w:t xml:space="preserve">Sex differences within sleep in gonadally intact rats. </w:t>
      </w:r>
      <w:r w:rsidRPr="00BC764F">
        <w:rPr>
          <w:i/>
          <w:highlight w:val="white"/>
        </w:rPr>
        <w:t xml:space="preserve">Sleep, 43 </w:t>
      </w:r>
      <w:r w:rsidRPr="00BC764F">
        <w:rPr>
          <w:highlight w:val="white"/>
        </w:rPr>
        <w:t xml:space="preserve">(5), 1-14. </w:t>
      </w:r>
      <w:hyperlink r:id="rId55" w:history="1">
        <w:r w:rsidRPr="00BC764F">
          <w:rPr>
            <w:rStyle w:val="Hipervnculo"/>
            <w:highlight w:val="white"/>
          </w:rPr>
          <w:t>https://doi.org/10.1093/sleep/zsz289</w:t>
        </w:r>
      </w:hyperlink>
      <w:r w:rsidRPr="00BC764F">
        <w:rPr>
          <w:highlight w:val="white"/>
        </w:rPr>
        <w:t xml:space="preserve"> </w:t>
      </w:r>
    </w:p>
    <w:p w14:paraId="4A0100E6" w14:textId="77777777" w:rsidR="00BC764F" w:rsidRPr="00BC764F" w:rsidRDefault="00BC764F" w:rsidP="00BC764F">
      <w:pPr>
        <w:pStyle w:val="Referencias"/>
        <w:spacing w:line="360" w:lineRule="auto"/>
        <w:rPr>
          <w:highlight w:val="white"/>
          <w:lang w:val="pt-BR"/>
        </w:rPr>
      </w:pPr>
      <w:r w:rsidRPr="00BC764F">
        <w:rPr>
          <w:highlight w:val="white"/>
          <w:lang w:val="es-MX"/>
        </w:rPr>
        <w:t xml:space="preserve">Targas,  E.,  Contreras,  G.,  &amp;  Ríos,  L.  (2014). Tratamiento  Farmacológico  de  las epilepsias. </w:t>
      </w:r>
      <w:r w:rsidRPr="00BC764F">
        <w:rPr>
          <w:highlight w:val="white"/>
          <w:lang w:val="pt-BR"/>
        </w:rPr>
        <w:t>Leitura Médica Ltda.</w:t>
      </w:r>
    </w:p>
    <w:p w14:paraId="238C44A8" w14:textId="77777777" w:rsidR="00BC764F" w:rsidRPr="00BC764F" w:rsidRDefault="00BC764F" w:rsidP="00BC764F">
      <w:pPr>
        <w:pStyle w:val="Referencias"/>
        <w:spacing w:line="360" w:lineRule="auto"/>
        <w:rPr>
          <w:highlight w:val="white"/>
          <w:lang w:val="es-MX"/>
        </w:rPr>
      </w:pPr>
      <w:r w:rsidRPr="00971421">
        <w:rPr>
          <w:highlight w:val="white"/>
          <w:lang w:val="pt-BR"/>
        </w:rPr>
        <w:t xml:space="preserve">Thijs, R. D., Surges, R., O´Brien, T. J., &amp; Sander, J. W. (2019). </w:t>
      </w:r>
      <w:r w:rsidRPr="00971421">
        <w:rPr>
          <w:highlight w:val="white"/>
          <w:lang w:val="es-AR"/>
        </w:rPr>
        <w:t xml:space="preserve">Epilepsy in adults. </w:t>
      </w:r>
      <w:r w:rsidRPr="00BC764F">
        <w:rPr>
          <w:i/>
          <w:highlight w:val="white"/>
          <w:lang w:val="es-MX"/>
        </w:rPr>
        <w:t>Lancet</w:t>
      </w:r>
      <w:r w:rsidRPr="00BC764F">
        <w:rPr>
          <w:highlight w:val="white"/>
          <w:lang w:val="es-MX"/>
        </w:rPr>
        <w:t xml:space="preserve">, </w:t>
      </w:r>
      <w:r w:rsidRPr="00BC764F">
        <w:rPr>
          <w:i/>
          <w:highlight w:val="white"/>
          <w:lang w:val="es-MX"/>
        </w:rPr>
        <w:t>393</w:t>
      </w:r>
      <w:r w:rsidRPr="00BC764F">
        <w:rPr>
          <w:highlight w:val="white"/>
          <w:lang w:val="es-MX"/>
        </w:rPr>
        <w:t xml:space="preserve">(10172), 689-701. </w:t>
      </w:r>
      <w:r w:rsidR="007C07C7">
        <w:fldChar w:fldCharType="begin"/>
      </w:r>
      <w:r w:rsidR="007C07C7" w:rsidRPr="00971421">
        <w:rPr>
          <w:lang w:val="es-AR"/>
        </w:rPr>
        <w:instrText xml:space="preserve"> HYPERLINK "https://doi.org/10.1016/s0140-6736(18)32596-0" </w:instrText>
      </w:r>
      <w:r w:rsidR="007C07C7">
        <w:fldChar w:fldCharType="separate"/>
      </w:r>
      <w:r w:rsidRPr="00BC764F">
        <w:rPr>
          <w:rStyle w:val="Hipervnculo"/>
          <w:highlight w:val="white"/>
          <w:lang w:val="es-MX"/>
        </w:rPr>
        <w:t>https://doi.org/10.1016/s0140-6736(18)32596-0</w:t>
      </w:r>
      <w:r w:rsidR="007C07C7">
        <w:rPr>
          <w:rStyle w:val="Hipervnculo"/>
          <w:highlight w:val="white"/>
          <w:lang w:val="es-MX"/>
        </w:rPr>
        <w:fldChar w:fldCharType="end"/>
      </w:r>
    </w:p>
    <w:p w14:paraId="5732B759" w14:textId="77777777" w:rsidR="00BC764F" w:rsidRPr="00BC764F" w:rsidRDefault="00BC764F" w:rsidP="00BC764F">
      <w:pPr>
        <w:pStyle w:val="Referencias"/>
        <w:spacing w:line="360" w:lineRule="auto"/>
        <w:rPr>
          <w:highlight w:val="white"/>
          <w:lang w:val="es-AR"/>
        </w:rPr>
      </w:pPr>
      <w:r w:rsidRPr="00BC764F">
        <w:rPr>
          <w:highlight w:val="white"/>
          <w:lang w:val="es-MX"/>
        </w:rPr>
        <w:t xml:space="preserve">Valdizán, J. R., Almárcegui-Lafita, C., Brualla, J., Alejos-Herrera, M. V., Chulilla, J. L., &amp; Dolz-Zaera, I. (1999). Influencia de la gabapentina sobre el sueño infantil en epilepsia parcial secundariamente generalizada. </w:t>
      </w:r>
      <w:r w:rsidRPr="00BC764F">
        <w:rPr>
          <w:i/>
          <w:highlight w:val="white"/>
          <w:lang w:val="es-AR"/>
        </w:rPr>
        <w:t>Revista de Neurología</w:t>
      </w:r>
      <w:r w:rsidRPr="00BC764F">
        <w:rPr>
          <w:highlight w:val="white"/>
          <w:lang w:val="es-AR"/>
        </w:rPr>
        <w:t xml:space="preserve">, </w:t>
      </w:r>
      <w:r w:rsidRPr="00BC764F">
        <w:rPr>
          <w:i/>
          <w:highlight w:val="white"/>
          <w:lang w:val="es-AR"/>
        </w:rPr>
        <w:t>29</w:t>
      </w:r>
      <w:r w:rsidRPr="00BC764F">
        <w:rPr>
          <w:highlight w:val="white"/>
          <w:lang w:val="es-AR"/>
        </w:rPr>
        <w:t xml:space="preserve">(8), 718-721. </w:t>
      </w:r>
      <w:r w:rsidR="007C07C7">
        <w:fldChar w:fldCharType="begin"/>
      </w:r>
      <w:r w:rsidR="007C07C7" w:rsidRPr="00971421">
        <w:rPr>
          <w:lang w:val="es-AR"/>
        </w:rPr>
        <w:instrText xml:space="preserve"> HYPERLINK "https://doi.or</w:instrText>
      </w:r>
      <w:r w:rsidR="007C07C7" w:rsidRPr="00971421">
        <w:rPr>
          <w:lang w:val="es-AR"/>
        </w:rPr>
        <w:instrText xml:space="preserve">g/10.33588/rn.2908.99210" </w:instrText>
      </w:r>
      <w:r w:rsidR="007C07C7">
        <w:fldChar w:fldCharType="separate"/>
      </w:r>
      <w:r w:rsidRPr="00BC764F">
        <w:rPr>
          <w:rStyle w:val="Hipervnculo"/>
          <w:highlight w:val="white"/>
          <w:lang w:val="es-AR"/>
        </w:rPr>
        <w:t>https://doi.org/10.33588/rn.2908.99210</w:t>
      </w:r>
      <w:r w:rsidR="007C07C7">
        <w:rPr>
          <w:rStyle w:val="Hipervnculo"/>
          <w:highlight w:val="white"/>
          <w:lang w:val="es-AR"/>
        </w:rPr>
        <w:fldChar w:fldCharType="end"/>
      </w:r>
    </w:p>
    <w:p w14:paraId="3C496DF4" w14:textId="4FB0B4C3" w:rsidR="00147EED" w:rsidRPr="00750D6C" w:rsidRDefault="00BC764F" w:rsidP="00BC764F">
      <w:pPr>
        <w:pStyle w:val="Referencias"/>
        <w:spacing w:line="360" w:lineRule="auto"/>
      </w:pPr>
      <w:r w:rsidRPr="00A15339">
        <w:rPr>
          <w:highlight w:val="white"/>
          <w:lang w:val="es-AR"/>
        </w:rPr>
        <w:t xml:space="preserve">Wang, Y., &amp; </w:t>
      </w:r>
      <w:proofErr w:type="spellStart"/>
      <w:r w:rsidRPr="00A15339">
        <w:rPr>
          <w:highlight w:val="white"/>
          <w:lang w:val="es-AR"/>
        </w:rPr>
        <w:t>Qin</w:t>
      </w:r>
      <w:proofErr w:type="spellEnd"/>
      <w:r w:rsidRPr="00A15339">
        <w:rPr>
          <w:highlight w:val="white"/>
          <w:lang w:val="es-AR"/>
        </w:rPr>
        <w:t xml:space="preserve">, Z. H. (2010). </w:t>
      </w:r>
      <w:r w:rsidRPr="00BC764F">
        <w:rPr>
          <w:highlight w:val="white"/>
        </w:rPr>
        <w:t xml:space="preserve">Molecular and cellular mechanisms of excitotoxic neuronal death. </w:t>
      </w:r>
      <w:r w:rsidRPr="00BC764F">
        <w:rPr>
          <w:i/>
          <w:iCs/>
          <w:highlight w:val="white"/>
          <w:lang w:val="es-AR"/>
        </w:rPr>
        <w:t>Apoptosis</w:t>
      </w:r>
      <w:r w:rsidRPr="00BC764F">
        <w:rPr>
          <w:highlight w:val="white"/>
          <w:lang w:val="es-AR"/>
        </w:rPr>
        <w:t xml:space="preserve">, </w:t>
      </w:r>
      <w:r w:rsidRPr="00BC764F">
        <w:rPr>
          <w:i/>
          <w:iCs/>
          <w:highlight w:val="white"/>
          <w:lang w:val="es-AR"/>
        </w:rPr>
        <w:t>15</w:t>
      </w:r>
      <w:r w:rsidRPr="00BC764F">
        <w:rPr>
          <w:highlight w:val="white"/>
          <w:lang w:val="es-AR"/>
        </w:rPr>
        <w:t xml:space="preserve">(11),1382-402. </w:t>
      </w:r>
      <w:hyperlink r:id="rId56" w:history="1">
        <w:r w:rsidRPr="00BC764F">
          <w:rPr>
            <w:rStyle w:val="Hipervnculo"/>
            <w:highlight w:val="white"/>
            <w:lang w:val="es-AR"/>
          </w:rPr>
          <w:t>https://doi.org/10.1007/s10495-010-0481-0</w:t>
        </w:r>
      </w:hyperlink>
    </w:p>
    <w:p w14:paraId="4E4CDB4E" w14:textId="6A42E06B" w:rsidR="00147EED" w:rsidRPr="000E2E0B" w:rsidRDefault="00147EED" w:rsidP="00493400">
      <w:pPr>
        <w:shd w:val="clear" w:color="auto" w:fill="FFFFFF"/>
        <w:spacing w:line="260" w:lineRule="exact"/>
        <w:jc w:val="right"/>
        <w:rPr>
          <w:i/>
          <w:iCs/>
          <w:sz w:val="20"/>
          <w:szCs w:val="20"/>
          <w:lang w:val="en-US"/>
        </w:rPr>
      </w:pPr>
      <w:r w:rsidRPr="00750D6C">
        <w:rPr>
          <w:lang w:val="en-US"/>
        </w:rPr>
        <w:tab/>
      </w:r>
      <w:r w:rsidRPr="00550C74">
        <w:rPr>
          <w:i/>
          <w:iCs/>
          <w:sz w:val="20"/>
          <w:szCs w:val="20"/>
          <w:lang w:val="en-US"/>
        </w:rPr>
        <w:t>Received</w:t>
      </w:r>
      <w:r w:rsidRPr="00340FA8">
        <w:rPr>
          <w:i/>
          <w:iCs/>
          <w:sz w:val="20"/>
          <w:szCs w:val="20"/>
          <w:lang w:val="en-US"/>
        </w:rPr>
        <w:t xml:space="preserve">: </w:t>
      </w:r>
      <w:r w:rsidR="00BC764F" w:rsidRPr="00BC764F">
        <w:rPr>
          <w:i/>
          <w:iCs/>
          <w:sz w:val="20"/>
          <w:szCs w:val="20"/>
          <w:lang w:val="es-ES"/>
        </w:rPr>
        <w:t>2020-10-08</w:t>
      </w:r>
    </w:p>
    <w:p w14:paraId="312A8921" w14:textId="1E5EAEC1" w:rsidR="00147EED" w:rsidRPr="00493400" w:rsidRDefault="00147EED" w:rsidP="00493400">
      <w:pPr>
        <w:shd w:val="clear" w:color="auto" w:fill="FFFFFF"/>
        <w:spacing w:line="260" w:lineRule="exact"/>
        <w:jc w:val="right"/>
        <w:rPr>
          <w:i/>
          <w:iCs/>
          <w:sz w:val="20"/>
          <w:szCs w:val="20"/>
          <w:lang w:eastAsia="es-ES_tradnl"/>
        </w:rPr>
      </w:pPr>
      <w:r w:rsidRPr="00340FA8">
        <w:rPr>
          <w:i/>
          <w:iCs/>
          <w:sz w:val="20"/>
          <w:szCs w:val="20"/>
          <w:lang w:val="en-US"/>
        </w:rPr>
        <w:t>Accepted:</w:t>
      </w:r>
      <w:r>
        <w:rPr>
          <w:i/>
          <w:iCs/>
          <w:sz w:val="20"/>
          <w:szCs w:val="20"/>
          <w:lang w:val="en-US"/>
        </w:rPr>
        <w:t xml:space="preserve"> </w:t>
      </w:r>
      <w:r w:rsidR="00BC764F" w:rsidRPr="00BC764F">
        <w:rPr>
          <w:i/>
          <w:iCs/>
          <w:sz w:val="20"/>
          <w:szCs w:val="20"/>
          <w:lang w:val="es-ES" w:eastAsia="es-ES_tradnl"/>
        </w:rPr>
        <w:t>2022-05-30</w:t>
      </w:r>
    </w:p>
    <w:sectPr w:rsidR="00147EED" w:rsidRPr="00493400" w:rsidSect="00686DA9">
      <w:headerReference w:type="even" r:id="rId57"/>
      <w:headerReference w:type="default" r:id="rId58"/>
      <w:footerReference w:type="even" r:id="rId59"/>
      <w:footerReference w:type="default" r:id="rId60"/>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91796" w14:textId="77777777" w:rsidR="007C07C7" w:rsidRDefault="007C07C7" w:rsidP="00C413D4">
      <w:r>
        <w:separator/>
      </w:r>
    </w:p>
  </w:endnote>
  <w:endnote w:type="continuationSeparator" w:id="0">
    <w:p w14:paraId="5B2C8817" w14:textId="77777777" w:rsidR="007C07C7" w:rsidRDefault="007C07C7"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EED3CE3"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D670322"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A0B08" w14:textId="77777777" w:rsidR="007C07C7" w:rsidRDefault="007C07C7" w:rsidP="00C413D4">
      <w:r>
        <w:separator/>
      </w:r>
    </w:p>
  </w:footnote>
  <w:footnote w:type="continuationSeparator" w:id="0">
    <w:p w14:paraId="269552FA" w14:textId="77777777" w:rsidR="007C07C7" w:rsidRDefault="007C07C7" w:rsidP="00C413D4">
      <w:r>
        <w:continuationSeparator/>
      </w:r>
    </w:p>
  </w:footnote>
  <w:footnote w:id="1">
    <w:p w14:paraId="5E153EE6" w14:textId="24F7C45B" w:rsidR="001E0A61" w:rsidRPr="005E205D" w:rsidRDefault="001E0A61" w:rsidP="001E0A61">
      <w:pPr>
        <w:pStyle w:val="Body"/>
        <w:rPr>
          <w:rStyle w:val="Hipervnculo"/>
          <w:rFonts w:ascii="Times" w:hAnsi="Times"/>
          <w:b/>
          <w:bCs/>
          <w:color w:val="000000"/>
          <w:sz w:val="16"/>
          <w:szCs w:val="16"/>
          <w:u w:val="none"/>
          <w:lang w:val="en-GB"/>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w:t>
      </w:r>
      <w:proofErr w:type="spellStart"/>
      <w:r w:rsidRPr="001E0A61">
        <w:rPr>
          <w:rFonts w:ascii="Times" w:hAnsi="Times"/>
          <w:b/>
          <w:bCs/>
          <w:sz w:val="16"/>
          <w:szCs w:val="16"/>
          <w:lang w:val="en-US"/>
        </w:rPr>
        <w:t>Fructuoso</w:t>
      </w:r>
      <w:proofErr w:type="spellEnd"/>
      <w:r w:rsidRPr="001E0A61">
        <w:rPr>
          <w:rFonts w:ascii="Times" w:hAnsi="Times"/>
          <w:b/>
          <w:bCs/>
          <w:sz w:val="16"/>
          <w:szCs w:val="16"/>
          <w:lang w:val="en-US"/>
        </w:rPr>
        <w:t xml:space="preserve"> Ayala Guerrero</w:t>
      </w:r>
      <w:r>
        <w:rPr>
          <w:rFonts w:ascii="Times" w:hAnsi="Times"/>
          <w:b/>
          <w:bCs/>
          <w:sz w:val="16"/>
          <w:szCs w:val="16"/>
          <w:lang w:val="en-US"/>
        </w:rPr>
        <w:t xml:space="preserve">: </w:t>
      </w:r>
      <w:hyperlink r:id="rId1" w:history="1">
        <w:r>
          <w:rPr>
            <w:rStyle w:val="Hipervnculo"/>
            <w:sz w:val="16"/>
            <w:szCs w:val="16"/>
            <w:lang w:val="en-GB"/>
          </w:rPr>
          <w:t>fayala@unam.mx</w:t>
        </w:r>
      </w:hyperlink>
      <w:r>
        <w:rPr>
          <w:sz w:val="16"/>
          <w:szCs w:val="16"/>
          <w:lang w:val="en-GB"/>
        </w:rPr>
        <w:t xml:space="preserve"> </w:t>
      </w:r>
    </w:p>
  </w:footnote>
  <w:footnote w:id="2">
    <w:p w14:paraId="379CAF8A" w14:textId="4BF91772" w:rsidR="00CC7D22" w:rsidRPr="00CC7D22" w:rsidRDefault="00CC7D22">
      <w:pPr>
        <w:pStyle w:val="Textonotapie"/>
        <w:rPr>
          <w:lang w:val="en-US"/>
        </w:rPr>
      </w:pPr>
      <w:r w:rsidRPr="000636EC">
        <w:rPr>
          <w:b/>
          <w:bCs/>
          <w:color w:val="222222"/>
          <w:szCs w:val="28"/>
          <w:u w:color="222222"/>
          <w:bdr w:val="nil"/>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72B5230A" w:rsidR="00E52901" w:rsidRPr="006C34E9" w:rsidRDefault="006C34E9" w:rsidP="006C34E9">
    <w:pPr>
      <w:pStyle w:val="Encabezado"/>
      <w:jc w:val="center"/>
      <w:rPr>
        <w:rFonts w:ascii="Times" w:hAnsi="Times" w:cs="Times New Roman (Body CS)"/>
        <w:b/>
        <w:bCs/>
        <w:smallCaps/>
        <w:sz w:val="20"/>
        <w:szCs w:val="20"/>
        <w:lang w:val="es-AR"/>
      </w:rPr>
    </w:pPr>
    <w:r w:rsidRPr="006C34E9">
      <w:rPr>
        <w:rFonts w:ascii="Times" w:hAnsi="Times" w:cs="Times New Roman (Body CS)"/>
        <w:b/>
        <w:bCs/>
        <w:smallCaps/>
        <w:sz w:val="20"/>
        <w:szCs w:val="20"/>
        <w:lang w:val="es-AR"/>
      </w:rPr>
      <w:t>Ayala Guerrero</w:t>
    </w:r>
    <w:r w:rsidR="00750D6C" w:rsidRPr="006C34E9">
      <w:rPr>
        <w:rFonts w:ascii="Times" w:hAnsi="Times" w:cs="Times New Roman (Body CS)"/>
        <w:b/>
        <w:bCs/>
        <w:smallCaps/>
        <w:sz w:val="20"/>
        <w:szCs w:val="20"/>
        <w:lang w:val="es-AR"/>
      </w:rPr>
      <w:t xml:space="preserve">, </w:t>
    </w:r>
    <w:r w:rsidRPr="006C34E9">
      <w:rPr>
        <w:rFonts w:ascii="Times" w:hAnsi="Times" w:cs="Times New Roman (Body CS)"/>
        <w:b/>
        <w:bCs/>
        <w:smallCaps/>
        <w:sz w:val="20"/>
        <w:szCs w:val="20"/>
        <w:lang w:val="es-AR"/>
      </w:rPr>
      <w:t xml:space="preserve">Mexicano Medina, Guerrero, </w:t>
    </w:r>
    <w:r w:rsidR="00C45E73" w:rsidRPr="006C34E9">
      <w:rPr>
        <w:rFonts w:ascii="Times" w:hAnsi="Times" w:cs="Times New Roman (Body CS)"/>
        <w:b/>
        <w:bCs/>
        <w:smallCaps/>
        <w:sz w:val="20"/>
        <w:szCs w:val="20"/>
        <w:lang w:val="es-AR"/>
      </w:rPr>
      <w:t xml:space="preserve">Gutiérrez Chávez, </w:t>
    </w:r>
    <w:r w:rsidRPr="006C34E9">
      <w:rPr>
        <w:rFonts w:ascii="Times" w:hAnsi="Times" w:cs="Times New Roman (Body CS)"/>
        <w:b/>
        <w:bCs/>
        <w:smallCaps/>
        <w:sz w:val="20"/>
        <w:szCs w:val="20"/>
        <w:lang w:val="es-AR"/>
      </w:rPr>
      <w:t>Lazo Sánchez</w:t>
    </w:r>
    <w:r w:rsidRPr="00750D6C">
      <w:rPr>
        <w:rFonts w:ascii="Times" w:hAnsi="Times" w:cs="Times New Roman (Body CS)"/>
        <w:b/>
        <w:bCs/>
        <w:smallCaps/>
        <w:sz w:val="20"/>
        <w:szCs w:val="20"/>
        <w:lang w:val="pt-BR"/>
      </w:rPr>
      <w:t>,</w:t>
    </w:r>
    <w:r>
      <w:rPr>
        <w:rFonts w:ascii="Times" w:hAnsi="Times" w:cs="Times New Roman (Body CS)"/>
        <w:b/>
        <w:bCs/>
        <w:smallCaps/>
        <w:sz w:val="20"/>
        <w:szCs w:val="20"/>
        <w:lang w:val="pt-BR"/>
      </w:rPr>
      <w:t xml:space="preserve"> </w:t>
    </w:r>
    <w:r w:rsidR="00750D6C" w:rsidRPr="00750D6C">
      <w:rPr>
        <w:rFonts w:ascii="Times" w:hAnsi="Times" w:cs="Times New Roman (Body CS)"/>
        <w:b/>
        <w:bCs/>
        <w:smallCaps/>
        <w:sz w:val="20"/>
        <w:szCs w:val="20"/>
        <w:lang w:val="pt-BR"/>
      </w:rPr>
      <w:t xml:space="preserve">&amp; </w:t>
    </w:r>
    <w:r w:rsidRPr="006C34E9">
      <w:rPr>
        <w:rFonts w:ascii="Times" w:hAnsi="Times" w:cs="Times New Roman (Body CS)"/>
        <w:b/>
        <w:bCs/>
        <w:smallCaps/>
        <w:sz w:val="20"/>
        <w:szCs w:val="20"/>
        <w:lang w:val="es-AR"/>
      </w:rPr>
      <w:t>Mateos Salgado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786FFC51" w:rsidR="00E52901" w:rsidRDefault="00FF2D2D" w:rsidP="00C413D4">
    <w:pPr>
      <w:pStyle w:val="Encabezado"/>
      <w:jc w:val="right"/>
      <w:rPr>
        <w:rFonts w:ascii="Times" w:hAnsi="Times"/>
        <w:i/>
        <w:sz w:val="18"/>
        <w:szCs w:val="18"/>
        <w:lang w:val="es-ES"/>
      </w:rPr>
    </w:pPr>
    <w:r>
      <w:rPr>
        <w:rFonts w:ascii="Times" w:hAnsi="Times"/>
        <w:i/>
        <w:sz w:val="18"/>
        <w:szCs w:val="18"/>
        <w:lang w:val="es-ES"/>
      </w:rPr>
      <w:t>202</w:t>
    </w:r>
    <w:r w:rsidR="005E5A6C">
      <w:rPr>
        <w:rFonts w:ascii="Times" w:hAnsi="Times"/>
        <w:i/>
        <w:sz w:val="18"/>
        <w:szCs w:val="18"/>
        <w:lang w:val="es-ES"/>
      </w:rPr>
      <w:t>2</w:t>
    </w:r>
    <w:r>
      <w:rPr>
        <w:rFonts w:ascii="Times" w:hAnsi="Times"/>
        <w:i/>
        <w:sz w:val="18"/>
        <w:szCs w:val="18"/>
        <w:lang w:val="es-ES"/>
      </w:rPr>
      <w:t>, Vol., 5</w:t>
    </w:r>
    <w:r w:rsidR="005A32E2">
      <w:rPr>
        <w:rFonts w:ascii="Times" w:hAnsi="Times"/>
        <w:i/>
        <w:sz w:val="18"/>
        <w:szCs w:val="18"/>
        <w:lang w:val="es-ES"/>
      </w:rPr>
      <w:t>6</w:t>
    </w:r>
    <w:r>
      <w:rPr>
        <w:rFonts w:ascii="Times" w:hAnsi="Times"/>
        <w:i/>
        <w:sz w:val="18"/>
        <w:szCs w:val="18"/>
        <w:lang w:val="es-ES"/>
      </w:rPr>
      <w:t xml:space="preserve">, No. </w:t>
    </w:r>
    <w:r w:rsidR="005A32E2">
      <w:rPr>
        <w:rFonts w:ascii="Times" w:hAnsi="Times"/>
        <w:i/>
        <w:sz w:val="18"/>
        <w:szCs w:val="18"/>
        <w:lang w:val="es-ES"/>
      </w:rPr>
      <w:t>2</w:t>
    </w:r>
    <w:r>
      <w:rPr>
        <w:rFonts w:ascii="Times" w:hAnsi="Times"/>
        <w:i/>
        <w:sz w:val="18"/>
        <w:szCs w:val="18"/>
        <w:lang w:val="es-ES"/>
      </w:rPr>
      <w:t>, e</w:t>
    </w:r>
    <w:r w:rsidR="00D806AD">
      <w:rPr>
        <w:rFonts w:ascii="Times" w:hAnsi="Times"/>
        <w:i/>
        <w:sz w:val="18"/>
        <w:szCs w:val="18"/>
        <w:lang w:val="es-ES"/>
      </w:rPr>
      <w:t>1</w:t>
    </w:r>
    <w:r w:rsidR="000E2E0B">
      <w:rPr>
        <w:rFonts w:ascii="Times" w:hAnsi="Times"/>
        <w:i/>
        <w:sz w:val="18"/>
        <w:szCs w:val="18"/>
        <w:lang w:val="es-ES"/>
      </w:rPr>
      <w:t>458</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0"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5"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106577365">
    <w:abstractNumId w:val="28"/>
  </w:num>
  <w:num w:numId="2" w16cid:durableId="1135105889">
    <w:abstractNumId w:val="45"/>
  </w:num>
  <w:num w:numId="3" w16cid:durableId="685864268">
    <w:abstractNumId w:val="14"/>
  </w:num>
  <w:num w:numId="4" w16cid:durableId="882711850">
    <w:abstractNumId w:val="38"/>
  </w:num>
  <w:num w:numId="5" w16cid:durableId="1863208417">
    <w:abstractNumId w:val="46"/>
  </w:num>
  <w:num w:numId="6" w16cid:durableId="449394346">
    <w:abstractNumId w:val="39"/>
  </w:num>
  <w:num w:numId="7" w16cid:durableId="2110735332">
    <w:abstractNumId w:val="32"/>
  </w:num>
  <w:num w:numId="8" w16cid:durableId="1934969485">
    <w:abstractNumId w:val="35"/>
  </w:num>
  <w:num w:numId="9" w16cid:durableId="1699116878">
    <w:abstractNumId w:val="41"/>
  </w:num>
  <w:num w:numId="10" w16cid:durableId="1621061600">
    <w:abstractNumId w:val="31"/>
  </w:num>
  <w:num w:numId="11" w16cid:durableId="61411983">
    <w:abstractNumId w:val="25"/>
  </w:num>
  <w:num w:numId="12" w16cid:durableId="1550604629">
    <w:abstractNumId w:val="12"/>
  </w:num>
  <w:num w:numId="13" w16cid:durableId="293751097">
    <w:abstractNumId w:val="17"/>
  </w:num>
  <w:num w:numId="14" w16cid:durableId="440344069">
    <w:abstractNumId w:val="19"/>
  </w:num>
  <w:num w:numId="15" w16cid:durableId="1024673242">
    <w:abstractNumId w:val="24"/>
  </w:num>
  <w:num w:numId="16" w16cid:durableId="1515457493">
    <w:abstractNumId w:val="43"/>
  </w:num>
  <w:num w:numId="17" w16cid:durableId="1163742754">
    <w:abstractNumId w:val="21"/>
  </w:num>
  <w:num w:numId="18" w16cid:durableId="1645088693">
    <w:abstractNumId w:val="13"/>
  </w:num>
  <w:num w:numId="19" w16cid:durableId="751855352">
    <w:abstractNumId w:val="33"/>
  </w:num>
  <w:num w:numId="20" w16cid:durableId="1743989866">
    <w:abstractNumId w:val="10"/>
  </w:num>
  <w:num w:numId="21" w16cid:durableId="1940941056">
    <w:abstractNumId w:val="11"/>
  </w:num>
  <w:num w:numId="22" w16cid:durableId="1016274767">
    <w:abstractNumId w:val="26"/>
  </w:num>
  <w:num w:numId="23" w16cid:durableId="591158440">
    <w:abstractNumId w:val="34"/>
  </w:num>
  <w:num w:numId="24" w16cid:durableId="729764202">
    <w:abstractNumId w:val="4"/>
  </w:num>
  <w:num w:numId="25" w16cid:durableId="907033377">
    <w:abstractNumId w:val="5"/>
  </w:num>
  <w:num w:numId="26" w16cid:durableId="1751611412">
    <w:abstractNumId w:val="6"/>
  </w:num>
  <w:num w:numId="27" w16cid:durableId="619798779">
    <w:abstractNumId w:val="7"/>
  </w:num>
  <w:num w:numId="28" w16cid:durableId="12804818">
    <w:abstractNumId w:val="9"/>
  </w:num>
  <w:num w:numId="29" w16cid:durableId="1561747293">
    <w:abstractNumId w:val="0"/>
  </w:num>
  <w:num w:numId="30" w16cid:durableId="824780147">
    <w:abstractNumId w:val="1"/>
  </w:num>
  <w:num w:numId="31" w16cid:durableId="1052189403">
    <w:abstractNumId w:val="2"/>
  </w:num>
  <w:num w:numId="32" w16cid:durableId="839151669">
    <w:abstractNumId w:val="3"/>
  </w:num>
  <w:num w:numId="33" w16cid:durableId="559557826">
    <w:abstractNumId w:val="8"/>
  </w:num>
  <w:num w:numId="34" w16cid:durableId="1726636147">
    <w:abstractNumId w:val="16"/>
  </w:num>
  <w:num w:numId="35" w16cid:durableId="900292656">
    <w:abstractNumId w:val="22"/>
  </w:num>
  <w:num w:numId="36" w16cid:durableId="521473925">
    <w:abstractNumId w:val="20"/>
  </w:num>
  <w:num w:numId="37" w16cid:durableId="1313754369">
    <w:abstractNumId w:val="40"/>
  </w:num>
  <w:num w:numId="38" w16cid:durableId="209077189">
    <w:abstractNumId w:val="23"/>
  </w:num>
  <w:num w:numId="39" w16cid:durableId="415247800">
    <w:abstractNumId w:val="18"/>
  </w:num>
  <w:num w:numId="40" w16cid:durableId="1458913303">
    <w:abstractNumId w:val="29"/>
  </w:num>
  <w:num w:numId="41" w16cid:durableId="131755655">
    <w:abstractNumId w:val="15"/>
  </w:num>
  <w:num w:numId="42" w16cid:durableId="1767270620">
    <w:abstractNumId w:val="42"/>
  </w:num>
  <w:num w:numId="43" w16cid:durableId="1859539628">
    <w:abstractNumId w:val="30"/>
  </w:num>
  <w:num w:numId="44" w16cid:durableId="351078666">
    <w:abstractNumId w:val="36"/>
  </w:num>
  <w:num w:numId="45" w16cid:durableId="1498571842">
    <w:abstractNumId w:val="27"/>
  </w:num>
  <w:num w:numId="46" w16cid:durableId="427313285">
    <w:abstractNumId w:val="37"/>
  </w:num>
  <w:num w:numId="47" w16cid:durableId="50313032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650C"/>
    <w:rsid w:val="000104E5"/>
    <w:rsid w:val="00012352"/>
    <w:rsid w:val="000134B3"/>
    <w:rsid w:val="00020341"/>
    <w:rsid w:val="000378AF"/>
    <w:rsid w:val="00043604"/>
    <w:rsid w:val="0005428C"/>
    <w:rsid w:val="000547D8"/>
    <w:rsid w:val="000636EC"/>
    <w:rsid w:val="00064F18"/>
    <w:rsid w:val="00067898"/>
    <w:rsid w:val="000715BB"/>
    <w:rsid w:val="000733FA"/>
    <w:rsid w:val="00075F71"/>
    <w:rsid w:val="000815D5"/>
    <w:rsid w:val="000928CA"/>
    <w:rsid w:val="00094513"/>
    <w:rsid w:val="000A323A"/>
    <w:rsid w:val="000A6ECE"/>
    <w:rsid w:val="000B01FD"/>
    <w:rsid w:val="000B1FE0"/>
    <w:rsid w:val="000B32F6"/>
    <w:rsid w:val="000B6BFA"/>
    <w:rsid w:val="000D111A"/>
    <w:rsid w:val="000D6953"/>
    <w:rsid w:val="000E2E0B"/>
    <w:rsid w:val="000E759A"/>
    <w:rsid w:val="000F56BA"/>
    <w:rsid w:val="000F5A4E"/>
    <w:rsid w:val="001001E7"/>
    <w:rsid w:val="00100487"/>
    <w:rsid w:val="001006DE"/>
    <w:rsid w:val="00105D4F"/>
    <w:rsid w:val="00106780"/>
    <w:rsid w:val="001127D1"/>
    <w:rsid w:val="001253E7"/>
    <w:rsid w:val="00136F83"/>
    <w:rsid w:val="001444E3"/>
    <w:rsid w:val="0014506C"/>
    <w:rsid w:val="0014510D"/>
    <w:rsid w:val="00146254"/>
    <w:rsid w:val="001465A7"/>
    <w:rsid w:val="00147EED"/>
    <w:rsid w:val="00151604"/>
    <w:rsid w:val="00153CA7"/>
    <w:rsid w:val="001565EE"/>
    <w:rsid w:val="00160E3C"/>
    <w:rsid w:val="00166DA0"/>
    <w:rsid w:val="00167A76"/>
    <w:rsid w:val="00171E35"/>
    <w:rsid w:val="001721EB"/>
    <w:rsid w:val="00173AA9"/>
    <w:rsid w:val="001761E7"/>
    <w:rsid w:val="00180590"/>
    <w:rsid w:val="0018535A"/>
    <w:rsid w:val="00191CBC"/>
    <w:rsid w:val="0019293F"/>
    <w:rsid w:val="001941FE"/>
    <w:rsid w:val="00194839"/>
    <w:rsid w:val="00197853"/>
    <w:rsid w:val="001A2835"/>
    <w:rsid w:val="001A3023"/>
    <w:rsid w:val="001A4444"/>
    <w:rsid w:val="001A695F"/>
    <w:rsid w:val="001C41E9"/>
    <w:rsid w:val="001C4490"/>
    <w:rsid w:val="001C4E1C"/>
    <w:rsid w:val="001C7D0A"/>
    <w:rsid w:val="001D354F"/>
    <w:rsid w:val="001E0A61"/>
    <w:rsid w:val="001E1F5C"/>
    <w:rsid w:val="001E1F61"/>
    <w:rsid w:val="001E4251"/>
    <w:rsid w:val="001E4CD1"/>
    <w:rsid w:val="001F7920"/>
    <w:rsid w:val="001F7DA4"/>
    <w:rsid w:val="002012E8"/>
    <w:rsid w:val="00201E32"/>
    <w:rsid w:val="00203EC7"/>
    <w:rsid w:val="002100AC"/>
    <w:rsid w:val="00213397"/>
    <w:rsid w:val="00220223"/>
    <w:rsid w:val="00222862"/>
    <w:rsid w:val="00226282"/>
    <w:rsid w:val="002334D9"/>
    <w:rsid w:val="0023574D"/>
    <w:rsid w:val="00236AEF"/>
    <w:rsid w:val="00240895"/>
    <w:rsid w:val="00246BCD"/>
    <w:rsid w:val="00246D04"/>
    <w:rsid w:val="00247BDE"/>
    <w:rsid w:val="0025179C"/>
    <w:rsid w:val="002561F2"/>
    <w:rsid w:val="00257D49"/>
    <w:rsid w:val="002624E0"/>
    <w:rsid w:val="002666C8"/>
    <w:rsid w:val="00271502"/>
    <w:rsid w:val="00272605"/>
    <w:rsid w:val="00287B47"/>
    <w:rsid w:val="00290C92"/>
    <w:rsid w:val="002927D7"/>
    <w:rsid w:val="00293DDA"/>
    <w:rsid w:val="00294547"/>
    <w:rsid w:val="0029543C"/>
    <w:rsid w:val="002A0D91"/>
    <w:rsid w:val="002A2C68"/>
    <w:rsid w:val="002B04BE"/>
    <w:rsid w:val="002B307F"/>
    <w:rsid w:val="002B7F65"/>
    <w:rsid w:val="002C1EB1"/>
    <w:rsid w:val="002C60F5"/>
    <w:rsid w:val="002C7DF0"/>
    <w:rsid w:val="002D0207"/>
    <w:rsid w:val="002D1053"/>
    <w:rsid w:val="002D5827"/>
    <w:rsid w:val="002D6B30"/>
    <w:rsid w:val="002E2011"/>
    <w:rsid w:val="002E2799"/>
    <w:rsid w:val="002E5EA3"/>
    <w:rsid w:val="002E6BEF"/>
    <w:rsid w:val="002F070D"/>
    <w:rsid w:val="002F0CE9"/>
    <w:rsid w:val="002F257B"/>
    <w:rsid w:val="002F38C8"/>
    <w:rsid w:val="00302C5C"/>
    <w:rsid w:val="003128A7"/>
    <w:rsid w:val="00315976"/>
    <w:rsid w:val="003164A5"/>
    <w:rsid w:val="00333677"/>
    <w:rsid w:val="00340FA8"/>
    <w:rsid w:val="0034107D"/>
    <w:rsid w:val="00342F6D"/>
    <w:rsid w:val="00351BE1"/>
    <w:rsid w:val="00354AA6"/>
    <w:rsid w:val="003664A7"/>
    <w:rsid w:val="00366950"/>
    <w:rsid w:val="00367C23"/>
    <w:rsid w:val="0037284D"/>
    <w:rsid w:val="00384E6B"/>
    <w:rsid w:val="0039161E"/>
    <w:rsid w:val="00393ECF"/>
    <w:rsid w:val="003A1180"/>
    <w:rsid w:val="003B2D88"/>
    <w:rsid w:val="003B3A06"/>
    <w:rsid w:val="003B4EFF"/>
    <w:rsid w:val="003C2CEE"/>
    <w:rsid w:val="003C4AA4"/>
    <w:rsid w:val="003C53B0"/>
    <w:rsid w:val="003C628B"/>
    <w:rsid w:val="003D1DE2"/>
    <w:rsid w:val="003D75C9"/>
    <w:rsid w:val="003E7618"/>
    <w:rsid w:val="003F1F0B"/>
    <w:rsid w:val="00403B8B"/>
    <w:rsid w:val="00406054"/>
    <w:rsid w:val="004071D5"/>
    <w:rsid w:val="0041371A"/>
    <w:rsid w:val="00414BBB"/>
    <w:rsid w:val="00417776"/>
    <w:rsid w:val="00420DE6"/>
    <w:rsid w:val="00432090"/>
    <w:rsid w:val="004411CE"/>
    <w:rsid w:val="00441E83"/>
    <w:rsid w:val="00444BAD"/>
    <w:rsid w:val="00447E89"/>
    <w:rsid w:val="00462135"/>
    <w:rsid w:val="00462BA7"/>
    <w:rsid w:val="0047234C"/>
    <w:rsid w:val="00475708"/>
    <w:rsid w:val="00476CF4"/>
    <w:rsid w:val="00482F3F"/>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2DE8"/>
    <w:rsid w:val="00507543"/>
    <w:rsid w:val="00513E4D"/>
    <w:rsid w:val="005209EF"/>
    <w:rsid w:val="00527A99"/>
    <w:rsid w:val="0053418A"/>
    <w:rsid w:val="00541F7B"/>
    <w:rsid w:val="0054384D"/>
    <w:rsid w:val="00552412"/>
    <w:rsid w:val="005544E5"/>
    <w:rsid w:val="00565DA0"/>
    <w:rsid w:val="00582881"/>
    <w:rsid w:val="00585FC4"/>
    <w:rsid w:val="0059034C"/>
    <w:rsid w:val="00590387"/>
    <w:rsid w:val="00591A0D"/>
    <w:rsid w:val="00595C9D"/>
    <w:rsid w:val="00596803"/>
    <w:rsid w:val="005A0ADC"/>
    <w:rsid w:val="005A32E2"/>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C34E9"/>
    <w:rsid w:val="006D1F88"/>
    <w:rsid w:val="006D330D"/>
    <w:rsid w:val="006E0173"/>
    <w:rsid w:val="006E0541"/>
    <w:rsid w:val="006E1236"/>
    <w:rsid w:val="006E4870"/>
    <w:rsid w:val="006F51A0"/>
    <w:rsid w:val="006F5633"/>
    <w:rsid w:val="006F7E7E"/>
    <w:rsid w:val="00705B8A"/>
    <w:rsid w:val="00715EFB"/>
    <w:rsid w:val="00720420"/>
    <w:rsid w:val="00724F5C"/>
    <w:rsid w:val="00727BD0"/>
    <w:rsid w:val="00732778"/>
    <w:rsid w:val="00732EF8"/>
    <w:rsid w:val="00734F22"/>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48F7"/>
    <w:rsid w:val="00785339"/>
    <w:rsid w:val="007858E4"/>
    <w:rsid w:val="00795D57"/>
    <w:rsid w:val="007A015E"/>
    <w:rsid w:val="007A7C7C"/>
    <w:rsid w:val="007B5DA8"/>
    <w:rsid w:val="007B686A"/>
    <w:rsid w:val="007B6A7D"/>
    <w:rsid w:val="007C07C7"/>
    <w:rsid w:val="007C4A34"/>
    <w:rsid w:val="007C5CB5"/>
    <w:rsid w:val="007D0BA9"/>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25BA"/>
    <w:rsid w:val="00840AC4"/>
    <w:rsid w:val="00845659"/>
    <w:rsid w:val="008547C7"/>
    <w:rsid w:val="00861A27"/>
    <w:rsid w:val="00861D2F"/>
    <w:rsid w:val="00872EFD"/>
    <w:rsid w:val="00876D90"/>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3A89"/>
    <w:rsid w:val="008C409A"/>
    <w:rsid w:val="008C60E1"/>
    <w:rsid w:val="008D2794"/>
    <w:rsid w:val="008D4ADD"/>
    <w:rsid w:val="008D509E"/>
    <w:rsid w:val="008E17AF"/>
    <w:rsid w:val="008E2DA6"/>
    <w:rsid w:val="008E5E6A"/>
    <w:rsid w:val="008F4B8A"/>
    <w:rsid w:val="009014AC"/>
    <w:rsid w:val="0090320C"/>
    <w:rsid w:val="009032D5"/>
    <w:rsid w:val="00903DEB"/>
    <w:rsid w:val="00922B3A"/>
    <w:rsid w:val="00923438"/>
    <w:rsid w:val="00923446"/>
    <w:rsid w:val="009246B9"/>
    <w:rsid w:val="009401BC"/>
    <w:rsid w:val="00943B5C"/>
    <w:rsid w:val="009446F0"/>
    <w:rsid w:val="00950BD4"/>
    <w:rsid w:val="0095579B"/>
    <w:rsid w:val="00964CC6"/>
    <w:rsid w:val="009703F5"/>
    <w:rsid w:val="00971421"/>
    <w:rsid w:val="00986BF6"/>
    <w:rsid w:val="00990AFE"/>
    <w:rsid w:val="00993315"/>
    <w:rsid w:val="009A0192"/>
    <w:rsid w:val="009A22B9"/>
    <w:rsid w:val="009A5FA1"/>
    <w:rsid w:val="009B3E5E"/>
    <w:rsid w:val="009B4D60"/>
    <w:rsid w:val="009C307F"/>
    <w:rsid w:val="009C43B4"/>
    <w:rsid w:val="009C4CF0"/>
    <w:rsid w:val="009D2551"/>
    <w:rsid w:val="009D71FD"/>
    <w:rsid w:val="009F3E43"/>
    <w:rsid w:val="009F58C4"/>
    <w:rsid w:val="009F7B75"/>
    <w:rsid w:val="00A03605"/>
    <w:rsid w:val="00A03E89"/>
    <w:rsid w:val="00A07982"/>
    <w:rsid w:val="00A114D6"/>
    <w:rsid w:val="00A12C89"/>
    <w:rsid w:val="00A13797"/>
    <w:rsid w:val="00A15339"/>
    <w:rsid w:val="00A234ED"/>
    <w:rsid w:val="00A411A9"/>
    <w:rsid w:val="00A457D0"/>
    <w:rsid w:val="00A516C7"/>
    <w:rsid w:val="00A61B22"/>
    <w:rsid w:val="00A64E60"/>
    <w:rsid w:val="00A72239"/>
    <w:rsid w:val="00A80283"/>
    <w:rsid w:val="00A95630"/>
    <w:rsid w:val="00A97C99"/>
    <w:rsid w:val="00AA735D"/>
    <w:rsid w:val="00AB1AC5"/>
    <w:rsid w:val="00AB277A"/>
    <w:rsid w:val="00AB3BF6"/>
    <w:rsid w:val="00AB45ED"/>
    <w:rsid w:val="00AB5679"/>
    <w:rsid w:val="00AC590B"/>
    <w:rsid w:val="00AC7994"/>
    <w:rsid w:val="00AD0AE0"/>
    <w:rsid w:val="00AD3238"/>
    <w:rsid w:val="00AD374A"/>
    <w:rsid w:val="00AE2924"/>
    <w:rsid w:val="00AE48D4"/>
    <w:rsid w:val="00AF2B1C"/>
    <w:rsid w:val="00B054C8"/>
    <w:rsid w:val="00B06283"/>
    <w:rsid w:val="00B07ECE"/>
    <w:rsid w:val="00B105AD"/>
    <w:rsid w:val="00B114CD"/>
    <w:rsid w:val="00B12740"/>
    <w:rsid w:val="00B2208A"/>
    <w:rsid w:val="00B35B61"/>
    <w:rsid w:val="00B42559"/>
    <w:rsid w:val="00B44BB1"/>
    <w:rsid w:val="00B461DC"/>
    <w:rsid w:val="00B511FB"/>
    <w:rsid w:val="00B5244C"/>
    <w:rsid w:val="00B52DF1"/>
    <w:rsid w:val="00B546B7"/>
    <w:rsid w:val="00B56D7D"/>
    <w:rsid w:val="00B60E75"/>
    <w:rsid w:val="00B628F1"/>
    <w:rsid w:val="00B6329B"/>
    <w:rsid w:val="00B63E3C"/>
    <w:rsid w:val="00B6522A"/>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6E73"/>
    <w:rsid w:val="00BA79C8"/>
    <w:rsid w:val="00BB521A"/>
    <w:rsid w:val="00BC1671"/>
    <w:rsid w:val="00BC2AFB"/>
    <w:rsid w:val="00BC3980"/>
    <w:rsid w:val="00BC764F"/>
    <w:rsid w:val="00BD26F5"/>
    <w:rsid w:val="00BD2994"/>
    <w:rsid w:val="00BD3521"/>
    <w:rsid w:val="00BE1FBF"/>
    <w:rsid w:val="00BE399B"/>
    <w:rsid w:val="00BF2953"/>
    <w:rsid w:val="00BF6A48"/>
    <w:rsid w:val="00C01611"/>
    <w:rsid w:val="00C02FC7"/>
    <w:rsid w:val="00C06D6D"/>
    <w:rsid w:val="00C14765"/>
    <w:rsid w:val="00C2267F"/>
    <w:rsid w:val="00C413D4"/>
    <w:rsid w:val="00C45E73"/>
    <w:rsid w:val="00C51C25"/>
    <w:rsid w:val="00C55B07"/>
    <w:rsid w:val="00C71414"/>
    <w:rsid w:val="00C7239B"/>
    <w:rsid w:val="00C86D23"/>
    <w:rsid w:val="00C92787"/>
    <w:rsid w:val="00CA4236"/>
    <w:rsid w:val="00CA4688"/>
    <w:rsid w:val="00CB3863"/>
    <w:rsid w:val="00CB62C5"/>
    <w:rsid w:val="00CC05DE"/>
    <w:rsid w:val="00CC4527"/>
    <w:rsid w:val="00CC7D22"/>
    <w:rsid w:val="00CD3708"/>
    <w:rsid w:val="00CF3DAF"/>
    <w:rsid w:val="00CF44A4"/>
    <w:rsid w:val="00CF4B56"/>
    <w:rsid w:val="00CF5D21"/>
    <w:rsid w:val="00D10390"/>
    <w:rsid w:val="00D10976"/>
    <w:rsid w:val="00D13238"/>
    <w:rsid w:val="00D14026"/>
    <w:rsid w:val="00D224FA"/>
    <w:rsid w:val="00D33385"/>
    <w:rsid w:val="00D347EE"/>
    <w:rsid w:val="00D43347"/>
    <w:rsid w:val="00D441A1"/>
    <w:rsid w:val="00D45408"/>
    <w:rsid w:val="00D5546B"/>
    <w:rsid w:val="00D600FE"/>
    <w:rsid w:val="00D609BB"/>
    <w:rsid w:val="00D63FEC"/>
    <w:rsid w:val="00D70EF7"/>
    <w:rsid w:val="00D763CF"/>
    <w:rsid w:val="00D806AD"/>
    <w:rsid w:val="00D94A3F"/>
    <w:rsid w:val="00D95614"/>
    <w:rsid w:val="00DA1097"/>
    <w:rsid w:val="00DA1867"/>
    <w:rsid w:val="00DA67C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51EA2"/>
    <w:rsid w:val="00E5202D"/>
    <w:rsid w:val="00E52901"/>
    <w:rsid w:val="00E53313"/>
    <w:rsid w:val="00E62B05"/>
    <w:rsid w:val="00E70B5F"/>
    <w:rsid w:val="00E72E8C"/>
    <w:rsid w:val="00E74675"/>
    <w:rsid w:val="00E76958"/>
    <w:rsid w:val="00E7723C"/>
    <w:rsid w:val="00E81056"/>
    <w:rsid w:val="00E8359E"/>
    <w:rsid w:val="00E92FE9"/>
    <w:rsid w:val="00E976E9"/>
    <w:rsid w:val="00E97D42"/>
    <w:rsid w:val="00EA2F07"/>
    <w:rsid w:val="00EA541A"/>
    <w:rsid w:val="00EA59EE"/>
    <w:rsid w:val="00EB10D8"/>
    <w:rsid w:val="00EB1572"/>
    <w:rsid w:val="00EB4DC6"/>
    <w:rsid w:val="00EC5657"/>
    <w:rsid w:val="00EC6B8F"/>
    <w:rsid w:val="00ED0CF5"/>
    <w:rsid w:val="00ED194B"/>
    <w:rsid w:val="00ED7BBA"/>
    <w:rsid w:val="00EE0656"/>
    <w:rsid w:val="00EE0F35"/>
    <w:rsid w:val="00EE37DB"/>
    <w:rsid w:val="00EF7170"/>
    <w:rsid w:val="00F07162"/>
    <w:rsid w:val="00F07D24"/>
    <w:rsid w:val="00F12770"/>
    <w:rsid w:val="00F157E5"/>
    <w:rsid w:val="00F17BC5"/>
    <w:rsid w:val="00F2312F"/>
    <w:rsid w:val="00F25DD5"/>
    <w:rsid w:val="00F27CB5"/>
    <w:rsid w:val="00F31F4A"/>
    <w:rsid w:val="00F3641B"/>
    <w:rsid w:val="00F42476"/>
    <w:rsid w:val="00F4526C"/>
    <w:rsid w:val="00F51115"/>
    <w:rsid w:val="00F65680"/>
    <w:rsid w:val="00F70FFE"/>
    <w:rsid w:val="00F7184A"/>
    <w:rsid w:val="00F824D6"/>
    <w:rsid w:val="00F92967"/>
    <w:rsid w:val="00FA7CFE"/>
    <w:rsid w:val="00FB1095"/>
    <w:rsid w:val="00FB1587"/>
    <w:rsid w:val="00FC099C"/>
    <w:rsid w:val="00FC66DA"/>
    <w:rsid w:val="00FD2956"/>
    <w:rsid w:val="00FD2D27"/>
    <w:rsid w:val="00FD2D62"/>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1444E3"/>
    <w:pPr>
      <w:spacing w:before="100" w:beforeAutospacing="1" w:after="100" w:afterAutospacing="1" w:line="360" w:lineRule="auto"/>
      <w:contextualSpacing/>
      <w:jc w:val="both"/>
      <w:outlineLvl w:val="1"/>
    </w:pPr>
    <w:rPr>
      <w:b/>
      <w:i/>
      <w:lang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1444E3"/>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Mencinsinresolver">
    <w:name w:val="Unresolved Mention"/>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7933-8738" TargetMode="External"/><Relationship Id="rId18" Type="http://schemas.openxmlformats.org/officeDocument/2006/relationships/image" Target="media/image3.png"/><Relationship Id="rId26" Type="http://schemas.openxmlformats.org/officeDocument/2006/relationships/hyperlink" Target="https://doi.org/10.1038/nm.2058" TargetMode="External"/><Relationship Id="rId39" Type="http://schemas.openxmlformats.org/officeDocument/2006/relationships/hyperlink" Target="https://doi.org/10.1111/ane.13075" TargetMode="External"/><Relationship Id="rId21" Type="http://schemas.openxmlformats.org/officeDocument/2006/relationships/chart" Target="charts/chart1.xml"/><Relationship Id="rId34" Type="http://schemas.openxmlformats.org/officeDocument/2006/relationships/hyperlink" Target="https://doi.org/10.1155/2013/425697" TargetMode="External"/><Relationship Id="rId42" Type="http://schemas.openxmlformats.org/officeDocument/2006/relationships/hyperlink" Target="https://doi.org/10.1111/j.1528-1167.2007.01400.x" TargetMode="External"/><Relationship Id="rId47" Type="http://schemas.openxmlformats.org/officeDocument/2006/relationships/hyperlink" Target="http://dx.doi.org/10.3109/10409238.2016.1173010" TargetMode="External"/><Relationship Id="rId50" Type="http://schemas.openxmlformats.org/officeDocument/2006/relationships/hyperlink" Target="https://doi.org/10.1016/j.brainres.2005.09.047" TargetMode="External"/><Relationship Id="rId55" Type="http://schemas.openxmlformats.org/officeDocument/2006/relationships/hyperlink" Target="https://doi.org/10.1093/sleep/zsz28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7399-9535" TargetMode="External"/><Relationship Id="rId29" Type="http://schemas.openxmlformats.org/officeDocument/2006/relationships/hyperlink" Target="https://doi.org/10.1016/S0920-1211(97)00031-4" TargetMode="External"/><Relationship Id="rId11" Type="http://schemas.openxmlformats.org/officeDocument/2006/relationships/image" Target="media/image2.png"/><Relationship Id="rId24" Type="http://schemas.openxmlformats.org/officeDocument/2006/relationships/hyperlink" Target="https://doi.org/10.1016/j.yebeh.2018.12.012" TargetMode="External"/><Relationship Id="rId32" Type="http://schemas.openxmlformats.org/officeDocument/2006/relationships/hyperlink" Target="https://doi.org/10.1097/01.wnp.0000206877.90232.cb" TargetMode="External"/><Relationship Id="rId37" Type="http://schemas.openxmlformats.org/officeDocument/2006/relationships/hyperlink" Target="https://doi.org/10.1016/S0031-9384(00)00425-X" TargetMode="External"/><Relationship Id="rId40" Type="http://schemas.openxmlformats.org/officeDocument/2006/relationships/hyperlink" Target="http://dx.doi.org/10.1097/WNF.0b013e3181cda242" TargetMode="External"/><Relationship Id="rId45" Type="http://schemas.openxmlformats.org/officeDocument/2006/relationships/hyperlink" Target="https://doi.org/10.1016/S0920-1211(01)00256-X" TargetMode="External"/><Relationship Id="rId53" Type="http://schemas.openxmlformats.org/officeDocument/2006/relationships/hyperlink" Target="https://doi.org/10.1016/j.expneurol.2004.08.032"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4.svg"/><Relationship Id="rId14" Type="http://schemas.openxmlformats.org/officeDocument/2006/relationships/hyperlink" Target="https://orcid.org/0000-0002-8115-1227" TargetMode="External"/><Relationship Id="rId22" Type="http://schemas.openxmlformats.org/officeDocument/2006/relationships/hyperlink" Target="https://doi.org/10.17711/sm.0185-3325.2019.032" TargetMode="External"/><Relationship Id="rId27" Type="http://schemas.openxmlformats.org/officeDocument/2006/relationships/hyperlink" Target="https://doi.org/10.1111/j.1471-4159.1990.tb03127.x" TargetMode="External"/><Relationship Id="rId30" Type="http://schemas.openxmlformats.org/officeDocument/2006/relationships/hyperlink" Target="https://doi.org/10.1007/bf00999720" TargetMode="External"/><Relationship Id="rId35" Type="http://schemas.openxmlformats.org/officeDocument/2006/relationships/hyperlink" Target="https://doi.org/10.1016/j.pnpbp.2003.09.026" TargetMode="External"/><Relationship Id="rId43" Type="http://schemas.openxmlformats.org/officeDocument/2006/relationships/hyperlink" Target="https://doi.org/10.1016/S0013-4694(96)96028-9" TargetMode="External"/><Relationship Id="rId48" Type="http://schemas.openxmlformats.org/officeDocument/2006/relationships/hyperlink" Target="https://doi.org/10.1126/science.887932" TargetMode="External"/><Relationship Id="rId56" Type="http://schemas.openxmlformats.org/officeDocument/2006/relationships/hyperlink" Target="https://doi.org/10.1007/s10495-010-0481-0" TargetMode="External"/><Relationship Id="rId8" Type="http://schemas.openxmlformats.org/officeDocument/2006/relationships/hyperlink" Target="https://doi.org/10.30849/ripijp.v56i2.1458" TargetMode="External"/><Relationship Id="rId51" Type="http://schemas.openxmlformats.org/officeDocument/2006/relationships/hyperlink" Target="https://doi.org/10.1177/0883073812463069" TargetMode="External"/><Relationship Id="rId3" Type="http://schemas.openxmlformats.org/officeDocument/2006/relationships/styles" Target="styles.xml"/><Relationship Id="rId12" Type="http://schemas.openxmlformats.org/officeDocument/2006/relationships/hyperlink" Target="https://orcid.org/0000-0001-7540-6054" TargetMode="External"/><Relationship Id="rId17" Type="http://schemas.openxmlformats.org/officeDocument/2006/relationships/hyperlink" Target="https://sipsych.org/" TargetMode="External"/><Relationship Id="rId25" Type="http://schemas.openxmlformats.org/officeDocument/2006/relationships/hyperlink" Target="https://dx.doi.org/10.1007/s11940-016-0402-9" TargetMode="External"/><Relationship Id="rId33" Type="http://schemas.openxmlformats.org/officeDocument/2006/relationships/hyperlink" Target="https://doi.org/10.1016/j.neulet.2015.06.037" TargetMode="External"/><Relationship Id="rId38" Type="http://schemas.openxmlformats.org/officeDocument/2006/relationships/hyperlink" Target="https://doi.org/10.1016/s0301-0082(02)00013-8" TargetMode="External"/><Relationship Id="rId46" Type="http://schemas.openxmlformats.org/officeDocument/2006/relationships/hyperlink" Target="https://doi.org/10.1016/j.brainres.2006.01.078" TargetMode="External"/><Relationship Id="rId59" Type="http://schemas.openxmlformats.org/officeDocument/2006/relationships/footer" Target="footer1.xml"/><Relationship Id="rId20" Type="http://schemas.openxmlformats.org/officeDocument/2006/relationships/image" Target="media/image5.png"/><Relationship Id="rId41" Type="http://schemas.openxmlformats.org/officeDocument/2006/relationships/hyperlink" Target="https://doi.org/10.1038/267720a0" TargetMode="External"/><Relationship Id="rId54" Type="http://schemas.openxmlformats.org/officeDocument/2006/relationships/hyperlink" Target="https://doi.org/10.1016/j.coph.2005.11.00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5693-4828" TargetMode="External"/><Relationship Id="rId23" Type="http://schemas.openxmlformats.org/officeDocument/2006/relationships/hyperlink" Target="https://doi.org/10.1358/mf.2009.31.7.1393610" TargetMode="External"/><Relationship Id="rId28" Type="http://schemas.openxmlformats.org/officeDocument/2006/relationships/hyperlink" Target="https://doi.org/10.2165/00023210-200115050-00001" TargetMode="External"/><Relationship Id="rId36" Type="http://schemas.openxmlformats.org/officeDocument/2006/relationships/hyperlink" Target="https://doi.org/10.1016/0028-3908(87)90171-7" TargetMode="External"/><Relationship Id="rId49" Type="http://schemas.openxmlformats.org/officeDocument/2006/relationships/hyperlink" Target="https://doi.org/10.1016/0013-4694(72)90177-0" TargetMode="External"/><Relationship Id="rId57" Type="http://schemas.openxmlformats.org/officeDocument/2006/relationships/header" Target="header1.xml"/><Relationship Id="rId10" Type="http://schemas.openxmlformats.org/officeDocument/2006/relationships/hyperlink" Target="https://orcid.org/0000-0002-6029-3525" TargetMode="External"/><Relationship Id="rId31" Type="http://schemas.openxmlformats.org/officeDocument/2006/relationships/hyperlink" Target="https://doi.org/10.1046/j.1528-1157.2002.21002.x" TargetMode="External"/><Relationship Id="rId44" Type="http://schemas.openxmlformats.org/officeDocument/2006/relationships/hyperlink" Target="https://doi.org/10.1016/j.eplepsyres.2010.05.006" TargetMode="External"/><Relationship Id="rId52" Type="http://schemas.openxmlformats.org/officeDocument/2006/relationships/hyperlink" Target="https://doi.org/10.1046/j.0003-2409.2001.02399.x"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fayala@unam.mx?subject=RIP/IJP:%20Trastornos%20de%20sue&#241;o%20y%20conductuales%20provocados%20por%20la%20epilepsia:%20Efecto%20protector%20de%20la%20Gabapentin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LMS\Desktop\Publicaciones%20en%20veremos\Trastornos%20Sue&#241;o%20PTZ%20GABA%20Ratas%20II\Varios%20Tx%20sue&#241;o%20PTZ%20y%20GBP\GBP%20PTZ%20Base%20datos%20Conduct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cat>
            <c:strRef>
              <c:f>'Fig 2'!$D$2:$G$2</c:f>
              <c:strCache>
                <c:ptCount val="4"/>
                <c:pt idx="0">
                  <c:v>Control</c:v>
                </c:pt>
                <c:pt idx="1">
                  <c:v>DB</c:v>
                </c:pt>
                <c:pt idx="2">
                  <c:v>DM </c:v>
                </c:pt>
                <c:pt idx="3">
                  <c:v>DA</c:v>
                </c:pt>
              </c:strCache>
            </c:strRef>
          </c:cat>
          <c:val>
            <c:numRef>
              <c:f>'Fig 2'!$D$3:$G$3</c:f>
              <c:numCache>
                <c:formatCode>General</c:formatCode>
                <c:ptCount val="4"/>
                <c:pt idx="0">
                  <c:v>77</c:v>
                </c:pt>
                <c:pt idx="1">
                  <c:v>54</c:v>
                </c:pt>
                <c:pt idx="2">
                  <c:v>39</c:v>
                </c:pt>
                <c:pt idx="3">
                  <c:v>22</c:v>
                </c:pt>
              </c:numCache>
            </c:numRef>
          </c:val>
          <c:extLst>
            <c:ext xmlns:c16="http://schemas.microsoft.com/office/drawing/2014/chart" uri="{C3380CC4-5D6E-409C-BE32-E72D297353CC}">
              <c16:uniqueId val="{00000000-A8DE-6746-BCCA-DC7B0892A9CB}"/>
            </c:ext>
          </c:extLst>
        </c:ser>
        <c:dLbls>
          <c:showLegendKey val="0"/>
          <c:showVal val="0"/>
          <c:showCatName val="0"/>
          <c:showSerName val="0"/>
          <c:showPercent val="0"/>
          <c:showBubbleSize val="0"/>
        </c:dLbls>
        <c:gapWidth val="219"/>
        <c:overlap val="-27"/>
        <c:axId val="2107898488"/>
        <c:axId val="2107902072"/>
      </c:barChart>
      <c:catAx>
        <c:axId val="2107898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2107902072"/>
        <c:crosses val="autoZero"/>
        <c:auto val="1"/>
        <c:lblAlgn val="ctr"/>
        <c:lblOffset val="100"/>
        <c:noMultiLvlLbl val="0"/>
      </c:catAx>
      <c:valAx>
        <c:axId val="2107902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MX" sz="1400">
                    <a:solidFill>
                      <a:sysClr val="windowText" lastClr="000000"/>
                    </a:solidFill>
                    <a:latin typeface="Times New Roman" panose="02020603050405020304" pitchFamily="18" charset="0"/>
                    <a:cs typeface="Times New Roman" panose="02020603050405020304" pitchFamily="18" charset="0"/>
                  </a:rPr>
                  <a:t>Número de estados</a:t>
                </a:r>
              </a:p>
            </c:rich>
          </c:tx>
          <c:overlay val="0"/>
          <c:spPr>
            <a:noFill/>
            <a:ln>
              <a:noFill/>
            </a:ln>
            <a:effectLst/>
          </c:spPr>
          <c:txPr>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2107898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711F-A8FE-4854-8543-D577D5D1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17</Pages>
  <Words>6123</Words>
  <Characters>33679</Characters>
  <Application>Microsoft Office Word</Application>
  <DocSecurity>0</DocSecurity>
  <Lines>280</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11</cp:revision>
  <cp:lastPrinted>2020-05-06T22:26:00Z</cp:lastPrinted>
  <dcterms:created xsi:type="dcterms:W3CDTF">2022-10-06T19:08:00Z</dcterms:created>
  <dcterms:modified xsi:type="dcterms:W3CDTF">2022-10-09T22:33:00Z</dcterms:modified>
</cp:coreProperties>
</file>