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B0" w:rsidRPr="00131C0A" w:rsidRDefault="007E5BB0" w:rsidP="007E5BB0">
      <w:pPr>
        <w:spacing w:line="360" w:lineRule="auto"/>
        <w:rPr>
          <w:rFonts w:ascii="Times New Roman" w:hAnsi="Times New Roman" w:cs="Times New Roman"/>
          <w:b/>
          <w:sz w:val="24"/>
          <w:szCs w:val="24"/>
        </w:rPr>
      </w:pPr>
      <w:r w:rsidRPr="00131C0A">
        <w:rPr>
          <w:rFonts w:ascii="Times New Roman" w:hAnsi="Times New Roman" w:cs="Times New Roman"/>
          <w:b/>
          <w:sz w:val="24"/>
          <w:szCs w:val="24"/>
        </w:rPr>
        <w:t>Resocialization through The Family Project in The Bahamas:</w:t>
      </w:r>
    </w:p>
    <w:p w:rsidR="007E5BB0" w:rsidRPr="00131C0A" w:rsidRDefault="007E5BB0" w:rsidP="007E5BB0">
      <w:pPr>
        <w:spacing w:line="360" w:lineRule="auto"/>
        <w:rPr>
          <w:rFonts w:ascii="Times New Roman" w:hAnsi="Times New Roman" w:cs="Times New Roman"/>
          <w:b/>
          <w:sz w:val="24"/>
          <w:szCs w:val="24"/>
        </w:rPr>
      </w:pPr>
      <w:r w:rsidRPr="00131C0A">
        <w:rPr>
          <w:rFonts w:ascii="Times New Roman" w:hAnsi="Times New Roman" w:cs="Times New Roman"/>
          <w:b/>
          <w:sz w:val="24"/>
          <w:szCs w:val="24"/>
        </w:rPr>
        <w:t>Using Group Therapy to Heal Adverse Childhood Experiences</w:t>
      </w:r>
    </w:p>
    <w:p w:rsidR="007E5BB0" w:rsidRDefault="007E5BB0" w:rsidP="007E5BB0">
      <w:pPr>
        <w:spacing w:line="360" w:lineRule="auto"/>
        <w:jc w:val="both"/>
        <w:rPr>
          <w:rFonts w:ascii="Times New Roman" w:hAnsi="Times New Roman" w:cs="Times New Roman"/>
          <w:b/>
          <w:sz w:val="24"/>
          <w:szCs w:val="24"/>
          <w:u w:val="single"/>
        </w:rPr>
      </w:pPr>
    </w:p>
    <w:p w:rsidR="007E5BB0" w:rsidRDefault="007E5BB0" w:rsidP="007E5BB0">
      <w:pPr>
        <w:spacing w:line="360" w:lineRule="auto"/>
        <w:jc w:val="both"/>
        <w:rPr>
          <w:rFonts w:ascii="Times New Roman" w:hAnsi="Times New Roman" w:cs="Times New Roman"/>
          <w:b/>
          <w:sz w:val="24"/>
          <w:szCs w:val="24"/>
          <w:u w:val="single"/>
        </w:rPr>
      </w:pPr>
    </w:p>
    <w:p w:rsidR="007E5BB0" w:rsidRDefault="007E5BB0" w:rsidP="007E5BB0">
      <w:pPr>
        <w:spacing w:line="360" w:lineRule="auto"/>
        <w:jc w:val="both"/>
        <w:rPr>
          <w:rFonts w:ascii="Times New Roman" w:hAnsi="Times New Roman" w:cs="Times New Roman"/>
          <w:sz w:val="24"/>
          <w:szCs w:val="24"/>
        </w:rPr>
      </w:pPr>
      <w:r w:rsidRPr="00131C0A">
        <w:rPr>
          <w:rFonts w:ascii="Times New Roman" w:hAnsi="Times New Roman" w:cs="Times New Roman"/>
          <w:b/>
          <w:i/>
          <w:sz w:val="24"/>
          <w:szCs w:val="24"/>
        </w:rPr>
        <w:t>Key Words</w:t>
      </w:r>
      <w:r>
        <w:rPr>
          <w:rFonts w:ascii="Times New Roman" w:hAnsi="Times New Roman" w:cs="Times New Roman"/>
          <w:b/>
          <w:sz w:val="24"/>
          <w:szCs w:val="24"/>
        </w:rPr>
        <w:t xml:space="preserve"> </w:t>
      </w:r>
      <w:r>
        <w:rPr>
          <w:rFonts w:ascii="Times New Roman" w:hAnsi="Times New Roman" w:cs="Times New Roman"/>
          <w:sz w:val="24"/>
          <w:szCs w:val="24"/>
        </w:rPr>
        <w:t>– Adverse childhood experiences, post-traumatic stress disorder, family, resocialization</w:t>
      </w:r>
    </w:p>
    <w:p w:rsidR="007E5BB0" w:rsidRDefault="007E5BB0" w:rsidP="007E5BB0">
      <w:pPr>
        <w:spacing w:line="360" w:lineRule="auto"/>
        <w:jc w:val="both"/>
        <w:rPr>
          <w:rFonts w:ascii="Times New Roman" w:hAnsi="Times New Roman" w:cs="Times New Roman"/>
          <w:b/>
          <w:sz w:val="24"/>
          <w:szCs w:val="24"/>
          <w:u w:val="single"/>
        </w:rPr>
      </w:pPr>
    </w:p>
    <w:p w:rsidR="00556FF0" w:rsidRPr="00131C0A" w:rsidRDefault="00556FF0" w:rsidP="00DE4294">
      <w:pPr>
        <w:spacing w:line="360" w:lineRule="auto"/>
        <w:jc w:val="both"/>
        <w:rPr>
          <w:rFonts w:ascii="Times New Roman" w:hAnsi="Times New Roman" w:cs="Times New Roman"/>
          <w:b/>
          <w:i/>
          <w:sz w:val="24"/>
          <w:szCs w:val="24"/>
        </w:rPr>
      </w:pPr>
      <w:r w:rsidRPr="00131C0A">
        <w:rPr>
          <w:rFonts w:ascii="Times New Roman" w:hAnsi="Times New Roman" w:cs="Times New Roman"/>
          <w:b/>
          <w:i/>
          <w:sz w:val="24"/>
          <w:szCs w:val="24"/>
        </w:rPr>
        <w:t>Abstract</w:t>
      </w:r>
    </w:p>
    <w:p w:rsidR="00556FF0" w:rsidRPr="00D40EB9" w:rsidRDefault="00556FF0" w:rsidP="00DE4294">
      <w:pPr>
        <w:spacing w:line="360" w:lineRule="auto"/>
        <w:jc w:val="both"/>
        <w:rPr>
          <w:rFonts w:ascii="Times New Roman" w:hAnsi="Times New Roman" w:cs="Times New Roman"/>
          <w:sz w:val="24"/>
          <w:szCs w:val="24"/>
        </w:rPr>
      </w:pPr>
    </w:p>
    <w:p w:rsidR="00556FF0" w:rsidRDefault="00556FF0" w:rsidP="00DE429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Background: </w:t>
      </w:r>
      <w:r>
        <w:rPr>
          <w:rFonts w:ascii="Times New Roman" w:hAnsi="Times New Roman" w:cs="Times New Roman"/>
          <w:sz w:val="24"/>
          <w:szCs w:val="24"/>
        </w:rPr>
        <w:t xml:space="preserve">The Bahamas has undergone a </w:t>
      </w:r>
      <w:r w:rsidR="0077513F">
        <w:rPr>
          <w:rFonts w:ascii="Times New Roman" w:hAnsi="Times New Roman" w:cs="Times New Roman"/>
          <w:sz w:val="24"/>
          <w:szCs w:val="24"/>
        </w:rPr>
        <w:t xml:space="preserve">severe </w:t>
      </w:r>
      <w:r>
        <w:rPr>
          <w:rFonts w:ascii="Times New Roman" w:hAnsi="Times New Roman" w:cs="Times New Roman"/>
          <w:sz w:val="24"/>
          <w:szCs w:val="24"/>
        </w:rPr>
        <w:t>social fragmentation process due to the cra</w:t>
      </w:r>
      <w:r w:rsidR="0077513F">
        <w:rPr>
          <w:rFonts w:ascii="Times New Roman" w:hAnsi="Times New Roman" w:cs="Times New Roman"/>
          <w:sz w:val="24"/>
          <w:szCs w:val="24"/>
        </w:rPr>
        <w:t>ck cocaine epidemic of the 1980</w:t>
      </w:r>
      <w:r>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w:t>
      </w:r>
      <w:r w:rsidR="00654DDF">
        <w:rPr>
          <w:rFonts w:ascii="Times New Roman" w:hAnsi="Times New Roman" w:cs="Times New Roman"/>
          <w:sz w:val="24"/>
          <w:szCs w:val="24"/>
        </w:rPr>
        <w:t xml:space="preserve">Marginalized persons were offered free group therapy through </w:t>
      </w:r>
      <w:r>
        <w:rPr>
          <w:rFonts w:ascii="Times New Roman" w:hAnsi="Times New Roman" w:cs="Times New Roman"/>
          <w:sz w:val="24"/>
          <w:szCs w:val="24"/>
        </w:rPr>
        <w:t>The Family</w:t>
      </w:r>
      <w:r w:rsidR="00654DDF">
        <w:rPr>
          <w:rFonts w:ascii="Times New Roman" w:hAnsi="Times New Roman" w:cs="Times New Roman"/>
          <w:sz w:val="24"/>
          <w:szCs w:val="24"/>
        </w:rPr>
        <w:t>: People Helping People Project</w:t>
      </w:r>
      <w:r>
        <w:rPr>
          <w:rFonts w:ascii="Times New Roman" w:hAnsi="Times New Roman" w:cs="Times New Roman"/>
          <w:sz w:val="24"/>
          <w:szCs w:val="24"/>
        </w:rPr>
        <w:t xml:space="preserve">. </w:t>
      </w:r>
    </w:p>
    <w:p w:rsidR="00556FF0" w:rsidRDefault="00556FF0" w:rsidP="00DE429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Methods: </w:t>
      </w:r>
      <w:r>
        <w:rPr>
          <w:rFonts w:ascii="Times New Roman" w:hAnsi="Times New Roman" w:cs="Times New Roman"/>
          <w:sz w:val="24"/>
          <w:szCs w:val="24"/>
        </w:rPr>
        <w:t xml:space="preserve">We hypothesized that many of our participants were traumatized as children, therefore causing them to experience various psychological and physiological challenges as adults. The Allen </w:t>
      </w:r>
      <w:r w:rsidR="00654DDF">
        <w:rPr>
          <w:rFonts w:ascii="Times New Roman" w:hAnsi="Times New Roman" w:cs="Times New Roman"/>
          <w:sz w:val="24"/>
          <w:szCs w:val="24"/>
        </w:rPr>
        <w:t>Resocialization Scale can</w:t>
      </w:r>
      <w:r>
        <w:rPr>
          <w:rFonts w:ascii="Times New Roman" w:hAnsi="Times New Roman" w:cs="Times New Roman"/>
          <w:sz w:val="24"/>
          <w:szCs w:val="24"/>
        </w:rPr>
        <w:t xml:space="preserve"> measure </w:t>
      </w:r>
      <w:r w:rsidR="00654DDF">
        <w:rPr>
          <w:rFonts w:ascii="Times New Roman" w:hAnsi="Times New Roman" w:cs="Times New Roman"/>
          <w:sz w:val="24"/>
          <w:szCs w:val="24"/>
        </w:rPr>
        <w:t xml:space="preserve">the </w:t>
      </w:r>
      <w:r>
        <w:rPr>
          <w:rFonts w:ascii="Times New Roman" w:hAnsi="Times New Roman" w:cs="Times New Roman"/>
          <w:sz w:val="24"/>
          <w:szCs w:val="24"/>
        </w:rPr>
        <w:t xml:space="preserve">resocialization of traumatized participants. </w:t>
      </w:r>
    </w:p>
    <w:p w:rsidR="00556FF0" w:rsidRDefault="00556FF0" w:rsidP="00DE429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Results: </w:t>
      </w:r>
      <w:r>
        <w:rPr>
          <w:rFonts w:ascii="Times New Roman" w:hAnsi="Times New Roman" w:cs="Times New Roman"/>
          <w:sz w:val="24"/>
          <w:szCs w:val="24"/>
        </w:rPr>
        <w:t>The results indicate that 98% of participants who were</w:t>
      </w:r>
      <w:r w:rsidRPr="00DA5709">
        <w:rPr>
          <w:rFonts w:ascii="Times New Roman" w:hAnsi="Times New Roman" w:cs="Times New Roman"/>
          <w:sz w:val="24"/>
          <w:szCs w:val="24"/>
        </w:rPr>
        <w:t xml:space="preserve"> traumatized scored </w:t>
      </w:r>
      <w:r>
        <w:rPr>
          <w:rFonts w:ascii="Times New Roman" w:hAnsi="Times New Roman" w:cs="Times New Roman"/>
          <w:sz w:val="24"/>
          <w:szCs w:val="24"/>
        </w:rPr>
        <w:t xml:space="preserve">‘excellent, </w:t>
      </w:r>
      <w:r w:rsidRPr="00DA5709">
        <w:rPr>
          <w:rFonts w:ascii="Times New Roman" w:hAnsi="Times New Roman" w:cs="Times New Roman"/>
          <w:sz w:val="24"/>
          <w:szCs w:val="24"/>
        </w:rPr>
        <w:t xml:space="preserve">‘good’ or ‘average’ on the Allen Resocialization Scale. </w:t>
      </w:r>
    </w:p>
    <w:p w:rsidR="00556FF0" w:rsidRDefault="00556FF0" w:rsidP="00DE429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Conclusions: </w:t>
      </w:r>
      <w:r w:rsidRPr="00DA5709">
        <w:rPr>
          <w:rFonts w:ascii="Times New Roman" w:hAnsi="Times New Roman" w:cs="Times New Roman"/>
          <w:sz w:val="24"/>
          <w:szCs w:val="24"/>
        </w:rPr>
        <w:t>Without The Family, these participants may have been ‘poorly’ re-socialized, wreaking havoc in the society</w:t>
      </w:r>
      <w:r>
        <w:rPr>
          <w:rFonts w:ascii="Times New Roman" w:hAnsi="Times New Roman" w:cs="Times New Roman"/>
          <w:sz w:val="24"/>
          <w:szCs w:val="24"/>
        </w:rPr>
        <w:t>. Theref</w:t>
      </w:r>
      <w:r w:rsidR="00654DDF">
        <w:rPr>
          <w:rFonts w:ascii="Times New Roman" w:hAnsi="Times New Roman" w:cs="Times New Roman"/>
          <w:sz w:val="24"/>
          <w:szCs w:val="24"/>
        </w:rPr>
        <w:t xml:space="preserve">ore, the results suggest that </w:t>
      </w:r>
      <w:r w:rsidRPr="00DA5709">
        <w:rPr>
          <w:rFonts w:ascii="Times New Roman" w:hAnsi="Times New Roman" w:cs="Times New Roman"/>
          <w:sz w:val="24"/>
          <w:szCs w:val="24"/>
        </w:rPr>
        <w:t>Family support</w:t>
      </w:r>
      <w:r>
        <w:rPr>
          <w:rFonts w:ascii="Times New Roman" w:hAnsi="Times New Roman" w:cs="Times New Roman"/>
          <w:sz w:val="24"/>
          <w:szCs w:val="24"/>
        </w:rPr>
        <w:t xml:space="preserve"> groups can be a protective factor against trauma experienced in childhood. </w:t>
      </w:r>
    </w:p>
    <w:p w:rsidR="00556FF0" w:rsidRDefault="00556FF0" w:rsidP="00DE4294">
      <w:pPr>
        <w:spacing w:line="360" w:lineRule="auto"/>
        <w:jc w:val="both"/>
        <w:rPr>
          <w:rFonts w:ascii="Times New Roman" w:hAnsi="Times New Roman" w:cs="Times New Roman"/>
          <w:b/>
          <w:sz w:val="24"/>
          <w:szCs w:val="24"/>
          <w:u w:val="single"/>
        </w:rPr>
      </w:pPr>
    </w:p>
    <w:p w:rsidR="00556FF0" w:rsidRPr="009B54ED" w:rsidRDefault="00556FF0" w:rsidP="00DE4294">
      <w:pPr>
        <w:spacing w:line="360" w:lineRule="auto"/>
        <w:jc w:val="both"/>
      </w:pPr>
    </w:p>
    <w:p w:rsidR="00556FF0" w:rsidRDefault="00556FF0" w:rsidP="00DE4294">
      <w:pPr>
        <w:spacing w:line="360" w:lineRule="auto"/>
        <w:jc w:val="both"/>
        <w:rPr>
          <w:rFonts w:ascii="Times New Roman" w:hAnsi="Times New Roman" w:cs="Times New Roman"/>
          <w:sz w:val="24"/>
          <w:szCs w:val="24"/>
        </w:rPr>
      </w:pPr>
    </w:p>
    <w:p w:rsidR="00556FF0" w:rsidRDefault="00556FF0" w:rsidP="00DE4294">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312F6C" w:rsidRPr="00131C0A" w:rsidRDefault="00312F6C" w:rsidP="00DE4294">
      <w:pPr>
        <w:spacing w:line="360" w:lineRule="auto"/>
        <w:jc w:val="both"/>
        <w:rPr>
          <w:rFonts w:ascii="Times New Roman" w:hAnsi="Times New Roman" w:cs="Times New Roman"/>
          <w:i/>
          <w:sz w:val="24"/>
          <w:szCs w:val="24"/>
        </w:rPr>
      </w:pPr>
      <w:r w:rsidRPr="00131C0A">
        <w:rPr>
          <w:rFonts w:ascii="Times New Roman" w:hAnsi="Times New Roman" w:cs="Times New Roman"/>
          <w:b/>
          <w:i/>
          <w:sz w:val="24"/>
          <w:szCs w:val="24"/>
        </w:rPr>
        <w:lastRenderedPageBreak/>
        <w:t xml:space="preserve">Introduction </w:t>
      </w:r>
    </w:p>
    <w:p w:rsidR="00312F6C" w:rsidRPr="006E3FC4" w:rsidRDefault="00312F6C" w:rsidP="00DE4294">
      <w:pPr>
        <w:spacing w:line="360" w:lineRule="auto"/>
        <w:jc w:val="both"/>
        <w:rPr>
          <w:rFonts w:ascii="Times New Roman" w:hAnsi="Times New Roman" w:cs="Times New Roman"/>
          <w:sz w:val="24"/>
          <w:szCs w:val="24"/>
        </w:rPr>
      </w:pPr>
      <w:r w:rsidRPr="005B30FF">
        <w:rPr>
          <w:rFonts w:ascii="Times New Roman" w:hAnsi="Times New Roman" w:cs="Times New Roman"/>
          <w:sz w:val="24"/>
          <w:szCs w:val="24"/>
        </w:rPr>
        <w:t>The Ba</w:t>
      </w:r>
      <w:r w:rsidR="00654DDF">
        <w:rPr>
          <w:rFonts w:ascii="Times New Roman" w:hAnsi="Times New Roman" w:cs="Times New Roman"/>
          <w:sz w:val="24"/>
          <w:szCs w:val="24"/>
        </w:rPr>
        <w:t xml:space="preserve">hamas is a small island nation </w:t>
      </w:r>
      <w:r w:rsidRPr="005B30FF">
        <w:rPr>
          <w:rFonts w:ascii="Times New Roman" w:hAnsi="Times New Roman" w:cs="Times New Roman"/>
          <w:sz w:val="24"/>
          <w:szCs w:val="24"/>
        </w:rPr>
        <w:t>situated between Florida and Cuba. Originally an English Colony, it be</w:t>
      </w:r>
      <w:r w:rsidR="00654DDF">
        <w:rPr>
          <w:rFonts w:ascii="Times New Roman" w:hAnsi="Times New Roman" w:cs="Times New Roman"/>
          <w:sz w:val="24"/>
          <w:szCs w:val="24"/>
        </w:rPr>
        <w:t>came independent in 1973 and had</w:t>
      </w:r>
      <w:r w:rsidRPr="005B30FF">
        <w:rPr>
          <w:rFonts w:ascii="Times New Roman" w:hAnsi="Times New Roman" w:cs="Times New Roman"/>
          <w:sz w:val="24"/>
          <w:szCs w:val="24"/>
        </w:rPr>
        <w:t xml:space="preserve"> a population of about 400,000, </w:t>
      </w:r>
      <w:r w:rsidR="00654DDF">
        <w:rPr>
          <w:rFonts w:ascii="Times New Roman" w:hAnsi="Times New Roman" w:cs="Times New Roman"/>
          <w:sz w:val="24"/>
          <w:szCs w:val="24"/>
        </w:rPr>
        <w:t>most</w:t>
      </w:r>
      <w:r w:rsidRPr="005B30FF">
        <w:rPr>
          <w:rFonts w:ascii="Times New Roman" w:hAnsi="Times New Roman" w:cs="Times New Roman"/>
          <w:sz w:val="24"/>
          <w:szCs w:val="24"/>
        </w:rPr>
        <w:t xml:space="preserve"> of which is of African descent. The Bahamas is a religion-centric country based on Judeo-Christian principles. Unfortunately, the country-wide cra</w:t>
      </w:r>
      <w:r w:rsidR="00654DDF">
        <w:rPr>
          <w:rFonts w:ascii="Times New Roman" w:hAnsi="Times New Roman" w:cs="Times New Roman"/>
          <w:sz w:val="24"/>
          <w:szCs w:val="24"/>
        </w:rPr>
        <w:t>ck cocaine epidemic of the 1980</w:t>
      </w:r>
      <w:r w:rsidRPr="005B30FF">
        <w:rPr>
          <w:rFonts w:ascii="Times New Roman" w:hAnsi="Times New Roman" w:cs="Times New Roman"/>
          <w:sz w:val="24"/>
          <w:szCs w:val="24"/>
        </w:rPr>
        <w:t>s produced severe family and community disintegration</w:t>
      </w:r>
      <w:r>
        <w:rPr>
          <w:rFonts w:ascii="Times New Roman" w:hAnsi="Times New Roman" w:cs="Times New Roman"/>
          <w:sz w:val="24"/>
          <w:szCs w:val="24"/>
        </w:rPr>
        <w:t xml:space="preserve"> </w:t>
      </w:r>
      <w:r w:rsidR="002C47AC">
        <w:rPr>
          <w:rFonts w:ascii="Times New Roman" w:hAnsi="Times New Roman" w:cs="Times New Roman"/>
          <w:sz w:val="24"/>
          <w:szCs w:val="24"/>
        </w:rPr>
        <w:t>(Jekel et al.</w:t>
      </w:r>
      <w:r w:rsidR="00973BC4">
        <w:rPr>
          <w:rFonts w:ascii="Times New Roman" w:hAnsi="Times New Roman" w:cs="Times New Roman"/>
          <w:sz w:val="24"/>
          <w:szCs w:val="24"/>
        </w:rPr>
        <w:t>,</w:t>
      </w:r>
      <w:r w:rsidR="002C47AC">
        <w:rPr>
          <w:rFonts w:ascii="Times New Roman" w:hAnsi="Times New Roman" w:cs="Times New Roman"/>
          <w:sz w:val="24"/>
          <w:szCs w:val="24"/>
        </w:rPr>
        <w:t xml:space="preserve"> 1986) (Allen &amp; Jekel, 1991), </w:t>
      </w:r>
      <w:r w:rsidRPr="005B30FF">
        <w:rPr>
          <w:rFonts w:ascii="Times New Roman" w:hAnsi="Times New Roman" w:cs="Times New Roman"/>
          <w:sz w:val="24"/>
          <w:szCs w:val="24"/>
        </w:rPr>
        <w:t xml:space="preserve">which, combined with the international economic downturn of 2008, led to high youth unemployment and the development of violent gangs. </w:t>
      </w:r>
      <w:r>
        <w:rPr>
          <w:rFonts w:ascii="Times New Roman" w:hAnsi="Times New Roman" w:cs="Times New Roman"/>
          <w:sz w:val="24"/>
          <w:szCs w:val="24"/>
        </w:rPr>
        <w:t>In response to this, The Family: People Helping People Project, a resocialization intervention, was initiated in 2008</w:t>
      </w:r>
      <w:r w:rsidR="00973BC4">
        <w:rPr>
          <w:rFonts w:ascii="Times New Roman" w:hAnsi="Times New Roman" w:cs="Times New Roman"/>
          <w:sz w:val="24"/>
          <w:szCs w:val="24"/>
        </w:rPr>
        <w:t xml:space="preserve"> (Bethell et al., 2015) (Abernethy et al., 2017). </w:t>
      </w:r>
      <w:r>
        <w:rPr>
          <w:rFonts w:ascii="Times New Roman" w:hAnsi="Times New Roman" w:cs="Times New Roman"/>
          <w:sz w:val="24"/>
          <w:szCs w:val="24"/>
        </w:rPr>
        <w:t>The program provides free group therapy to 23 marginalized communities, including the prison, juvenile offenders</w:t>
      </w:r>
      <w:r w:rsidR="00654DDF">
        <w:rPr>
          <w:rFonts w:ascii="Times New Roman" w:hAnsi="Times New Roman" w:cs="Times New Roman"/>
          <w:sz w:val="24"/>
          <w:szCs w:val="24"/>
        </w:rPr>
        <w:t>,</w:t>
      </w:r>
      <w:r>
        <w:rPr>
          <w:rFonts w:ascii="Times New Roman" w:hAnsi="Times New Roman" w:cs="Times New Roman"/>
          <w:sz w:val="24"/>
          <w:szCs w:val="24"/>
        </w:rPr>
        <w:t xml:space="preserve"> and an orphanage. </w:t>
      </w:r>
      <w:r w:rsidRPr="00BA3D47">
        <w:rPr>
          <w:rFonts w:ascii="Times New Roman" w:hAnsi="Times New Roman" w:cs="Times New Roman"/>
          <w:sz w:val="24"/>
          <w:szCs w:val="24"/>
        </w:rPr>
        <w:t>The</w:t>
      </w:r>
      <w:r>
        <w:rPr>
          <w:rFonts w:ascii="Times New Roman" w:hAnsi="Times New Roman" w:cs="Times New Roman"/>
          <w:sz w:val="24"/>
          <w:szCs w:val="24"/>
        </w:rPr>
        <w:t xml:space="preserve"> Family is a </w:t>
      </w:r>
      <w:r w:rsidRPr="00BA3D47">
        <w:rPr>
          <w:rFonts w:ascii="Times New Roman" w:hAnsi="Times New Roman" w:cs="Times New Roman"/>
          <w:sz w:val="24"/>
          <w:szCs w:val="24"/>
        </w:rPr>
        <w:t>group process model, representing a therapeutic replica</w:t>
      </w:r>
      <w:r>
        <w:rPr>
          <w:rFonts w:ascii="Times New Roman" w:hAnsi="Times New Roman" w:cs="Times New Roman"/>
          <w:sz w:val="24"/>
          <w:szCs w:val="24"/>
        </w:rPr>
        <w:t xml:space="preserve"> </w:t>
      </w:r>
      <w:r w:rsidRPr="00BA3D47">
        <w:rPr>
          <w:rFonts w:ascii="Times New Roman" w:hAnsi="Times New Roman" w:cs="Times New Roman"/>
          <w:sz w:val="24"/>
          <w:szCs w:val="24"/>
        </w:rPr>
        <w:t>of the home-based family, allowing members to confront their issues in a safe and</w:t>
      </w:r>
      <w:r>
        <w:rPr>
          <w:rFonts w:ascii="Times New Roman" w:hAnsi="Times New Roman" w:cs="Times New Roman"/>
          <w:sz w:val="24"/>
          <w:szCs w:val="24"/>
        </w:rPr>
        <w:t xml:space="preserve"> non-judgmental environment led by a trained facilitator. </w:t>
      </w:r>
      <w:r w:rsidR="009A28A5">
        <w:rPr>
          <w:rFonts w:ascii="Times New Roman" w:hAnsi="Times New Roman" w:cs="Times New Roman"/>
          <w:sz w:val="24"/>
          <w:szCs w:val="24"/>
        </w:rPr>
        <w:t>The Family provides</w:t>
      </w:r>
      <w:r w:rsidRPr="00BA3D47">
        <w:rPr>
          <w:rFonts w:ascii="Times New Roman" w:hAnsi="Times New Roman" w:cs="Times New Roman"/>
          <w:sz w:val="24"/>
          <w:szCs w:val="24"/>
        </w:rPr>
        <w:t xml:space="preserve"> support and advocacy for its members,</w:t>
      </w:r>
      <w:r>
        <w:rPr>
          <w:rFonts w:ascii="Times New Roman" w:hAnsi="Times New Roman" w:cs="Times New Roman"/>
          <w:sz w:val="24"/>
          <w:szCs w:val="24"/>
        </w:rPr>
        <w:t xml:space="preserve"> </w:t>
      </w:r>
      <w:r w:rsidR="009A28A5">
        <w:rPr>
          <w:rFonts w:ascii="Times New Roman" w:hAnsi="Times New Roman" w:cs="Times New Roman"/>
          <w:sz w:val="24"/>
          <w:szCs w:val="24"/>
        </w:rPr>
        <w:t>which in turn</w:t>
      </w:r>
      <w:r w:rsidR="00654DDF">
        <w:rPr>
          <w:rFonts w:ascii="Times New Roman" w:hAnsi="Times New Roman" w:cs="Times New Roman"/>
          <w:sz w:val="24"/>
          <w:szCs w:val="24"/>
        </w:rPr>
        <w:t xml:space="preserve"> gives </w:t>
      </w:r>
      <w:r w:rsidRPr="00BA3D47">
        <w:rPr>
          <w:rFonts w:ascii="Times New Roman" w:hAnsi="Times New Roman" w:cs="Times New Roman"/>
          <w:sz w:val="24"/>
          <w:szCs w:val="24"/>
        </w:rPr>
        <w:t xml:space="preserve">persons </w:t>
      </w:r>
      <w:r w:rsidR="00654DDF">
        <w:rPr>
          <w:rFonts w:ascii="Times New Roman" w:hAnsi="Times New Roman" w:cs="Times New Roman"/>
          <w:sz w:val="24"/>
          <w:szCs w:val="24"/>
        </w:rPr>
        <w:t>an aven</w:t>
      </w:r>
      <w:r w:rsidR="009A28A5">
        <w:rPr>
          <w:rFonts w:ascii="Times New Roman" w:hAnsi="Times New Roman" w:cs="Times New Roman"/>
          <w:sz w:val="24"/>
          <w:szCs w:val="24"/>
        </w:rPr>
        <w:t xml:space="preserve">ue </w:t>
      </w:r>
      <w:r w:rsidRPr="00BA3D47">
        <w:rPr>
          <w:rFonts w:ascii="Times New Roman" w:hAnsi="Times New Roman" w:cs="Times New Roman"/>
          <w:sz w:val="24"/>
          <w:szCs w:val="24"/>
        </w:rPr>
        <w:t>to discover themselves and grow as individuals</w:t>
      </w:r>
      <w:r w:rsidR="00973BC4">
        <w:rPr>
          <w:rFonts w:ascii="Times New Roman" w:hAnsi="Times New Roman" w:cs="Times New Roman"/>
          <w:sz w:val="24"/>
          <w:szCs w:val="24"/>
        </w:rPr>
        <w:t xml:space="preserve"> (Allen et al., 2014). </w:t>
      </w:r>
      <w:r w:rsidRPr="00BA3D47">
        <w:rPr>
          <w:rFonts w:ascii="Times New Roman" w:hAnsi="Times New Roman" w:cs="Times New Roman"/>
          <w:sz w:val="24"/>
          <w:szCs w:val="24"/>
        </w:rPr>
        <w:t>More</w:t>
      </w:r>
      <w:r>
        <w:rPr>
          <w:rFonts w:ascii="Times New Roman" w:hAnsi="Times New Roman" w:cs="Times New Roman"/>
          <w:sz w:val="24"/>
          <w:szCs w:val="24"/>
        </w:rPr>
        <w:t xml:space="preserve"> </w:t>
      </w:r>
      <w:r w:rsidRPr="00BA3D47">
        <w:rPr>
          <w:rFonts w:ascii="Times New Roman" w:hAnsi="Times New Roman" w:cs="Times New Roman"/>
          <w:sz w:val="24"/>
          <w:szCs w:val="24"/>
        </w:rPr>
        <w:t xml:space="preserve">importantly, The Family </w:t>
      </w:r>
      <w:r>
        <w:rPr>
          <w:rFonts w:ascii="Times New Roman" w:hAnsi="Times New Roman" w:cs="Times New Roman"/>
          <w:sz w:val="24"/>
          <w:szCs w:val="24"/>
        </w:rPr>
        <w:t>encourages</w:t>
      </w:r>
      <w:r w:rsidRPr="00BA3D47">
        <w:rPr>
          <w:rFonts w:ascii="Times New Roman" w:hAnsi="Times New Roman" w:cs="Times New Roman"/>
          <w:sz w:val="24"/>
          <w:szCs w:val="24"/>
        </w:rPr>
        <w:t xml:space="preserve"> the expression of </w:t>
      </w:r>
      <w:r w:rsidR="009A28A5">
        <w:rPr>
          <w:rFonts w:ascii="Times New Roman" w:hAnsi="Times New Roman" w:cs="Times New Roman"/>
          <w:sz w:val="24"/>
          <w:szCs w:val="24"/>
        </w:rPr>
        <w:t xml:space="preserve">taboo </w:t>
      </w:r>
      <w:r w:rsidRPr="00BA3D47">
        <w:rPr>
          <w:rFonts w:ascii="Times New Roman" w:hAnsi="Times New Roman" w:cs="Times New Roman"/>
          <w:sz w:val="24"/>
          <w:szCs w:val="24"/>
        </w:rPr>
        <w:t>em</w:t>
      </w:r>
      <w:r>
        <w:rPr>
          <w:rFonts w:ascii="Times New Roman" w:hAnsi="Times New Roman" w:cs="Times New Roman"/>
          <w:sz w:val="24"/>
          <w:szCs w:val="24"/>
        </w:rPr>
        <w:t>otions, such as early childhood trauma. Study findings repeatedly reveal a graded dose-response relationship between adverse childhood experiences and negative health and well-being outcomes across the life course</w:t>
      </w:r>
      <w:r w:rsidR="00973BC4">
        <w:rPr>
          <w:rFonts w:ascii="Times New Roman" w:hAnsi="Times New Roman" w:cs="Times New Roman"/>
          <w:sz w:val="24"/>
          <w:szCs w:val="24"/>
        </w:rPr>
        <w:t xml:space="preserve"> (Burke-Harris, 2018) (Felitti et al., 1998). </w:t>
      </w:r>
      <w:r w:rsidR="009A28A5">
        <w:rPr>
          <w:rFonts w:ascii="Times New Roman" w:hAnsi="Times New Roman" w:cs="Times New Roman"/>
          <w:sz w:val="24"/>
          <w:szCs w:val="24"/>
        </w:rPr>
        <w:t xml:space="preserve">As such, persons should address </w:t>
      </w:r>
      <w:r>
        <w:rPr>
          <w:rFonts w:ascii="Times New Roman" w:hAnsi="Times New Roman" w:cs="Times New Roman"/>
          <w:sz w:val="24"/>
          <w:szCs w:val="24"/>
        </w:rPr>
        <w:t xml:space="preserve">cumulative childhood stress </w:t>
      </w:r>
      <w:r w:rsidR="009A28A5">
        <w:rPr>
          <w:rFonts w:ascii="Times New Roman" w:hAnsi="Times New Roman" w:cs="Times New Roman"/>
          <w:sz w:val="24"/>
          <w:szCs w:val="24"/>
        </w:rPr>
        <w:t xml:space="preserve">because doing so </w:t>
      </w:r>
      <w:r>
        <w:rPr>
          <w:rFonts w:ascii="Times New Roman" w:hAnsi="Times New Roman" w:cs="Times New Roman"/>
          <w:sz w:val="24"/>
          <w:szCs w:val="24"/>
        </w:rPr>
        <w:t xml:space="preserve">is paramount to thriving in adulthood. </w:t>
      </w:r>
    </w:p>
    <w:p w:rsidR="00312F6C" w:rsidRDefault="00312F6C" w:rsidP="00DE4294">
      <w:pPr>
        <w:spacing w:line="360" w:lineRule="auto"/>
        <w:jc w:val="both"/>
        <w:rPr>
          <w:rFonts w:ascii="Times New Roman" w:hAnsi="Times New Roman" w:cs="Times New Roman"/>
          <w:sz w:val="24"/>
          <w:szCs w:val="24"/>
        </w:rPr>
      </w:pPr>
    </w:p>
    <w:p w:rsidR="00654102" w:rsidRDefault="009A28A5"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Participants in T</w:t>
      </w:r>
      <w:r w:rsidR="00312F6C">
        <w:rPr>
          <w:rFonts w:ascii="Times New Roman" w:hAnsi="Times New Roman" w:cs="Times New Roman"/>
          <w:sz w:val="24"/>
          <w:szCs w:val="24"/>
        </w:rPr>
        <w:t>he Family: People Helping People Project are traumatized and therefore eng</w:t>
      </w:r>
      <w:r w:rsidR="00292997">
        <w:rPr>
          <w:rFonts w:ascii="Times New Roman" w:hAnsi="Times New Roman" w:cs="Times New Roman"/>
          <w:sz w:val="24"/>
          <w:szCs w:val="24"/>
        </w:rPr>
        <w:t>age in at-risk behaviors. The authors hypothesized</w:t>
      </w:r>
      <w:r w:rsidR="00312F6C">
        <w:rPr>
          <w:rFonts w:ascii="Times New Roman" w:hAnsi="Times New Roman" w:cs="Times New Roman"/>
          <w:sz w:val="24"/>
          <w:szCs w:val="24"/>
        </w:rPr>
        <w:t xml:space="preserve"> that these at-risk behaviors can be co-morbid with various physical diseases, which could increase the risk of dis-socialization. </w:t>
      </w:r>
      <w:r w:rsidR="0035085F">
        <w:rPr>
          <w:rFonts w:ascii="Times New Roman" w:hAnsi="Times New Roman" w:cs="Times New Roman"/>
          <w:sz w:val="24"/>
          <w:szCs w:val="24"/>
        </w:rPr>
        <w:t xml:space="preserve">Traumatization is counteracted when persons participate in The Family Program, </w:t>
      </w:r>
      <w:r w:rsidR="00312F6C">
        <w:rPr>
          <w:rFonts w:ascii="Times New Roman" w:hAnsi="Times New Roman" w:cs="Times New Roman"/>
          <w:sz w:val="24"/>
          <w:szCs w:val="24"/>
        </w:rPr>
        <w:t xml:space="preserve">consequently increasing resocialization. </w:t>
      </w:r>
      <w:r w:rsidR="0035085F">
        <w:rPr>
          <w:rFonts w:ascii="Times New Roman" w:hAnsi="Times New Roman" w:cs="Times New Roman"/>
          <w:sz w:val="24"/>
          <w:szCs w:val="24"/>
        </w:rPr>
        <w:t>The authors also hypothesized</w:t>
      </w:r>
      <w:r w:rsidR="00312F6C" w:rsidRPr="00FA280B">
        <w:rPr>
          <w:rFonts w:ascii="Times New Roman" w:hAnsi="Times New Roman" w:cs="Times New Roman"/>
          <w:sz w:val="24"/>
          <w:szCs w:val="24"/>
        </w:rPr>
        <w:t xml:space="preserve"> that </w:t>
      </w:r>
      <w:r w:rsidR="0035085F">
        <w:rPr>
          <w:rFonts w:ascii="Times New Roman" w:hAnsi="Times New Roman" w:cs="Times New Roman"/>
          <w:sz w:val="24"/>
          <w:szCs w:val="24"/>
        </w:rPr>
        <w:t xml:space="preserve">there is a direct correlation between </w:t>
      </w:r>
      <w:r w:rsidR="00312F6C" w:rsidRPr="00FA280B">
        <w:rPr>
          <w:rFonts w:ascii="Times New Roman" w:hAnsi="Times New Roman" w:cs="Times New Roman"/>
          <w:sz w:val="24"/>
          <w:szCs w:val="24"/>
        </w:rPr>
        <w:t>traumatiza</w:t>
      </w:r>
      <w:r w:rsidR="0035085F">
        <w:rPr>
          <w:rFonts w:ascii="Times New Roman" w:hAnsi="Times New Roman" w:cs="Times New Roman"/>
          <w:sz w:val="24"/>
          <w:szCs w:val="24"/>
        </w:rPr>
        <w:t>tion and violent behavior</w:t>
      </w:r>
      <w:r w:rsidR="00312F6C" w:rsidRPr="00FA280B">
        <w:rPr>
          <w:rFonts w:ascii="Times New Roman" w:hAnsi="Times New Roman" w:cs="Times New Roman"/>
          <w:sz w:val="24"/>
          <w:szCs w:val="24"/>
        </w:rPr>
        <w:t>. That is, as exposure to traumatic events increases, so does exposure to violence.</w:t>
      </w:r>
      <w:r w:rsidR="00312F6C">
        <w:rPr>
          <w:rFonts w:ascii="Times New Roman" w:hAnsi="Times New Roman" w:cs="Times New Roman"/>
          <w:sz w:val="24"/>
          <w:szCs w:val="24"/>
        </w:rPr>
        <w:t xml:space="preserve"> The purpose of this study is to investigate these hypotheses. </w:t>
      </w:r>
    </w:p>
    <w:p w:rsidR="00DE4294" w:rsidRDefault="00DE4294" w:rsidP="00DE4294">
      <w:pPr>
        <w:spacing w:line="360" w:lineRule="auto"/>
        <w:jc w:val="both"/>
        <w:rPr>
          <w:rFonts w:ascii="Times New Roman" w:hAnsi="Times New Roman" w:cs="Times New Roman"/>
          <w:b/>
          <w:sz w:val="24"/>
          <w:szCs w:val="24"/>
          <w:u w:val="single"/>
        </w:rPr>
      </w:pPr>
    </w:p>
    <w:p w:rsidR="007E5BB0" w:rsidRDefault="007E5BB0" w:rsidP="00DE4294">
      <w:pPr>
        <w:spacing w:line="360" w:lineRule="auto"/>
        <w:jc w:val="both"/>
        <w:rPr>
          <w:rFonts w:ascii="Times New Roman" w:hAnsi="Times New Roman" w:cs="Times New Roman"/>
          <w:b/>
          <w:sz w:val="24"/>
          <w:szCs w:val="24"/>
          <w:u w:val="single"/>
        </w:rPr>
      </w:pPr>
    </w:p>
    <w:p w:rsidR="007E5BB0" w:rsidRDefault="007E5BB0" w:rsidP="00DE4294">
      <w:pPr>
        <w:spacing w:line="360" w:lineRule="auto"/>
        <w:jc w:val="both"/>
        <w:rPr>
          <w:rFonts w:ascii="Times New Roman" w:hAnsi="Times New Roman" w:cs="Times New Roman"/>
          <w:b/>
          <w:sz w:val="24"/>
          <w:szCs w:val="24"/>
          <w:u w:val="single"/>
        </w:rPr>
      </w:pPr>
    </w:p>
    <w:p w:rsidR="00312F6C" w:rsidRPr="00131C0A" w:rsidRDefault="00312F6C" w:rsidP="00DE4294">
      <w:pPr>
        <w:spacing w:line="360" w:lineRule="auto"/>
        <w:jc w:val="both"/>
        <w:rPr>
          <w:rFonts w:ascii="Times New Roman" w:hAnsi="Times New Roman" w:cs="Times New Roman"/>
          <w:b/>
          <w:i/>
          <w:sz w:val="24"/>
          <w:szCs w:val="24"/>
        </w:rPr>
      </w:pPr>
      <w:r w:rsidRPr="00131C0A">
        <w:rPr>
          <w:rFonts w:ascii="Times New Roman" w:hAnsi="Times New Roman" w:cs="Times New Roman"/>
          <w:b/>
          <w:i/>
          <w:sz w:val="24"/>
          <w:szCs w:val="24"/>
        </w:rPr>
        <w:lastRenderedPageBreak/>
        <w:t>Method</w:t>
      </w:r>
    </w:p>
    <w:p w:rsidR="00312F6C" w:rsidRDefault="00F74E95"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authors carried out a </w:t>
      </w:r>
      <w:r w:rsidR="00312F6C">
        <w:rPr>
          <w:rFonts w:ascii="Times New Roman" w:hAnsi="Times New Roman" w:cs="Times New Roman"/>
          <w:sz w:val="24"/>
          <w:szCs w:val="24"/>
        </w:rPr>
        <w:t>prospective study</w:t>
      </w:r>
      <w:r>
        <w:rPr>
          <w:rFonts w:ascii="Times New Roman" w:hAnsi="Times New Roman" w:cs="Times New Roman"/>
          <w:sz w:val="24"/>
          <w:szCs w:val="24"/>
        </w:rPr>
        <w:t xml:space="preserve"> in</w:t>
      </w:r>
      <w:r w:rsidR="00312F6C">
        <w:rPr>
          <w:rFonts w:ascii="Times New Roman" w:hAnsi="Times New Roman" w:cs="Times New Roman"/>
          <w:sz w:val="24"/>
          <w:szCs w:val="24"/>
        </w:rPr>
        <w:t xml:space="preserve"> which</w:t>
      </w:r>
      <w:r>
        <w:rPr>
          <w:rFonts w:ascii="Times New Roman" w:hAnsi="Times New Roman" w:cs="Times New Roman"/>
          <w:sz w:val="24"/>
          <w:szCs w:val="24"/>
        </w:rPr>
        <w:t xml:space="preserve"> five (5) psychological tests were given to 209 participants at 16 Family Groups. The tests included the </w:t>
      </w:r>
      <w:r w:rsidR="00312F6C">
        <w:rPr>
          <w:rFonts w:ascii="Times New Roman" w:hAnsi="Times New Roman" w:cs="Times New Roman"/>
          <w:sz w:val="24"/>
          <w:szCs w:val="24"/>
        </w:rPr>
        <w:t>Beck Depression Inventory (BDI)</w:t>
      </w:r>
      <w:r w:rsidR="006B1B63">
        <w:rPr>
          <w:rFonts w:ascii="Times New Roman" w:hAnsi="Times New Roman" w:cs="Times New Roman"/>
          <w:sz w:val="24"/>
          <w:szCs w:val="24"/>
        </w:rPr>
        <w:t xml:space="preserve"> (Beck et al., 1961)</w:t>
      </w:r>
      <w:r w:rsidR="00312F6C">
        <w:rPr>
          <w:rFonts w:ascii="Times New Roman" w:hAnsi="Times New Roman" w:cs="Times New Roman"/>
          <w:sz w:val="24"/>
          <w:szCs w:val="24"/>
        </w:rPr>
        <w:t xml:space="preserve">, the Adverse Childhood Experience (ACE) questionnaire </w:t>
      </w:r>
      <w:r w:rsidR="000F275A">
        <w:rPr>
          <w:rFonts w:ascii="Times New Roman" w:hAnsi="Times New Roman" w:cs="Times New Roman"/>
          <w:sz w:val="24"/>
          <w:szCs w:val="24"/>
        </w:rPr>
        <w:t>(Adverse Childhood Experience (ACE) questionnaire, 2017)</w:t>
      </w:r>
      <w:r w:rsidR="00312F6C">
        <w:rPr>
          <w:rFonts w:ascii="Times New Roman" w:hAnsi="Times New Roman" w:cs="Times New Roman"/>
          <w:sz w:val="24"/>
          <w:szCs w:val="24"/>
        </w:rPr>
        <w:t>, a Post-Traumatic Stress Disorder</w:t>
      </w:r>
      <w:r w:rsidR="00312F6C" w:rsidRPr="00324291">
        <w:rPr>
          <w:rFonts w:ascii="Times New Roman" w:hAnsi="Times New Roman" w:cs="Times New Roman"/>
          <w:sz w:val="24"/>
          <w:szCs w:val="24"/>
        </w:rPr>
        <w:t xml:space="preserve"> screen</w:t>
      </w:r>
      <w:r w:rsidR="00312F6C">
        <w:rPr>
          <w:rFonts w:ascii="Times New Roman" w:hAnsi="Times New Roman" w:cs="Times New Roman"/>
          <w:sz w:val="24"/>
          <w:szCs w:val="24"/>
        </w:rPr>
        <w:t xml:space="preserve"> </w:t>
      </w:r>
      <w:r w:rsidR="000F275A">
        <w:rPr>
          <w:rFonts w:ascii="Times New Roman" w:hAnsi="Times New Roman" w:cs="Times New Roman"/>
          <w:sz w:val="24"/>
          <w:szCs w:val="24"/>
        </w:rPr>
        <w:t>(Post-Traumatic Stress Disorder Self-Test (2017)</w:t>
      </w:r>
      <w:r w:rsidR="00312F6C">
        <w:rPr>
          <w:rFonts w:ascii="Times New Roman" w:hAnsi="Times New Roman" w:cs="Times New Roman"/>
          <w:sz w:val="24"/>
          <w:szCs w:val="24"/>
        </w:rPr>
        <w:t xml:space="preserve">, </w:t>
      </w:r>
      <w:r w:rsidR="00312F6C" w:rsidRPr="00324291">
        <w:rPr>
          <w:rFonts w:ascii="Times New Roman" w:hAnsi="Times New Roman" w:cs="Times New Roman"/>
          <w:sz w:val="24"/>
          <w:szCs w:val="24"/>
        </w:rPr>
        <w:t>the Generalized Anxiety Disorder (GAD</w:t>
      </w:r>
      <w:r w:rsidR="00312F6C">
        <w:rPr>
          <w:rFonts w:ascii="Times New Roman" w:hAnsi="Times New Roman" w:cs="Times New Roman"/>
          <w:sz w:val="24"/>
          <w:szCs w:val="24"/>
        </w:rPr>
        <w:t>-7</w:t>
      </w:r>
      <w:r w:rsidR="00312F6C" w:rsidRPr="00324291">
        <w:rPr>
          <w:rFonts w:ascii="Times New Roman" w:hAnsi="Times New Roman" w:cs="Times New Roman"/>
          <w:sz w:val="24"/>
          <w:szCs w:val="24"/>
        </w:rPr>
        <w:t>) Scale</w:t>
      </w:r>
      <w:r w:rsidR="00312F6C">
        <w:rPr>
          <w:rFonts w:ascii="Times New Roman" w:hAnsi="Times New Roman" w:cs="Times New Roman"/>
          <w:sz w:val="24"/>
          <w:szCs w:val="24"/>
        </w:rPr>
        <w:t xml:space="preserve"> </w:t>
      </w:r>
      <w:r w:rsidR="000F275A">
        <w:rPr>
          <w:rFonts w:ascii="Times New Roman" w:hAnsi="Times New Roman" w:cs="Times New Roman"/>
          <w:sz w:val="24"/>
          <w:szCs w:val="24"/>
        </w:rPr>
        <w:t>(Spitzer et al., 2006)</w:t>
      </w:r>
      <w:r w:rsidR="00312F6C" w:rsidRPr="00324291">
        <w:rPr>
          <w:rFonts w:ascii="Times New Roman" w:hAnsi="Times New Roman" w:cs="Times New Roman"/>
          <w:sz w:val="24"/>
          <w:szCs w:val="24"/>
        </w:rPr>
        <w:t xml:space="preserve"> </w:t>
      </w:r>
      <w:r w:rsidR="00312F6C">
        <w:rPr>
          <w:rFonts w:ascii="Times New Roman" w:hAnsi="Times New Roman" w:cs="Times New Roman"/>
          <w:sz w:val="24"/>
          <w:szCs w:val="24"/>
        </w:rPr>
        <w:t>and the Allen Resocialization Scale</w:t>
      </w:r>
      <w:r w:rsidR="000F275A">
        <w:rPr>
          <w:rFonts w:ascii="Times New Roman" w:hAnsi="Times New Roman" w:cs="Times New Roman"/>
          <w:sz w:val="24"/>
          <w:szCs w:val="24"/>
        </w:rPr>
        <w:t xml:space="preserve"> (Allen et al., 2017)</w:t>
      </w:r>
      <w:r>
        <w:rPr>
          <w:rFonts w:ascii="Times New Roman" w:hAnsi="Times New Roman" w:cs="Times New Roman"/>
          <w:sz w:val="24"/>
          <w:szCs w:val="24"/>
        </w:rPr>
        <w:t>. Participants were also given a baseline survey measuring</w:t>
      </w:r>
      <w:r w:rsidR="00312F6C">
        <w:rPr>
          <w:rFonts w:ascii="Times New Roman" w:hAnsi="Times New Roman" w:cs="Times New Roman"/>
          <w:sz w:val="24"/>
          <w:szCs w:val="24"/>
        </w:rPr>
        <w:t xml:space="preserve"> at-risk behavior and physical disease prevalence. </w:t>
      </w:r>
      <w:r>
        <w:rPr>
          <w:rFonts w:ascii="Times New Roman" w:hAnsi="Times New Roman" w:cs="Times New Roman"/>
          <w:sz w:val="24"/>
          <w:szCs w:val="24"/>
        </w:rPr>
        <w:t xml:space="preserve">A comparison was made between scores from the five tests and </w:t>
      </w:r>
      <w:r w:rsidR="003605E6">
        <w:rPr>
          <w:rFonts w:ascii="Times New Roman" w:hAnsi="Times New Roman" w:cs="Times New Roman"/>
          <w:sz w:val="24"/>
          <w:szCs w:val="24"/>
        </w:rPr>
        <w:t xml:space="preserve">responses to the baseline survey. This was done to measure the effects of trauma on </w:t>
      </w:r>
      <w:r w:rsidR="00312F6C">
        <w:rPr>
          <w:rFonts w:ascii="Times New Roman" w:hAnsi="Times New Roman" w:cs="Times New Roman"/>
          <w:sz w:val="24"/>
          <w:szCs w:val="24"/>
        </w:rPr>
        <w:t xml:space="preserve">physiological and psychological illness. </w:t>
      </w:r>
      <w:r w:rsidR="003605E6">
        <w:rPr>
          <w:rFonts w:ascii="Times New Roman" w:hAnsi="Times New Roman" w:cs="Times New Roman"/>
          <w:sz w:val="24"/>
          <w:szCs w:val="24"/>
        </w:rPr>
        <w:t xml:space="preserve">Participants received informed consent forms which they were required to sign. </w:t>
      </w:r>
      <w:r w:rsidR="0006041B">
        <w:rPr>
          <w:rFonts w:ascii="Times New Roman" w:hAnsi="Times New Roman" w:cs="Times New Roman"/>
          <w:sz w:val="24"/>
          <w:szCs w:val="24"/>
        </w:rPr>
        <w:t xml:space="preserve">Authors did not attain </w:t>
      </w:r>
      <w:r w:rsidR="00312F6C">
        <w:rPr>
          <w:rFonts w:ascii="Times New Roman" w:hAnsi="Times New Roman" w:cs="Times New Roman"/>
          <w:sz w:val="24"/>
          <w:szCs w:val="24"/>
        </w:rPr>
        <w:t xml:space="preserve">Institutional </w:t>
      </w:r>
      <w:r w:rsidR="0006041B">
        <w:rPr>
          <w:rFonts w:ascii="Times New Roman" w:hAnsi="Times New Roman" w:cs="Times New Roman"/>
          <w:sz w:val="24"/>
          <w:szCs w:val="24"/>
        </w:rPr>
        <w:t>Review Board (IRB) approval because</w:t>
      </w:r>
      <w:r w:rsidR="00312F6C">
        <w:rPr>
          <w:rFonts w:ascii="Times New Roman" w:hAnsi="Times New Roman" w:cs="Times New Roman"/>
          <w:sz w:val="24"/>
          <w:szCs w:val="24"/>
        </w:rPr>
        <w:t xml:space="preserve"> the methods </w:t>
      </w:r>
      <w:r w:rsidR="0006041B">
        <w:rPr>
          <w:rFonts w:ascii="Times New Roman" w:hAnsi="Times New Roman" w:cs="Times New Roman"/>
          <w:sz w:val="24"/>
          <w:szCs w:val="24"/>
        </w:rPr>
        <w:t xml:space="preserve">of this study </w:t>
      </w:r>
      <w:r w:rsidR="00312F6C">
        <w:rPr>
          <w:rFonts w:ascii="Times New Roman" w:hAnsi="Times New Roman" w:cs="Times New Roman"/>
          <w:sz w:val="24"/>
          <w:szCs w:val="24"/>
        </w:rPr>
        <w:t xml:space="preserve">involved minimal to no risk to the participants. </w:t>
      </w:r>
      <w:r w:rsidR="00223EE4">
        <w:rPr>
          <w:rFonts w:ascii="Times New Roman" w:hAnsi="Times New Roman" w:cs="Times New Roman"/>
          <w:sz w:val="24"/>
          <w:szCs w:val="24"/>
        </w:rPr>
        <w:t xml:space="preserve">However, the ethical standards of research in the Bahamas were adhered to. </w:t>
      </w:r>
    </w:p>
    <w:p w:rsidR="00312F6C" w:rsidRPr="0095665D" w:rsidRDefault="00312F6C" w:rsidP="00DE4294">
      <w:pPr>
        <w:spacing w:line="360" w:lineRule="auto"/>
        <w:jc w:val="both"/>
        <w:rPr>
          <w:rFonts w:ascii="Times New Roman" w:hAnsi="Times New Roman" w:cs="Times New Roman"/>
          <w:color w:val="FF0000"/>
          <w:sz w:val="24"/>
          <w:szCs w:val="24"/>
        </w:rPr>
      </w:pPr>
    </w:p>
    <w:p w:rsidR="00312F6C" w:rsidRDefault="0006041B" w:rsidP="00DE4294">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The researcher, therapist and therapist facilitator all assisted with administering the tests</w:t>
      </w:r>
      <w:r w:rsidR="00312F6C">
        <w:rPr>
          <w:rFonts w:ascii="Times New Roman" w:hAnsi="Times New Roman" w:cs="Times New Roman"/>
          <w:sz w:val="24"/>
          <w:szCs w:val="24"/>
        </w:rPr>
        <w:t>. Participants were offered no incentives for particip</w:t>
      </w:r>
      <w:r>
        <w:rPr>
          <w:rFonts w:ascii="Times New Roman" w:hAnsi="Times New Roman" w:cs="Times New Roman"/>
          <w:sz w:val="24"/>
          <w:szCs w:val="24"/>
        </w:rPr>
        <w:t>ating in this study. All data were</w:t>
      </w:r>
      <w:r w:rsidR="00312F6C">
        <w:rPr>
          <w:rFonts w:ascii="Times New Roman" w:hAnsi="Times New Roman" w:cs="Times New Roman"/>
          <w:sz w:val="24"/>
          <w:szCs w:val="24"/>
        </w:rPr>
        <w:t xml:space="preserve"> collected and analyzed by the authors during a five (5) month period (November 2019 – March 2020). </w:t>
      </w:r>
    </w:p>
    <w:p w:rsidR="00312F6C" w:rsidRDefault="00312F6C" w:rsidP="00DE4294">
      <w:pPr>
        <w:tabs>
          <w:tab w:val="left" w:pos="3015"/>
        </w:tabs>
        <w:spacing w:line="360" w:lineRule="auto"/>
        <w:jc w:val="both"/>
        <w:rPr>
          <w:rFonts w:ascii="Times New Roman" w:hAnsi="Times New Roman" w:cs="Times New Roman"/>
          <w:b/>
          <w:sz w:val="24"/>
          <w:szCs w:val="24"/>
          <w:u w:val="single"/>
        </w:rPr>
      </w:pPr>
    </w:p>
    <w:p w:rsidR="00312F6C" w:rsidRPr="00131C0A" w:rsidRDefault="00312F6C" w:rsidP="00DE4294">
      <w:pPr>
        <w:tabs>
          <w:tab w:val="left" w:pos="3015"/>
        </w:tabs>
        <w:spacing w:line="360" w:lineRule="auto"/>
        <w:jc w:val="both"/>
        <w:rPr>
          <w:rFonts w:ascii="Times New Roman" w:hAnsi="Times New Roman" w:cs="Times New Roman"/>
          <w:i/>
          <w:sz w:val="24"/>
          <w:szCs w:val="24"/>
        </w:rPr>
      </w:pPr>
      <w:r w:rsidRPr="00131C0A">
        <w:rPr>
          <w:rFonts w:ascii="Times New Roman" w:hAnsi="Times New Roman" w:cs="Times New Roman"/>
          <w:b/>
          <w:i/>
          <w:sz w:val="24"/>
          <w:szCs w:val="24"/>
        </w:rPr>
        <w:t>Results and Discussion</w:t>
      </w:r>
    </w:p>
    <w:p w:rsidR="00706C95" w:rsidRDefault="00312F6C" w:rsidP="00DE4294">
      <w:pPr>
        <w:spacing w:line="360" w:lineRule="auto"/>
        <w:jc w:val="both"/>
        <w:rPr>
          <w:rFonts w:ascii="Times New Roman" w:hAnsi="Times New Roman" w:cs="Times New Roman"/>
          <w:sz w:val="24"/>
          <w:szCs w:val="24"/>
        </w:rPr>
      </w:pPr>
      <w:r w:rsidRPr="00AF6555">
        <w:rPr>
          <w:rFonts w:ascii="Times New Roman" w:hAnsi="Times New Roman" w:cs="Times New Roman"/>
          <w:sz w:val="24"/>
          <w:szCs w:val="24"/>
        </w:rPr>
        <w:t xml:space="preserve">There were 209 participants in this study. Sixty-three percent (63%) </w:t>
      </w:r>
      <w:r>
        <w:rPr>
          <w:rFonts w:ascii="Times New Roman" w:hAnsi="Times New Roman" w:cs="Times New Roman"/>
          <w:sz w:val="24"/>
          <w:szCs w:val="24"/>
        </w:rPr>
        <w:t xml:space="preserve">(n=132) </w:t>
      </w:r>
      <w:r w:rsidRPr="00AF6555">
        <w:rPr>
          <w:rFonts w:ascii="Times New Roman" w:hAnsi="Times New Roman" w:cs="Times New Roman"/>
          <w:sz w:val="24"/>
          <w:szCs w:val="24"/>
        </w:rPr>
        <w:t xml:space="preserve">of the participants were female and 37% </w:t>
      </w:r>
      <w:r>
        <w:rPr>
          <w:rFonts w:ascii="Times New Roman" w:hAnsi="Times New Roman" w:cs="Times New Roman"/>
          <w:sz w:val="24"/>
          <w:szCs w:val="24"/>
        </w:rPr>
        <w:t>(n=77) were male</w:t>
      </w:r>
      <w:r w:rsidRPr="00AF6555">
        <w:rPr>
          <w:rFonts w:ascii="Times New Roman" w:hAnsi="Times New Roman" w:cs="Times New Roman"/>
          <w:sz w:val="24"/>
          <w:szCs w:val="24"/>
        </w:rPr>
        <w:t xml:space="preserve">. Due to the adolescent component of the program, the participants less than or equal to 19 years (23%) </w:t>
      </w:r>
      <w:r>
        <w:rPr>
          <w:rFonts w:ascii="Times New Roman" w:hAnsi="Times New Roman" w:cs="Times New Roman"/>
          <w:sz w:val="24"/>
          <w:szCs w:val="24"/>
        </w:rPr>
        <w:t xml:space="preserve">(n=48) </w:t>
      </w:r>
      <w:r w:rsidRPr="00AF6555">
        <w:rPr>
          <w:rFonts w:ascii="Times New Roman" w:hAnsi="Times New Roman" w:cs="Times New Roman"/>
          <w:sz w:val="24"/>
          <w:szCs w:val="24"/>
        </w:rPr>
        <w:t>were almost equally represented with those who were 50-59 years (22%)</w:t>
      </w:r>
      <w:r>
        <w:rPr>
          <w:rFonts w:ascii="Times New Roman" w:hAnsi="Times New Roman" w:cs="Times New Roman"/>
          <w:sz w:val="24"/>
          <w:szCs w:val="24"/>
        </w:rPr>
        <w:t xml:space="preserve"> (n=46)</w:t>
      </w:r>
      <w:r w:rsidRPr="00AF6555">
        <w:rPr>
          <w:rFonts w:ascii="Times New Roman" w:hAnsi="Times New Roman" w:cs="Times New Roman"/>
          <w:sz w:val="24"/>
          <w:szCs w:val="24"/>
        </w:rPr>
        <w:t xml:space="preserve">. Seventeen percent (17%) </w:t>
      </w:r>
      <w:r>
        <w:rPr>
          <w:rFonts w:ascii="Times New Roman" w:hAnsi="Times New Roman" w:cs="Times New Roman"/>
          <w:sz w:val="24"/>
          <w:szCs w:val="24"/>
        </w:rPr>
        <w:t xml:space="preserve">(n=36) </w:t>
      </w:r>
      <w:r w:rsidRPr="00AF6555">
        <w:rPr>
          <w:rFonts w:ascii="Times New Roman" w:hAnsi="Times New Roman" w:cs="Times New Roman"/>
          <w:sz w:val="24"/>
          <w:szCs w:val="24"/>
        </w:rPr>
        <w:t xml:space="preserve">of the participants were 60 years and older. Eleven percent (11%) </w:t>
      </w:r>
      <w:r>
        <w:rPr>
          <w:rFonts w:ascii="Times New Roman" w:hAnsi="Times New Roman" w:cs="Times New Roman"/>
          <w:sz w:val="24"/>
          <w:szCs w:val="24"/>
        </w:rPr>
        <w:t xml:space="preserve">(n=22) </w:t>
      </w:r>
      <w:r w:rsidRPr="00AF6555">
        <w:rPr>
          <w:rFonts w:ascii="Times New Roman" w:hAnsi="Times New Roman" w:cs="Times New Roman"/>
          <w:sz w:val="24"/>
          <w:szCs w:val="24"/>
        </w:rPr>
        <w:t>of the partici</w:t>
      </w:r>
      <w:r>
        <w:rPr>
          <w:rFonts w:ascii="Times New Roman" w:hAnsi="Times New Roman" w:cs="Times New Roman"/>
          <w:sz w:val="24"/>
          <w:szCs w:val="24"/>
        </w:rPr>
        <w:t>pants was 20-29 years, 13% (n=28) was 30-39 years and 14% (n=29) was 40-49 years</w:t>
      </w:r>
      <w:r w:rsidRPr="00AF6555">
        <w:rPr>
          <w:rFonts w:ascii="Times New Roman" w:hAnsi="Times New Roman" w:cs="Times New Roman"/>
          <w:sz w:val="24"/>
          <w:szCs w:val="24"/>
        </w:rPr>
        <w:t>. A third of the participants graduated from college/university (31%)</w:t>
      </w:r>
      <w:r>
        <w:rPr>
          <w:rFonts w:ascii="Times New Roman" w:hAnsi="Times New Roman" w:cs="Times New Roman"/>
          <w:sz w:val="24"/>
          <w:szCs w:val="24"/>
        </w:rPr>
        <w:t xml:space="preserve"> (n=65)</w:t>
      </w:r>
      <w:r w:rsidRPr="00AF6555">
        <w:rPr>
          <w:rFonts w:ascii="Times New Roman" w:hAnsi="Times New Roman" w:cs="Times New Roman"/>
          <w:sz w:val="24"/>
          <w:szCs w:val="24"/>
        </w:rPr>
        <w:t xml:space="preserve">. Twenty-two percent (22%) </w:t>
      </w:r>
      <w:r>
        <w:rPr>
          <w:rFonts w:ascii="Times New Roman" w:hAnsi="Times New Roman" w:cs="Times New Roman"/>
          <w:sz w:val="24"/>
          <w:szCs w:val="24"/>
        </w:rPr>
        <w:t xml:space="preserve">(n=47) </w:t>
      </w:r>
      <w:r w:rsidRPr="00AF6555">
        <w:rPr>
          <w:rFonts w:ascii="Times New Roman" w:hAnsi="Times New Roman" w:cs="Times New Roman"/>
          <w:sz w:val="24"/>
          <w:szCs w:val="24"/>
        </w:rPr>
        <w:t>had some secondary school education, 21%</w:t>
      </w:r>
      <w:r>
        <w:rPr>
          <w:rFonts w:ascii="Times New Roman" w:hAnsi="Times New Roman" w:cs="Times New Roman"/>
          <w:sz w:val="24"/>
          <w:szCs w:val="24"/>
        </w:rPr>
        <w:t xml:space="preserve"> (n=44)</w:t>
      </w:r>
      <w:r w:rsidRPr="00AF6555">
        <w:rPr>
          <w:rFonts w:ascii="Times New Roman" w:hAnsi="Times New Roman" w:cs="Times New Roman"/>
          <w:sz w:val="24"/>
          <w:szCs w:val="24"/>
        </w:rPr>
        <w:t xml:space="preserve"> graduated from secondary school and another 21% </w:t>
      </w:r>
      <w:r>
        <w:rPr>
          <w:rFonts w:ascii="Times New Roman" w:hAnsi="Times New Roman" w:cs="Times New Roman"/>
          <w:sz w:val="24"/>
          <w:szCs w:val="24"/>
        </w:rPr>
        <w:t xml:space="preserve">(n=43) </w:t>
      </w:r>
      <w:r w:rsidRPr="00AF6555">
        <w:rPr>
          <w:rFonts w:ascii="Times New Roman" w:hAnsi="Times New Roman" w:cs="Times New Roman"/>
          <w:sz w:val="24"/>
          <w:szCs w:val="24"/>
        </w:rPr>
        <w:t xml:space="preserve">had attained some college/university education. Three percent (3%) </w:t>
      </w:r>
      <w:r>
        <w:rPr>
          <w:rFonts w:ascii="Times New Roman" w:hAnsi="Times New Roman" w:cs="Times New Roman"/>
          <w:sz w:val="24"/>
          <w:szCs w:val="24"/>
        </w:rPr>
        <w:t xml:space="preserve">(n=7) </w:t>
      </w:r>
      <w:r w:rsidRPr="00AF6555">
        <w:rPr>
          <w:rFonts w:ascii="Times New Roman" w:hAnsi="Times New Roman" w:cs="Times New Roman"/>
          <w:sz w:val="24"/>
          <w:szCs w:val="24"/>
        </w:rPr>
        <w:t xml:space="preserve">of the participants reported </w:t>
      </w:r>
      <w:r w:rsidR="006F35AE">
        <w:rPr>
          <w:rFonts w:ascii="Times New Roman" w:hAnsi="Times New Roman" w:cs="Times New Roman"/>
          <w:sz w:val="24"/>
          <w:szCs w:val="24"/>
        </w:rPr>
        <w:t>their highest level of education was primary school,</w:t>
      </w:r>
      <w:r w:rsidRPr="00AF6555">
        <w:rPr>
          <w:rFonts w:ascii="Times New Roman" w:hAnsi="Times New Roman" w:cs="Times New Roman"/>
          <w:sz w:val="24"/>
          <w:szCs w:val="24"/>
        </w:rPr>
        <w:t xml:space="preserve"> and 1% </w:t>
      </w:r>
      <w:r>
        <w:rPr>
          <w:rFonts w:ascii="Times New Roman" w:hAnsi="Times New Roman" w:cs="Times New Roman"/>
          <w:sz w:val="24"/>
          <w:szCs w:val="24"/>
        </w:rPr>
        <w:t xml:space="preserve">(n=3) </w:t>
      </w:r>
      <w:r w:rsidRPr="00AF6555">
        <w:rPr>
          <w:rFonts w:ascii="Times New Roman" w:hAnsi="Times New Roman" w:cs="Times New Roman"/>
          <w:sz w:val="24"/>
          <w:szCs w:val="24"/>
        </w:rPr>
        <w:t>reported havi</w:t>
      </w:r>
      <w:r>
        <w:rPr>
          <w:rFonts w:ascii="Times New Roman" w:hAnsi="Times New Roman" w:cs="Times New Roman"/>
          <w:sz w:val="24"/>
          <w:szCs w:val="24"/>
        </w:rPr>
        <w:t>ng no formal education</w:t>
      </w:r>
      <w:r w:rsidRPr="00AF6555">
        <w:rPr>
          <w:rFonts w:ascii="Times New Roman" w:hAnsi="Times New Roman" w:cs="Times New Roman"/>
          <w:sz w:val="24"/>
          <w:szCs w:val="24"/>
        </w:rPr>
        <w:t xml:space="preserve">. More than half (56%) </w:t>
      </w:r>
      <w:r>
        <w:rPr>
          <w:rFonts w:ascii="Times New Roman" w:hAnsi="Times New Roman" w:cs="Times New Roman"/>
          <w:sz w:val="24"/>
          <w:szCs w:val="24"/>
        </w:rPr>
        <w:t xml:space="preserve">(n=116) </w:t>
      </w:r>
      <w:r w:rsidRPr="00AF6555">
        <w:rPr>
          <w:rFonts w:ascii="Times New Roman" w:hAnsi="Times New Roman" w:cs="Times New Roman"/>
          <w:sz w:val="24"/>
          <w:szCs w:val="24"/>
        </w:rPr>
        <w:t>of the participants grew up in a middle</w:t>
      </w:r>
      <w:r w:rsidR="006F35AE">
        <w:rPr>
          <w:rFonts w:ascii="Times New Roman" w:hAnsi="Times New Roman" w:cs="Times New Roman"/>
          <w:sz w:val="24"/>
          <w:szCs w:val="24"/>
        </w:rPr>
        <w:t>-</w:t>
      </w:r>
      <w:r w:rsidRPr="00AF6555">
        <w:rPr>
          <w:rFonts w:ascii="Times New Roman" w:hAnsi="Times New Roman" w:cs="Times New Roman"/>
          <w:sz w:val="24"/>
          <w:szCs w:val="24"/>
        </w:rPr>
        <w:t xml:space="preserve"> class neighborhood. Thirteen percent (13%) </w:t>
      </w:r>
      <w:r>
        <w:rPr>
          <w:rFonts w:ascii="Times New Roman" w:hAnsi="Times New Roman" w:cs="Times New Roman"/>
          <w:sz w:val="24"/>
          <w:szCs w:val="24"/>
        </w:rPr>
        <w:t xml:space="preserve">(n=27) </w:t>
      </w:r>
      <w:r w:rsidRPr="00AF6555">
        <w:rPr>
          <w:rFonts w:ascii="Times New Roman" w:hAnsi="Times New Roman" w:cs="Times New Roman"/>
          <w:sz w:val="24"/>
          <w:szCs w:val="24"/>
        </w:rPr>
        <w:t xml:space="preserve">grew up poor, 17% </w:t>
      </w:r>
      <w:r>
        <w:rPr>
          <w:rFonts w:ascii="Times New Roman" w:hAnsi="Times New Roman" w:cs="Times New Roman"/>
          <w:sz w:val="24"/>
          <w:szCs w:val="24"/>
        </w:rPr>
        <w:lastRenderedPageBreak/>
        <w:t xml:space="preserve">(n=36) </w:t>
      </w:r>
      <w:r w:rsidRPr="00AF6555">
        <w:rPr>
          <w:rFonts w:ascii="Times New Roman" w:hAnsi="Times New Roman" w:cs="Times New Roman"/>
          <w:sz w:val="24"/>
          <w:szCs w:val="24"/>
        </w:rPr>
        <w:t>lower middle class and 11%</w:t>
      </w:r>
      <w:r>
        <w:rPr>
          <w:rFonts w:ascii="Times New Roman" w:hAnsi="Times New Roman" w:cs="Times New Roman"/>
          <w:sz w:val="24"/>
          <w:szCs w:val="24"/>
        </w:rPr>
        <w:t xml:space="preserve"> (n=23)</w:t>
      </w:r>
      <w:r w:rsidRPr="00AF6555">
        <w:rPr>
          <w:rFonts w:ascii="Times New Roman" w:hAnsi="Times New Roman" w:cs="Times New Roman"/>
          <w:sz w:val="24"/>
          <w:szCs w:val="24"/>
        </w:rPr>
        <w:t xml:space="preserve"> upper middle class. Only 3% </w:t>
      </w:r>
      <w:r>
        <w:rPr>
          <w:rFonts w:ascii="Times New Roman" w:hAnsi="Times New Roman" w:cs="Times New Roman"/>
          <w:sz w:val="24"/>
          <w:szCs w:val="24"/>
        </w:rPr>
        <w:t xml:space="preserve">(n=7) </w:t>
      </w:r>
      <w:r w:rsidRPr="00AF6555">
        <w:rPr>
          <w:rFonts w:ascii="Times New Roman" w:hAnsi="Times New Roman" w:cs="Times New Roman"/>
          <w:sz w:val="24"/>
          <w:szCs w:val="24"/>
        </w:rPr>
        <w:t>of the participants grew up in a</w:t>
      </w:r>
      <w:r>
        <w:rPr>
          <w:rFonts w:ascii="Times New Roman" w:hAnsi="Times New Roman" w:cs="Times New Roman"/>
          <w:sz w:val="24"/>
          <w:szCs w:val="24"/>
        </w:rPr>
        <w:t xml:space="preserve"> wealthy neighborhood</w:t>
      </w:r>
      <w:r w:rsidRPr="00AF6555">
        <w:rPr>
          <w:rFonts w:ascii="Times New Roman" w:hAnsi="Times New Roman" w:cs="Times New Roman"/>
          <w:sz w:val="24"/>
          <w:szCs w:val="24"/>
        </w:rPr>
        <w:t>. Concerning the prevalence of violence in the community, 59%</w:t>
      </w:r>
      <w:r>
        <w:rPr>
          <w:rFonts w:ascii="Times New Roman" w:hAnsi="Times New Roman" w:cs="Times New Roman"/>
          <w:sz w:val="24"/>
          <w:szCs w:val="24"/>
        </w:rPr>
        <w:t xml:space="preserve"> (n=123)</w:t>
      </w:r>
      <w:r w:rsidRPr="00AF6555">
        <w:rPr>
          <w:rFonts w:ascii="Times New Roman" w:hAnsi="Times New Roman" w:cs="Times New Roman"/>
          <w:sz w:val="24"/>
          <w:szCs w:val="24"/>
        </w:rPr>
        <w:t xml:space="preserve"> of particip</w:t>
      </w:r>
      <w:r w:rsidR="006F35AE">
        <w:rPr>
          <w:rFonts w:ascii="Times New Roman" w:hAnsi="Times New Roman" w:cs="Times New Roman"/>
          <w:sz w:val="24"/>
          <w:szCs w:val="24"/>
        </w:rPr>
        <w:t>ants know 1-10 persons who was killed violently</w:t>
      </w:r>
      <w:r w:rsidRPr="00AF6555">
        <w:rPr>
          <w:rFonts w:ascii="Times New Roman" w:hAnsi="Times New Roman" w:cs="Times New Roman"/>
          <w:sz w:val="24"/>
          <w:szCs w:val="24"/>
        </w:rPr>
        <w:t xml:space="preserve">. Nineteen percent (19%) </w:t>
      </w:r>
      <w:r>
        <w:rPr>
          <w:rFonts w:ascii="Times New Roman" w:hAnsi="Times New Roman" w:cs="Times New Roman"/>
          <w:sz w:val="24"/>
          <w:szCs w:val="24"/>
        </w:rPr>
        <w:t xml:space="preserve">(n=40) </w:t>
      </w:r>
      <w:r w:rsidRPr="00AF6555">
        <w:rPr>
          <w:rFonts w:ascii="Times New Roman" w:hAnsi="Times New Roman" w:cs="Times New Roman"/>
          <w:sz w:val="24"/>
          <w:szCs w:val="24"/>
        </w:rPr>
        <w:t xml:space="preserve">of participants know more than 11 persons violently killed. Ten percent (10%) </w:t>
      </w:r>
      <w:r>
        <w:rPr>
          <w:rFonts w:ascii="Times New Roman" w:hAnsi="Times New Roman" w:cs="Times New Roman"/>
          <w:sz w:val="24"/>
          <w:szCs w:val="24"/>
        </w:rPr>
        <w:t xml:space="preserve">(n=21) </w:t>
      </w:r>
      <w:r w:rsidRPr="00AF6555">
        <w:rPr>
          <w:rFonts w:ascii="Times New Roman" w:hAnsi="Times New Roman" w:cs="Times New Roman"/>
          <w:sz w:val="24"/>
          <w:szCs w:val="24"/>
        </w:rPr>
        <w:t>of participants know 31 or more pers</w:t>
      </w:r>
      <w:r>
        <w:rPr>
          <w:rFonts w:ascii="Times New Roman" w:hAnsi="Times New Roman" w:cs="Times New Roman"/>
          <w:sz w:val="24"/>
          <w:szCs w:val="24"/>
        </w:rPr>
        <w:t>ons v</w:t>
      </w:r>
      <w:r w:rsidR="006F35AE">
        <w:rPr>
          <w:rFonts w:ascii="Times New Roman" w:hAnsi="Times New Roman" w:cs="Times New Roman"/>
          <w:sz w:val="24"/>
          <w:szCs w:val="24"/>
        </w:rPr>
        <w:t xml:space="preserve">iolently killed (Figure 1), illustrating </w:t>
      </w:r>
      <w:r>
        <w:rPr>
          <w:rFonts w:ascii="Times New Roman" w:hAnsi="Times New Roman" w:cs="Times New Roman"/>
          <w:sz w:val="24"/>
          <w:szCs w:val="24"/>
        </w:rPr>
        <w:t>the severity of the trauma and violence</w:t>
      </w:r>
      <w:r w:rsidRPr="00AF6555">
        <w:rPr>
          <w:rFonts w:ascii="Times New Roman" w:hAnsi="Times New Roman" w:cs="Times New Roman"/>
          <w:color w:val="FF0000"/>
          <w:sz w:val="24"/>
          <w:szCs w:val="24"/>
        </w:rPr>
        <w:t xml:space="preserve"> </w:t>
      </w:r>
      <w:r>
        <w:rPr>
          <w:rFonts w:ascii="Times New Roman" w:hAnsi="Times New Roman" w:cs="Times New Roman"/>
          <w:sz w:val="24"/>
          <w:szCs w:val="24"/>
        </w:rPr>
        <w:t xml:space="preserve">in the country. </w:t>
      </w:r>
      <w:r w:rsidRPr="00AF6555">
        <w:rPr>
          <w:rFonts w:ascii="Times New Roman" w:hAnsi="Times New Roman" w:cs="Times New Roman"/>
          <w:sz w:val="24"/>
          <w:szCs w:val="24"/>
        </w:rPr>
        <w:t>Regarding the incidence of violent crime (rape, murder, etc.) that occur within the community in an average week, 52%</w:t>
      </w:r>
      <w:r>
        <w:rPr>
          <w:rFonts w:ascii="Times New Roman" w:hAnsi="Times New Roman" w:cs="Times New Roman"/>
          <w:sz w:val="24"/>
          <w:szCs w:val="24"/>
        </w:rPr>
        <w:t xml:space="preserve"> (n=108) of participants said there were </w:t>
      </w:r>
      <w:r w:rsidRPr="00AF6555">
        <w:rPr>
          <w:rFonts w:ascii="Times New Roman" w:hAnsi="Times New Roman" w:cs="Times New Roman"/>
          <w:sz w:val="24"/>
          <w:szCs w:val="24"/>
        </w:rPr>
        <w:t xml:space="preserve">no incidences of violent crime that occur within their community per week. Forty-four percent (44%) </w:t>
      </w:r>
      <w:r>
        <w:rPr>
          <w:rFonts w:ascii="Times New Roman" w:hAnsi="Times New Roman" w:cs="Times New Roman"/>
          <w:sz w:val="24"/>
          <w:szCs w:val="24"/>
        </w:rPr>
        <w:t xml:space="preserve">(n=92) </w:t>
      </w:r>
      <w:r w:rsidRPr="00AF6555">
        <w:rPr>
          <w:rFonts w:ascii="Times New Roman" w:hAnsi="Times New Roman" w:cs="Times New Roman"/>
          <w:sz w:val="24"/>
          <w:szCs w:val="24"/>
        </w:rPr>
        <w:t xml:space="preserve">of </w:t>
      </w:r>
      <w:r>
        <w:rPr>
          <w:rFonts w:ascii="Times New Roman" w:hAnsi="Times New Roman" w:cs="Times New Roman"/>
          <w:sz w:val="24"/>
          <w:szCs w:val="24"/>
        </w:rPr>
        <w:t>participants indicated there were</w:t>
      </w:r>
      <w:r w:rsidRPr="00AF6555">
        <w:rPr>
          <w:rFonts w:ascii="Times New Roman" w:hAnsi="Times New Roman" w:cs="Times New Roman"/>
          <w:sz w:val="24"/>
          <w:szCs w:val="24"/>
        </w:rPr>
        <w:t xml:space="preserve"> 1</w:t>
      </w:r>
      <w:r>
        <w:rPr>
          <w:rFonts w:ascii="Times New Roman" w:hAnsi="Times New Roman" w:cs="Times New Roman"/>
          <w:sz w:val="24"/>
          <w:szCs w:val="24"/>
        </w:rPr>
        <w:t>-10 incidences</w:t>
      </w:r>
      <w:r w:rsidR="006F35AE">
        <w:rPr>
          <w:rFonts w:ascii="Times New Roman" w:hAnsi="Times New Roman" w:cs="Times New Roman"/>
          <w:sz w:val="24"/>
          <w:szCs w:val="24"/>
        </w:rPr>
        <w:t>,</w:t>
      </w:r>
      <w:r>
        <w:rPr>
          <w:rFonts w:ascii="Times New Roman" w:hAnsi="Times New Roman" w:cs="Times New Roman"/>
          <w:sz w:val="24"/>
          <w:szCs w:val="24"/>
        </w:rPr>
        <w:t xml:space="preserve"> and 4% (n=9)</w:t>
      </w:r>
      <w:r w:rsidRPr="00AF6555">
        <w:rPr>
          <w:rFonts w:ascii="Times New Roman" w:hAnsi="Times New Roman" w:cs="Times New Roman"/>
          <w:sz w:val="24"/>
          <w:szCs w:val="24"/>
        </w:rPr>
        <w:t xml:space="preserve"> indicated th</w:t>
      </w:r>
      <w:r>
        <w:rPr>
          <w:rFonts w:ascii="Times New Roman" w:hAnsi="Times New Roman" w:cs="Times New Roman"/>
          <w:sz w:val="24"/>
          <w:szCs w:val="24"/>
        </w:rPr>
        <w:t xml:space="preserve">ere were more than 11 incidences. </w:t>
      </w:r>
      <w:r w:rsidRPr="00AF6555">
        <w:rPr>
          <w:rFonts w:ascii="Times New Roman" w:hAnsi="Times New Roman" w:cs="Times New Roman"/>
          <w:sz w:val="24"/>
          <w:szCs w:val="24"/>
        </w:rPr>
        <w:t xml:space="preserve">Regarding the incidences of burglary that occur within the community in an average week, 44% </w:t>
      </w:r>
      <w:r>
        <w:rPr>
          <w:rFonts w:ascii="Times New Roman" w:hAnsi="Times New Roman" w:cs="Times New Roman"/>
          <w:sz w:val="24"/>
          <w:szCs w:val="24"/>
        </w:rPr>
        <w:t xml:space="preserve">(n=93) </w:t>
      </w:r>
      <w:r w:rsidRPr="00AF6555">
        <w:rPr>
          <w:rFonts w:ascii="Times New Roman" w:hAnsi="Times New Roman" w:cs="Times New Roman"/>
          <w:sz w:val="24"/>
          <w:szCs w:val="24"/>
        </w:rPr>
        <w:t>of participants indic</w:t>
      </w:r>
      <w:r>
        <w:rPr>
          <w:rFonts w:ascii="Times New Roman" w:hAnsi="Times New Roman" w:cs="Times New Roman"/>
          <w:sz w:val="24"/>
          <w:szCs w:val="24"/>
        </w:rPr>
        <w:t>ated there were no incidences,</w:t>
      </w:r>
      <w:r w:rsidRPr="00AF6555">
        <w:rPr>
          <w:rFonts w:ascii="Times New Roman" w:hAnsi="Times New Roman" w:cs="Times New Roman"/>
          <w:sz w:val="24"/>
          <w:szCs w:val="24"/>
        </w:rPr>
        <w:t xml:space="preserve"> </w:t>
      </w:r>
      <w:r>
        <w:rPr>
          <w:rFonts w:ascii="Times New Roman" w:hAnsi="Times New Roman" w:cs="Times New Roman"/>
          <w:sz w:val="24"/>
          <w:szCs w:val="24"/>
        </w:rPr>
        <w:t xml:space="preserve">49% (n=102) indicated there were </w:t>
      </w:r>
      <w:r w:rsidRPr="00AF6555">
        <w:rPr>
          <w:rFonts w:ascii="Times New Roman" w:hAnsi="Times New Roman" w:cs="Times New Roman"/>
          <w:sz w:val="24"/>
          <w:szCs w:val="24"/>
        </w:rPr>
        <w:t>1-1</w:t>
      </w:r>
      <w:r>
        <w:rPr>
          <w:rFonts w:ascii="Times New Roman" w:hAnsi="Times New Roman" w:cs="Times New Roman"/>
          <w:sz w:val="24"/>
          <w:szCs w:val="24"/>
        </w:rPr>
        <w:t>0 incidences</w:t>
      </w:r>
      <w:r w:rsidRPr="00AF6555">
        <w:rPr>
          <w:rFonts w:ascii="Times New Roman" w:hAnsi="Times New Roman" w:cs="Times New Roman"/>
          <w:sz w:val="24"/>
          <w:szCs w:val="24"/>
        </w:rPr>
        <w:t xml:space="preserve"> </w:t>
      </w:r>
      <w:r>
        <w:rPr>
          <w:rFonts w:ascii="Times New Roman" w:hAnsi="Times New Roman" w:cs="Times New Roman"/>
          <w:sz w:val="24"/>
          <w:szCs w:val="24"/>
        </w:rPr>
        <w:t>and 6% (n=12) indicated there were</w:t>
      </w:r>
      <w:r w:rsidRPr="00AF6555">
        <w:rPr>
          <w:rFonts w:ascii="Times New Roman" w:hAnsi="Times New Roman" w:cs="Times New Roman"/>
          <w:sz w:val="24"/>
          <w:szCs w:val="24"/>
        </w:rPr>
        <w:t xml:space="preserve"> more than 11 incidences. One percent (1%) </w:t>
      </w:r>
      <w:r>
        <w:rPr>
          <w:rFonts w:ascii="Times New Roman" w:hAnsi="Times New Roman" w:cs="Times New Roman"/>
          <w:sz w:val="24"/>
          <w:szCs w:val="24"/>
        </w:rPr>
        <w:t xml:space="preserve">(n=2) </w:t>
      </w:r>
      <w:r w:rsidR="006F35AE">
        <w:rPr>
          <w:rFonts w:ascii="Times New Roman" w:hAnsi="Times New Roman" w:cs="Times New Roman"/>
          <w:sz w:val="24"/>
          <w:szCs w:val="24"/>
        </w:rPr>
        <w:t>of the participants were</w:t>
      </w:r>
      <w:r w:rsidRPr="00AF6555">
        <w:rPr>
          <w:rFonts w:ascii="Times New Roman" w:hAnsi="Times New Roman" w:cs="Times New Roman"/>
          <w:sz w:val="24"/>
          <w:szCs w:val="24"/>
        </w:rPr>
        <w:t xml:space="preserve"> unsure how many incidences of burglary occur within th</w:t>
      </w:r>
      <w:r>
        <w:rPr>
          <w:rFonts w:ascii="Times New Roman" w:hAnsi="Times New Roman" w:cs="Times New Roman"/>
          <w:sz w:val="24"/>
          <w:szCs w:val="24"/>
        </w:rPr>
        <w:t>eir community per week (</w:t>
      </w:r>
      <w:r w:rsidR="007E5BB0">
        <w:rPr>
          <w:rFonts w:ascii="Times New Roman" w:hAnsi="Times New Roman" w:cs="Times New Roman"/>
          <w:sz w:val="24"/>
          <w:szCs w:val="24"/>
        </w:rPr>
        <w:t xml:space="preserve">see </w:t>
      </w:r>
      <w:r>
        <w:rPr>
          <w:rFonts w:ascii="Times New Roman" w:hAnsi="Times New Roman" w:cs="Times New Roman"/>
          <w:sz w:val="24"/>
          <w:szCs w:val="24"/>
        </w:rPr>
        <w:t>Figure 1</w:t>
      </w:r>
      <w:r w:rsidRPr="00AF6555">
        <w:rPr>
          <w:rFonts w:ascii="Times New Roman" w:hAnsi="Times New Roman" w:cs="Times New Roman"/>
          <w:sz w:val="24"/>
          <w:szCs w:val="24"/>
        </w:rPr>
        <w:t xml:space="preserve">). </w:t>
      </w:r>
      <w:r>
        <w:rPr>
          <w:rFonts w:ascii="Times New Roman" w:hAnsi="Times New Roman" w:cs="Times New Roman"/>
          <w:sz w:val="24"/>
          <w:szCs w:val="24"/>
        </w:rPr>
        <w:t>A third of the participants (32%) (n=66) have been in The Family Program for three</w:t>
      </w:r>
      <w:r w:rsidRPr="00AF6555">
        <w:rPr>
          <w:rFonts w:ascii="Times New Roman" w:hAnsi="Times New Roman" w:cs="Times New Roman"/>
          <w:sz w:val="24"/>
          <w:szCs w:val="24"/>
        </w:rPr>
        <w:t xml:space="preserve"> months or less.</w:t>
      </w:r>
      <w:r>
        <w:rPr>
          <w:rFonts w:ascii="Times New Roman" w:hAnsi="Times New Roman" w:cs="Times New Roman"/>
          <w:sz w:val="24"/>
          <w:szCs w:val="24"/>
        </w:rPr>
        <w:t xml:space="preserve"> Eleven percent (11%</w:t>
      </w:r>
      <w:r w:rsidR="006F35AE">
        <w:rPr>
          <w:rFonts w:ascii="Times New Roman" w:hAnsi="Times New Roman" w:cs="Times New Roman"/>
          <w:sz w:val="24"/>
          <w:szCs w:val="24"/>
        </w:rPr>
        <w:t>) (n=22) of the participants have</w:t>
      </w:r>
      <w:r>
        <w:rPr>
          <w:rFonts w:ascii="Times New Roman" w:hAnsi="Times New Roman" w:cs="Times New Roman"/>
          <w:sz w:val="24"/>
          <w:szCs w:val="24"/>
        </w:rPr>
        <w:t xml:space="preserve"> been in the program for 4-6 months, 12% (n=26) for seven months to one year</w:t>
      </w:r>
      <w:r w:rsidR="006F35AE">
        <w:rPr>
          <w:rFonts w:ascii="Times New Roman" w:hAnsi="Times New Roman" w:cs="Times New Roman"/>
          <w:sz w:val="24"/>
          <w:szCs w:val="24"/>
        </w:rPr>
        <w:t>,</w:t>
      </w:r>
      <w:r>
        <w:rPr>
          <w:rFonts w:ascii="Times New Roman" w:hAnsi="Times New Roman" w:cs="Times New Roman"/>
          <w:sz w:val="24"/>
          <w:szCs w:val="24"/>
        </w:rPr>
        <w:t xml:space="preserve"> and 19% (n=39) for one to two years. Almost </w:t>
      </w:r>
      <w:r w:rsidR="006F35AE">
        <w:rPr>
          <w:rFonts w:ascii="Times New Roman" w:hAnsi="Times New Roman" w:cs="Times New Roman"/>
          <w:sz w:val="24"/>
          <w:szCs w:val="24"/>
        </w:rPr>
        <w:t>a third (27%) (n=56) of them have</w:t>
      </w:r>
      <w:r>
        <w:rPr>
          <w:rFonts w:ascii="Times New Roman" w:hAnsi="Times New Roman" w:cs="Times New Roman"/>
          <w:sz w:val="24"/>
          <w:szCs w:val="24"/>
        </w:rPr>
        <w:t xml:space="preserve"> been in the program for three years or more. </w:t>
      </w:r>
    </w:p>
    <w:p w:rsidR="00DE4294" w:rsidRDefault="00DE4294" w:rsidP="00DE4294">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C0AC38C" wp14:editId="43FCC9F8">
            <wp:extent cx="5715000" cy="30575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4294" w:rsidRDefault="00DE4294"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 Prevalence of violence in the community. </w:t>
      </w:r>
    </w:p>
    <w:p w:rsidR="00312F6C" w:rsidRDefault="00A906D4"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312F6C">
        <w:rPr>
          <w:rFonts w:ascii="Times New Roman" w:hAnsi="Times New Roman" w:cs="Times New Roman"/>
          <w:sz w:val="24"/>
          <w:szCs w:val="24"/>
        </w:rPr>
        <w:t xml:space="preserve">he Beck Depression Inventory (BDI) </w:t>
      </w:r>
      <w:r w:rsidR="006B1B63">
        <w:rPr>
          <w:rFonts w:ascii="Times New Roman" w:hAnsi="Times New Roman" w:cs="Times New Roman"/>
          <w:sz w:val="24"/>
          <w:szCs w:val="24"/>
        </w:rPr>
        <w:t>(Beck et al., 1961)</w:t>
      </w:r>
      <w:r>
        <w:rPr>
          <w:rFonts w:ascii="Times New Roman" w:hAnsi="Times New Roman" w:cs="Times New Roman"/>
          <w:sz w:val="24"/>
          <w:szCs w:val="24"/>
        </w:rPr>
        <w:t xml:space="preserve"> was given to participants</w:t>
      </w:r>
      <w:r w:rsidR="00312F6C">
        <w:rPr>
          <w:rFonts w:ascii="Times New Roman" w:hAnsi="Times New Roman" w:cs="Times New Roman"/>
          <w:sz w:val="24"/>
          <w:szCs w:val="24"/>
        </w:rPr>
        <w:t xml:space="preserve">. </w:t>
      </w:r>
      <w:r>
        <w:rPr>
          <w:rFonts w:ascii="Times New Roman" w:hAnsi="Times New Roman" w:cs="Times New Roman"/>
          <w:sz w:val="24"/>
          <w:szCs w:val="24"/>
        </w:rPr>
        <w:t>Results indicate that 45%</w:t>
      </w:r>
      <w:r w:rsidR="00312F6C">
        <w:rPr>
          <w:rFonts w:ascii="Times New Roman" w:hAnsi="Times New Roman" w:cs="Times New Roman"/>
          <w:sz w:val="24"/>
          <w:szCs w:val="24"/>
        </w:rPr>
        <w:t xml:space="preserve"> (n=94) of participants have normal ups and downs, 18% (n=38) have a mild mood disturbance</w:t>
      </w:r>
      <w:r>
        <w:rPr>
          <w:rFonts w:ascii="Times New Roman" w:hAnsi="Times New Roman" w:cs="Times New Roman"/>
          <w:sz w:val="24"/>
          <w:szCs w:val="24"/>
        </w:rPr>
        <w:t>,</w:t>
      </w:r>
      <w:r w:rsidR="00312F6C">
        <w:rPr>
          <w:rFonts w:ascii="Times New Roman" w:hAnsi="Times New Roman" w:cs="Times New Roman"/>
          <w:sz w:val="24"/>
          <w:szCs w:val="24"/>
        </w:rPr>
        <w:t xml:space="preserve"> and 9% (n=18) have borderline clinical depression. Ten percent (10%) (n=21) of participants were not depressed (they scored zero on the BDI). Eleven percent (11%</w:t>
      </w:r>
      <w:r>
        <w:rPr>
          <w:rFonts w:ascii="Times New Roman" w:hAnsi="Times New Roman" w:cs="Times New Roman"/>
          <w:sz w:val="24"/>
          <w:szCs w:val="24"/>
        </w:rPr>
        <w:t>) (n=22) of the participants have</w:t>
      </w:r>
      <w:r w:rsidR="00312F6C">
        <w:rPr>
          <w:rFonts w:ascii="Times New Roman" w:hAnsi="Times New Roman" w:cs="Times New Roman"/>
          <w:sz w:val="24"/>
          <w:szCs w:val="24"/>
        </w:rPr>
        <w:t xml:space="preserve"> moderate depression and 7% (n=16) have severe/extreme depression. </w:t>
      </w:r>
    </w:p>
    <w:p w:rsidR="00312F6C" w:rsidRDefault="00312F6C" w:rsidP="00DE4294">
      <w:pPr>
        <w:spacing w:line="360" w:lineRule="auto"/>
        <w:jc w:val="both"/>
        <w:rPr>
          <w:rFonts w:ascii="Times New Roman" w:hAnsi="Times New Roman" w:cs="Times New Roman"/>
          <w:sz w:val="24"/>
          <w:szCs w:val="24"/>
        </w:rPr>
      </w:pPr>
    </w:p>
    <w:p w:rsidR="00312F6C" w:rsidRPr="00896666" w:rsidRDefault="00A906D4" w:rsidP="00DE4294">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A </w:t>
      </w:r>
      <w:r w:rsidR="00312F6C" w:rsidRPr="00A50F68">
        <w:rPr>
          <w:rFonts w:ascii="Times New Roman" w:hAnsi="Times New Roman" w:cs="Times New Roman"/>
          <w:sz w:val="24"/>
          <w:szCs w:val="24"/>
        </w:rPr>
        <w:t>1</w:t>
      </w:r>
      <w:r>
        <w:rPr>
          <w:rFonts w:ascii="Times New Roman" w:hAnsi="Times New Roman" w:cs="Times New Roman"/>
          <w:sz w:val="24"/>
          <w:szCs w:val="24"/>
        </w:rPr>
        <w:t>0-item questionnaire measuring a</w:t>
      </w:r>
      <w:r w:rsidR="00312F6C" w:rsidRPr="00A50F68">
        <w:rPr>
          <w:rFonts w:ascii="Times New Roman" w:hAnsi="Times New Roman" w:cs="Times New Roman"/>
          <w:sz w:val="24"/>
          <w:szCs w:val="24"/>
        </w:rPr>
        <w:t>dverse childhood experiences (ACE)</w:t>
      </w:r>
      <w:r w:rsidR="00312F6C">
        <w:rPr>
          <w:rFonts w:ascii="Times New Roman" w:hAnsi="Times New Roman" w:cs="Times New Roman"/>
          <w:sz w:val="24"/>
          <w:szCs w:val="24"/>
        </w:rPr>
        <w:t xml:space="preserve"> </w:t>
      </w:r>
      <w:r w:rsidR="00441C6F">
        <w:rPr>
          <w:rFonts w:ascii="Times New Roman" w:hAnsi="Times New Roman" w:cs="Times New Roman"/>
          <w:sz w:val="24"/>
          <w:szCs w:val="24"/>
        </w:rPr>
        <w:t>(Adverse Childhood Experience (ACE) questionnaire, 2017)</w:t>
      </w:r>
      <w:r>
        <w:rPr>
          <w:rFonts w:ascii="Times New Roman" w:hAnsi="Times New Roman" w:cs="Times New Roman"/>
          <w:sz w:val="24"/>
          <w:szCs w:val="24"/>
        </w:rPr>
        <w:t xml:space="preserve"> was given to participants</w:t>
      </w:r>
      <w:r w:rsidR="00312F6C" w:rsidRPr="00A50F68">
        <w:rPr>
          <w:rFonts w:ascii="Times New Roman" w:hAnsi="Times New Roman" w:cs="Times New Roman"/>
          <w:sz w:val="24"/>
          <w:szCs w:val="24"/>
        </w:rPr>
        <w:t>.</w:t>
      </w:r>
      <w:r w:rsidR="00312F6C" w:rsidRPr="00A50F68">
        <w:rPr>
          <w:rFonts w:ascii="Times New Roman" w:hAnsi="Times New Roman" w:cs="Times New Roman"/>
          <w:sz w:val="24"/>
          <w:szCs w:val="24"/>
          <w:vertAlign w:val="superscript"/>
        </w:rPr>
        <w:t xml:space="preserve"> </w:t>
      </w:r>
      <w:r w:rsidR="00312F6C" w:rsidRPr="00A50F68">
        <w:rPr>
          <w:rFonts w:ascii="Times New Roman" w:hAnsi="Times New Roman" w:cs="Times New Roman"/>
          <w:sz w:val="24"/>
          <w:szCs w:val="24"/>
        </w:rPr>
        <w:t>Any score greater than three (3) is significant. The higher the score, the greater</w:t>
      </w:r>
      <w:r w:rsidR="00312F6C">
        <w:rPr>
          <w:rFonts w:ascii="Times New Roman" w:hAnsi="Times New Roman" w:cs="Times New Roman"/>
          <w:sz w:val="24"/>
          <w:szCs w:val="24"/>
        </w:rPr>
        <w:t xml:space="preserve"> the impact of life experiences</w:t>
      </w:r>
      <w:r w:rsidR="00441C6F">
        <w:t xml:space="preserve"> </w:t>
      </w:r>
      <w:r w:rsidR="00441C6F">
        <w:rPr>
          <w:rFonts w:ascii="Times New Roman" w:hAnsi="Times New Roman" w:cs="Times New Roman"/>
          <w:sz w:val="24"/>
          <w:szCs w:val="24"/>
        </w:rPr>
        <w:t>(Reavis et al., 2013)</w:t>
      </w:r>
      <w:r w:rsidR="00312F6C" w:rsidRPr="00A50F68">
        <w:rPr>
          <w:rFonts w:ascii="Times New Roman" w:hAnsi="Times New Roman" w:cs="Times New Roman"/>
          <w:sz w:val="24"/>
          <w:szCs w:val="24"/>
        </w:rPr>
        <w:t>.</w:t>
      </w:r>
      <w:r w:rsidR="00312F6C" w:rsidRPr="00A50F68">
        <w:rPr>
          <w:rFonts w:ascii="Times New Roman" w:hAnsi="Times New Roman" w:cs="Times New Roman"/>
          <w:sz w:val="24"/>
          <w:szCs w:val="24"/>
          <w:vertAlign w:val="superscript"/>
        </w:rPr>
        <w:t xml:space="preserve"> </w:t>
      </w:r>
      <w:r w:rsidR="00312F6C" w:rsidRPr="00A50F68">
        <w:rPr>
          <w:rFonts w:ascii="Times New Roman" w:hAnsi="Times New Roman" w:cs="Times New Roman"/>
          <w:sz w:val="24"/>
          <w:szCs w:val="24"/>
        </w:rPr>
        <w:t>The results indicate that 91 of the participants (44%) scored four (4) or higher o</w:t>
      </w:r>
      <w:r w:rsidR="00312F6C">
        <w:rPr>
          <w:rFonts w:ascii="Times New Roman" w:hAnsi="Times New Roman" w:cs="Times New Roman"/>
          <w:sz w:val="24"/>
          <w:szCs w:val="24"/>
        </w:rPr>
        <w:t>n the ACE questionnaire (</w:t>
      </w:r>
      <w:r w:rsidR="007E5BB0">
        <w:rPr>
          <w:rFonts w:ascii="Times New Roman" w:hAnsi="Times New Roman" w:cs="Times New Roman"/>
          <w:sz w:val="24"/>
          <w:szCs w:val="24"/>
        </w:rPr>
        <w:t xml:space="preserve">see </w:t>
      </w:r>
      <w:r w:rsidR="00312F6C">
        <w:rPr>
          <w:rFonts w:ascii="Times New Roman" w:hAnsi="Times New Roman" w:cs="Times New Roman"/>
          <w:sz w:val="24"/>
          <w:szCs w:val="24"/>
        </w:rPr>
        <w:t>Table 1</w:t>
      </w:r>
      <w:r w:rsidR="00312F6C" w:rsidRPr="00A50F68">
        <w:rPr>
          <w:rFonts w:ascii="Times New Roman" w:hAnsi="Times New Roman" w:cs="Times New Roman"/>
          <w:sz w:val="24"/>
          <w:szCs w:val="24"/>
        </w:rPr>
        <w:t xml:space="preserve">). </w:t>
      </w:r>
    </w:p>
    <w:p w:rsidR="00DE4294" w:rsidRPr="00312F6C" w:rsidRDefault="00DE4294" w:rsidP="00DE4294">
      <w:pPr>
        <w:spacing w:line="360" w:lineRule="auto"/>
        <w:jc w:val="both"/>
        <w:rPr>
          <w:rFonts w:ascii="Times New Roman" w:hAnsi="Times New Roman" w:cs="Times New Roman"/>
          <w:sz w:val="24"/>
          <w:szCs w:val="24"/>
        </w:rPr>
      </w:pPr>
    </w:p>
    <w:tbl>
      <w:tblPr>
        <w:tblStyle w:val="LightShading"/>
        <w:tblW w:w="0" w:type="auto"/>
        <w:tblLook w:val="04A0" w:firstRow="1" w:lastRow="0" w:firstColumn="1" w:lastColumn="0" w:noHBand="0" w:noVBand="1"/>
      </w:tblPr>
      <w:tblGrid>
        <w:gridCol w:w="4618"/>
        <w:gridCol w:w="4618"/>
      </w:tblGrid>
      <w:tr w:rsidR="00DE4294" w:rsidTr="00BA7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Default="00DE4294" w:rsidP="00DE4294">
            <w:pPr>
              <w:tabs>
                <w:tab w:val="left" w:pos="3090"/>
              </w:tabs>
              <w:spacing w:line="360" w:lineRule="auto"/>
              <w:rPr>
                <w:rFonts w:ascii="Times New Roman" w:hAnsi="Times New Roman" w:cs="Times New Roman"/>
                <w:sz w:val="24"/>
                <w:szCs w:val="24"/>
              </w:rPr>
            </w:pPr>
            <w:r>
              <w:rPr>
                <w:rFonts w:ascii="Times New Roman" w:hAnsi="Times New Roman" w:cs="Times New Roman"/>
                <w:sz w:val="24"/>
                <w:szCs w:val="24"/>
              </w:rPr>
              <w:t>ACE Score</w:t>
            </w:r>
          </w:p>
        </w:tc>
        <w:tc>
          <w:tcPr>
            <w:tcW w:w="4618" w:type="dxa"/>
          </w:tcPr>
          <w:p w:rsidR="00DE4294" w:rsidRDefault="00DE4294" w:rsidP="00DE4294">
            <w:pPr>
              <w:tabs>
                <w:tab w:val="left" w:pos="309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of Participants</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0</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1</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2</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3</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4</w:t>
            </w:r>
          </w:p>
        </w:tc>
        <w:tc>
          <w:tcPr>
            <w:tcW w:w="4618" w:type="dxa"/>
          </w:tcPr>
          <w:p w:rsidR="00DE4294" w:rsidRPr="00DD47BC"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D47BC">
              <w:rPr>
                <w:rFonts w:ascii="Times New Roman" w:hAnsi="Times New Roman" w:cs="Times New Roman"/>
                <w:b/>
                <w:sz w:val="24"/>
                <w:szCs w:val="24"/>
              </w:rPr>
              <w:t>23</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5</w:t>
            </w:r>
          </w:p>
        </w:tc>
        <w:tc>
          <w:tcPr>
            <w:tcW w:w="4618" w:type="dxa"/>
          </w:tcPr>
          <w:p w:rsidR="00DE4294" w:rsidRPr="00DD47BC"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D47BC">
              <w:rPr>
                <w:rFonts w:ascii="Times New Roman" w:hAnsi="Times New Roman" w:cs="Times New Roman"/>
                <w:b/>
                <w:sz w:val="24"/>
                <w:szCs w:val="24"/>
              </w:rPr>
              <w:t>22</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6</w:t>
            </w:r>
          </w:p>
        </w:tc>
        <w:tc>
          <w:tcPr>
            <w:tcW w:w="4618" w:type="dxa"/>
          </w:tcPr>
          <w:p w:rsidR="00DE4294" w:rsidRPr="00DD47BC"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D47BC">
              <w:rPr>
                <w:rFonts w:ascii="Times New Roman" w:hAnsi="Times New Roman" w:cs="Times New Roman"/>
                <w:b/>
                <w:sz w:val="24"/>
                <w:szCs w:val="24"/>
              </w:rPr>
              <w:t>20</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7</w:t>
            </w:r>
          </w:p>
        </w:tc>
        <w:tc>
          <w:tcPr>
            <w:tcW w:w="4618" w:type="dxa"/>
          </w:tcPr>
          <w:p w:rsidR="00DE4294" w:rsidRPr="00DD47BC"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D47BC">
              <w:rPr>
                <w:rFonts w:ascii="Times New Roman" w:hAnsi="Times New Roman" w:cs="Times New Roman"/>
                <w:b/>
                <w:sz w:val="24"/>
                <w:szCs w:val="24"/>
              </w:rPr>
              <w:t>14</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8</w:t>
            </w:r>
          </w:p>
        </w:tc>
        <w:tc>
          <w:tcPr>
            <w:tcW w:w="4618" w:type="dxa"/>
          </w:tcPr>
          <w:p w:rsidR="00DE4294" w:rsidRPr="00DD47BC"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D47BC">
              <w:rPr>
                <w:rFonts w:ascii="Times New Roman" w:hAnsi="Times New Roman" w:cs="Times New Roman"/>
                <w:b/>
                <w:sz w:val="24"/>
                <w:szCs w:val="24"/>
              </w:rPr>
              <w:t>4</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9</w:t>
            </w:r>
          </w:p>
        </w:tc>
        <w:tc>
          <w:tcPr>
            <w:tcW w:w="4618" w:type="dxa"/>
          </w:tcPr>
          <w:p w:rsidR="00DE4294" w:rsidRPr="00DD47BC"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D47BC">
              <w:rPr>
                <w:rFonts w:ascii="Times New Roman" w:hAnsi="Times New Roman" w:cs="Times New Roman"/>
                <w:b/>
                <w:sz w:val="24"/>
                <w:szCs w:val="24"/>
              </w:rPr>
              <w:t>5</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DD47BC" w:rsidRDefault="00DE4294" w:rsidP="00DE4294">
            <w:pPr>
              <w:tabs>
                <w:tab w:val="left" w:pos="3090"/>
              </w:tabs>
              <w:spacing w:line="360" w:lineRule="auto"/>
              <w:rPr>
                <w:rFonts w:ascii="Times New Roman" w:hAnsi="Times New Roman" w:cs="Times New Roman"/>
                <w:b w:val="0"/>
                <w:sz w:val="24"/>
                <w:szCs w:val="24"/>
              </w:rPr>
            </w:pPr>
            <w:r w:rsidRPr="00DD47BC">
              <w:rPr>
                <w:rFonts w:ascii="Times New Roman" w:hAnsi="Times New Roman" w:cs="Times New Roman"/>
                <w:b w:val="0"/>
                <w:sz w:val="24"/>
                <w:szCs w:val="24"/>
              </w:rPr>
              <w:t>10</w:t>
            </w:r>
          </w:p>
        </w:tc>
        <w:tc>
          <w:tcPr>
            <w:tcW w:w="4618" w:type="dxa"/>
          </w:tcPr>
          <w:p w:rsidR="00DE4294" w:rsidRPr="00DD47BC"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D47BC">
              <w:rPr>
                <w:rFonts w:ascii="Times New Roman" w:hAnsi="Times New Roman" w:cs="Times New Roman"/>
                <w:b/>
                <w:sz w:val="24"/>
                <w:szCs w:val="24"/>
              </w:rPr>
              <w:t>3</w:t>
            </w:r>
          </w:p>
        </w:tc>
      </w:tr>
    </w:tbl>
    <w:p w:rsidR="00DE4294" w:rsidRDefault="00DE4294" w:rsidP="00DE4294">
      <w:pPr>
        <w:tabs>
          <w:tab w:val="left" w:pos="3090"/>
        </w:tabs>
        <w:spacing w:line="360" w:lineRule="auto"/>
        <w:jc w:val="both"/>
        <w:rPr>
          <w:rFonts w:ascii="Times New Roman" w:hAnsi="Times New Roman" w:cs="Times New Roman"/>
          <w:sz w:val="24"/>
          <w:szCs w:val="24"/>
        </w:rPr>
      </w:pPr>
    </w:p>
    <w:p w:rsidR="00DE4294" w:rsidRDefault="00DE4294" w:rsidP="00DE4294">
      <w:pPr>
        <w:tabs>
          <w:tab w:val="left" w:pos="30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 Adverse Childhood Experiences (ACE) Scores. </w:t>
      </w:r>
    </w:p>
    <w:p w:rsidR="00312F6C" w:rsidRDefault="00312F6C" w:rsidP="00DE4294">
      <w:pPr>
        <w:spacing w:line="360" w:lineRule="auto"/>
        <w:jc w:val="both"/>
        <w:rPr>
          <w:rFonts w:ascii="Times New Roman" w:hAnsi="Times New Roman" w:cs="Times New Roman"/>
          <w:sz w:val="24"/>
          <w:szCs w:val="24"/>
        </w:rPr>
      </w:pPr>
    </w:p>
    <w:p w:rsidR="00601A7A" w:rsidRDefault="00312F6C" w:rsidP="00DE4294">
      <w:pPr>
        <w:spacing w:line="360" w:lineRule="auto"/>
        <w:jc w:val="both"/>
        <w:rPr>
          <w:rFonts w:ascii="Times New Roman" w:hAnsi="Times New Roman" w:cs="Times New Roman"/>
          <w:sz w:val="24"/>
          <w:szCs w:val="24"/>
        </w:rPr>
      </w:pPr>
      <w:r w:rsidRPr="00A50F68">
        <w:rPr>
          <w:rFonts w:ascii="Times New Roman" w:hAnsi="Times New Roman" w:cs="Times New Roman"/>
          <w:sz w:val="24"/>
          <w:szCs w:val="24"/>
        </w:rPr>
        <w:t>To further investigate the incidence of physical abuse in childhood, question two of the ACE</w:t>
      </w:r>
      <w:r w:rsidR="00441C6F">
        <w:rPr>
          <w:rFonts w:ascii="Times New Roman" w:hAnsi="Times New Roman" w:cs="Times New Roman"/>
          <w:sz w:val="24"/>
          <w:szCs w:val="24"/>
        </w:rPr>
        <w:t xml:space="preserve"> (Adverse Childhood Experience (ACE) questionnaire, 2017)</w:t>
      </w:r>
      <w:r w:rsidRPr="00A50F68">
        <w:rPr>
          <w:rFonts w:ascii="Times New Roman" w:hAnsi="Times New Roman" w:cs="Times New Roman"/>
          <w:sz w:val="24"/>
          <w:szCs w:val="24"/>
        </w:rPr>
        <w:t xml:space="preserve"> was analyzed “Did a parent or other adult in the household often push, grab, slap or throw something at you or ever hit you so hard that you had marks or were injured?”. Forty-four (44%) </w:t>
      </w:r>
      <w:r>
        <w:rPr>
          <w:rFonts w:ascii="Times New Roman" w:hAnsi="Times New Roman" w:cs="Times New Roman"/>
          <w:sz w:val="24"/>
          <w:szCs w:val="24"/>
        </w:rPr>
        <w:t xml:space="preserve">(n=93) </w:t>
      </w:r>
      <w:r w:rsidRPr="00A50F68">
        <w:rPr>
          <w:rFonts w:ascii="Times New Roman" w:hAnsi="Times New Roman" w:cs="Times New Roman"/>
          <w:sz w:val="24"/>
          <w:szCs w:val="24"/>
        </w:rPr>
        <w:t xml:space="preserve">of participants </w:t>
      </w:r>
      <w:r w:rsidRPr="00A50F68">
        <w:rPr>
          <w:rFonts w:ascii="Times New Roman" w:hAnsi="Times New Roman" w:cs="Times New Roman"/>
          <w:sz w:val="24"/>
          <w:szCs w:val="24"/>
        </w:rPr>
        <w:lastRenderedPageBreak/>
        <w:t>a</w:t>
      </w:r>
      <w:r w:rsidR="00FA57FF">
        <w:rPr>
          <w:rFonts w:ascii="Times New Roman" w:hAnsi="Times New Roman" w:cs="Times New Roman"/>
          <w:sz w:val="24"/>
          <w:szCs w:val="24"/>
        </w:rPr>
        <w:t xml:space="preserve">nswered ‘yes’ to this question. That is, </w:t>
      </w:r>
      <w:r w:rsidRPr="00A50F68">
        <w:rPr>
          <w:rFonts w:ascii="Times New Roman" w:hAnsi="Times New Roman" w:cs="Times New Roman"/>
          <w:sz w:val="24"/>
          <w:szCs w:val="24"/>
        </w:rPr>
        <w:t>almost half of the participants were physically abused befo</w:t>
      </w:r>
      <w:r>
        <w:rPr>
          <w:rFonts w:ascii="Times New Roman" w:hAnsi="Times New Roman" w:cs="Times New Roman"/>
          <w:sz w:val="24"/>
          <w:szCs w:val="24"/>
        </w:rPr>
        <w:t>re the age of 18 years</w:t>
      </w:r>
      <w:r w:rsidRPr="00A50F68">
        <w:rPr>
          <w:rFonts w:ascii="Times New Roman" w:hAnsi="Times New Roman" w:cs="Times New Roman"/>
          <w:sz w:val="24"/>
          <w:szCs w:val="24"/>
        </w:rPr>
        <w:t xml:space="preserve">. </w:t>
      </w:r>
      <w:r w:rsidR="00BF2B59">
        <w:rPr>
          <w:rFonts w:ascii="Times New Roman" w:hAnsi="Times New Roman" w:cs="Times New Roman"/>
          <w:sz w:val="24"/>
          <w:szCs w:val="24"/>
        </w:rPr>
        <w:t xml:space="preserve">Punishment can easily turn into abuse, </w:t>
      </w:r>
      <w:r w:rsidR="00BF2B59" w:rsidRPr="00BF2B59">
        <w:rPr>
          <w:rFonts w:ascii="Times New Roman" w:hAnsi="Times New Roman" w:cs="Times New Roman"/>
          <w:sz w:val="24"/>
          <w:szCs w:val="24"/>
        </w:rPr>
        <w:t>e</w:t>
      </w:r>
      <w:r w:rsidRPr="00BF2B59">
        <w:rPr>
          <w:rFonts w:ascii="Times New Roman" w:hAnsi="Times New Roman" w:cs="Times New Roman"/>
          <w:sz w:val="24"/>
          <w:szCs w:val="24"/>
        </w:rPr>
        <w:t>specially when anger is involved.</w:t>
      </w:r>
      <w:r w:rsidR="00601A7A">
        <w:rPr>
          <w:rFonts w:ascii="Times New Roman" w:hAnsi="Times New Roman" w:cs="Times New Roman"/>
          <w:sz w:val="24"/>
          <w:szCs w:val="24"/>
        </w:rPr>
        <w:t xml:space="preserve"> Question three of the ACE (Adverse Childhood Experience (ACE) questionnaire, 2017) was analyzed to ascertain the incidence of sexual abuse in childhood. Question three asked </w:t>
      </w:r>
      <w:r w:rsidRPr="00A50F68">
        <w:rPr>
          <w:rFonts w:ascii="Times New Roman" w:hAnsi="Times New Roman" w:cs="Times New Roman"/>
          <w:sz w:val="24"/>
          <w:szCs w:val="24"/>
        </w:rPr>
        <w:t xml:space="preserve">“Did an adult or person at least 5 years older than you ever touch or fondle you or have you touch their body in a sexual way or try to or actually have oral, anal or vaginal sex with you?” </w:t>
      </w:r>
      <w:r>
        <w:rPr>
          <w:rFonts w:ascii="Times New Roman" w:hAnsi="Times New Roman" w:cs="Times New Roman"/>
          <w:sz w:val="24"/>
          <w:szCs w:val="24"/>
        </w:rPr>
        <w:t>Twenty-three percent</w:t>
      </w:r>
      <w:r w:rsidRPr="00A50F68">
        <w:rPr>
          <w:rFonts w:ascii="Times New Roman" w:hAnsi="Times New Roman" w:cs="Times New Roman"/>
          <w:sz w:val="24"/>
          <w:szCs w:val="24"/>
        </w:rPr>
        <w:t xml:space="preserve"> (23%) </w:t>
      </w:r>
      <w:r>
        <w:rPr>
          <w:rFonts w:ascii="Times New Roman" w:hAnsi="Times New Roman" w:cs="Times New Roman"/>
          <w:sz w:val="24"/>
          <w:szCs w:val="24"/>
        </w:rPr>
        <w:t xml:space="preserve">(n=48) of participants </w:t>
      </w:r>
      <w:r w:rsidRPr="00A50F68">
        <w:rPr>
          <w:rFonts w:ascii="Times New Roman" w:hAnsi="Times New Roman" w:cs="Times New Roman"/>
          <w:sz w:val="24"/>
          <w:szCs w:val="24"/>
        </w:rPr>
        <w:t xml:space="preserve">answered ‘yes’ to this </w:t>
      </w:r>
      <w:r w:rsidR="00601A7A">
        <w:rPr>
          <w:rFonts w:ascii="Times New Roman" w:hAnsi="Times New Roman" w:cs="Times New Roman"/>
          <w:sz w:val="24"/>
          <w:szCs w:val="24"/>
        </w:rPr>
        <w:t>question. That is, almost one-</w:t>
      </w:r>
      <w:r w:rsidRPr="00A50F68">
        <w:rPr>
          <w:rFonts w:ascii="Times New Roman" w:hAnsi="Times New Roman" w:cs="Times New Roman"/>
          <w:sz w:val="24"/>
          <w:szCs w:val="24"/>
        </w:rPr>
        <w:t>quarter of the participants were sexually abused before the age of 18 years.</w:t>
      </w:r>
      <w:r>
        <w:rPr>
          <w:rFonts w:ascii="Times New Roman" w:hAnsi="Times New Roman" w:cs="Times New Roman"/>
          <w:sz w:val="24"/>
          <w:szCs w:val="24"/>
        </w:rPr>
        <w:t xml:space="preserve"> </w:t>
      </w:r>
    </w:p>
    <w:p w:rsidR="00601A7A" w:rsidRDefault="00601A7A" w:rsidP="00DE4294">
      <w:pPr>
        <w:spacing w:line="360" w:lineRule="auto"/>
        <w:jc w:val="both"/>
        <w:rPr>
          <w:rFonts w:ascii="Times New Roman" w:hAnsi="Times New Roman" w:cs="Times New Roman"/>
          <w:sz w:val="24"/>
          <w:szCs w:val="24"/>
        </w:rPr>
      </w:pPr>
    </w:p>
    <w:p w:rsidR="00312F6C" w:rsidRPr="004A2AA5" w:rsidRDefault="00312F6C" w:rsidP="00DE4294">
      <w:pPr>
        <w:spacing w:line="360" w:lineRule="auto"/>
        <w:jc w:val="both"/>
        <w:rPr>
          <w:rFonts w:ascii="Times New Roman" w:hAnsi="Times New Roman" w:cs="Times New Roman"/>
          <w:sz w:val="24"/>
          <w:szCs w:val="24"/>
        </w:rPr>
      </w:pPr>
      <w:r w:rsidRPr="004A2AA5">
        <w:rPr>
          <w:rFonts w:ascii="Times New Roman" w:hAnsi="Times New Roman" w:cs="Times New Roman"/>
          <w:sz w:val="24"/>
          <w:szCs w:val="24"/>
        </w:rPr>
        <w:t xml:space="preserve">Moreover, 23% </w:t>
      </w:r>
      <w:r>
        <w:rPr>
          <w:rFonts w:ascii="Times New Roman" w:hAnsi="Times New Roman" w:cs="Times New Roman"/>
          <w:sz w:val="24"/>
          <w:szCs w:val="24"/>
        </w:rPr>
        <w:t xml:space="preserve">(n=48) </w:t>
      </w:r>
      <w:r w:rsidRPr="004A2AA5">
        <w:rPr>
          <w:rFonts w:ascii="Times New Roman" w:hAnsi="Times New Roman" w:cs="Times New Roman"/>
          <w:sz w:val="24"/>
          <w:szCs w:val="24"/>
        </w:rPr>
        <w:t>of participants had a history of sexual abuse before the age of 18</w:t>
      </w:r>
      <w:r w:rsidR="00601A7A">
        <w:rPr>
          <w:rFonts w:ascii="Times New Roman" w:hAnsi="Times New Roman" w:cs="Times New Roman"/>
          <w:sz w:val="24"/>
          <w:szCs w:val="24"/>
        </w:rPr>
        <w:t>,</w:t>
      </w:r>
      <w:r w:rsidRPr="004A2AA5">
        <w:rPr>
          <w:rFonts w:ascii="Times New Roman" w:hAnsi="Times New Roman" w:cs="Times New Roman"/>
          <w:sz w:val="24"/>
          <w:szCs w:val="24"/>
        </w:rPr>
        <w:t xml:space="preserve"> and moderate/severe </w:t>
      </w:r>
      <w:r w:rsidR="00601A7A">
        <w:rPr>
          <w:rFonts w:ascii="Times New Roman" w:hAnsi="Times New Roman" w:cs="Times New Roman"/>
          <w:sz w:val="24"/>
          <w:szCs w:val="24"/>
        </w:rPr>
        <w:t>PTSD. I</w:t>
      </w:r>
      <w:r w:rsidRPr="004A2AA5">
        <w:rPr>
          <w:rFonts w:ascii="Times New Roman" w:hAnsi="Times New Roman" w:cs="Times New Roman"/>
          <w:sz w:val="24"/>
          <w:szCs w:val="24"/>
        </w:rPr>
        <w:t xml:space="preserve">f sexual abuse is the only adverse childhood experience a person has, moderate/severe PTSD in adulthood may still occur. </w:t>
      </w:r>
      <w:r w:rsidR="00601A7A">
        <w:rPr>
          <w:rFonts w:ascii="Times New Roman" w:hAnsi="Times New Roman" w:cs="Times New Roman"/>
          <w:sz w:val="24"/>
          <w:szCs w:val="24"/>
        </w:rPr>
        <w:t>S</w:t>
      </w:r>
      <w:r w:rsidRPr="004A2AA5">
        <w:rPr>
          <w:rFonts w:ascii="Times New Roman" w:hAnsi="Times New Roman" w:cs="Times New Roman"/>
          <w:sz w:val="24"/>
          <w:szCs w:val="24"/>
        </w:rPr>
        <w:t xml:space="preserve">exual offences that </w:t>
      </w:r>
      <w:r w:rsidR="00601A7A">
        <w:rPr>
          <w:rFonts w:ascii="Times New Roman" w:hAnsi="Times New Roman" w:cs="Times New Roman"/>
          <w:sz w:val="24"/>
          <w:szCs w:val="24"/>
        </w:rPr>
        <w:t>transpired</w:t>
      </w:r>
      <w:r w:rsidR="00601A7A" w:rsidRPr="004A2AA5">
        <w:rPr>
          <w:rFonts w:ascii="Times New Roman" w:hAnsi="Times New Roman" w:cs="Times New Roman"/>
          <w:sz w:val="24"/>
          <w:szCs w:val="24"/>
        </w:rPr>
        <w:t xml:space="preserve"> </w:t>
      </w:r>
      <w:r w:rsidR="00601A7A">
        <w:rPr>
          <w:rFonts w:ascii="Times New Roman" w:hAnsi="Times New Roman" w:cs="Times New Roman"/>
          <w:sz w:val="24"/>
          <w:szCs w:val="24"/>
        </w:rPr>
        <w:t xml:space="preserve">in the United Kingdom were prosecuted </w:t>
      </w:r>
      <w:r w:rsidRPr="004A2AA5">
        <w:rPr>
          <w:rFonts w:ascii="Times New Roman" w:hAnsi="Times New Roman" w:cs="Times New Roman"/>
          <w:sz w:val="24"/>
          <w:szCs w:val="24"/>
        </w:rPr>
        <w:t xml:space="preserve">40 years </w:t>
      </w:r>
      <w:r w:rsidR="00601A7A">
        <w:rPr>
          <w:rFonts w:ascii="Times New Roman" w:hAnsi="Times New Roman" w:cs="Times New Roman"/>
          <w:sz w:val="24"/>
          <w:szCs w:val="24"/>
        </w:rPr>
        <w:t>later</w:t>
      </w:r>
      <w:r w:rsidR="00187B9D">
        <w:rPr>
          <w:rFonts w:ascii="Times New Roman" w:hAnsi="Times New Roman" w:cs="Times New Roman"/>
          <w:sz w:val="24"/>
          <w:szCs w:val="24"/>
        </w:rPr>
        <w:t xml:space="preserve">, proving </w:t>
      </w:r>
      <w:r w:rsidRPr="004A2AA5">
        <w:rPr>
          <w:rFonts w:ascii="Times New Roman" w:hAnsi="Times New Roman" w:cs="Times New Roman"/>
          <w:sz w:val="24"/>
          <w:szCs w:val="24"/>
        </w:rPr>
        <w:t xml:space="preserve">the length of time it can take for a victim to come forward. </w:t>
      </w:r>
      <w:r w:rsidR="00187B9D">
        <w:rPr>
          <w:rFonts w:ascii="Times New Roman" w:hAnsi="Times New Roman" w:cs="Times New Roman"/>
          <w:sz w:val="24"/>
          <w:szCs w:val="24"/>
        </w:rPr>
        <w:t>As such,</w:t>
      </w:r>
      <w:r w:rsidRPr="004A2AA5">
        <w:rPr>
          <w:rFonts w:ascii="Times New Roman" w:hAnsi="Times New Roman" w:cs="Times New Roman"/>
          <w:sz w:val="24"/>
          <w:szCs w:val="24"/>
        </w:rPr>
        <w:t xml:space="preserve"> victims can spend years living with the un</w:t>
      </w:r>
      <w:r>
        <w:rPr>
          <w:rFonts w:ascii="Times New Roman" w:hAnsi="Times New Roman" w:cs="Times New Roman"/>
          <w:sz w:val="24"/>
          <w:szCs w:val="24"/>
        </w:rPr>
        <w:t xml:space="preserve">resolved trauma of sexual abuse </w:t>
      </w:r>
      <w:r w:rsidR="00441C6F">
        <w:rPr>
          <w:rFonts w:ascii="Times New Roman" w:hAnsi="Times New Roman" w:cs="Times New Roman"/>
          <w:sz w:val="24"/>
          <w:szCs w:val="24"/>
        </w:rPr>
        <w:t>(News, 2016)</w:t>
      </w:r>
      <w:r w:rsidRPr="004A2AA5">
        <w:rPr>
          <w:rFonts w:ascii="Times New Roman" w:hAnsi="Times New Roman" w:cs="Times New Roman"/>
          <w:sz w:val="24"/>
          <w:szCs w:val="24"/>
        </w:rPr>
        <w:t xml:space="preserve">. </w:t>
      </w:r>
    </w:p>
    <w:p w:rsidR="00312F6C" w:rsidRPr="00A50F68" w:rsidRDefault="00312F6C" w:rsidP="00DE4294">
      <w:pPr>
        <w:spacing w:line="360" w:lineRule="auto"/>
        <w:jc w:val="both"/>
        <w:rPr>
          <w:rFonts w:ascii="Times New Roman" w:hAnsi="Times New Roman" w:cs="Times New Roman"/>
          <w:sz w:val="24"/>
          <w:szCs w:val="24"/>
        </w:rPr>
      </w:pPr>
    </w:p>
    <w:p w:rsidR="00312F6C" w:rsidRPr="00172C05" w:rsidRDefault="001C41C4" w:rsidP="00DE4294">
      <w:pPr>
        <w:tabs>
          <w:tab w:val="left" w:pos="690"/>
          <w:tab w:val="center" w:pos="4510"/>
        </w:tabs>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w:t>
      </w:r>
      <w:r w:rsidR="00E12FA3">
        <w:rPr>
          <w:rFonts w:ascii="Times New Roman" w:hAnsi="Times New Roman" w:cs="Times New Roman"/>
          <w:sz w:val="24"/>
          <w:szCs w:val="24"/>
        </w:rPr>
        <w:t>Post-Traumatic Stress D</w:t>
      </w:r>
      <w:r w:rsidR="00312F6C">
        <w:rPr>
          <w:rFonts w:ascii="Times New Roman" w:hAnsi="Times New Roman" w:cs="Times New Roman"/>
          <w:sz w:val="24"/>
          <w:szCs w:val="24"/>
        </w:rPr>
        <w:t xml:space="preserve">isorder (PTSD) </w:t>
      </w:r>
      <w:r>
        <w:rPr>
          <w:rFonts w:ascii="Times New Roman" w:hAnsi="Times New Roman" w:cs="Times New Roman"/>
          <w:sz w:val="24"/>
          <w:szCs w:val="24"/>
        </w:rPr>
        <w:t xml:space="preserve">self-test </w:t>
      </w:r>
      <w:r w:rsidR="00441C6F">
        <w:rPr>
          <w:rFonts w:ascii="Times New Roman" w:hAnsi="Times New Roman" w:cs="Times New Roman"/>
          <w:sz w:val="24"/>
          <w:szCs w:val="24"/>
        </w:rPr>
        <w:t>(Post-Traumatic Stress Disorder Self-Test (2017)</w:t>
      </w:r>
      <w:r>
        <w:rPr>
          <w:rFonts w:ascii="Times New Roman" w:hAnsi="Times New Roman" w:cs="Times New Roman"/>
          <w:sz w:val="24"/>
          <w:szCs w:val="24"/>
        </w:rPr>
        <w:t xml:space="preserve"> was given to participants</w:t>
      </w:r>
      <w:r w:rsidR="00312F6C">
        <w:rPr>
          <w:rFonts w:ascii="Times New Roman" w:hAnsi="Times New Roman" w:cs="Times New Roman"/>
          <w:sz w:val="24"/>
          <w:szCs w:val="24"/>
        </w:rPr>
        <w:t>.</w:t>
      </w:r>
      <w:r w:rsidR="00312F6C" w:rsidRPr="009D38FB">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Authors edited the </w:t>
      </w:r>
      <w:r w:rsidR="00312F6C" w:rsidRPr="009D38FB">
        <w:rPr>
          <w:rFonts w:ascii="Times New Roman" w:hAnsi="Times New Roman" w:cs="Times New Roman"/>
          <w:sz w:val="24"/>
          <w:szCs w:val="24"/>
        </w:rPr>
        <w:t xml:space="preserve">original </w:t>
      </w:r>
      <w:r w:rsidR="00312F6C">
        <w:rPr>
          <w:rFonts w:ascii="Times New Roman" w:hAnsi="Times New Roman" w:cs="Times New Roman"/>
          <w:sz w:val="24"/>
          <w:szCs w:val="24"/>
        </w:rPr>
        <w:t>questionnaire to make it more understandable to our cohort. The results indicated that 16% (n=33) of the participants did not have PTSD</w:t>
      </w:r>
      <w:r>
        <w:rPr>
          <w:rFonts w:ascii="Times New Roman" w:hAnsi="Times New Roman" w:cs="Times New Roman"/>
          <w:sz w:val="24"/>
          <w:szCs w:val="24"/>
        </w:rPr>
        <w:t>,</w:t>
      </w:r>
      <w:r w:rsidR="00312F6C">
        <w:rPr>
          <w:rFonts w:ascii="Times New Roman" w:hAnsi="Times New Roman" w:cs="Times New Roman"/>
          <w:sz w:val="24"/>
          <w:szCs w:val="24"/>
        </w:rPr>
        <w:t xml:space="preserve"> while 84% (n=176) had moderate or severe PTSD. </w:t>
      </w:r>
      <w:r>
        <w:rPr>
          <w:rFonts w:ascii="Times New Roman" w:hAnsi="Times New Roman" w:cs="Times New Roman"/>
          <w:sz w:val="24"/>
          <w:szCs w:val="24"/>
        </w:rPr>
        <w:t>Participants with moderate or severe PTSD will display symptoms associated with it, which include f</w:t>
      </w:r>
      <w:r w:rsidR="00312F6C">
        <w:rPr>
          <w:rFonts w:ascii="Times New Roman" w:hAnsi="Times New Roman" w:cs="Times New Roman"/>
          <w:sz w:val="24"/>
          <w:szCs w:val="24"/>
        </w:rPr>
        <w:t>lashbacks, murderous rage, poor impulse control</w:t>
      </w:r>
      <w:r>
        <w:rPr>
          <w:rFonts w:ascii="Times New Roman" w:hAnsi="Times New Roman" w:cs="Times New Roman"/>
          <w:sz w:val="24"/>
          <w:szCs w:val="24"/>
        </w:rPr>
        <w:t>,</w:t>
      </w:r>
      <w:r w:rsidR="00312F6C">
        <w:rPr>
          <w:rFonts w:ascii="Times New Roman" w:hAnsi="Times New Roman" w:cs="Times New Roman"/>
          <w:sz w:val="24"/>
          <w:szCs w:val="24"/>
        </w:rPr>
        <w:t xml:space="preserve"> and hopelessness </w:t>
      </w:r>
      <w:r w:rsidR="00441C6F">
        <w:rPr>
          <w:rFonts w:ascii="Times New Roman" w:hAnsi="Times New Roman" w:cs="Times New Roman"/>
          <w:sz w:val="24"/>
          <w:szCs w:val="24"/>
        </w:rPr>
        <w:t>(George &amp; Berger, 2013) (Walkup &amp; Rubin, 2013)</w:t>
      </w:r>
      <w:r w:rsidR="00312F6C">
        <w:rPr>
          <w:rFonts w:ascii="Times New Roman" w:hAnsi="Times New Roman" w:cs="Times New Roman"/>
          <w:sz w:val="24"/>
          <w:szCs w:val="24"/>
        </w:rPr>
        <w:t>.</w:t>
      </w:r>
      <w:r w:rsidR="00172C05">
        <w:rPr>
          <w:rFonts w:ascii="Times New Roman" w:hAnsi="Times New Roman" w:cs="Times New Roman"/>
          <w:sz w:val="24"/>
          <w:szCs w:val="24"/>
          <w:vertAlign w:val="superscript"/>
        </w:rPr>
        <w:t xml:space="preserve"> </w:t>
      </w:r>
      <w:r w:rsidR="00172C05">
        <w:rPr>
          <w:rFonts w:ascii="Times New Roman" w:hAnsi="Times New Roman" w:cs="Times New Roman"/>
          <w:sz w:val="24"/>
          <w:szCs w:val="24"/>
        </w:rPr>
        <w:t xml:space="preserve">Persons with PTSD can also be destructive. </w:t>
      </w:r>
      <w:r w:rsidR="00312F6C">
        <w:rPr>
          <w:rFonts w:ascii="Times New Roman" w:hAnsi="Times New Roman" w:cs="Times New Roman"/>
          <w:sz w:val="24"/>
          <w:szCs w:val="24"/>
        </w:rPr>
        <w:t>Given the prevalence of violence in the community (</w:t>
      </w:r>
      <w:r w:rsidR="007E5BB0">
        <w:rPr>
          <w:rFonts w:ascii="Times New Roman" w:hAnsi="Times New Roman" w:cs="Times New Roman"/>
          <w:sz w:val="24"/>
          <w:szCs w:val="24"/>
        </w:rPr>
        <w:t xml:space="preserve">see </w:t>
      </w:r>
      <w:r w:rsidR="00312F6C">
        <w:rPr>
          <w:rFonts w:ascii="Times New Roman" w:hAnsi="Times New Roman" w:cs="Times New Roman"/>
          <w:sz w:val="24"/>
          <w:szCs w:val="24"/>
        </w:rPr>
        <w:t xml:space="preserve">Figure 1), </w:t>
      </w:r>
      <w:r w:rsidR="00441C6F">
        <w:rPr>
          <w:rFonts w:ascii="Times New Roman" w:hAnsi="Times New Roman" w:cs="Times New Roman"/>
          <w:sz w:val="24"/>
          <w:szCs w:val="24"/>
        </w:rPr>
        <w:t xml:space="preserve">it is not surprising </w:t>
      </w:r>
      <w:r w:rsidR="00312F6C">
        <w:rPr>
          <w:rFonts w:ascii="Times New Roman" w:hAnsi="Times New Roman" w:cs="Times New Roman"/>
          <w:sz w:val="24"/>
          <w:szCs w:val="24"/>
        </w:rPr>
        <w:t xml:space="preserve">that 84% of participants present with moderate/severe PTSD as PTSD can be triggered by witnessing or experiencing a terrifying event, such as murder </w:t>
      </w:r>
      <w:r w:rsidR="00441C6F">
        <w:rPr>
          <w:rFonts w:ascii="Times New Roman" w:hAnsi="Times New Roman" w:cs="Times New Roman"/>
          <w:sz w:val="24"/>
          <w:szCs w:val="24"/>
        </w:rPr>
        <w:t>(Mayo Foundation, 1998)</w:t>
      </w:r>
      <w:r w:rsidR="00312F6C">
        <w:rPr>
          <w:rFonts w:ascii="Times New Roman" w:hAnsi="Times New Roman" w:cs="Times New Roman"/>
          <w:sz w:val="24"/>
          <w:szCs w:val="24"/>
        </w:rPr>
        <w:t>.</w:t>
      </w:r>
      <w:r w:rsidR="00312F6C">
        <w:rPr>
          <w:rFonts w:ascii="Times New Roman" w:hAnsi="Times New Roman" w:cs="Times New Roman"/>
          <w:sz w:val="24"/>
          <w:szCs w:val="24"/>
          <w:vertAlign w:val="superscript"/>
        </w:rPr>
        <w:t xml:space="preserve"> </w:t>
      </w:r>
      <w:r w:rsidR="00312F6C">
        <w:rPr>
          <w:rFonts w:ascii="Times New Roman" w:hAnsi="Times New Roman" w:cs="Times New Roman"/>
          <w:sz w:val="24"/>
          <w:szCs w:val="24"/>
        </w:rPr>
        <w:t>Moreover, with 44% of the participants having a significant amount (four or more) of adverse childhood experiences (</w:t>
      </w:r>
      <w:r w:rsidR="007E5BB0">
        <w:rPr>
          <w:rFonts w:ascii="Times New Roman" w:hAnsi="Times New Roman" w:cs="Times New Roman"/>
          <w:sz w:val="24"/>
          <w:szCs w:val="24"/>
        </w:rPr>
        <w:t xml:space="preserve">see </w:t>
      </w:r>
      <w:r w:rsidR="00312F6C">
        <w:rPr>
          <w:rFonts w:ascii="Times New Roman" w:hAnsi="Times New Roman" w:cs="Times New Roman"/>
          <w:sz w:val="24"/>
          <w:szCs w:val="24"/>
        </w:rPr>
        <w:t>Table 1), it is reasonable that 84% of participants would present with moderate/severe PTSD as PTSD may start within one month of the event but sometimes may not appear until years after</w:t>
      </w:r>
      <w:r w:rsidR="00441C6F">
        <w:rPr>
          <w:rFonts w:ascii="Times New Roman" w:hAnsi="Times New Roman" w:cs="Times New Roman"/>
          <w:sz w:val="24"/>
          <w:szCs w:val="24"/>
        </w:rPr>
        <w:t xml:space="preserve"> (Mayo Foundation, 1998)</w:t>
      </w:r>
      <w:r w:rsidR="00172C05">
        <w:rPr>
          <w:rFonts w:ascii="Times New Roman" w:hAnsi="Times New Roman" w:cs="Times New Roman"/>
          <w:sz w:val="24"/>
          <w:szCs w:val="24"/>
        </w:rPr>
        <w:t>. Forty-one percent (</w:t>
      </w:r>
      <w:r w:rsidR="00312F6C">
        <w:rPr>
          <w:rFonts w:ascii="Times New Roman" w:hAnsi="Times New Roman" w:cs="Times New Roman"/>
          <w:sz w:val="24"/>
          <w:szCs w:val="24"/>
        </w:rPr>
        <w:t>41%</w:t>
      </w:r>
      <w:r w:rsidR="00172C05">
        <w:rPr>
          <w:rFonts w:ascii="Times New Roman" w:hAnsi="Times New Roman" w:cs="Times New Roman"/>
          <w:sz w:val="24"/>
          <w:szCs w:val="24"/>
        </w:rPr>
        <w:t>) (n=86) of participants had</w:t>
      </w:r>
      <w:r w:rsidR="00312F6C">
        <w:rPr>
          <w:rFonts w:ascii="Times New Roman" w:hAnsi="Times New Roman" w:cs="Times New Roman"/>
          <w:sz w:val="24"/>
          <w:szCs w:val="24"/>
        </w:rPr>
        <w:t xml:space="preserve"> a significant ACE score and moderate/severe PTSD. </w:t>
      </w:r>
    </w:p>
    <w:p w:rsidR="00312F6C" w:rsidRDefault="00312F6C" w:rsidP="00DE4294">
      <w:pPr>
        <w:tabs>
          <w:tab w:val="left" w:pos="690"/>
          <w:tab w:val="center" w:pos="4510"/>
        </w:tabs>
        <w:spacing w:line="360" w:lineRule="auto"/>
        <w:jc w:val="both"/>
        <w:rPr>
          <w:rFonts w:ascii="Times New Roman" w:hAnsi="Times New Roman" w:cs="Times New Roman"/>
          <w:sz w:val="24"/>
          <w:szCs w:val="24"/>
        </w:rPr>
      </w:pPr>
    </w:p>
    <w:p w:rsidR="00312F6C" w:rsidRDefault="00172C05"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312F6C" w:rsidRPr="00CA06E6">
        <w:rPr>
          <w:rFonts w:ascii="Times New Roman" w:hAnsi="Times New Roman" w:cs="Times New Roman"/>
          <w:sz w:val="24"/>
          <w:szCs w:val="24"/>
        </w:rPr>
        <w:t>Generalized Anxiety Disorder Scale (GAD-7)</w:t>
      </w:r>
      <w:r w:rsidR="00312F6C">
        <w:rPr>
          <w:rFonts w:ascii="Times New Roman" w:hAnsi="Times New Roman" w:cs="Times New Roman"/>
          <w:sz w:val="24"/>
          <w:szCs w:val="24"/>
        </w:rPr>
        <w:t xml:space="preserve"> </w:t>
      </w:r>
      <w:r w:rsidR="00441C6F">
        <w:rPr>
          <w:rFonts w:ascii="Times New Roman" w:hAnsi="Times New Roman" w:cs="Times New Roman"/>
          <w:sz w:val="24"/>
          <w:szCs w:val="24"/>
        </w:rPr>
        <w:t>(Spitzer et al., 2006)</w:t>
      </w:r>
      <w:r>
        <w:rPr>
          <w:rFonts w:ascii="Times New Roman" w:hAnsi="Times New Roman" w:cs="Times New Roman"/>
          <w:sz w:val="24"/>
          <w:szCs w:val="24"/>
        </w:rPr>
        <w:t xml:space="preserve"> was given to participants. </w:t>
      </w:r>
      <w:r w:rsidR="00312F6C">
        <w:rPr>
          <w:rFonts w:ascii="Times New Roman" w:hAnsi="Times New Roman" w:cs="Times New Roman"/>
          <w:sz w:val="24"/>
          <w:szCs w:val="24"/>
        </w:rPr>
        <w:t>Twenty-three percent (23%) (n=48) of the participants did not have anxiety, 28% (n=58) had minimal anxiety</w:t>
      </w:r>
      <w:r>
        <w:rPr>
          <w:rFonts w:ascii="Times New Roman" w:hAnsi="Times New Roman" w:cs="Times New Roman"/>
          <w:sz w:val="24"/>
          <w:szCs w:val="24"/>
        </w:rPr>
        <w:t>,</w:t>
      </w:r>
      <w:r w:rsidR="00312F6C">
        <w:rPr>
          <w:rFonts w:ascii="Times New Roman" w:hAnsi="Times New Roman" w:cs="Times New Roman"/>
          <w:sz w:val="24"/>
          <w:szCs w:val="24"/>
        </w:rPr>
        <w:t xml:space="preserve"> and 23% (n=48) had mild anxiety. Twenty-six percent (26%) (n=55) of participants had moderate/severe anxiety. This phenomenon has been common in our work, where people who have murderous rage describe feeling more angry than anxious. </w:t>
      </w:r>
    </w:p>
    <w:p w:rsidR="00312F6C" w:rsidRDefault="00312F6C" w:rsidP="00DE4294">
      <w:pPr>
        <w:spacing w:line="360" w:lineRule="auto"/>
        <w:jc w:val="both"/>
        <w:rPr>
          <w:rFonts w:ascii="Times New Roman" w:hAnsi="Times New Roman" w:cs="Times New Roman"/>
          <w:sz w:val="24"/>
          <w:szCs w:val="24"/>
        </w:rPr>
      </w:pPr>
    </w:p>
    <w:p w:rsidR="00312F6C"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The Allen Resoci</w:t>
      </w:r>
      <w:r w:rsidR="00172C05">
        <w:rPr>
          <w:rFonts w:ascii="Times New Roman" w:hAnsi="Times New Roman" w:cs="Times New Roman"/>
          <w:sz w:val="24"/>
          <w:szCs w:val="24"/>
        </w:rPr>
        <w:t>alization Scale was given</w:t>
      </w:r>
      <w:r>
        <w:rPr>
          <w:rFonts w:ascii="Times New Roman" w:hAnsi="Times New Roman" w:cs="Times New Roman"/>
          <w:sz w:val="24"/>
          <w:szCs w:val="24"/>
        </w:rPr>
        <w:t xml:space="preserve"> to participants. This scale defines resocialization based on many established constructs of personal growth. It is comprised </w:t>
      </w:r>
      <w:r w:rsidR="00284D27">
        <w:rPr>
          <w:rFonts w:ascii="Times New Roman" w:hAnsi="Times New Roman" w:cs="Times New Roman"/>
          <w:sz w:val="24"/>
          <w:szCs w:val="24"/>
        </w:rPr>
        <w:t>of eight subscales that</w:t>
      </w:r>
      <w:r>
        <w:rPr>
          <w:rFonts w:ascii="Times New Roman" w:hAnsi="Times New Roman" w:cs="Times New Roman"/>
          <w:sz w:val="24"/>
          <w:szCs w:val="24"/>
        </w:rPr>
        <w:t xml:space="preserve"> measure well-being, spirituality, awareness, resilience, stress management, friendliness, self-protection</w:t>
      </w:r>
      <w:r w:rsidR="00284D27">
        <w:rPr>
          <w:rFonts w:ascii="Times New Roman" w:hAnsi="Times New Roman" w:cs="Times New Roman"/>
          <w:sz w:val="24"/>
          <w:szCs w:val="24"/>
        </w:rPr>
        <w:t>,</w:t>
      </w:r>
      <w:r>
        <w:rPr>
          <w:rFonts w:ascii="Times New Roman" w:hAnsi="Times New Roman" w:cs="Times New Roman"/>
          <w:sz w:val="24"/>
          <w:szCs w:val="24"/>
        </w:rPr>
        <w:t xml:space="preserve"> and family bonds</w:t>
      </w:r>
      <w:r w:rsidR="00441C6F">
        <w:rPr>
          <w:rFonts w:ascii="Times New Roman" w:hAnsi="Times New Roman" w:cs="Times New Roman"/>
          <w:sz w:val="24"/>
          <w:szCs w:val="24"/>
        </w:rPr>
        <w:t xml:space="preserve"> (Allen et al., 2017)</w:t>
      </w:r>
      <w:r>
        <w:rPr>
          <w:rFonts w:ascii="Times New Roman" w:hAnsi="Times New Roman" w:cs="Times New Roman"/>
          <w:sz w:val="24"/>
          <w:szCs w:val="24"/>
        </w:rPr>
        <w:t xml:space="preserve">. Six percent (6%) (n=12) of participants scored ‘excellent’, 59% (n=123) scored ‘good’ and 33% (n=69) scored ‘average’. Only 2% (n=5) of </w:t>
      </w:r>
      <w:r w:rsidR="00284D27">
        <w:rPr>
          <w:rFonts w:ascii="Times New Roman" w:hAnsi="Times New Roman" w:cs="Times New Roman"/>
          <w:sz w:val="24"/>
          <w:szCs w:val="24"/>
        </w:rPr>
        <w:t>participants scored ‘fair’. N</w:t>
      </w:r>
      <w:r>
        <w:rPr>
          <w:rFonts w:ascii="Times New Roman" w:hAnsi="Times New Roman" w:cs="Times New Roman"/>
          <w:sz w:val="24"/>
          <w:szCs w:val="24"/>
        </w:rPr>
        <w:t>o participants scored ‘poor’ (</w:t>
      </w:r>
      <w:r w:rsidR="007E5BB0">
        <w:rPr>
          <w:rFonts w:ascii="Times New Roman" w:hAnsi="Times New Roman" w:cs="Times New Roman"/>
          <w:sz w:val="24"/>
          <w:szCs w:val="24"/>
        </w:rPr>
        <w:t xml:space="preserve">see </w:t>
      </w:r>
      <w:r>
        <w:rPr>
          <w:rFonts w:ascii="Times New Roman" w:hAnsi="Times New Roman" w:cs="Times New Roman"/>
          <w:sz w:val="24"/>
          <w:szCs w:val="24"/>
        </w:rPr>
        <w:t xml:space="preserve">Table 2). </w:t>
      </w:r>
      <w:r w:rsidR="00284D27">
        <w:rPr>
          <w:rFonts w:ascii="Times New Roman" w:hAnsi="Times New Roman" w:cs="Times New Roman"/>
          <w:sz w:val="24"/>
          <w:szCs w:val="24"/>
        </w:rPr>
        <w:t xml:space="preserve">These results indicate </w:t>
      </w:r>
      <w:r>
        <w:rPr>
          <w:rFonts w:ascii="Times New Roman" w:hAnsi="Times New Roman" w:cs="Times New Roman"/>
          <w:sz w:val="24"/>
          <w:szCs w:val="24"/>
        </w:rPr>
        <w:t>that 98% of the participants are resocialized (defined by either an excellent, good</w:t>
      </w:r>
      <w:r w:rsidR="00284D27">
        <w:rPr>
          <w:rFonts w:ascii="Times New Roman" w:hAnsi="Times New Roman" w:cs="Times New Roman"/>
          <w:sz w:val="24"/>
          <w:szCs w:val="24"/>
        </w:rPr>
        <w:t>,</w:t>
      </w:r>
      <w:r>
        <w:rPr>
          <w:rFonts w:ascii="Times New Roman" w:hAnsi="Times New Roman" w:cs="Times New Roman"/>
          <w:sz w:val="24"/>
          <w:szCs w:val="24"/>
        </w:rPr>
        <w:t xml:space="preserve"> or average score). Since resocialization is the ultimate goal of The Family: People Helping People Program, these results signify a 98% success rate. </w:t>
      </w:r>
    </w:p>
    <w:p w:rsidR="00DE4294" w:rsidRPr="000C571B" w:rsidRDefault="00DE4294" w:rsidP="00DE4294">
      <w:pPr>
        <w:spacing w:line="360" w:lineRule="auto"/>
        <w:jc w:val="both"/>
        <w:rPr>
          <w:rFonts w:ascii="Times New Roman" w:hAnsi="Times New Roman" w:cs="Times New Roman"/>
          <w:b/>
          <w:sz w:val="24"/>
          <w:szCs w:val="24"/>
        </w:rPr>
      </w:pPr>
    </w:p>
    <w:tbl>
      <w:tblPr>
        <w:tblStyle w:val="LightShading"/>
        <w:tblW w:w="0" w:type="auto"/>
        <w:tblLook w:val="04A0" w:firstRow="1" w:lastRow="0" w:firstColumn="1" w:lastColumn="0" w:noHBand="0" w:noVBand="1"/>
      </w:tblPr>
      <w:tblGrid>
        <w:gridCol w:w="4618"/>
        <w:gridCol w:w="4618"/>
      </w:tblGrid>
      <w:tr w:rsidR="00DE4294" w:rsidTr="00BA7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Default="00DE4294" w:rsidP="00DE4294">
            <w:pPr>
              <w:tabs>
                <w:tab w:val="left" w:pos="3090"/>
              </w:tabs>
              <w:spacing w:line="360" w:lineRule="auto"/>
              <w:rPr>
                <w:rFonts w:ascii="Times New Roman" w:hAnsi="Times New Roman" w:cs="Times New Roman"/>
                <w:sz w:val="24"/>
                <w:szCs w:val="24"/>
              </w:rPr>
            </w:pPr>
            <w:r>
              <w:rPr>
                <w:rFonts w:ascii="Times New Roman" w:hAnsi="Times New Roman" w:cs="Times New Roman"/>
                <w:sz w:val="24"/>
                <w:szCs w:val="24"/>
              </w:rPr>
              <w:t>Allen Resocialization Scale Category</w:t>
            </w:r>
          </w:p>
        </w:tc>
        <w:tc>
          <w:tcPr>
            <w:tcW w:w="4618" w:type="dxa"/>
          </w:tcPr>
          <w:p w:rsidR="00DE4294" w:rsidRDefault="00DE4294" w:rsidP="00DE4294">
            <w:pPr>
              <w:tabs>
                <w:tab w:val="left" w:pos="309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of Participants</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6B4FF8" w:rsidRDefault="00DE4294" w:rsidP="00DE4294">
            <w:pPr>
              <w:tabs>
                <w:tab w:val="left" w:pos="3090"/>
              </w:tabs>
              <w:spacing w:line="360" w:lineRule="auto"/>
              <w:rPr>
                <w:rFonts w:ascii="Times New Roman" w:hAnsi="Times New Roman" w:cs="Times New Roman"/>
                <w:b w:val="0"/>
                <w:sz w:val="24"/>
                <w:szCs w:val="24"/>
              </w:rPr>
            </w:pPr>
            <w:r w:rsidRPr="006B4FF8">
              <w:rPr>
                <w:rFonts w:ascii="Times New Roman" w:hAnsi="Times New Roman" w:cs="Times New Roman"/>
                <w:b w:val="0"/>
                <w:sz w:val="24"/>
                <w:szCs w:val="24"/>
              </w:rPr>
              <w:t>Excellent</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6B4FF8" w:rsidRDefault="00DE4294" w:rsidP="00DE4294">
            <w:pPr>
              <w:tabs>
                <w:tab w:val="left" w:pos="3090"/>
              </w:tabs>
              <w:spacing w:line="360" w:lineRule="auto"/>
              <w:rPr>
                <w:rFonts w:ascii="Times New Roman" w:hAnsi="Times New Roman" w:cs="Times New Roman"/>
                <w:b w:val="0"/>
                <w:sz w:val="24"/>
                <w:szCs w:val="24"/>
              </w:rPr>
            </w:pPr>
            <w:r w:rsidRPr="006B4FF8">
              <w:rPr>
                <w:rFonts w:ascii="Times New Roman" w:hAnsi="Times New Roman" w:cs="Times New Roman"/>
                <w:b w:val="0"/>
                <w:sz w:val="24"/>
                <w:szCs w:val="24"/>
              </w:rPr>
              <w:t>Good</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123</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6B4FF8" w:rsidRDefault="00DE4294" w:rsidP="00DE4294">
            <w:pPr>
              <w:tabs>
                <w:tab w:val="left" w:pos="3090"/>
              </w:tabs>
              <w:spacing w:line="360" w:lineRule="auto"/>
              <w:rPr>
                <w:rFonts w:ascii="Times New Roman" w:hAnsi="Times New Roman" w:cs="Times New Roman"/>
                <w:b w:val="0"/>
                <w:sz w:val="24"/>
                <w:szCs w:val="24"/>
              </w:rPr>
            </w:pPr>
            <w:r w:rsidRPr="006B4FF8">
              <w:rPr>
                <w:rFonts w:ascii="Times New Roman" w:hAnsi="Times New Roman" w:cs="Times New Roman"/>
                <w:b w:val="0"/>
                <w:sz w:val="24"/>
                <w:szCs w:val="24"/>
              </w:rPr>
              <w:t>Average</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6B4FF8" w:rsidRDefault="00DE4294" w:rsidP="00DE4294">
            <w:pPr>
              <w:tabs>
                <w:tab w:val="left" w:pos="3090"/>
              </w:tabs>
              <w:spacing w:line="360" w:lineRule="auto"/>
              <w:rPr>
                <w:rFonts w:ascii="Times New Roman" w:hAnsi="Times New Roman" w:cs="Times New Roman"/>
                <w:b w:val="0"/>
                <w:sz w:val="24"/>
                <w:szCs w:val="24"/>
              </w:rPr>
            </w:pPr>
            <w:r w:rsidRPr="006B4FF8">
              <w:rPr>
                <w:rFonts w:ascii="Times New Roman" w:hAnsi="Times New Roman" w:cs="Times New Roman"/>
                <w:b w:val="0"/>
                <w:sz w:val="24"/>
                <w:szCs w:val="24"/>
              </w:rPr>
              <w:t>Fair</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6B4FF8" w:rsidRDefault="00DE4294" w:rsidP="00DE4294">
            <w:pPr>
              <w:tabs>
                <w:tab w:val="left" w:pos="3090"/>
              </w:tabs>
              <w:spacing w:line="360" w:lineRule="auto"/>
              <w:rPr>
                <w:rFonts w:ascii="Times New Roman" w:hAnsi="Times New Roman" w:cs="Times New Roman"/>
                <w:b w:val="0"/>
                <w:sz w:val="24"/>
                <w:szCs w:val="24"/>
              </w:rPr>
            </w:pPr>
            <w:r w:rsidRPr="006B4FF8">
              <w:rPr>
                <w:rFonts w:ascii="Times New Roman" w:hAnsi="Times New Roman" w:cs="Times New Roman"/>
                <w:b w:val="0"/>
                <w:sz w:val="24"/>
                <w:szCs w:val="24"/>
              </w:rPr>
              <w:t>Poor</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bl>
    <w:p w:rsidR="00DE4294" w:rsidRDefault="00DE4294" w:rsidP="00DE4294">
      <w:pPr>
        <w:tabs>
          <w:tab w:val="left" w:pos="3090"/>
        </w:tabs>
        <w:spacing w:line="360" w:lineRule="auto"/>
        <w:jc w:val="both"/>
        <w:rPr>
          <w:rFonts w:ascii="Times New Roman" w:hAnsi="Times New Roman" w:cs="Times New Roman"/>
          <w:sz w:val="24"/>
          <w:szCs w:val="24"/>
        </w:rPr>
      </w:pPr>
    </w:p>
    <w:p w:rsidR="00DE4294" w:rsidRDefault="00DE4294" w:rsidP="00DE4294">
      <w:pPr>
        <w:tabs>
          <w:tab w:val="left" w:pos="3090"/>
        </w:tabs>
        <w:spacing w:line="360" w:lineRule="auto"/>
        <w:jc w:val="both"/>
        <w:rPr>
          <w:rFonts w:ascii="Times New Roman" w:hAnsi="Times New Roman" w:cs="Times New Roman"/>
          <w:sz w:val="24"/>
          <w:szCs w:val="24"/>
        </w:rPr>
      </w:pPr>
      <w:r>
        <w:rPr>
          <w:rFonts w:ascii="Times New Roman" w:hAnsi="Times New Roman" w:cs="Times New Roman"/>
          <w:sz w:val="24"/>
          <w:szCs w:val="24"/>
        </w:rPr>
        <w:t>Table 2 – Allen Resocialization Scale Scores.</w:t>
      </w:r>
    </w:p>
    <w:p w:rsidR="00312F6C" w:rsidRDefault="00312F6C" w:rsidP="00DE4294">
      <w:pPr>
        <w:spacing w:line="360" w:lineRule="auto"/>
        <w:jc w:val="both"/>
        <w:rPr>
          <w:rFonts w:ascii="Times New Roman" w:hAnsi="Times New Roman" w:cs="Times New Roman"/>
          <w:color w:val="FF0000"/>
          <w:sz w:val="24"/>
          <w:szCs w:val="24"/>
        </w:rPr>
      </w:pPr>
    </w:p>
    <w:p w:rsidR="00312F6C" w:rsidRDefault="00312F6C" w:rsidP="00DE4294">
      <w:pPr>
        <w:spacing w:line="360" w:lineRule="auto"/>
        <w:jc w:val="both"/>
        <w:rPr>
          <w:rFonts w:ascii="Times New Roman" w:hAnsi="Times New Roman" w:cs="Times New Roman"/>
          <w:sz w:val="24"/>
          <w:szCs w:val="24"/>
        </w:rPr>
      </w:pPr>
      <w:r w:rsidRPr="009017B5">
        <w:rPr>
          <w:rFonts w:ascii="Times New Roman" w:hAnsi="Times New Roman" w:cs="Times New Roman"/>
          <w:sz w:val="24"/>
          <w:szCs w:val="24"/>
        </w:rPr>
        <w:t>Felitti et al</w:t>
      </w:r>
      <w:r w:rsidR="00284D27">
        <w:rPr>
          <w:rFonts w:ascii="Times New Roman" w:hAnsi="Times New Roman" w:cs="Times New Roman"/>
          <w:sz w:val="24"/>
          <w:szCs w:val="24"/>
        </w:rPr>
        <w:t>.</w:t>
      </w:r>
      <w:r w:rsidRPr="009017B5">
        <w:rPr>
          <w:rFonts w:ascii="Times New Roman" w:hAnsi="Times New Roman" w:cs="Times New Roman"/>
          <w:sz w:val="24"/>
          <w:szCs w:val="24"/>
        </w:rPr>
        <w:t xml:space="preserve"> </w:t>
      </w:r>
      <w:r w:rsidR="00441C6F">
        <w:rPr>
          <w:rFonts w:ascii="Times New Roman" w:hAnsi="Times New Roman" w:cs="Times New Roman"/>
          <w:sz w:val="24"/>
          <w:szCs w:val="24"/>
        </w:rPr>
        <w:t xml:space="preserve">(1998) </w:t>
      </w:r>
      <w:r w:rsidRPr="009017B5">
        <w:rPr>
          <w:rFonts w:ascii="Times New Roman" w:hAnsi="Times New Roman" w:cs="Times New Roman"/>
          <w:sz w:val="24"/>
          <w:szCs w:val="24"/>
        </w:rPr>
        <w:t xml:space="preserve">compared ACE scores and patients’ reports of at-risk behaviors and disease. </w:t>
      </w:r>
      <w:r w:rsidR="00284D27">
        <w:rPr>
          <w:rFonts w:ascii="Times New Roman" w:hAnsi="Times New Roman" w:cs="Times New Roman"/>
          <w:sz w:val="24"/>
          <w:szCs w:val="24"/>
        </w:rPr>
        <w:t xml:space="preserve">There was a graded relationship </w:t>
      </w:r>
      <w:r w:rsidRPr="009017B5">
        <w:rPr>
          <w:rFonts w:ascii="Times New Roman" w:hAnsi="Times New Roman" w:cs="Times New Roman"/>
          <w:sz w:val="24"/>
          <w:szCs w:val="24"/>
        </w:rPr>
        <w:t>between the number of adverse experiences in childhood and all ten risk behaviors (including depression, suicide attempts, substance abuse</w:t>
      </w:r>
      <w:r w:rsidR="00284D27">
        <w:rPr>
          <w:rFonts w:ascii="Times New Roman" w:hAnsi="Times New Roman" w:cs="Times New Roman"/>
          <w:sz w:val="24"/>
          <w:szCs w:val="24"/>
        </w:rPr>
        <w:t>,</w:t>
      </w:r>
      <w:r w:rsidRPr="009017B5">
        <w:rPr>
          <w:rFonts w:ascii="Times New Roman" w:hAnsi="Times New Roman" w:cs="Times New Roman"/>
          <w:sz w:val="24"/>
          <w:szCs w:val="24"/>
        </w:rPr>
        <w:t xml:space="preserve"> etc.)</w:t>
      </w:r>
      <w:r>
        <w:rPr>
          <w:rFonts w:ascii="Times New Roman" w:hAnsi="Times New Roman" w:cs="Times New Roman"/>
          <w:sz w:val="24"/>
          <w:szCs w:val="24"/>
        </w:rPr>
        <w:t xml:space="preserve"> </w:t>
      </w:r>
      <w:r w:rsidR="00571D5C">
        <w:rPr>
          <w:rFonts w:ascii="Times New Roman" w:hAnsi="Times New Roman" w:cs="Times New Roman"/>
          <w:sz w:val="24"/>
          <w:szCs w:val="24"/>
        </w:rPr>
        <w:t xml:space="preserve">(Felitti et al., 1998) (Reavis et al., 2013). </w:t>
      </w:r>
      <w:r w:rsidRPr="009017B5">
        <w:rPr>
          <w:rFonts w:ascii="Times New Roman" w:hAnsi="Times New Roman" w:cs="Times New Roman"/>
          <w:sz w:val="24"/>
          <w:szCs w:val="24"/>
        </w:rPr>
        <w:t xml:space="preserve">In </w:t>
      </w:r>
      <w:r>
        <w:rPr>
          <w:rFonts w:ascii="Times New Roman" w:hAnsi="Times New Roman" w:cs="Times New Roman"/>
          <w:sz w:val="24"/>
          <w:szCs w:val="24"/>
        </w:rPr>
        <w:t xml:space="preserve">this study, the physiological illnesses coded for and used to compare the ACE scores to include: heart disease, cancer, stroke, chronic </w:t>
      </w:r>
      <w:r>
        <w:rPr>
          <w:rFonts w:ascii="Times New Roman" w:hAnsi="Times New Roman" w:cs="Times New Roman"/>
          <w:sz w:val="24"/>
          <w:szCs w:val="24"/>
        </w:rPr>
        <w:lastRenderedPageBreak/>
        <w:t xml:space="preserve">bronchitis/emphysema, elevated or low cholesterol, elevated blood pressure, diabetes, </w:t>
      </w:r>
      <w:r w:rsidRPr="004A2AA5">
        <w:rPr>
          <w:rFonts w:ascii="Times New Roman" w:hAnsi="Times New Roman" w:cs="Times New Roman"/>
          <w:sz w:val="24"/>
          <w:szCs w:val="24"/>
        </w:rPr>
        <w:t>rheumatism (arthritis)</w:t>
      </w:r>
      <w:r w:rsidR="00284D27">
        <w:rPr>
          <w:rFonts w:ascii="Times New Roman" w:hAnsi="Times New Roman" w:cs="Times New Roman"/>
          <w:sz w:val="24"/>
          <w:szCs w:val="24"/>
        </w:rPr>
        <w:t>,</w:t>
      </w:r>
      <w:r w:rsidRPr="004A2AA5">
        <w:rPr>
          <w:rFonts w:ascii="Times New Roman" w:hAnsi="Times New Roman" w:cs="Times New Roman"/>
          <w:sz w:val="24"/>
          <w:szCs w:val="24"/>
        </w:rPr>
        <w:t xml:space="preserve"> and sexually transmitted disease</w:t>
      </w:r>
      <w:r w:rsidR="00284D27">
        <w:rPr>
          <w:rFonts w:ascii="Times New Roman" w:hAnsi="Times New Roman" w:cs="Times New Roman"/>
          <w:sz w:val="24"/>
          <w:szCs w:val="24"/>
        </w:rPr>
        <w:t xml:space="preserve">. At-risk behaviors </w:t>
      </w:r>
      <w:r>
        <w:rPr>
          <w:rFonts w:ascii="Times New Roman" w:hAnsi="Times New Roman" w:cs="Times New Roman"/>
          <w:sz w:val="24"/>
          <w:szCs w:val="24"/>
        </w:rPr>
        <w:t>included alcoholism, regular consumption of alcohol, drug abuse</w:t>
      </w:r>
      <w:r w:rsidR="00284D27">
        <w:rPr>
          <w:rFonts w:ascii="Times New Roman" w:hAnsi="Times New Roman" w:cs="Times New Roman"/>
          <w:sz w:val="24"/>
          <w:szCs w:val="24"/>
        </w:rPr>
        <w:t>,</w:t>
      </w:r>
      <w:r>
        <w:rPr>
          <w:rFonts w:ascii="Times New Roman" w:hAnsi="Times New Roman" w:cs="Times New Roman"/>
          <w:sz w:val="24"/>
          <w:szCs w:val="24"/>
        </w:rPr>
        <w:t xml:space="preserve"> and regular consumption of drugs. Results indicate that (</w:t>
      </w:r>
      <w:r w:rsidRPr="00E36240">
        <w:rPr>
          <w:rFonts w:ascii="Times New Roman" w:hAnsi="Times New Roman" w:cs="Times New Roman"/>
          <w:sz w:val="24"/>
          <w:szCs w:val="24"/>
        </w:rPr>
        <w:t>47%</w:t>
      </w:r>
      <w:r>
        <w:rPr>
          <w:rFonts w:ascii="Times New Roman" w:hAnsi="Times New Roman" w:cs="Times New Roman"/>
          <w:sz w:val="24"/>
          <w:szCs w:val="24"/>
        </w:rPr>
        <w:t>)</w:t>
      </w:r>
      <w:r w:rsidRPr="00E36240">
        <w:rPr>
          <w:rFonts w:ascii="Times New Roman" w:hAnsi="Times New Roman" w:cs="Times New Roman"/>
          <w:sz w:val="24"/>
          <w:szCs w:val="24"/>
        </w:rPr>
        <w:t xml:space="preserve"> </w:t>
      </w:r>
      <w:r>
        <w:rPr>
          <w:rFonts w:ascii="Times New Roman" w:hAnsi="Times New Roman" w:cs="Times New Roman"/>
          <w:sz w:val="24"/>
          <w:szCs w:val="24"/>
        </w:rPr>
        <w:t xml:space="preserve">(n=98) </w:t>
      </w:r>
      <w:r w:rsidRPr="00E36240">
        <w:rPr>
          <w:rFonts w:ascii="Times New Roman" w:hAnsi="Times New Roman" w:cs="Times New Roman"/>
          <w:sz w:val="24"/>
          <w:szCs w:val="24"/>
        </w:rPr>
        <w:t xml:space="preserve">of the participants had at least one physiological illness. While only 6% </w:t>
      </w:r>
      <w:r>
        <w:rPr>
          <w:rFonts w:ascii="Times New Roman" w:hAnsi="Times New Roman" w:cs="Times New Roman"/>
          <w:sz w:val="24"/>
          <w:szCs w:val="24"/>
        </w:rPr>
        <w:t xml:space="preserve">(n=12) </w:t>
      </w:r>
      <w:r w:rsidRPr="00E36240">
        <w:rPr>
          <w:rFonts w:ascii="Times New Roman" w:hAnsi="Times New Roman" w:cs="Times New Roman"/>
          <w:sz w:val="24"/>
          <w:szCs w:val="24"/>
        </w:rPr>
        <w:t xml:space="preserve">responded ‘yes’ to alcoholism, 32% </w:t>
      </w:r>
      <w:r>
        <w:rPr>
          <w:rFonts w:ascii="Times New Roman" w:hAnsi="Times New Roman" w:cs="Times New Roman"/>
          <w:sz w:val="24"/>
          <w:szCs w:val="24"/>
        </w:rPr>
        <w:t xml:space="preserve">(n=67) </w:t>
      </w:r>
      <w:r w:rsidRPr="00E36240">
        <w:rPr>
          <w:rFonts w:ascii="Times New Roman" w:hAnsi="Times New Roman" w:cs="Times New Roman"/>
          <w:sz w:val="24"/>
          <w:szCs w:val="24"/>
        </w:rPr>
        <w:t xml:space="preserve">admitted to regularly consuming alcohol. </w:t>
      </w:r>
      <w:r>
        <w:rPr>
          <w:rFonts w:ascii="Times New Roman" w:hAnsi="Times New Roman" w:cs="Times New Roman"/>
          <w:sz w:val="24"/>
          <w:szCs w:val="24"/>
        </w:rPr>
        <w:t>Nine percent (</w:t>
      </w:r>
      <w:r w:rsidRPr="00E36240">
        <w:rPr>
          <w:rFonts w:ascii="Times New Roman" w:hAnsi="Times New Roman" w:cs="Times New Roman"/>
          <w:sz w:val="24"/>
          <w:szCs w:val="24"/>
        </w:rPr>
        <w:t>9%</w:t>
      </w:r>
      <w:r>
        <w:rPr>
          <w:rFonts w:ascii="Times New Roman" w:hAnsi="Times New Roman" w:cs="Times New Roman"/>
          <w:sz w:val="24"/>
          <w:szCs w:val="24"/>
        </w:rPr>
        <w:t>)</w:t>
      </w:r>
      <w:r w:rsidRPr="00E36240">
        <w:rPr>
          <w:rFonts w:ascii="Times New Roman" w:hAnsi="Times New Roman" w:cs="Times New Roman"/>
          <w:sz w:val="24"/>
          <w:szCs w:val="24"/>
        </w:rPr>
        <w:t xml:space="preserve"> </w:t>
      </w:r>
      <w:r>
        <w:rPr>
          <w:rFonts w:ascii="Times New Roman" w:hAnsi="Times New Roman" w:cs="Times New Roman"/>
          <w:sz w:val="24"/>
          <w:szCs w:val="24"/>
        </w:rPr>
        <w:t xml:space="preserve">(n=19) </w:t>
      </w:r>
      <w:r w:rsidRPr="00E36240">
        <w:rPr>
          <w:rFonts w:ascii="Times New Roman" w:hAnsi="Times New Roman" w:cs="Times New Roman"/>
          <w:sz w:val="24"/>
          <w:szCs w:val="24"/>
        </w:rPr>
        <w:t xml:space="preserve">responded ‘yes’ to drug abuse, while 23% </w:t>
      </w:r>
      <w:r>
        <w:rPr>
          <w:rFonts w:ascii="Times New Roman" w:hAnsi="Times New Roman" w:cs="Times New Roman"/>
          <w:sz w:val="24"/>
          <w:szCs w:val="24"/>
        </w:rPr>
        <w:t xml:space="preserve">(n=48) </w:t>
      </w:r>
      <w:r w:rsidRPr="00E36240">
        <w:rPr>
          <w:rFonts w:ascii="Times New Roman" w:hAnsi="Times New Roman" w:cs="Times New Roman"/>
          <w:sz w:val="24"/>
          <w:szCs w:val="24"/>
        </w:rPr>
        <w:t>admitted t</w:t>
      </w:r>
      <w:r>
        <w:rPr>
          <w:rFonts w:ascii="Times New Roman" w:hAnsi="Times New Roman" w:cs="Times New Roman"/>
          <w:sz w:val="24"/>
          <w:szCs w:val="24"/>
        </w:rPr>
        <w:t>o regularly using drugs (</w:t>
      </w:r>
      <w:r w:rsidR="007E5BB0">
        <w:rPr>
          <w:rFonts w:ascii="Times New Roman" w:hAnsi="Times New Roman" w:cs="Times New Roman"/>
          <w:sz w:val="24"/>
          <w:szCs w:val="24"/>
        </w:rPr>
        <w:t xml:space="preserve">see </w:t>
      </w:r>
      <w:r>
        <w:rPr>
          <w:rFonts w:ascii="Times New Roman" w:hAnsi="Times New Roman" w:cs="Times New Roman"/>
          <w:sz w:val="24"/>
          <w:szCs w:val="24"/>
        </w:rPr>
        <w:t>Table 3</w:t>
      </w:r>
      <w:r w:rsidRPr="00E36240">
        <w:rPr>
          <w:rFonts w:ascii="Times New Roman" w:hAnsi="Times New Roman" w:cs="Times New Roman"/>
          <w:sz w:val="24"/>
          <w:szCs w:val="24"/>
        </w:rPr>
        <w:t xml:space="preserve">). Drugs </w:t>
      </w:r>
      <w:r>
        <w:rPr>
          <w:rFonts w:ascii="Times New Roman" w:hAnsi="Times New Roman" w:cs="Times New Roman"/>
          <w:sz w:val="24"/>
          <w:szCs w:val="24"/>
        </w:rPr>
        <w:t>of choice included marijuana (71%) (n=34), tobacco (40%) (n=19), cocaine (10%) (n=5), ecstasy (4</w:t>
      </w:r>
      <w:r w:rsidRPr="00E36240">
        <w:rPr>
          <w:rFonts w:ascii="Times New Roman" w:hAnsi="Times New Roman" w:cs="Times New Roman"/>
          <w:sz w:val="24"/>
          <w:szCs w:val="24"/>
        </w:rPr>
        <w:t xml:space="preserve">%) </w:t>
      </w:r>
      <w:r>
        <w:rPr>
          <w:rFonts w:ascii="Times New Roman" w:hAnsi="Times New Roman" w:cs="Times New Roman"/>
          <w:sz w:val="24"/>
          <w:szCs w:val="24"/>
        </w:rPr>
        <w:t xml:space="preserve">(n=2) </w:t>
      </w:r>
      <w:r w:rsidRPr="00E36240">
        <w:rPr>
          <w:rFonts w:ascii="Times New Roman" w:hAnsi="Times New Roman" w:cs="Times New Roman"/>
          <w:sz w:val="24"/>
          <w:szCs w:val="24"/>
        </w:rPr>
        <w:t>and other (often further des</w:t>
      </w:r>
      <w:r>
        <w:rPr>
          <w:rFonts w:ascii="Times New Roman" w:hAnsi="Times New Roman" w:cs="Times New Roman"/>
          <w:sz w:val="24"/>
          <w:szCs w:val="24"/>
        </w:rPr>
        <w:t>cribed as use of medications) (21</w:t>
      </w:r>
      <w:r w:rsidRPr="00E36240">
        <w:rPr>
          <w:rFonts w:ascii="Times New Roman" w:hAnsi="Times New Roman" w:cs="Times New Roman"/>
          <w:sz w:val="24"/>
          <w:szCs w:val="24"/>
        </w:rPr>
        <w:t>%)</w:t>
      </w:r>
      <w:r>
        <w:rPr>
          <w:rFonts w:ascii="Times New Roman" w:hAnsi="Times New Roman" w:cs="Times New Roman"/>
          <w:sz w:val="24"/>
          <w:szCs w:val="24"/>
        </w:rPr>
        <w:t xml:space="preserve"> (n=10). Some participants admitted to the regular consumption of more than one drug</w:t>
      </w:r>
      <w:r w:rsidRPr="00E36240">
        <w:rPr>
          <w:rFonts w:ascii="Times New Roman" w:hAnsi="Times New Roman" w:cs="Times New Roman"/>
          <w:sz w:val="24"/>
          <w:szCs w:val="24"/>
        </w:rPr>
        <w:t xml:space="preserve">. </w:t>
      </w:r>
      <w:r>
        <w:rPr>
          <w:rFonts w:ascii="Times New Roman" w:hAnsi="Times New Roman" w:cs="Times New Roman"/>
          <w:sz w:val="24"/>
          <w:szCs w:val="24"/>
        </w:rPr>
        <w:t>Twenty-three percent (</w:t>
      </w:r>
      <w:r w:rsidRPr="00E36240">
        <w:rPr>
          <w:rFonts w:ascii="Times New Roman" w:hAnsi="Times New Roman" w:cs="Times New Roman"/>
          <w:sz w:val="24"/>
          <w:szCs w:val="24"/>
        </w:rPr>
        <w:t>23%</w:t>
      </w:r>
      <w:r>
        <w:rPr>
          <w:rFonts w:ascii="Times New Roman" w:hAnsi="Times New Roman" w:cs="Times New Roman"/>
          <w:sz w:val="24"/>
          <w:szCs w:val="24"/>
        </w:rPr>
        <w:t>)</w:t>
      </w:r>
      <w:r w:rsidRPr="00E36240">
        <w:rPr>
          <w:rFonts w:ascii="Times New Roman" w:hAnsi="Times New Roman" w:cs="Times New Roman"/>
          <w:sz w:val="24"/>
          <w:szCs w:val="24"/>
        </w:rPr>
        <w:t xml:space="preserve"> </w:t>
      </w:r>
      <w:r>
        <w:rPr>
          <w:rFonts w:ascii="Times New Roman" w:hAnsi="Times New Roman" w:cs="Times New Roman"/>
          <w:sz w:val="24"/>
          <w:szCs w:val="24"/>
        </w:rPr>
        <w:t xml:space="preserve">(n=48) </w:t>
      </w:r>
      <w:r w:rsidRPr="00E36240">
        <w:rPr>
          <w:rFonts w:ascii="Times New Roman" w:hAnsi="Times New Roman" w:cs="Times New Roman"/>
          <w:sz w:val="24"/>
          <w:szCs w:val="24"/>
        </w:rPr>
        <w:t xml:space="preserve">of participants had a significant ACE score and physiological illness. </w:t>
      </w:r>
      <w:r>
        <w:rPr>
          <w:rFonts w:ascii="Times New Roman" w:hAnsi="Times New Roman" w:cs="Times New Roman"/>
          <w:sz w:val="24"/>
          <w:szCs w:val="24"/>
        </w:rPr>
        <w:t>Twenty-one percent (</w:t>
      </w:r>
      <w:r w:rsidRPr="00E36240">
        <w:rPr>
          <w:rFonts w:ascii="Times New Roman" w:hAnsi="Times New Roman" w:cs="Times New Roman"/>
          <w:sz w:val="24"/>
          <w:szCs w:val="24"/>
        </w:rPr>
        <w:t>21%</w:t>
      </w:r>
      <w:r>
        <w:rPr>
          <w:rFonts w:ascii="Times New Roman" w:hAnsi="Times New Roman" w:cs="Times New Roman"/>
          <w:sz w:val="24"/>
          <w:szCs w:val="24"/>
        </w:rPr>
        <w:t>) (n=43)</w:t>
      </w:r>
      <w:r w:rsidRPr="00E36240">
        <w:rPr>
          <w:rFonts w:ascii="Times New Roman" w:hAnsi="Times New Roman" w:cs="Times New Roman"/>
          <w:sz w:val="24"/>
          <w:szCs w:val="24"/>
        </w:rPr>
        <w:t xml:space="preserve"> of participants had a significant ACE score and at-risk behavior, defined by alcohol and/or drug abuse. </w:t>
      </w:r>
    </w:p>
    <w:p w:rsidR="00DE4294" w:rsidRDefault="00DE4294" w:rsidP="00DE4294">
      <w:pPr>
        <w:tabs>
          <w:tab w:val="left" w:pos="3090"/>
        </w:tabs>
        <w:spacing w:line="360" w:lineRule="auto"/>
        <w:jc w:val="both"/>
        <w:rPr>
          <w:rFonts w:ascii="Times New Roman" w:hAnsi="Times New Roman" w:cs="Times New Roman"/>
          <w:sz w:val="24"/>
          <w:szCs w:val="24"/>
        </w:rPr>
      </w:pPr>
    </w:p>
    <w:tbl>
      <w:tblPr>
        <w:tblStyle w:val="LightShading"/>
        <w:tblW w:w="0" w:type="auto"/>
        <w:tblLook w:val="04A0" w:firstRow="1" w:lastRow="0" w:firstColumn="1" w:lastColumn="0" w:noHBand="0" w:noVBand="1"/>
      </w:tblPr>
      <w:tblGrid>
        <w:gridCol w:w="4618"/>
        <w:gridCol w:w="4618"/>
      </w:tblGrid>
      <w:tr w:rsidR="00DE4294" w:rsidTr="00BA7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Default="00DE4294" w:rsidP="00DE4294">
            <w:pPr>
              <w:tabs>
                <w:tab w:val="left" w:pos="3090"/>
              </w:tabs>
              <w:spacing w:line="360" w:lineRule="auto"/>
              <w:rPr>
                <w:rFonts w:ascii="Times New Roman" w:hAnsi="Times New Roman" w:cs="Times New Roman"/>
                <w:sz w:val="24"/>
                <w:szCs w:val="24"/>
              </w:rPr>
            </w:pPr>
            <w:r>
              <w:rPr>
                <w:rFonts w:ascii="Times New Roman" w:hAnsi="Times New Roman" w:cs="Times New Roman"/>
                <w:sz w:val="24"/>
                <w:szCs w:val="24"/>
              </w:rPr>
              <w:t>Physiological Illness / At-Risk Behavior</w:t>
            </w:r>
          </w:p>
        </w:tc>
        <w:tc>
          <w:tcPr>
            <w:tcW w:w="4618" w:type="dxa"/>
          </w:tcPr>
          <w:p w:rsidR="00DE4294" w:rsidRDefault="00DE4294" w:rsidP="00DE4294">
            <w:pPr>
              <w:tabs>
                <w:tab w:val="left" w:pos="309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of Participants</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Heart Disease</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Cancer</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Stroke</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Chronic bronchitis / emphysema</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Elevated or low cholesterol</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Elevated blood pressure</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Diabetes</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Rheumatism (arthritis)</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Sexually transmitted disease</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Alcoholism</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Regular consumption of alcohol</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w:t>
            </w:r>
          </w:p>
        </w:tc>
      </w:tr>
      <w:tr w:rsidR="00DE4294" w:rsidTr="00BA7845">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Drug Abuse</w:t>
            </w:r>
          </w:p>
        </w:tc>
        <w:tc>
          <w:tcPr>
            <w:tcW w:w="4618" w:type="dxa"/>
          </w:tcPr>
          <w:p w:rsidR="00DE4294" w:rsidRDefault="00DE4294" w:rsidP="00DE4294">
            <w:pPr>
              <w:tabs>
                <w:tab w:val="left" w:pos="3090"/>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r>
      <w:tr w:rsidR="00DE4294" w:rsidTr="00BA7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Pr>
          <w:p w:rsidR="00DE4294" w:rsidRPr="00997153" w:rsidRDefault="00DE4294" w:rsidP="00DE4294">
            <w:pPr>
              <w:tabs>
                <w:tab w:val="left" w:pos="3090"/>
              </w:tabs>
              <w:spacing w:line="360" w:lineRule="auto"/>
              <w:rPr>
                <w:rFonts w:ascii="Times New Roman" w:hAnsi="Times New Roman" w:cs="Times New Roman"/>
                <w:b w:val="0"/>
                <w:sz w:val="24"/>
                <w:szCs w:val="24"/>
              </w:rPr>
            </w:pPr>
            <w:r w:rsidRPr="00997153">
              <w:rPr>
                <w:rFonts w:ascii="Times New Roman" w:hAnsi="Times New Roman" w:cs="Times New Roman"/>
                <w:b w:val="0"/>
                <w:sz w:val="24"/>
                <w:szCs w:val="24"/>
              </w:rPr>
              <w:t>Regular consumption of drugs</w:t>
            </w:r>
          </w:p>
        </w:tc>
        <w:tc>
          <w:tcPr>
            <w:tcW w:w="4618" w:type="dxa"/>
          </w:tcPr>
          <w:p w:rsidR="00DE4294" w:rsidRDefault="00DE4294" w:rsidP="00DE4294">
            <w:pPr>
              <w:tabs>
                <w:tab w:val="left" w:pos="309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w:t>
            </w:r>
          </w:p>
        </w:tc>
      </w:tr>
    </w:tbl>
    <w:p w:rsidR="00DE4294" w:rsidRDefault="00DE4294" w:rsidP="00DE4294">
      <w:pPr>
        <w:tabs>
          <w:tab w:val="left" w:pos="3090"/>
        </w:tabs>
        <w:spacing w:line="360" w:lineRule="auto"/>
        <w:jc w:val="both"/>
        <w:rPr>
          <w:rFonts w:ascii="Times New Roman" w:hAnsi="Times New Roman" w:cs="Times New Roman"/>
          <w:sz w:val="24"/>
          <w:szCs w:val="24"/>
        </w:rPr>
      </w:pPr>
    </w:p>
    <w:p w:rsidR="00DE4294" w:rsidRDefault="00DE4294" w:rsidP="00DE4294">
      <w:pPr>
        <w:tabs>
          <w:tab w:val="left" w:pos="3090"/>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Table 3 – Physiological illnesses and at-risk behaviors. </w:t>
      </w:r>
    </w:p>
    <w:p w:rsidR="00706C95" w:rsidRDefault="00706C95" w:rsidP="00DE4294">
      <w:pPr>
        <w:spacing w:line="360" w:lineRule="auto"/>
        <w:jc w:val="both"/>
        <w:rPr>
          <w:rFonts w:ascii="Times New Roman" w:hAnsi="Times New Roman" w:cs="Times New Roman"/>
          <w:sz w:val="24"/>
          <w:szCs w:val="24"/>
        </w:rPr>
      </w:pPr>
    </w:p>
    <w:p w:rsidR="00312F6C" w:rsidRPr="00686CA8" w:rsidRDefault="00B6109D"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self-protection subscale of the Allen Resocialization Scale (Allen et al., 2017) was used to assess the suicidality of participants. </w:t>
      </w:r>
      <w:r w:rsidR="00312F6C" w:rsidRPr="00686CA8">
        <w:rPr>
          <w:rFonts w:ascii="Times New Roman" w:hAnsi="Times New Roman" w:cs="Times New Roman"/>
          <w:sz w:val="24"/>
          <w:szCs w:val="24"/>
        </w:rPr>
        <w:t xml:space="preserve">Fifty-eight percent (58%) (n=121) of participants scored ‘excellent’, 20% (n=42) scored ‘good’, 17% (n=35) scored ‘average’ and 5% (n=11) </w:t>
      </w:r>
      <w:r w:rsidR="00312F6C">
        <w:rPr>
          <w:rFonts w:ascii="Times New Roman" w:hAnsi="Times New Roman" w:cs="Times New Roman"/>
          <w:sz w:val="24"/>
          <w:szCs w:val="24"/>
        </w:rPr>
        <w:t>scored ‘poor’</w:t>
      </w:r>
      <w:r w:rsidR="00312F6C" w:rsidRPr="00686CA8">
        <w:rPr>
          <w:rFonts w:ascii="Times New Roman" w:hAnsi="Times New Roman" w:cs="Times New Roman"/>
          <w:sz w:val="24"/>
          <w:szCs w:val="24"/>
        </w:rPr>
        <w:t xml:space="preserve">. </w:t>
      </w:r>
    </w:p>
    <w:p w:rsidR="00312F6C" w:rsidRDefault="00312F6C" w:rsidP="00DE4294">
      <w:pPr>
        <w:spacing w:line="360" w:lineRule="auto"/>
        <w:jc w:val="both"/>
        <w:rPr>
          <w:rFonts w:ascii="Times New Roman" w:hAnsi="Times New Roman" w:cs="Times New Roman"/>
          <w:sz w:val="24"/>
          <w:szCs w:val="24"/>
        </w:rPr>
      </w:pPr>
    </w:p>
    <w:p w:rsidR="00312F6C"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Suicidal ideations and attempts were measured using question #26 from the baseline questionnaire</w:t>
      </w:r>
      <w:r w:rsidR="00B6109D">
        <w:rPr>
          <w:rFonts w:ascii="Times New Roman" w:hAnsi="Times New Roman" w:cs="Times New Roman"/>
          <w:sz w:val="24"/>
          <w:szCs w:val="24"/>
        </w:rPr>
        <w:t>,</w:t>
      </w:r>
      <w:r>
        <w:rPr>
          <w:rFonts w:ascii="Times New Roman" w:hAnsi="Times New Roman" w:cs="Times New Roman"/>
          <w:sz w:val="24"/>
          <w:szCs w:val="24"/>
        </w:rPr>
        <w:t xml:space="preserve"> which asks, </w:t>
      </w:r>
    </w:p>
    <w:p w:rsidR="00312F6C"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312F6C"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Have you ever experienced thoughts of suicide? YES or NO</w:t>
      </w:r>
    </w:p>
    <w:p w:rsidR="00312F6C"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Have you ever attempted suicide? YES or NO</w:t>
      </w:r>
    </w:p>
    <w:p w:rsidR="00312F6C" w:rsidRPr="00CA06E6" w:rsidRDefault="00312F6C" w:rsidP="00DE4294">
      <w:pPr>
        <w:spacing w:line="360" w:lineRule="auto"/>
        <w:jc w:val="both"/>
        <w:rPr>
          <w:rFonts w:ascii="Times New Roman" w:hAnsi="Times New Roman" w:cs="Times New Roman"/>
          <w:sz w:val="24"/>
          <w:szCs w:val="24"/>
        </w:rPr>
      </w:pPr>
    </w:p>
    <w:p w:rsidR="00312F6C" w:rsidRPr="0072126A" w:rsidRDefault="00312F6C" w:rsidP="00DE4294">
      <w:pPr>
        <w:spacing w:line="360" w:lineRule="auto"/>
        <w:jc w:val="both"/>
        <w:rPr>
          <w:rFonts w:ascii="Times New Roman" w:hAnsi="Times New Roman" w:cs="Times New Roman"/>
          <w:sz w:val="24"/>
          <w:szCs w:val="24"/>
        </w:rPr>
      </w:pPr>
      <w:r w:rsidRPr="0072126A">
        <w:rPr>
          <w:rFonts w:ascii="Times New Roman" w:hAnsi="Times New Roman" w:cs="Times New Roman"/>
          <w:sz w:val="24"/>
          <w:szCs w:val="24"/>
        </w:rPr>
        <w:t xml:space="preserve">Forty percent (40%) (n=83) of participants had suicidal ideation and 21% (n=43) had previously attempted suicide. Almost one quarter of participants (24%) (n=51) had a significant ACE score, moderate/severe PTSD and a history of suicidality (defined as either having a low self-protection score, previous suicidal ideation or suicide attempt). </w:t>
      </w:r>
    </w:p>
    <w:p w:rsidR="00312F6C" w:rsidRDefault="00312F6C" w:rsidP="00DE4294">
      <w:pPr>
        <w:spacing w:line="360" w:lineRule="auto"/>
        <w:jc w:val="both"/>
        <w:rPr>
          <w:rFonts w:ascii="Times New Roman" w:hAnsi="Times New Roman" w:cs="Times New Roman"/>
          <w:sz w:val="24"/>
          <w:szCs w:val="24"/>
        </w:rPr>
      </w:pPr>
    </w:p>
    <w:p w:rsidR="00312F6C" w:rsidRPr="0072126A"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Resilience of participants in this study was measured using the Allen Resocialization Scale</w:t>
      </w:r>
      <w:r w:rsidR="00571D5C">
        <w:rPr>
          <w:rFonts w:ascii="Times New Roman" w:hAnsi="Times New Roman" w:cs="Times New Roman"/>
          <w:sz w:val="24"/>
          <w:szCs w:val="24"/>
        </w:rPr>
        <w:t xml:space="preserve"> (Allen et al., 2017)</w:t>
      </w:r>
      <w:r>
        <w:rPr>
          <w:rFonts w:ascii="Times New Roman" w:hAnsi="Times New Roman" w:cs="Times New Roman"/>
          <w:sz w:val="24"/>
          <w:szCs w:val="24"/>
        </w:rPr>
        <w:t xml:space="preserve"> which includes a resilience subscale. Sixty-three percent (63%) (n=132) of participants scored either ‘excellent’ or ‘good’, 37% (n=77) scored either ‘average’ or ‘poor’. </w:t>
      </w:r>
      <w:r w:rsidRPr="0072126A">
        <w:rPr>
          <w:rFonts w:ascii="Times New Roman" w:hAnsi="Times New Roman" w:cs="Times New Roman"/>
          <w:sz w:val="24"/>
          <w:szCs w:val="24"/>
        </w:rPr>
        <w:t xml:space="preserve">Eighteen percent (18%) (n=38) of participants had low resilience (defined as a score of ‘average’ or ‘poor’ on the resilience scale), a significant ACE score and moderate/severe PTSD. </w:t>
      </w:r>
    </w:p>
    <w:p w:rsidR="00312F6C" w:rsidRDefault="00312F6C" w:rsidP="00DE4294">
      <w:pPr>
        <w:spacing w:line="360" w:lineRule="auto"/>
        <w:jc w:val="both"/>
        <w:rPr>
          <w:rFonts w:ascii="Times New Roman" w:hAnsi="Times New Roman" w:cs="Times New Roman"/>
          <w:sz w:val="24"/>
          <w:szCs w:val="24"/>
        </w:rPr>
      </w:pPr>
    </w:p>
    <w:p w:rsidR="00706C95" w:rsidRDefault="00312F6C" w:rsidP="00706C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keeping with Dorothy Lewis’ hypothesis that the perpetrators (of violence) were once victims themselves </w:t>
      </w:r>
      <w:r w:rsidR="00571D5C">
        <w:rPr>
          <w:rFonts w:ascii="Times New Roman" w:hAnsi="Times New Roman" w:cs="Times New Roman"/>
          <w:sz w:val="24"/>
          <w:szCs w:val="24"/>
        </w:rPr>
        <w:t xml:space="preserve">(Lewis, 1992) (Lewis, 1998) </w:t>
      </w:r>
      <w:r>
        <w:rPr>
          <w:rFonts w:ascii="Times New Roman" w:hAnsi="Times New Roman" w:cs="Times New Roman"/>
          <w:sz w:val="24"/>
          <w:szCs w:val="24"/>
        </w:rPr>
        <w:t xml:space="preserve">we investigated how many of our participants who admitted to being perpetrators of violence were once victims (defined by a significant ACE score or a ‘yes’ response to questions 27, 28 or 29 of the baseline questionnaire). In our sample, </w:t>
      </w:r>
      <w:r w:rsidRPr="007B741F">
        <w:rPr>
          <w:rFonts w:ascii="Times New Roman" w:hAnsi="Times New Roman" w:cs="Times New Roman"/>
          <w:sz w:val="24"/>
          <w:szCs w:val="24"/>
        </w:rPr>
        <w:t xml:space="preserve">17% </w:t>
      </w:r>
      <w:r>
        <w:rPr>
          <w:rFonts w:ascii="Times New Roman" w:hAnsi="Times New Roman" w:cs="Times New Roman"/>
          <w:sz w:val="24"/>
          <w:szCs w:val="24"/>
        </w:rPr>
        <w:t xml:space="preserve">(n=36) </w:t>
      </w:r>
      <w:r w:rsidRPr="007B741F">
        <w:rPr>
          <w:rFonts w:ascii="Times New Roman" w:hAnsi="Times New Roman" w:cs="Times New Roman"/>
          <w:sz w:val="24"/>
          <w:szCs w:val="24"/>
        </w:rPr>
        <w:t xml:space="preserve">of participants had a significant ACE score and a history of being a perpetrator of violence. </w:t>
      </w:r>
      <w:r>
        <w:rPr>
          <w:rFonts w:ascii="Times New Roman" w:hAnsi="Times New Roman" w:cs="Times New Roman"/>
          <w:sz w:val="24"/>
          <w:szCs w:val="24"/>
        </w:rPr>
        <w:t>Eleven percent (</w:t>
      </w:r>
      <w:r w:rsidRPr="007B741F">
        <w:rPr>
          <w:rFonts w:ascii="Times New Roman" w:hAnsi="Times New Roman" w:cs="Times New Roman"/>
          <w:sz w:val="24"/>
          <w:szCs w:val="24"/>
        </w:rPr>
        <w:t>11%</w:t>
      </w:r>
      <w:r>
        <w:rPr>
          <w:rFonts w:ascii="Times New Roman" w:hAnsi="Times New Roman" w:cs="Times New Roman"/>
          <w:sz w:val="24"/>
          <w:szCs w:val="24"/>
        </w:rPr>
        <w:t>)</w:t>
      </w:r>
      <w:r w:rsidRPr="007B741F">
        <w:rPr>
          <w:rFonts w:ascii="Times New Roman" w:hAnsi="Times New Roman" w:cs="Times New Roman"/>
          <w:sz w:val="24"/>
          <w:szCs w:val="24"/>
        </w:rPr>
        <w:t xml:space="preserve"> </w:t>
      </w:r>
      <w:r>
        <w:rPr>
          <w:rFonts w:ascii="Times New Roman" w:hAnsi="Times New Roman" w:cs="Times New Roman"/>
          <w:sz w:val="24"/>
          <w:szCs w:val="24"/>
        </w:rPr>
        <w:t xml:space="preserve">(n=24) </w:t>
      </w:r>
      <w:r w:rsidRPr="007B741F">
        <w:rPr>
          <w:rFonts w:ascii="Times New Roman" w:hAnsi="Times New Roman" w:cs="Times New Roman"/>
          <w:sz w:val="24"/>
          <w:szCs w:val="24"/>
        </w:rPr>
        <w:t xml:space="preserve">had a history of being a victim and perpetrator of bullying. </w:t>
      </w:r>
      <w:r>
        <w:rPr>
          <w:rFonts w:ascii="Times New Roman" w:hAnsi="Times New Roman" w:cs="Times New Roman"/>
          <w:sz w:val="24"/>
          <w:szCs w:val="24"/>
        </w:rPr>
        <w:t>Thirteen percent (</w:t>
      </w:r>
      <w:r w:rsidRPr="007B741F">
        <w:rPr>
          <w:rFonts w:ascii="Times New Roman" w:hAnsi="Times New Roman" w:cs="Times New Roman"/>
          <w:sz w:val="24"/>
          <w:szCs w:val="24"/>
        </w:rPr>
        <w:t>13%</w:t>
      </w:r>
      <w:r>
        <w:rPr>
          <w:rFonts w:ascii="Times New Roman" w:hAnsi="Times New Roman" w:cs="Times New Roman"/>
          <w:sz w:val="24"/>
          <w:szCs w:val="24"/>
        </w:rPr>
        <w:t>)</w:t>
      </w:r>
      <w:r w:rsidRPr="007B741F">
        <w:rPr>
          <w:rFonts w:ascii="Times New Roman" w:hAnsi="Times New Roman" w:cs="Times New Roman"/>
          <w:sz w:val="24"/>
          <w:szCs w:val="24"/>
        </w:rPr>
        <w:t xml:space="preserve"> </w:t>
      </w:r>
      <w:r>
        <w:rPr>
          <w:rFonts w:ascii="Times New Roman" w:hAnsi="Times New Roman" w:cs="Times New Roman"/>
          <w:sz w:val="24"/>
          <w:szCs w:val="24"/>
        </w:rPr>
        <w:t xml:space="preserve">(n=27) </w:t>
      </w:r>
      <w:r w:rsidRPr="007B741F">
        <w:rPr>
          <w:rFonts w:ascii="Times New Roman" w:hAnsi="Times New Roman" w:cs="Times New Roman"/>
          <w:sz w:val="24"/>
          <w:szCs w:val="24"/>
        </w:rPr>
        <w:t xml:space="preserve">had a history of being a victim and a perpetrator of a violent attack. </w:t>
      </w:r>
      <w:r>
        <w:rPr>
          <w:rFonts w:ascii="Times New Roman" w:hAnsi="Times New Roman" w:cs="Times New Roman"/>
          <w:sz w:val="24"/>
          <w:szCs w:val="24"/>
        </w:rPr>
        <w:t>Five percent (</w:t>
      </w:r>
      <w:r w:rsidRPr="007B741F">
        <w:rPr>
          <w:rFonts w:ascii="Times New Roman" w:hAnsi="Times New Roman" w:cs="Times New Roman"/>
          <w:sz w:val="24"/>
          <w:szCs w:val="24"/>
        </w:rPr>
        <w:t>5%</w:t>
      </w:r>
      <w:r>
        <w:rPr>
          <w:rFonts w:ascii="Times New Roman" w:hAnsi="Times New Roman" w:cs="Times New Roman"/>
          <w:sz w:val="24"/>
          <w:szCs w:val="24"/>
        </w:rPr>
        <w:t>)</w:t>
      </w:r>
      <w:r w:rsidRPr="007B741F">
        <w:rPr>
          <w:rFonts w:ascii="Times New Roman" w:hAnsi="Times New Roman" w:cs="Times New Roman"/>
          <w:sz w:val="24"/>
          <w:szCs w:val="24"/>
        </w:rPr>
        <w:t xml:space="preserve"> </w:t>
      </w:r>
      <w:r>
        <w:rPr>
          <w:rFonts w:ascii="Times New Roman" w:hAnsi="Times New Roman" w:cs="Times New Roman"/>
          <w:sz w:val="24"/>
          <w:szCs w:val="24"/>
        </w:rPr>
        <w:t xml:space="preserve">(n=11) </w:t>
      </w:r>
      <w:r w:rsidRPr="007B741F">
        <w:rPr>
          <w:rFonts w:ascii="Times New Roman" w:hAnsi="Times New Roman" w:cs="Times New Roman"/>
          <w:sz w:val="24"/>
          <w:szCs w:val="24"/>
        </w:rPr>
        <w:t>had a history of being a victim and perpetrator of inti</w:t>
      </w:r>
      <w:r>
        <w:rPr>
          <w:rFonts w:ascii="Times New Roman" w:hAnsi="Times New Roman" w:cs="Times New Roman"/>
          <w:sz w:val="24"/>
          <w:szCs w:val="24"/>
        </w:rPr>
        <w:t>mate partner violence</w:t>
      </w:r>
      <w:r w:rsidRPr="007B741F">
        <w:rPr>
          <w:rFonts w:ascii="Times New Roman" w:hAnsi="Times New Roman" w:cs="Times New Roman"/>
          <w:sz w:val="24"/>
          <w:szCs w:val="24"/>
        </w:rPr>
        <w:t xml:space="preserve">. </w:t>
      </w:r>
    </w:p>
    <w:p w:rsidR="00312F6C" w:rsidRPr="00131C0A" w:rsidRDefault="00312F6C" w:rsidP="00706C95">
      <w:pPr>
        <w:spacing w:line="360" w:lineRule="auto"/>
        <w:jc w:val="both"/>
        <w:rPr>
          <w:rFonts w:ascii="Times New Roman" w:hAnsi="Times New Roman" w:cs="Times New Roman"/>
          <w:i/>
          <w:sz w:val="24"/>
          <w:szCs w:val="24"/>
        </w:rPr>
      </w:pPr>
      <w:r w:rsidRPr="00131C0A">
        <w:rPr>
          <w:rFonts w:ascii="Times New Roman" w:hAnsi="Times New Roman" w:cs="Times New Roman"/>
          <w:b/>
          <w:i/>
          <w:sz w:val="24"/>
          <w:szCs w:val="24"/>
        </w:rPr>
        <w:lastRenderedPageBreak/>
        <w:t>Case Vignettes</w:t>
      </w:r>
    </w:p>
    <w:p w:rsidR="00312F6C" w:rsidRDefault="00312F6C" w:rsidP="00DE4294">
      <w:pPr>
        <w:tabs>
          <w:tab w:val="left" w:pos="315"/>
          <w:tab w:val="center" w:pos="4510"/>
        </w:tabs>
        <w:spacing w:line="360" w:lineRule="auto"/>
        <w:jc w:val="left"/>
        <w:rPr>
          <w:rFonts w:ascii="Times New Roman" w:hAnsi="Times New Roman" w:cs="Times New Roman"/>
          <w:b/>
          <w:sz w:val="24"/>
          <w:szCs w:val="24"/>
          <w:u w:val="single"/>
        </w:rPr>
      </w:pPr>
    </w:p>
    <w:p w:rsidR="00312F6C" w:rsidRPr="00332133" w:rsidRDefault="00312F6C" w:rsidP="00DE4294">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sz w:val="24"/>
          <w:szCs w:val="24"/>
          <w:u w:color="000000"/>
        </w:rPr>
      </w:pPr>
      <w:r w:rsidRPr="00332133">
        <w:rPr>
          <w:rFonts w:ascii="Times New Roman" w:hAnsi="Times New Roman" w:cs="Times New Roman"/>
          <w:sz w:val="24"/>
          <w:szCs w:val="24"/>
        </w:rPr>
        <w:t xml:space="preserve">A female inmate shared she was incarcerated for fighting the police. When asked if she remembers always being so angry, she became emotional. She explained that her mother was very poor and it was really hard her whole life. She admitted to </w:t>
      </w:r>
      <w:r>
        <w:rPr>
          <w:rFonts w:ascii="Times New Roman" w:hAnsi="Times New Roman" w:cs="Times New Roman"/>
          <w:sz w:val="24"/>
          <w:szCs w:val="24"/>
        </w:rPr>
        <w:t xml:space="preserve">prostituting herself. </w:t>
      </w:r>
      <w:r w:rsidRPr="00332133">
        <w:rPr>
          <w:rFonts w:ascii="Times New Roman" w:hAnsi="Times New Roman" w:cs="Times New Roman"/>
          <w:sz w:val="24"/>
          <w:szCs w:val="24"/>
        </w:rPr>
        <w:t xml:space="preserve">Two other inmates said their story was the same. It is important to note that there were only six participants in this session, which means that 50% of them had prostituted themselves </w:t>
      </w:r>
      <w:r>
        <w:rPr>
          <w:rFonts w:ascii="Times New Roman" w:hAnsi="Times New Roman" w:cs="Times New Roman"/>
          <w:sz w:val="24"/>
          <w:szCs w:val="24"/>
        </w:rPr>
        <w:t xml:space="preserve">because of financial lack. </w:t>
      </w:r>
      <w:r w:rsidRPr="00332133">
        <w:rPr>
          <w:rFonts w:ascii="Times New Roman" w:hAnsi="Times New Roman" w:cs="Times New Roman"/>
          <w:sz w:val="24"/>
          <w:szCs w:val="24"/>
        </w:rPr>
        <w:t>The facilitator noted that the women in this group had many relationships with men where love was not the connection. Instead, anger/violence, a way of expressing emotion, is a powerful form of their communication</w:t>
      </w:r>
      <w:r>
        <w:rPr>
          <w:rFonts w:ascii="Times New Roman" w:hAnsi="Times New Roman" w:cs="Times New Roman"/>
          <w:sz w:val="24"/>
          <w:szCs w:val="24"/>
        </w:rPr>
        <w:t xml:space="preserve">. </w:t>
      </w:r>
    </w:p>
    <w:p w:rsidR="00312F6C" w:rsidRPr="00332133" w:rsidRDefault="00312F6C" w:rsidP="00DE4294">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sz w:val="24"/>
          <w:szCs w:val="24"/>
          <w:u w:color="000000"/>
        </w:rPr>
      </w:pPr>
    </w:p>
    <w:p w:rsidR="00312F6C" w:rsidRPr="009F6AE2" w:rsidRDefault="00312F6C" w:rsidP="00DE4294">
      <w:pPr>
        <w:pStyle w:val="Body"/>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sz w:val="24"/>
          <w:szCs w:val="24"/>
          <w:u w:color="000000"/>
        </w:rPr>
      </w:pPr>
      <w:r w:rsidRPr="009F6AE2">
        <w:rPr>
          <w:rFonts w:ascii="Times New Roman" w:hAnsi="Times New Roman"/>
          <w:sz w:val="24"/>
          <w:szCs w:val="24"/>
          <w:u w:color="000000"/>
          <w:lang w:val="en-US"/>
        </w:rPr>
        <w:t>A young man presented to one of the groups. He shared that he grew up in a religious home but had issues with his [step] father. His parents were married but</w:t>
      </w:r>
      <w:r>
        <w:rPr>
          <w:rFonts w:ascii="Times New Roman" w:hAnsi="Times New Roman"/>
          <w:sz w:val="24"/>
          <w:szCs w:val="24"/>
          <w:u w:color="000000"/>
          <w:lang w:val="en-US"/>
        </w:rPr>
        <w:t xml:space="preserve"> divorced before he was born. </w:t>
      </w:r>
      <w:r w:rsidRPr="009F6AE2">
        <w:rPr>
          <w:rFonts w:ascii="Times New Roman" w:hAnsi="Times New Roman"/>
          <w:sz w:val="24"/>
          <w:szCs w:val="24"/>
          <w:u w:color="000000"/>
          <w:lang w:val="en-US"/>
        </w:rPr>
        <w:t xml:space="preserve">He had a good stepfather. His mother died when he was 17 years old. He was introduced to sex from the age of four and described being </w:t>
      </w:r>
      <w:r>
        <w:rPr>
          <w:rFonts w:ascii="Times New Roman" w:hAnsi="Times New Roman"/>
          <w:sz w:val="24"/>
          <w:szCs w:val="24"/>
          <w:u w:color="000000"/>
          <w:lang w:val="en-US"/>
        </w:rPr>
        <w:t>molested by a pastor</w:t>
      </w:r>
      <w:r w:rsidRPr="009F6AE2">
        <w:rPr>
          <w:rFonts w:ascii="Times New Roman" w:hAnsi="Times New Roman"/>
          <w:sz w:val="24"/>
          <w:szCs w:val="24"/>
          <w:u w:color="000000"/>
          <w:lang w:val="en-US"/>
        </w:rPr>
        <w:t xml:space="preserve">. He continued the cycle of abuse by sexually abusing his sister from age seven onwards. </w:t>
      </w:r>
    </w:p>
    <w:p w:rsidR="00312F6C" w:rsidRPr="006A16AA" w:rsidRDefault="00312F6C" w:rsidP="00DE4294">
      <w:pPr>
        <w:pStyle w:val="ListParagraph"/>
        <w:spacing w:line="360" w:lineRule="auto"/>
        <w:rPr>
          <w:rFonts w:ascii="Times New Roman" w:hAnsi="Times New Roman" w:cs="Times New Roman"/>
          <w:sz w:val="24"/>
          <w:szCs w:val="24"/>
        </w:rPr>
      </w:pPr>
    </w:p>
    <w:p w:rsidR="00312F6C" w:rsidRDefault="00312F6C" w:rsidP="00DE4294">
      <w:pPr>
        <w:pStyle w:val="Body"/>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sz w:val="24"/>
          <w:szCs w:val="24"/>
          <w:u w:color="000000"/>
          <w:lang w:val="en-US"/>
        </w:rPr>
      </w:pPr>
      <w:r w:rsidRPr="00A672A8">
        <w:rPr>
          <w:rFonts w:ascii="Times New Roman" w:hAnsi="Times New Roman"/>
          <w:sz w:val="24"/>
          <w:szCs w:val="24"/>
          <w:u w:color="000000"/>
          <w:lang w:val="en-US"/>
        </w:rPr>
        <w:t>A female inmate admitted to being imprisoned for murder. She started sessions with The Family Program two years ago, at which time she presented as tough, guarded and seemingly unremorseful. Now, she seems to h</w:t>
      </w:r>
      <w:r>
        <w:rPr>
          <w:rFonts w:ascii="Times New Roman" w:hAnsi="Times New Roman"/>
          <w:sz w:val="24"/>
          <w:szCs w:val="24"/>
          <w:u w:color="000000"/>
          <w:lang w:val="en-US"/>
        </w:rPr>
        <w:t xml:space="preserve">ave grown immensely. She described the sequence of events preceding the incident, </w:t>
      </w:r>
      <w:r w:rsidRPr="00A672A8">
        <w:rPr>
          <w:rFonts w:ascii="Times New Roman" w:hAnsi="Times New Roman"/>
          <w:sz w:val="24"/>
          <w:szCs w:val="24"/>
          <w:u w:color="000000"/>
          <w:lang w:val="en-US"/>
        </w:rPr>
        <w:t>her responsibility in it, the warnings of</w:t>
      </w:r>
      <w:r>
        <w:rPr>
          <w:rFonts w:ascii="Times New Roman" w:hAnsi="Times New Roman"/>
          <w:sz w:val="24"/>
          <w:szCs w:val="24"/>
          <w:u w:color="000000"/>
          <w:lang w:val="en-US"/>
        </w:rPr>
        <w:t xml:space="preserve"> her mother and the impact </w:t>
      </w:r>
      <w:r w:rsidRPr="00A672A8">
        <w:rPr>
          <w:rFonts w:ascii="Times New Roman" w:hAnsi="Times New Roman"/>
          <w:sz w:val="24"/>
          <w:szCs w:val="24"/>
          <w:u w:color="000000"/>
          <w:lang w:val="en-US"/>
        </w:rPr>
        <w:t>of leaving her child behind. She admitted that being with her friends</w:t>
      </w:r>
      <w:r>
        <w:rPr>
          <w:rFonts w:ascii="Times New Roman" w:hAnsi="Times New Roman"/>
          <w:sz w:val="24"/>
          <w:szCs w:val="24"/>
          <w:u w:color="000000"/>
          <w:lang w:val="en-US"/>
        </w:rPr>
        <w:t xml:space="preserve"> was priority. </w:t>
      </w:r>
      <w:r w:rsidRPr="00A672A8">
        <w:rPr>
          <w:rFonts w:ascii="Times New Roman" w:hAnsi="Times New Roman"/>
          <w:sz w:val="24"/>
          <w:szCs w:val="24"/>
          <w:u w:color="000000"/>
          <w:lang w:val="en-US"/>
        </w:rPr>
        <w:t>She is now a comforter to new inmates. She believes that being incarcerated may ha</w:t>
      </w:r>
      <w:r>
        <w:rPr>
          <w:rFonts w:ascii="Times New Roman" w:hAnsi="Times New Roman"/>
          <w:sz w:val="24"/>
          <w:szCs w:val="24"/>
          <w:u w:color="000000"/>
          <w:lang w:val="en-US"/>
        </w:rPr>
        <w:t>ve saved her life. If she had not</w:t>
      </w:r>
      <w:r w:rsidRPr="00A672A8">
        <w:rPr>
          <w:rFonts w:ascii="Times New Roman" w:hAnsi="Times New Roman"/>
          <w:sz w:val="24"/>
          <w:szCs w:val="24"/>
          <w:u w:color="000000"/>
          <w:lang w:val="en-US"/>
        </w:rPr>
        <w:t xml:space="preserve"> come to prison</w:t>
      </w:r>
      <w:r>
        <w:rPr>
          <w:rFonts w:ascii="Times New Roman" w:hAnsi="Times New Roman"/>
          <w:sz w:val="24"/>
          <w:szCs w:val="24"/>
          <w:u w:color="000000"/>
          <w:lang w:val="en-US"/>
        </w:rPr>
        <w:t>, she may have been dead</w:t>
      </w:r>
      <w:r w:rsidRPr="00A672A8">
        <w:rPr>
          <w:rFonts w:ascii="Times New Roman" w:hAnsi="Times New Roman"/>
          <w:sz w:val="24"/>
          <w:szCs w:val="24"/>
          <w:u w:color="000000"/>
          <w:lang w:val="en-US"/>
        </w:rPr>
        <w:t>. The facilitator noted that it was riveting</w:t>
      </w:r>
      <w:r>
        <w:rPr>
          <w:rFonts w:ascii="Times New Roman" w:hAnsi="Times New Roman"/>
          <w:sz w:val="24"/>
          <w:szCs w:val="24"/>
          <w:u w:color="000000"/>
          <w:lang w:val="en-US"/>
        </w:rPr>
        <w:t xml:space="preserve"> to hear the process of murder, which was preceded by a verbal altercation that escalated into a physical confrontation</w:t>
      </w:r>
      <w:r w:rsidRPr="00A672A8">
        <w:rPr>
          <w:rFonts w:ascii="Times New Roman" w:hAnsi="Times New Roman"/>
          <w:sz w:val="24"/>
          <w:szCs w:val="24"/>
          <w:u w:color="000000"/>
          <w:lang w:val="en-US"/>
        </w:rPr>
        <w:t xml:space="preserve">. </w:t>
      </w:r>
      <w:r>
        <w:rPr>
          <w:rFonts w:ascii="Times New Roman" w:hAnsi="Times New Roman"/>
          <w:sz w:val="24"/>
          <w:szCs w:val="24"/>
          <w:u w:color="000000"/>
          <w:lang w:val="en-US"/>
        </w:rPr>
        <w:t>Despite the incident being an intentional brawl, the perpetrator</w:t>
      </w:r>
      <w:r w:rsidRPr="00A672A8">
        <w:rPr>
          <w:rFonts w:ascii="Times New Roman" w:hAnsi="Times New Roman"/>
          <w:sz w:val="24"/>
          <w:szCs w:val="24"/>
          <w:u w:color="000000"/>
          <w:lang w:val="en-US"/>
        </w:rPr>
        <w:t xml:space="preserve"> </w:t>
      </w:r>
      <w:r>
        <w:rPr>
          <w:rFonts w:ascii="Times New Roman" w:hAnsi="Times New Roman"/>
          <w:sz w:val="24"/>
          <w:szCs w:val="24"/>
          <w:u w:color="000000"/>
          <w:lang w:val="en-US"/>
        </w:rPr>
        <w:t>did not</w:t>
      </w:r>
      <w:r w:rsidRPr="00A672A8">
        <w:rPr>
          <w:rFonts w:ascii="Times New Roman" w:hAnsi="Times New Roman"/>
          <w:sz w:val="24"/>
          <w:szCs w:val="24"/>
          <w:u w:color="000000"/>
          <w:lang w:val="en-US"/>
        </w:rPr>
        <w:t xml:space="preserve"> seem to realize murder would </w:t>
      </w:r>
      <w:r>
        <w:rPr>
          <w:rFonts w:ascii="Times New Roman" w:hAnsi="Times New Roman"/>
          <w:sz w:val="24"/>
          <w:szCs w:val="24"/>
          <w:u w:color="000000"/>
          <w:lang w:val="en-US"/>
        </w:rPr>
        <w:t>be the end result. Before the session ended, the participant shared that when she was 12, she witnessed her brother’s murder. I</w:t>
      </w:r>
      <w:r w:rsidRPr="00A672A8">
        <w:rPr>
          <w:rFonts w:ascii="Times New Roman" w:hAnsi="Times New Roman"/>
          <w:sz w:val="24"/>
          <w:szCs w:val="24"/>
          <w:u w:color="000000"/>
          <w:lang w:val="en-US"/>
        </w:rPr>
        <w:t xml:space="preserve">t seems </w:t>
      </w:r>
      <w:r>
        <w:rPr>
          <w:rFonts w:ascii="Times New Roman" w:hAnsi="Times New Roman"/>
          <w:sz w:val="24"/>
          <w:szCs w:val="24"/>
          <w:u w:color="000000"/>
          <w:lang w:val="en-US"/>
        </w:rPr>
        <w:t>that she became detached from that day on. This aloofness eventually le</w:t>
      </w:r>
      <w:r w:rsidRPr="00A672A8">
        <w:rPr>
          <w:rFonts w:ascii="Times New Roman" w:hAnsi="Times New Roman"/>
          <w:sz w:val="24"/>
          <w:szCs w:val="24"/>
          <w:u w:color="000000"/>
          <w:lang w:val="en-US"/>
        </w:rPr>
        <w:t>d to murder.</w:t>
      </w:r>
      <w:r w:rsidRPr="00FA3733">
        <w:rPr>
          <w:rFonts w:ascii="Times New Roman" w:hAnsi="Times New Roman"/>
          <w:sz w:val="24"/>
          <w:szCs w:val="24"/>
          <w:u w:color="000000"/>
          <w:lang w:val="en-US"/>
        </w:rPr>
        <w:t xml:space="preserve"> </w:t>
      </w:r>
      <w:r>
        <w:rPr>
          <w:rFonts w:ascii="Times New Roman" w:hAnsi="Times New Roman"/>
          <w:sz w:val="24"/>
          <w:szCs w:val="24"/>
          <w:u w:color="000000"/>
          <w:lang w:val="en-US"/>
        </w:rPr>
        <w:lastRenderedPageBreak/>
        <w:t xml:space="preserve">This is an example of how a hurt child can become a dangerous adult, that is, how the perpetrator was once a victim herself. </w:t>
      </w:r>
    </w:p>
    <w:p w:rsidR="00BA6B45" w:rsidRDefault="00BA6B45" w:rsidP="00DE4294">
      <w:pPr>
        <w:spacing w:line="360" w:lineRule="auto"/>
        <w:jc w:val="both"/>
        <w:rPr>
          <w:rFonts w:ascii="Times New Roman" w:hAnsi="Times New Roman" w:cs="Times New Roman"/>
          <w:sz w:val="24"/>
          <w:szCs w:val="24"/>
        </w:rPr>
      </w:pPr>
    </w:p>
    <w:p w:rsidR="00312F6C" w:rsidRPr="00131C0A" w:rsidRDefault="00312F6C" w:rsidP="00DE4294">
      <w:pPr>
        <w:spacing w:line="360" w:lineRule="auto"/>
        <w:jc w:val="both"/>
        <w:rPr>
          <w:rFonts w:ascii="Times New Roman" w:hAnsi="Times New Roman" w:cs="Times New Roman"/>
          <w:b/>
          <w:i/>
          <w:sz w:val="24"/>
          <w:szCs w:val="24"/>
        </w:rPr>
      </w:pPr>
      <w:r w:rsidRPr="00131C0A">
        <w:rPr>
          <w:rFonts w:ascii="Times New Roman" w:hAnsi="Times New Roman" w:cs="Times New Roman"/>
          <w:b/>
          <w:i/>
          <w:sz w:val="24"/>
          <w:szCs w:val="24"/>
        </w:rPr>
        <w:t>Conclusion</w:t>
      </w:r>
    </w:p>
    <w:p w:rsidR="00312F6C" w:rsidRPr="006C7538" w:rsidRDefault="00312F6C" w:rsidP="00DE4294">
      <w:pPr>
        <w:pStyle w:val="ListParagraph"/>
        <w:spacing w:line="360" w:lineRule="auto"/>
        <w:rPr>
          <w:rFonts w:ascii="Times New Roman" w:hAnsi="Times New Roman" w:cs="Times New Roman"/>
          <w:sz w:val="24"/>
          <w:szCs w:val="24"/>
        </w:rPr>
      </w:pPr>
    </w:p>
    <w:p w:rsidR="00312F6C"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Adverse Childhood Experiences (ACE) studies show </w:t>
      </w:r>
      <w:r w:rsidR="00571D5C">
        <w:rPr>
          <w:rFonts w:ascii="Times New Roman" w:hAnsi="Times New Roman" w:cs="Times New Roman"/>
          <w:sz w:val="24"/>
          <w:szCs w:val="24"/>
        </w:rPr>
        <w:t>(Felitti et al., 1998)</w:t>
      </w:r>
      <w:r>
        <w:rPr>
          <w:rFonts w:ascii="Times New Roman" w:hAnsi="Times New Roman" w:cs="Times New Roman"/>
          <w:sz w:val="24"/>
          <w:szCs w:val="24"/>
        </w:rPr>
        <w:t xml:space="preserve">, early physical and sexual child abuses produces deep shame that is lodged in the unconscious life of the person. This relational trauma and its accompanying dysregulation block the child from flourishing and enjoying life. It impedes their ability to grieve, express deep feelings of commitment and appreciate simple experiences of joy. In essence, it destroys the child’s ability to thrive. </w:t>
      </w:r>
    </w:p>
    <w:p w:rsidR="00312F6C" w:rsidRDefault="00312F6C" w:rsidP="00DE4294">
      <w:pPr>
        <w:spacing w:line="360" w:lineRule="auto"/>
        <w:jc w:val="both"/>
        <w:rPr>
          <w:rFonts w:ascii="Times New Roman" w:hAnsi="Times New Roman" w:cs="Times New Roman"/>
          <w:sz w:val="24"/>
          <w:szCs w:val="24"/>
        </w:rPr>
      </w:pPr>
    </w:p>
    <w:p w:rsidR="00312F6C" w:rsidRDefault="00312F6C" w:rsidP="00DE4294">
      <w:pPr>
        <w:spacing w:line="360" w:lineRule="auto"/>
        <w:jc w:val="both"/>
        <w:rPr>
          <w:rFonts w:ascii="Times New Roman" w:hAnsi="Times New Roman" w:cs="Times New Roman"/>
          <w:sz w:val="24"/>
          <w:szCs w:val="24"/>
        </w:rPr>
      </w:pPr>
      <w:r w:rsidRPr="00DA5709">
        <w:rPr>
          <w:rFonts w:ascii="Times New Roman" w:hAnsi="Times New Roman" w:cs="Times New Roman"/>
          <w:sz w:val="24"/>
          <w:szCs w:val="24"/>
        </w:rPr>
        <w:t xml:space="preserve">In our sample, 44% </w:t>
      </w:r>
      <w:r>
        <w:rPr>
          <w:rFonts w:ascii="Times New Roman" w:hAnsi="Times New Roman" w:cs="Times New Roman"/>
          <w:sz w:val="24"/>
          <w:szCs w:val="24"/>
        </w:rPr>
        <w:t xml:space="preserve">(n=91) </w:t>
      </w:r>
      <w:r w:rsidRPr="00DA5709">
        <w:rPr>
          <w:rFonts w:ascii="Times New Roman" w:hAnsi="Times New Roman" w:cs="Times New Roman"/>
          <w:sz w:val="24"/>
          <w:szCs w:val="24"/>
        </w:rPr>
        <w:t xml:space="preserve">of the participants had a significant ACE score, 84% </w:t>
      </w:r>
      <w:r>
        <w:rPr>
          <w:rFonts w:ascii="Times New Roman" w:hAnsi="Times New Roman" w:cs="Times New Roman"/>
          <w:sz w:val="24"/>
          <w:szCs w:val="24"/>
        </w:rPr>
        <w:t xml:space="preserve">(n=176) </w:t>
      </w:r>
      <w:r w:rsidRPr="00DA5709">
        <w:rPr>
          <w:rFonts w:ascii="Times New Roman" w:hAnsi="Times New Roman" w:cs="Times New Roman"/>
          <w:sz w:val="24"/>
          <w:szCs w:val="24"/>
        </w:rPr>
        <w:t xml:space="preserve">had moderate / severe PTSD and 41% </w:t>
      </w:r>
      <w:r>
        <w:rPr>
          <w:rFonts w:ascii="Times New Roman" w:hAnsi="Times New Roman" w:cs="Times New Roman"/>
          <w:sz w:val="24"/>
          <w:szCs w:val="24"/>
        </w:rPr>
        <w:t xml:space="preserve">(n=86) </w:t>
      </w:r>
      <w:r w:rsidRPr="00DA5709">
        <w:rPr>
          <w:rFonts w:ascii="Times New Roman" w:hAnsi="Times New Roman" w:cs="Times New Roman"/>
          <w:sz w:val="24"/>
          <w:szCs w:val="24"/>
        </w:rPr>
        <w:t>had both a significant ACE score and moderate / severe PTSD. This means that during their time in The Family Program (1 year – 6 or more years), these persons should have had severe violent acting out manifested as domestic violence, murder, suicide or destructive/abusive rela</w:t>
      </w:r>
      <w:r>
        <w:rPr>
          <w:rFonts w:ascii="Times New Roman" w:hAnsi="Times New Roman" w:cs="Times New Roman"/>
          <w:sz w:val="24"/>
          <w:szCs w:val="24"/>
        </w:rPr>
        <w:t>tionships. Instead, 98%</w:t>
      </w:r>
      <w:r w:rsidRPr="00DA5709">
        <w:rPr>
          <w:rFonts w:ascii="Times New Roman" w:hAnsi="Times New Roman" w:cs="Times New Roman"/>
          <w:sz w:val="24"/>
          <w:szCs w:val="24"/>
        </w:rPr>
        <w:t xml:space="preserve"> </w:t>
      </w:r>
      <w:r>
        <w:rPr>
          <w:rFonts w:ascii="Times New Roman" w:hAnsi="Times New Roman" w:cs="Times New Roman"/>
          <w:sz w:val="24"/>
          <w:szCs w:val="24"/>
        </w:rPr>
        <w:t xml:space="preserve">(n=204) </w:t>
      </w:r>
      <w:r w:rsidRPr="00DA5709">
        <w:rPr>
          <w:rFonts w:ascii="Times New Roman" w:hAnsi="Times New Roman" w:cs="Times New Roman"/>
          <w:sz w:val="24"/>
          <w:szCs w:val="24"/>
        </w:rPr>
        <w:t>of the participants in this sample who are traumatized and involved in The Family Program scored</w:t>
      </w:r>
      <w:r>
        <w:rPr>
          <w:rFonts w:ascii="Times New Roman" w:hAnsi="Times New Roman" w:cs="Times New Roman"/>
          <w:sz w:val="24"/>
          <w:szCs w:val="24"/>
        </w:rPr>
        <w:t xml:space="preserve"> ‘excellent’,</w:t>
      </w:r>
      <w:r w:rsidRPr="00DA5709">
        <w:rPr>
          <w:rFonts w:ascii="Times New Roman" w:hAnsi="Times New Roman" w:cs="Times New Roman"/>
          <w:sz w:val="24"/>
          <w:szCs w:val="24"/>
        </w:rPr>
        <w:t xml:space="preserve"> ‘good’ or ‘average’ on the Allen Resocialization Scale. Without The Family Program, these participants may have been ‘poorly’ resocialized, wreaking havoc in the society. This proves that The Family support groups are a protective factor. Despite being traumatized in early childhood, participating in a Family support group can help you change your mind, which will change your life and eventually change your world. </w:t>
      </w:r>
    </w:p>
    <w:p w:rsidR="00BA6B45" w:rsidRPr="00BA6B45" w:rsidRDefault="00BA6B45" w:rsidP="00DE4294">
      <w:pPr>
        <w:spacing w:line="360" w:lineRule="auto"/>
        <w:jc w:val="both"/>
        <w:rPr>
          <w:rFonts w:ascii="Times New Roman" w:hAnsi="Times New Roman" w:cs="Times New Roman"/>
          <w:sz w:val="24"/>
          <w:szCs w:val="24"/>
        </w:rPr>
      </w:pPr>
    </w:p>
    <w:p w:rsidR="00312F6C" w:rsidRPr="00131C0A" w:rsidRDefault="00312F6C" w:rsidP="00DE4294">
      <w:pPr>
        <w:spacing w:line="360" w:lineRule="auto"/>
        <w:jc w:val="both"/>
        <w:rPr>
          <w:rFonts w:ascii="Times New Roman" w:hAnsi="Times New Roman" w:cs="Times New Roman"/>
          <w:i/>
          <w:sz w:val="24"/>
          <w:szCs w:val="24"/>
        </w:rPr>
      </w:pPr>
      <w:r w:rsidRPr="00131C0A">
        <w:rPr>
          <w:rFonts w:ascii="Times New Roman" w:hAnsi="Times New Roman" w:cs="Times New Roman"/>
          <w:b/>
          <w:i/>
          <w:sz w:val="24"/>
          <w:szCs w:val="24"/>
        </w:rPr>
        <w:t>Limitations</w:t>
      </w:r>
    </w:p>
    <w:p w:rsidR="00312F6C" w:rsidRDefault="00312F6C" w:rsidP="00DE4294">
      <w:pPr>
        <w:spacing w:line="360" w:lineRule="auto"/>
        <w:ind w:left="360"/>
        <w:jc w:val="both"/>
        <w:rPr>
          <w:rFonts w:ascii="Times New Roman" w:hAnsi="Times New Roman" w:cs="Times New Roman"/>
          <w:b/>
          <w:sz w:val="24"/>
          <w:szCs w:val="24"/>
        </w:rPr>
      </w:pPr>
    </w:p>
    <w:p w:rsidR="00312F6C" w:rsidRDefault="00312F6C" w:rsidP="00DE429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baseline questionnaire 22c, bronchitis is characterized with cough, cold, influenza, pharyngitis, tonsillitis, asthma etc. As a result, a ‘yes’ response could have been to any one of these illnesses and not specifically bronchitis, therefore skewing the data. Same is true of question 22p, in terms of coding for diabetes. </w:t>
      </w:r>
    </w:p>
    <w:p w:rsidR="00312F6C" w:rsidRDefault="00312F6C" w:rsidP="00DE4294">
      <w:pPr>
        <w:pStyle w:val="ListParagraph"/>
        <w:spacing w:line="360" w:lineRule="auto"/>
        <w:jc w:val="both"/>
        <w:rPr>
          <w:rFonts w:ascii="Times New Roman" w:hAnsi="Times New Roman" w:cs="Times New Roman"/>
          <w:sz w:val="24"/>
          <w:szCs w:val="24"/>
        </w:rPr>
      </w:pPr>
    </w:p>
    <w:p w:rsidR="00312F6C" w:rsidRPr="005D13C9" w:rsidRDefault="005D13C9" w:rsidP="00DE4294">
      <w:pPr>
        <w:pStyle w:val="ListParagraph"/>
        <w:numPr>
          <w:ilvl w:val="0"/>
          <w:numId w:val="1"/>
        </w:numPr>
        <w:spacing w:line="360" w:lineRule="auto"/>
        <w:jc w:val="both"/>
        <w:rPr>
          <w:rFonts w:ascii="Times New Roman" w:hAnsi="Times New Roman" w:cs="Times New Roman"/>
          <w:b/>
          <w:sz w:val="24"/>
          <w:szCs w:val="24"/>
        </w:rPr>
      </w:pPr>
      <w:r w:rsidRPr="005D13C9">
        <w:rPr>
          <w:rFonts w:ascii="Times New Roman" w:hAnsi="Times New Roman" w:cs="Times New Roman"/>
          <w:sz w:val="24"/>
          <w:szCs w:val="24"/>
        </w:rPr>
        <w:lastRenderedPageBreak/>
        <w:t>B</w:t>
      </w:r>
      <w:r w:rsidR="00312F6C" w:rsidRPr="005D13C9">
        <w:rPr>
          <w:rFonts w:ascii="Times New Roman" w:hAnsi="Times New Roman" w:cs="Times New Roman"/>
          <w:sz w:val="24"/>
          <w:szCs w:val="24"/>
        </w:rPr>
        <w:t>aseline questionnaire 20</w:t>
      </w:r>
      <w:r w:rsidRPr="005D13C9">
        <w:rPr>
          <w:rFonts w:ascii="Times New Roman" w:hAnsi="Times New Roman" w:cs="Times New Roman"/>
          <w:sz w:val="24"/>
          <w:szCs w:val="24"/>
        </w:rPr>
        <w:t xml:space="preserve"> </w:t>
      </w:r>
      <w:r w:rsidR="00312F6C" w:rsidRPr="005D13C9">
        <w:rPr>
          <w:rFonts w:ascii="Times New Roman" w:hAnsi="Times New Roman" w:cs="Times New Roman"/>
          <w:sz w:val="24"/>
          <w:szCs w:val="24"/>
        </w:rPr>
        <w:t xml:space="preserve">asks the participant about </w:t>
      </w:r>
      <w:r w:rsidRPr="005D13C9">
        <w:rPr>
          <w:rFonts w:ascii="Times New Roman" w:hAnsi="Times New Roman" w:cs="Times New Roman"/>
          <w:sz w:val="24"/>
          <w:szCs w:val="24"/>
        </w:rPr>
        <w:t xml:space="preserve">regular consumption of various substances. However, it was never defined </w:t>
      </w:r>
      <w:r w:rsidR="00312F6C" w:rsidRPr="005D13C9">
        <w:rPr>
          <w:rFonts w:ascii="Times New Roman" w:hAnsi="Times New Roman" w:cs="Times New Roman"/>
          <w:sz w:val="24"/>
          <w:szCs w:val="24"/>
        </w:rPr>
        <w:t>how many times per day/month/week should be considered ‘regular c</w:t>
      </w:r>
      <w:r>
        <w:rPr>
          <w:rFonts w:ascii="Times New Roman" w:hAnsi="Times New Roman" w:cs="Times New Roman"/>
          <w:sz w:val="24"/>
          <w:szCs w:val="24"/>
        </w:rPr>
        <w:t>onsumption’.</w:t>
      </w:r>
    </w:p>
    <w:p w:rsidR="005D13C9" w:rsidRPr="005D13C9" w:rsidRDefault="005D13C9" w:rsidP="00DE4294">
      <w:pPr>
        <w:spacing w:line="360" w:lineRule="auto"/>
        <w:jc w:val="both"/>
        <w:rPr>
          <w:rFonts w:ascii="Times New Roman" w:hAnsi="Times New Roman" w:cs="Times New Roman"/>
          <w:b/>
          <w:sz w:val="24"/>
          <w:szCs w:val="24"/>
        </w:rPr>
      </w:pPr>
    </w:p>
    <w:p w:rsidR="00312F6C" w:rsidRPr="00131C0A" w:rsidRDefault="00312F6C" w:rsidP="00DE4294">
      <w:pPr>
        <w:spacing w:line="360" w:lineRule="auto"/>
        <w:jc w:val="both"/>
        <w:rPr>
          <w:rFonts w:ascii="Times New Roman" w:hAnsi="Times New Roman" w:cs="Times New Roman"/>
          <w:b/>
          <w:i/>
          <w:sz w:val="24"/>
          <w:szCs w:val="24"/>
        </w:rPr>
      </w:pPr>
      <w:r w:rsidRPr="00131C0A">
        <w:rPr>
          <w:rFonts w:ascii="Times New Roman" w:hAnsi="Times New Roman" w:cs="Times New Roman"/>
          <w:b/>
          <w:i/>
          <w:sz w:val="24"/>
          <w:szCs w:val="24"/>
        </w:rPr>
        <w:t>Software</w:t>
      </w:r>
    </w:p>
    <w:p w:rsidR="00312F6C" w:rsidRDefault="005D13C9"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w:t>
      </w:r>
      <w:r w:rsidR="00312F6C">
        <w:rPr>
          <w:rFonts w:ascii="Times New Roman" w:hAnsi="Times New Roman" w:cs="Times New Roman"/>
          <w:sz w:val="24"/>
          <w:szCs w:val="24"/>
        </w:rPr>
        <w:t xml:space="preserve"> entered into Microsoft Excel and analyzed in a database created in Microsoft Access.</w:t>
      </w:r>
    </w:p>
    <w:p w:rsidR="00654102" w:rsidRDefault="00654102" w:rsidP="00DE4294">
      <w:pPr>
        <w:spacing w:line="360" w:lineRule="auto"/>
        <w:jc w:val="both"/>
        <w:rPr>
          <w:rFonts w:ascii="Times New Roman" w:hAnsi="Times New Roman" w:cs="Times New Roman"/>
          <w:b/>
          <w:sz w:val="24"/>
          <w:szCs w:val="24"/>
        </w:rPr>
      </w:pPr>
    </w:p>
    <w:p w:rsidR="00654102" w:rsidRPr="00131C0A" w:rsidRDefault="005D13C9" w:rsidP="00DE4294">
      <w:pPr>
        <w:spacing w:line="360" w:lineRule="auto"/>
        <w:jc w:val="both"/>
        <w:rPr>
          <w:rFonts w:ascii="Times New Roman" w:hAnsi="Times New Roman" w:cs="Times New Roman"/>
          <w:b/>
          <w:i/>
          <w:sz w:val="24"/>
          <w:szCs w:val="24"/>
        </w:rPr>
      </w:pPr>
      <w:r w:rsidRPr="00131C0A">
        <w:rPr>
          <w:rFonts w:ascii="Times New Roman" w:hAnsi="Times New Roman" w:cs="Times New Roman"/>
          <w:b/>
          <w:i/>
          <w:sz w:val="24"/>
          <w:szCs w:val="24"/>
        </w:rPr>
        <w:t>Acknowledg</w:t>
      </w:r>
      <w:r w:rsidR="00654102" w:rsidRPr="00131C0A">
        <w:rPr>
          <w:rFonts w:ascii="Times New Roman" w:hAnsi="Times New Roman" w:cs="Times New Roman"/>
          <w:b/>
          <w:i/>
          <w:sz w:val="24"/>
          <w:szCs w:val="24"/>
        </w:rPr>
        <w:t>ments</w:t>
      </w:r>
    </w:p>
    <w:p w:rsidR="005D13C9" w:rsidRDefault="00654102"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acknowledge the therapists and the facilitators of the group sessions because without their support and efforts, this work would not have been possible. We also acknowledge all our participants in the program and commend them for taking the courage to embark on their journey to wholeness.  </w:t>
      </w:r>
    </w:p>
    <w:p w:rsidR="00223EE4" w:rsidRDefault="00223EE4" w:rsidP="00DE4294">
      <w:pPr>
        <w:spacing w:line="360" w:lineRule="auto"/>
        <w:jc w:val="both"/>
        <w:rPr>
          <w:rFonts w:ascii="Times New Roman" w:hAnsi="Times New Roman" w:cs="Times New Roman"/>
          <w:sz w:val="24"/>
          <w:szCs w:val="24"/>
        </w:rPr>
      </w:pPr>
    </w:p>
    <w:p w:rsidR="00312F6C" w:rsidRPr="00131C0A" w:rsidRDefault="00312F6C" w:rsidP="00DE4294">
      <w:pPr>
        <w:spacing w:line="360" w:lineRule="auto"/>
        <w:jc w:val="both"/>
        <w:rPr>
          <w:rFonts w:ascii="Times New Roman" w:hAnsi="Times New Roman" w:cs="Times New Roman"/>
          <w:b/>
          <w:i/>
          <w:sz w:val="24"/>
          <w:szCs w:val="24"/>
        </w:rPr>
      </w:pPr>
      <w:r w:rsidRPr="00131C0A">
        <w:rPr>
          <w:rFonts w:ascii="Times New Roman" w:hAnsi="Times New Roman" w:cs="Times New Roman"/>
          <w:b/>
          <w:i/>
          <w:sz w:val="24"/>
          <w:szCs w:val="24"/>
        </w:rPr>
        <w:t>Funding Details</w:t>
      </w:r>
    </w:p>
    <w:p w:rsidR="00312F6C"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work is supported by the Templeton World Charity Foundation under Grant TWCF 0172. </w:t>
      </w:r>
    </w:p>
    <w:p w:rsidR="005D13C9" w:rsidRDefault="005D13C9" w:rsidP="00DE4294">
      <w:pPr>
        <w:spacing w:line="360" w:lineRule="auto"/>
        <w:jc w:val="both"/>
        <w:rPr>
          <w:rFonts w:ascii="Times New Roman" w:hAnsi="Times New Roman" w:cs="Times New Roman"/>
          <w:sz w:val="24"/>
          <w:szCs w:val="24"/>
        </w:rPr>
      </w:pPr>
    </w:p>
    <w:p w:rsidR="00312F6C" w:rsidRPr="00131C0A" w:rsidRDefault="00312F6C" w:rsidP="00DE4294">
      <w:pPr>
        <w:spacing w:line="360" w:lineRule="auto"/>
        <w:jc w:val="both"/>
        <w:rPr>
          <w:rFonts w:ascii="Times New Roman" w:hAnsi="Times New Roman" w:cs="Times New Roman"/>
          <w:b/>
          <w:i/>
          <w:sz w:val="24"/>
          <w:szCs w:val="24"/>
        </w:rPr>
      </w:pPr>
      <w:r w:rsidRPr="00131C0A">
        <w:rPr>
          <w:rFonts w:ascii="Times New Roman" w:hAnsi="Times New Roman" w:cs="Times New Roman"/>
          <w:b/>
          <w:i/>
          <w:sz w:val="24"/>
          <w:szCs w:val="24"/>
        </w:rPr>
        <w:t>Disclosure Statement</w:t>
      </w:r>
    </w:p>
    <w:p w:rsidR="00312F6C" w:rsidRDefault="00312F6C" w:rsidP="00DE4294">
      <w:pPr>
        <w:spacing w:line="360" w:lineRule="auto"/>
        <w:jc w:val="both"/>
        <w:rPr>
          <w:rFonts w:ascii="Times New Roman" w:hAnsi="Times New Roman" w:cs="Times New Roman"/>
          <w:sz w:val="24"/>
          <w:szCs w:val="24"/>
        </w:rPr>
      </w:pPr>
      <w:r>
        <w:rPr>
          <w:rFonts w:ascii="Times New Roman" w:hAnsi="Times New Roman" w:cs="Times New Roman"/>
          <w:sz w:val="24"/>
          <w:szCs w:val="24"/>
        </w:rPr>
        <w:t>Both authors declare that there were no conflicts of interest regarding this study. Both authors had access to the data at all times</w:t>
      </w:r>
      <w:r w:rsidR="005D13C9">
        <w:rPr>
          <w:rFonts w:ascii="Times New Roman" w:hAnsi="Times New Roman" w:cs="Times New Roman"/>
          <w:sz w:val="24"/>
          <w:szCs w:val="24"/>
        </w:rPr>
        <w:t>,</w:t>
      </w:r>
      <w:r>
        <w:rPr>
          <w:rFonts w:ascii="Times New Roman" w:hAnsi="Times New Roman" w:cs="Times New Roman"/>
          <w:sz w:val="24"/>
          <w:szCs w:val="24"/>
        </w:rPr>
        <w:t xml:space="preserve"> and each had a role in writing the manuscript. </w:t>
      </w:r>
    </w:p>
    <w:p w:rsidR="00312F6C" w:rsidRDefault="00312F6C" w:rsidP="00DE4294">
      <w:pPr>
        <w:spacing w:line="360" w:lineRule="auto"/>
        <w:jc w:val="both"/>
        <w:rPr>
          <w:rFonts w:ascii="Times New Roman" w:hAnsi="Times New Roman" w:cs="Times New Roman"/>
          <w:sz w:val="24"/>
          <w:szCs w:val="24"/>
        </w:rPr>
      </w:pPr>
    </w:p>
    <w:p w:rsidR="00654102" w:rsidRDefault="00654102" w:rsidP="00DE4294">
      <w:pPr>
        <w:spacing w:line="360" w:lineRule="auto"/>
        <w:jc w:val="both"/>
        <w:rPr>
          <w:rFonts w:ascii="Times New Roman" w:hAnsi="Times New Roman" w:cs="Times New Roman"/>
          <w:sz w:val="24"/>
          <w:szCs w:val="24"/>
        </w:rPr>
      </w:pPr>
    </w:p>
    <w:p w:rsidR="00654102" w:rsidRDefault="00654102" w:rsidP="00DE4294">
      <w:pPr>
        <w:spacing w:line="360" w:lineRule="auto"/>
        <w:jc w:val="both"/>
        <w:rPr>
          <w:rFonts w:ascii="Times New Roman" w:hAnsi="Times New Roman" w:cs="Times New Roman"/>
          <w:sz w:val="24"/>
          <w:szCs w:val="24"/>
        </w:rPr>
      </w:pPr>
    </w:p>
    <w:p w:rsidR="00654102" w:rsidRDefault="00654102" w:rsidP="00DE4294">
      <w:pPr>
        <w:spacing w:line="360" w:lineRule="auto"/>
        <w:jc w:val="both"/>
        <w:rPr>
          <w:rFonts w:ascii="Times New Roman" w:hAnsi="Times New Roman" w:cs="Times New Roman"/>
          <w:sz w:val="24"/>
          <w:szCs w:val="24"/>
        </w:rPr>
      </w:pPr>
    </w:p>
    <w:p w:rsidR="00654102" w:rsidRDefault="00654102" w:rsidP="00DE4294">
      <w:pPr>
        <w:spacing w:line="360" w:lineRule="auto"/>
        <w:jc w:val="both"/>
        <w:rPr>
          <w:rFonts w:ascii="Times New Roman" w:hAnsi="Times New Roman" w:cs="Times New Roman"/>
          <w:sz w:val="24"/>
          <w:szCs w:val="24"/>
        </w:rPr>
      </w:pPr>
    </w:p>
    <w:p w:rsidR="00654102" w:rsidRDefault="00654102" w:rsidP="00DE4294">
      <w:pPr>
        <w:spacing w:line="360" w:lineRule="auto"/>
        <w:jc w:val="both"/>
        <w:rPr>
          <w:rFonts w:ascii="Times New Roman" w:hAnsi="Times New Roman" w:cs="Times New Roman"/>
          <w:sz w:val="24"/>
          <w:szCs w:val="24"/>
        </w:rPr>
      </w:pPr>
    </w:p>
    <w:p w:rsidR="00BA6B45" w:rsidRDefault="00BA6B45" w:rsidP="00DE4294">
      <w:pPr>
        <w:spacing w:line="360" w:lineRule="auto"/>
        <w:jc w:val="both"/>
        <w:rPr>
          <w:rFonts w:ascii="Times New Roman" w:hAnsi="Times New Roman" w:cs="Times New Roman"/>
          <w:sz w:val="24"/>
          <w:szCs w:val="24"/>
        </w:rPr>
      </w:pPr>
    </w:p>
    <w:p w:rsidR="00BA6B45" w:rsidRDefault="00BA6B45" w:rsidP="00DE4294">
      <w:pPr>
        <w:spacing w:line="360" w:lineRule="auto"/>
        <w:jc w:val="both"/>
        <w:rPr>
          <w:rFonts w:ascii="Times New Roman" w:hAnsi="Times New Roman" w:cs="Times New Roman"/>
          <w:sz w:val="24"/>
          <w:szCs w:val="24"/>
        </w:rPr>
      </w:pPr>
    </w:p>
    <w:p w:rsidR="00BA6B45" w:rsidRDefault="00BA6B45" w:rsidP="00DE4294">
      <w:pPr>
        <w:spacing w:line="360" w:lineRule="auto"/>
        <w:jc w:val="both"/>
        <w:rPr>
          <w:rFonts w:ascii="Times New Roman" w:hAnsi="Times New Roman" w:cs="Times New Roman"/>
          <w:sz w:val="24"/>
          <w:szCs w:val="24"/>
        </w:rPr>
      </w:pPr>
    </w:p>
    <w:p w:rsidR="00BA6B45" w:rsidRDefault="00BA6B45" w:rsidP="00DE4294">
      <w:pPr>
        <w:spacing w:line="360" w:lineRule="auto"/>
        <w:jc w:val="both"/>
        <w:rPr>
          <w:rFonts w:ascii="Times New Roman" w:hAnsi="Times New Roman" w:cs="Times New Roman"/>
          <w:sz w:val="24"/>
          <w:szCs w:val="24"/>
        </w:rPr>
      </w:pPr>
    </w:p>
    <w:p w:rsidR="00706C95" w:rsidRDefault="00706C95" w:rsidP="00DE4294">
      <w:pPr>
        <w:spacing w:line="360" w:lineRule="auto"/>
        <w:jc w:val="both"/>
        <w:rPr>
          <w:rFonts w:ascii="Times New Roman" w:hAnsi="Times New Roman" w:cs="Times New Roman"/>
          <w:sz w:val="24"/>
          <w:szCs w:val="24"/>
        </w:rPr>
      </w:pPr>
    </w:p>
    <w:sdt>
      <w:sdtPr>
        <w:rPr>
          <w:b/>
          <w:bCs/>
        </w:rPr>
        <w:id w:val="-784965709"/>
        <w:docPartObj>
          <w:docPartGallery w:val="Bibliographies"/>
          <w:docPartUnique/>
        </w:docPartObj>
      </w:sdtPr>
      <w:sdtEndPr>
        <w:rPr>
          <w:b w:val="0"/>
          <w:bCs w:val="0"/>
        </w:rPr>
      </w:sdtEndPr>
      <w:sdtContent>
        <w:p w:rsidR="00312F6C" w:rsidRPr="00973BC4" w:rsidRDefault="00312F6C" w:rsidP="00DE4294">
          <w:pPr>
            <w:spacing w:line="360" w:lineRule="auto"/>
            <w:jc w:val="both"/>
            <w:rPr>
              <w:rFonts w:ascii="Times New Roman" w:hAnsi="Times New Roman" w:cs="Times New Roman"/>
              <w:color w:val="FF0000"/>
              <w:sz w:val="24"/>
              <w:szCs w:val="24"/>
            </w:rPr>
          </w:pPr>
          <w:r w:rsidRPr="00131C0A">
            <w:rPr>
              <w:rFonts w:ascii="Times New Roman" w:hAnsi="Times New Roman" w:cs="Times New Roman"/>
              <w:b/>
              <w:i/>
              <w:sz w:val="24"/>
              <w:szCs w:val="24"/>
            </w:rPr>
            <w:t>References</w:t>
          </w:r>
          <w:r w:rsidR="00973BC4" w:rsidRPr="00131C0A">
            <w:rPr>
              <w:rFonts w:ascii="Times New Roman" w:hAnsi="Times New Roman" w:cs="Times New Roman"/>
              <w:b/>
              <w:i/>
              <w:sz w:val="24"/>
              <w:szCs w:val="24"/>
            </w:rPr>
            <w:t xml:space="preserve"> </w:t>
          </w:r>
          <w:r w:rsidR="00973BC4">
            <w:rPr>
              <w:rFonts w:ascii="Times New Roman" w:hAnsi="Times New Roman" w:cs="Times New Roman"/>
              <w:sz w:val="24"/>
              <w:szCs w:val="24"/>
            </w:rPr>
            <w:t xml:space="preserve"> </w:t>
          </w:r>
          <w:r w:rsidR="00973BC4">
            <w:rPr>
              <w:rFonts w:ascii="Times New Roman" w:hAnsi="Times New Roman" w:cs="Times New Roman"/>
              <w:color w:val="FF0000"/>
              <w:sz w:val="24"/>
              <w:szCs w:val="24"/>
            </w:rPr>
            <w:t xml:space="preserve"> </w:t>
          </w:r>
        </w:p>
        <w:p w:rsidR="00A746B3" w:rsidRDefault="00A746B3"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(n.d.). Retrieved June 2017, from Adverse Childhood Experience (ACE) Questionnaire: https://www.ncjfcj.org/sites/default/files/Finding%20Your%20ACE%20Score.pdf</w:t>
          </w:r>
        </w:p>
        <w:p w:rsidR="00A746B3" w:rsidRDefault="00A746B3"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(n.d.). Retrieved June 2017, from Post-Traumatic Stress Disorder Self-Test: https://adaa.org/screening-posttraumatic-stress-disorder-ptsd</w:t>
          </w:r>
        </w:p>
        <w:p w:rsidR="00A746B3" w:rsidRPr="00A746B3" w:rsidRDefault="00A746B3" w:rsidP="00DE4294">
          <w:pPr>
            <w:pStyle w:val="Bibliography"/>
            <w:spacing w:line="360" w:lineRule="auto"/>
            <w:ind w:left="706" w:hanging="706"/>
            <w:jc w:val="both"/>
            <w:rPr>
              <w:rFonts w:ascii="Times New Roman" w:hAnsi="Times New Roman" w:cs="Times New Roman"/>
              <w:sz w:val="24"/>
              <w:szCs w:val="24"/>
            </w:rPr>
          </w:pPr>
          <w:r w:rsidRPr="00CB71E0">
            <w:rPr>
              <w:rFonts w:ascii="Times New Roman" w:hAnsi="Times New Roman" w:cs="Times New Roman"/>
              <w:noProof/>
              <w:sz w:val="24"/>
              <w:szCs w:val="24"/>
            </w:rPr>
            <w:t xml:space="preserve">Abernethy, A. D., Allen, D. F., &amp; Allen Carroll, M. (2017). Adapting Group Therapy to Address Real World Problems: Insights from Groups Offered in the Bahamas. </w:t>
          </w:r>
          <w:r w:rsidRPr="00CB71E0">
            <w:rPr>
              <w:rFonts w:ascii="Times New Roman" w:hAnsi="Times New Roman" w:cs="Times New Roman"/>
              <w:i/>
              <w:iCs/>
              <w:noProof/>
              <w:sz w:val="24"/>
              <w:szCs w:val="24"/>
            </w:rPr>
            <w:t>International Journal of Group Psychotherapy</w:t>
          </w:r>
          <w:r w:rsidRPr="00CB71E0">
            <w:rPr>
              <w:rFonts w:ascii="Times New Roman" w:hAnsi="Times New Roman" w:cs="Times New Roman"/>
              <w:noProof/>
              <w:sz w:val="24"/>
              <w:szCs w:val="24"/>
            </w:rPr>
            <w:t>.</w:t>
          </w:r>
          <w:r>
            <w:rPr>
              <w:rFonts w:ascii="Times New Roman" w:hAnsi="Times New Roman" w:cs="Times New Roman"/>
              <w:noProof/>
              <w:sz w:val="24"/>
              <w:szCs w:val="24"/>
            </w:rPr>
            <w:t xml:space="preserve"> </w:t>
          </w:r>
          <w:r w:rsidRPr="00A746B3">
            <w:rPr>
              <w:rFonts w:ascii="Times New Roman" w:hAnsi="Times New Roman" w:cs="Times New Roman"/>
              <w:sz w:val="24"/>
              <w:szCs w:val="24"/>
            </w:rPr>
            <w:t>DOI: 10.1080/00207284.2017.1335582</w:t>
          </w:r>
        </w:p>
        <w:p w:rsidR="00A746B3" w:rsidRDefault="00A746B3"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Allen, D. F., &amp; Jekel, J. F. (1991). </w:t>
          </w:r>
          <w:r w:rsidRPr="00CB71E0">
            <w:rPr>
              <w:rFonts w:ascii="Times New Roman" w:hAnsi="Times New Roman" w:cs="Times New Roman"/>
              <w:i/>
              <w:iCs/>
              <w:noProof/>
              <w:sz w:val="24"/>
              <w:szCs w:val="24"/>
            </w:rPr>
            <w:t>Crack: The Broken Promise.</w:t>
          </w:r>
          <w:r w:rsidRPr="00CB71E0">
            <w:rPr>
              <w:rFonts w:ascii="Times New Roman" w:hAnsi="Times New Roman" w:cs="Times New Roman"/>
              <w:noProof/>
              <w:sz w:val="24"/>
              <w:szCs w:val="24"/>
            </w:rPr>
            <w:t xml:space="preserve"> London: MacMillan Academic and Professional Ltd.</w:t>
          </w:r>
        </w:p>
        <w:p w:rsidR="007B2925" w:rsidRDefault="007B2925" w:rsidP="00DE4294">
          <w:pPr>
            <w:pStyle w:val="Bibliography"/>
            <w:spacing w:line="360" w:lineRule="auto"/>
            <w:ind w:left="706" w:hanging="706"/>
            <w:jc w:val="both"/>
            <w:rPr>
              <w:rFonts w:ascii="Times New Roman" w:hAnsi="Times New Roman" w:cs="Times New Roman"/>
              <w:color w:val="0072BC"/>
              <w:sz w:val="24"/>
              <w:szCs w:val="24"/>
            </w:rPr>
          </w:pPr>
          <w:r w:rsidRPr="00CB71E0">
            <w:rPr>
              <w:rFonts w:ascii="Times New Roman" w:hAnsi="Times New Roman" w:cs="Times New Roman"/>
              <w:noProof/>
              <w:sz w:val="24"/>
              <w:szCs w:val="24"/>
            </w:rPr>
            <w:t xml:space="preserve">Allen, D., Mayo, M., Allen Carroll, M., Manganello, J., Allen, V., &amp; Singh, J. (2014). Cultivating Gratitude: Contemplative Discovery Pathway Theory Applied to Group Therapy in the Bahamas. </w:t>
          </w:r>
          <w:r w:rsidRPr="00CB71E0">
            <w:rPr>
              <w:rFonts w:ascii="Times New Roman" w:hAnsi="Times New Roman" w:cs="Times New Roman"/>
              <w:i/>
              <w:iCs/>
              <w:noProof/>
              <w:sz w:val="24"/>
              <w:szCs w:val="24"/>
            </w:rPr>
            <w:t>Journal of Trauma and Treatment</w:t>
          </w:r>
          <w:r>
            <w:rPr>
              <w:rFonts w:ascii="Times New Roman" w:hAnsi="Times New Roman" w:cs="Times New Roman"/>
              <w:noProof/>
              <w:sz w:val="24"/>
              <w:szCs w:val="24"/>
            </w:rPr>
            <w:t xml:space="preserve">, 3 (197). </w:t>
          </w:r>
          <w:r w:rsidR="005D13C9">
            <w:rPr>
              <w:rFonts w:ascii="Times New Roman" w:hAnsi="Times New Roman" w:cs="Times New Roman"/>
              <w:color w:val="000000"/>
              <w:sz w:val="24"/>
              <w:szCs w:val="24"/>
            </w:rPr>
            <w:t>DOI</w:t>
          </w:r>
          <w:r w:rsidRPr="007B2925">
            <w:rPr>
              <w:rFonts w:ascii="Times New Roman" w:hAnsi="Times New Roman" w:cs="Times New Roman"/>
              <w:color w:val="000000"/>
              <w:sz w:val="24"/>
              <w:szCs w:val="24"/>
            </w:rPr>
            <w:t>:</w:t>
          </w:r>
          <w:r w:rsidRPr="007B2925">
            <w:rPr>
              <w:rFonts w:ascii="Times New Roman" w:hAnsi="Times New Roman" w:cs="Times New Roman"/>
              <w:color w:val="0072BC"/>
              <w:sz w:val="24"/>
              <w:szCs w:val="24"/>
            </w:rPr>
            <w:t>10.4172/2167-1222.1000197</w:t>
          </w:r>
        </w:p>
        <w:p w:rsidR="007B2925" w:rsidRPr="007B2925" w:rsidRDefault="007B2925"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Allen, D., Allen-Carroll, M., Bethell, K., &amp; Manganello, J. (2017). An Instrument for Assessment of Longitudinal Community Resocialization Through a Group Process Intervention. </w:t>
          </w:r>
          <w:r w:rsidRPr="00CB71E0">
            <w:rPr>
              <w:rFonts w:ascii="Times New Roman" w:hAnsi="Times New Roman" w:cs="Times New Roman"/>
              <w:i/>
              <w:iCs/>
              <w:noProof/>
              <w:sz w:val="24"/>
              <w:szCs w:val="24"/>
            </w:rPr>
            <w:t>Journal of Trauma and Treatment</w:t>
          </w:r>
          <w:r>
            <w:rPr>
              <w:rFonts w:ascii="Times New Roman" w:hAnsi="Times New Roman" w:cs="Times New Roman"/>
              <w:i/>
              <w:iCs/>
              <w:noProof/>
              <w:sz w:val="24"/>
              <w:szCs w:val="24"/>
            </w:rPr>
            <w:t>,</w:t>
          </w:r>
          <w:r>
            <w:rPr>
              <w:rFonts w:ascii="Times New Roman" w:hAnsi="Times New Roman" w:cs="Times New Roman"/>
              <w:i/>
              <w:noProof/>
              <w:sz w:val="24"/>
              <w:szCs w:val="24"/>
            </w:rPr>
            <w:t xml:space="preserve"> </w:t>
          </w:r>
          <w:r w:rsidRPr="007B2925">
            <w:rPr>
              <w:rFonts w:ascii="Times New Roman" w:hAnsi="Times New Roman" w:cs="Times New Roman"/>
              <w:noProof/>
              <w:sz w:val="24"/>
              <w:szCs w:val="24"/>
            </w:rPr>
            <w:t>6 (355)</w:t>
          </w:r>
          <w:r>
            <w:rPr>
              <w:rFonts w:ascii="Times New Roman" w:hAnsi="Times New Roman" w:cs="Times New Roman"/>
              <w:i/>
              <w:noProof/>
              <w:sz w:val="24"/>
              <w:szCs w:val="24"/>
            </w:rPr>
            <w:t xml:space="preserve">. </w:t>
          </w:r>
          <w:r w:rsidR="005D13C9">
            <w:rPr>
              <w:rFonts w:ascii="Times New Roman" w:hAnsi="Times New Roman" w:cs="Times New Roman"/>
              <w:color w:val="000000"/>
              <w:sz w:val="24"/>
              <w:szCs w:val="24"/>
            </w:rPr>
            <w:t>DOI</w:t>
          </w:r>
          <w:r w:rsidRPr="007B2925">
            <w:rPr>
              <w:rFonts w:ascii="Times New Roman" w:hAnsi="Times New Roman" w:cs="Times New Roman"/>
              <w:color w:val="000000"/>
              <w:sz w:val="24"/>
              <w:szCs w:val="24"/>
            </w:rPr>
            <w:t>:</w:t>
          </w:r>
          <w:r w:rsidRPr="007B2925">
            <w:rPr>
              <w:rFonts w:ascii="Times New Roman" w:hAnsi="Times New Roman" w:cs="Times New Roman"/>
              <w:color w:val="185FA2"/>
              <w:sz w:val="24"/>
              <w:szCs w:val="24"/>
            </w:rPr>
            <w:t>10.4172/2167-1222.1000355</w:t>
          </w:r>
        </w:p>
        <w:p w:rsidR="007B2925" w:rsidRDefault="007B2925" w:rsidP="00DE4294">
          <w:pPr>
            <w:pStyle w:val="Bibliography"/>
            <w:spacing w:line="360" w:lineRule="auto"/>
            <w:ind w:left="706" w:hanging="706"/>
            <w:jc w:val="both"/>
            <w:rPr>
              <w:rFonts w:ascii="Times New Roman" w:hAnsi="Times New Roman" w:cs="Times New Roman"/>
              <w:noProof/>
              <w:sz w:val="24"/>
              <w:szCs w:val="24"/>
            </w:rPr>
          </w:pPr>
          <w:r>
            <w:rPr>
              <w:rFonts w:ascii="Times New Roman" w:hAnsi="Times New Roman" w:cs="Times New Roman"/>
              <w:noProof/>
              <w:sz w:val="24"/>
              <w:szCs w:val="24"/>
            </w:rPr>
            <w:t xml:space="preserve">Beck, A.T., Ward, C.H., Mendelson, M., Mock, J., &amp; Erbaugh, J. (1961). </w:t>
          </w:r>
          <w:r w:rsidRPr="006B1B63">
            <w:rPr>
              <w:rFonts w:ascii="Times New Roman" w:hAnsi="Times New Roman" w:cs="Times New Roman"/>
              <w:noProof/>
              <w:sz w:val="24"/>
              <w:szCs w:val="24"/>
            </w:rPr>
            <w:t>An Inventory for measuring depression.</w:t>
          </w:r>
          <w:r>
            <w:rPr>
              <w:rFonts w:ascii="Times New Roman" w:hAnsi="Times New Roman" w:cs="Times New Roman"/>
              <w:noProof/>
              <w:sz w:val="24"/>
              <w:szCs w:val="24"/>
            </w:rPr>
            <w:t xml:space="preserve"> </w:t>
          </w:r>
          <w:r>
            <w:rPr>
              <w:rFonts w:ascii="Times New Roman" w:hAnsi="Times New Roman" w:cs="Times New Roman"/>
              <w:i/>
              <w:noProof/>
              <w:sz w:val="24"/>
              <w:szCs w:val="24"/>
            </w:rPr>
            <w:t xml:space="preserve">Archives of General Psychiatry, </w:t>
          </w:r>
          <w:r>
            <w:rPr>
              <w:rFonts w:ascii="Times New Roman" w:hAnsi="Times New Roman" w:cs="Times New Roman"/>
              <w:noProof/>
              <w:sz w:val="24"/>
              <w:szCs w:val="24"/>
            </w:rPr>
            <w:t xml:space="preserve">4, 561-571. </w:t>
          </w:r>
          <w:r w:rsidRPr="006B1B63">
            <w:rPr>
              <w:rFonts w:ascii="Times New Roman" w:hAnsi="Times New Roman" w:cs="Times New Roman"/>
              <w:noProof/>
              <w:sz w:val="24"/>
              <w:szCs w:val="24"/>
            </w:rPr>
            <w:t xml:space="preserve"> </w:t>
          </w:r>
          <w:r w:rsidRPr="00CB71E0">
            <w:rPr>
              <w:rFonts w:ascii="Times New Roman" w:hAnsi="Times New Roman" w:cs="Times New Roman"/>
              <w:noProof/>
              <w:sz w:val="24"/>
              <w:szCs w:val="24"/>
            </w:rPr>
            <w:t xml:space="preserve"> https://www.ismanet.org/doctoryourspirit/pdfs/Beck-Depression-Inventory-BDI.pdf</w:t>
          </w:r>
        </w:p>
        <w:p w:rsidR="007B2925" w:rsidRPr="007B2925" w:rsidRDefault="007B2925" w:rsidP="00DE4294">
          <w:pPr>
            <w:pStyle w:val="Bibliography"/>
            <w:spacing w:line="360" w:lineRule="auto"/>
            <w:ind w:left="706" w:hanging="706"/>
            <w:jc w:val="both"/>
            <w:rPr>
              <w:rFonts w:ascii="Times New Roman" w:hAnsi="Times New Roman" w:cs="Times New Roman"/>
              <w:i/>
              <w:noProof/>
              <w:sz w:val="24"/>
              <w:szCs w:val="24"/>
            </w:rPr>
          </w:pPr>
          <w:r w:rsidRPr="00CB71E0">
            <w:rPr>
              <w:rFonts w:ascii="Times New Roman" w:hAnsi="Times New Roman" w:cs="Times New Roman"/>
              <w:noProof/>
              <w:sz w:val="24"/>
              <w:szCs w:val="24"/>
            </w:rPr>
            <w:t xml:space="preserve">Bethell, K., Allen, D., &amp; Allen Carroll, M. (2015). Using a Supportive Group Process to Cope with the Trauma of Social Fragmentation and Promote Re-socialization in the Bahamas. </w:t>
          </w:r>
          <w:r w:rsidRPr="00CB71E0">
            <w:rPr>
              <w:rFonts w:ascii="Times New Roman" w:hAnsi="Times New Roman" w:cs="Times New Roman"/>
              <w:i/>
              <w:iCs/>
              <w:noProof/>
              <w:sz w:val="24"/>
              <w:szCs w:val="24"/>
            </w:rPr>
            <w:t>Emergency Medicine: Open Access</w:t>
          </w:r>
          <w:r>
            <w:rPr>
              <w:rFonts w:ascii="Times New Roman" w:hAnsi="Times New Roman" w:cs="Times New Roman"/>
              <w:noProof/>
              <w:sz w:val="24"/>
              <w:szCs w:val="24"/>
            </w:rPr>
            <w:t xml:space="preserve">, </w:t>
          </w:r>
          <w:r w:rsidRPr="007B2925">
            <w:rPr>
              <w:rFonts w:ascii="Times New Roman" w:hAnsi="Times New Roman" w:cs="Times New Roman"/>
              <w:noProof/>
              <w:sz w:val="24"/>
              <w:szCs w:val="24"/>
            </w:rPr>
            <w:t>5(244)</w:t>
          </w:r>
          <w:r>
            <w:rPr>
              <w:rFonts w:ascii="Times New Roman" w:hAnsi="Times New Roman" w:cs="Times New Roman"/>
              <w:i/>
              <w:noProof/>
              <w:sz w:val="24"/>
              <w:szCs w:val="24"/>
            </w:rPr>
            <w:t xml:space="preserve">. </w:t>
          </w:r>
          <w:r w:rsidR="005D13C9">
            <w:rPr>
              <w:rFonts w:ascii="Times New Roman" w:hAnsi="Times New Roman" w:cs="Times New Roman"/>
              <w:color w:val="000000"/>
              <w:sz w:val="24"/>
              <w:szCs w:val="24"/>
            </w:rPr>
            <w:t>DOI</w:t>
          </w:r>
          <w:r w:rsidRPr="007B2925">
            <w:rPr>
              <w:rFonts w:ascii="Times New Roman" w:hAnsi="Times New Roman" w:cs="Times New Roman"/>
              <w:color w:val="000000"/>
              <w:sz w:val="24"/>
              <w:szCs w:val="24"/>
            </w:rPr>
            <w:t>:</w:t>
          </w:r>
          <w:r w:rsidRPr="007B2925">
            <w:rPr>
              <w:rFonts w:ascii="Times New Roman" w:hAnsi="Times New Roman" w:cs="Times New Roman"/>
              <w:color w:val="185FA2"/>
              <w:sz w:val="24"/>
              <w:szCs w:val="24"/>
            </w:rPr>
            <w:t>10.4172/2165-7548.1000244</w:t>
          </w:r>
        </w:p>
        <w:p w:rsidR="007B2925" w:rsidRDefault="007B2925"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Burke-Harris, N. (2018). </w:t>
          </w:r>
          <w:r w:rsidRPr="00CB71E0">
            <w:rPr>
              <w:rFonts w:ascii="Times New Roman" w:hAnsi="Times New Roman" w:cs="Times New Roman"/>
              <w:i/>
              <w:iCs/>
              <w:noProof/>
              <w:sz w:val="24"/>
              <w:szCs w:val="24"/>
            </w:rPr>
            <w:t>The Deepest Well: Healing the Long-Term Effects of Childhood Adversity.</w:t>
          </w:r>
          <w:r w:rsidRPr="00CB71E0">
            <w:rPr>
              <w:rFonts w:ascii="Times New Roman" w:hAnsi="Times New Roman" w:cs="Times New Roman"/>
              <w:noProof/>
              <w:sz w:val="24"/>
              <w:szCs w:val="24"/>
            </w:rPr>
            <w:t xml:space="preserve"> New York: Mariner Books.</w:t>
          </w:r>
        </w:p>
        <w:p w:rsidR="007B2925" w:rsidRPr="007B2925" w:rsidRDefault="007B2925"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Felitti, V., Anda, R., Nordenberg, D., Williamson, D., Spitz, A., Edwards, V., et al. (1998). Relationship of childhood abuse and household dysfunction to many of the leading causes of death in adults. The Adverse Childhood Experiences (ACE) Study. </w:t>
          </w:r>
          <w:r w:rsidRPr="00CB71E0">
            <w:rPr>
              <w:rFonts w:ascii="Times New Roman" w:hAnsi="Times New Roman" w:cs="Times New Roman"/>
              <w:i/>
              <w:iCs/>
              <w:noProof/>
              <w:sz w:val="24"/>
              <w:szCs w:val="24"/>
            </w:rPr>
            <w:lastRenderedPageBreak/>
            <w:t>American Journal of Preventative Medicine</w:t>
          </w:r>
          <w:r w:rsidRPr="00CB71E0">
            <w:rPr>
              <w:rFonts w:ascii="Times New Roman" w:hAnsi="Times New Roman" w:cs="Times New Roman"/>
              <w:noProof/>
              <w:sz w:val="24"/>
              <w:szCs w:val="24"/>
            </w:rPr>
            <w:t>, 245-258.</w:t>
          </w:r>
          <w:r>
            <w:rPr>
              <w:rFonts w:ascii="Times New Roman" w:hAnsi="Times New Roman" w:cs="Times New Roman"/>
              <w:noProof/>
              <w:sz w:val="24"/>
              <w:szCs w:val="24"/>
            </w:rPr>
            <w:t xml:space="preserve"> </w:t>
          </w:r>
          <w:r w:rsidR="00D94764">
            <w:rPr>
              <w:rFonts w:ascii="Times New Roman" w:hAnsi="Times New Roman" w:cs="Times New Roman"/>
              <w:sz w:val="24"/>
              <w:szCs w:val="24"/>
              <w:shd w:val="clear" w:color="auto" w:fill="FFFFFF"/>
            </w:rPr>
            <w:t>DOI</w:t>
          </w:r>
          <w:r w:rsidRPr="007B2925">
            <w:rPr>
              <w:rFonts w:ascii="Times New Roman" w:hAnsi="Times New Roman" w:cs="Times New Roman"/>
              <w:sz w:val="24"/>
              <w:szCs w:val="24"/>
              <w:shd w:val="clear" w:color="auto" w:fill="FFFFFF"/>
            </w:rPr>
            <w:t>: 10.1016/s0749-3797(98)00017-8.</w:t>
          </w:r>
        </w:p>
        <w:p w:rsidR="00CA712B" w:rsidRDefault="00CA712B" w:rsidP="00DE4294">
          <w:pPr>
            <w:pStyle w:val="Bibliography"/>
            <w:spacing w:line="360" w:lineRule="auto"/>
            <w:ind w:left="706" w:hanging="706"/>
            <w:jc w:val="left"/>
            <w:rPr>
              <w:rFonts w:ascii="Times New Roman" w:hAnsi="Times New Roman" w:cs="Times New Roman"/>
              <w:noProof/>
              <w:sz w:val="24"/>
              <w:szCs w:val="24"/>
            </w:rPr>
          </w:pPr>
          <w:r w:rsidRPr="00497DE8">
            <w:rPr>
              <w:rFonts w:ascii="Times New Roman" w:hAnsi="Times New Roman" w:cs="Times New Roman"/>
              <w:noProof/>
              <w:sz w:val="24"/>
              <w:szCs w:val="24"/>
            </w:rPr>
            <w:t xml:space="preserve">George, D. T., &amp; Berger, L. (2013). </w:t>
          </w:r>
          <w:r w:rsidRPr="00497DE8">
            <w:rPr>
              <w:rFonts w:ascii="Times New Roman" w:hAnsi="Times New Roman" w:cs="Times New Roman"/>
              <w:i/>
              <w:iCs/>
              <w:noProof/>
              <w:sz w:val="24"/>
              <w:szCs w:val="24"/>
            </w:rPr>
            <w:t>Untangling the Mind: Why We Behave the Way We Do.</w:t>
          </w:r>
          <w:r w:rsidRPr="00497DE8">
            <w:rPr>
              <w:rFonts w:ascii="Times New Roman" w:hAnsi="Times New Roman" w:cs="Times New Roman"/>
              <w:noProof/>
              <w:sz w:val="24"/>
              <w:szCs w:val="24"/>
            </w:rPr>
            <w:t xml:space="preserve"> New York: HarperCollins Publishers.</w:t>
          </w:r>
        </w:p>
        <w:p w:rsidR="00CA712B" w:rsidRDefault="00CA712B"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Jekel, J. F., Allen, D. F., Podlewski, H., Clarke, N., Dean-Patterson, S., &amp; Cartwright, P. (1986). Epidemic free-base cocaine abuse. Case study from the Bahamas. </w:t>
          </w:r>
          <w:r w:rsidRPr="00CB71E0">
            <w:rPr>
              <w:rFonts w:ascii="Times New Roman" w:hAnsi="Times New Roman" w:cs="Times New Roman"/>
              <w:i/>
              <w:iCs/>
              <w:noProof/>
              <w:sz w:val="24"/>
              <w:szCs w:val="24"/>
            </w:rPr>
            <w:t>Lancet, 1</w:t>
          </w:r>
          <w:r w:rsidRPr="00CB71E0">
            <w:rPr>
              <w:rFonts w:ascii="Times New Roman" w:hAnsi="Times New Roman" w:cs="Times New Roman"/>
              <w:noProof/>
              <w:sz w:val="24"/>
              <w:szCs w:val="24"/>
            </w:rPr>
            <w:t>(8479), 459-462.</w:t>
          </w:r>
        </w:p>
        <w:p w:rsidR="00CA712B" w:rsidRDefault="00CA712B"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Lewis, D. O. (1992). From Abuse to Violence: Psychophysiological Consequences of Maltreatment. </w:t>
          </w:r>
          <w:r w:rsidRPr="00CB71E0">
            <w:rPr>
              <w:rFonts w:ascii="Times New Roman" w:hAnsi="Times New Roman" w:cs="Times New Roman"/>
              <w:i/>
              <w:iCs/>
              <w:noProof/>
              <w:sz w:val="24"/>
              <w:szCs w:val="24"/>
            </w:rPr>
            <w:t>Journal of the American Academy of Child and Adolescent Psychiatry</w:t>
          </w:r>
          <w:r w:rsidRPr="00CB71E0">
            <w:rPr>
              <w:rFonts w:ascii="Times New Roman" w:hAnsi="Times New Roman" w:cs="Times New Roman"/>
              <w:noProof/>
              <w:sz w:val="24"/>
              <w:szCs w:val="24"/>
            </w:rPr>
            <w:t>, 383-391.</w:t>
          </w:r>
          <w:r>
            <w:rPr>
              <w:rFonts w:ascii="Times New Roman" w:hAnsi="Times New Roman" w:cs="Times New Roman"/>
              <w:noProof/>
              <w:sz w:val="24"/>
              <w:szCs w:val="24"/>
            </w:rPr>
            <w:t xml:space="preserve"> </w:t>
          </w:r>
          <w:r w:rsidRPr="00CA712B">
            <w:rPr>
              <w:rFonts w:ascii="Times New Roman" w:hAnsi="Times New Roman" w:cs="Times New Roman"/>
              <w:color w:val="333333"/>
              <w:sz w:val="24"/>
              <w:szCs w:val="24"/>
              <w:shd w:val="clear" w:color="auto" w:fill="FFFFFF"/>
            </w:rPr>
            <w:t>DOI: </w:t>
          </w:r>
          <w:hyperlink r:id="rId10" w:history="1">
            <w:r w:rsidRPr="00CA712B">
              <w:rPr>
                <w:rStyle w:val="Hyperlink"/>
                <w:rFonts w:ascii="Times New Roman" w:hAnsi="Times New Roman" w:cs="Times New Roman"/>
                <w:color w:val="0099CC"/>
                <w:sz w:val="24"/>
                <w:szCs w:val="24"/>
                <w:shd w:val="clear" w:color="auto" w:fill="FFFFFF"/>
              </w:rPr>
              <w:t>https://doi.org/10.1097/00004583-199205000-00001</w:t>
            </w:r>
          </w:hyperlink>
        </w:p>
        <w:p w:rsidR="00CA712B" w:rsidRDefault="00CA712B" w:rsidP="00DE4294">
          <w:pPr>
            <w:pStyle w:val="Bibliography"/>
            <w:spacing w:line="360" w:lineRule="auto"/>
            <w:ind w:left="706" w:hanging="706"/>
            <w:jc w:val="both"/>
          </w:pPr>
          <w:r>
            <w:rPr>
              <w:rFonts w:ascii="Times New Roman" w:hAnsi="Times New Roman" w:cs="Times New Roman"/>
              <w:noProof/>
              <w:sz w:val="24"/>
              <w:szCs w:val="24"/>
            </w:rPr>
            <w:t>L</w:t>
          </w:r>
          <w:r w:rsidRPr="00B26614">
            <w:rPr>
              <w:rFonts w:ascii="Times New Roman" w:hAnsi="Times New Roman" w:cs="Times New Roman"/>
              <w:noProof/>
              <w:sz w:val="24"/>
              <w:szCs w:val="24"/>
            </w:rPr>
            <w:t xml:space="preserve">ewis, D. O. (1998). </w:t>
          </w:r>
          <w:r w:rsidRPr="00B26614">
            <w:rPr>
              <w:rFonts w:ascii="Times New Roman" w:hAnsi="Times New Roman" w:cs="Times New Roman"/>
              <w:i/>
              <w:iCs/>
              <w:noProof/>
              <w:sz w:val="24"/>
              <w:szCs w:val="24"/>
            </w:rPr>
            <w:t>Guilty by Reason of Insanity: A Psychiatrist Probes the Minds of Killers.</w:t>
          </w:r>
          <w:r w:rsidRPr="00B26614">
            <w:rPr>
              <w:rFonts w:ascii="Times New Roman" w:hAnsi="Times New Roman" w:cs="Times New Roman"/>
              <w:noProof/>
              <w:sz w:val="24"/>
              <w:szCs w:val="24"/>
            </w:rPr>
            <w:t xml:space="preserve"> New York: Ivy Books.</w:t>
          </w:r>
          <w:r>
            <w:t xml:space="preserve"> </w:t>
          </w:r>
        </w:p>
        <w:p w:rsidR="00CA712B" w:rsidRDefault="00CA712B"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Mayo Foundation for Medical Education and Research. (1998). </w:t>
          </w:r>
          <w:r w:rsidRPr="00CB71E0">
            <w:rPr>
              <w:rFonts w:ascii="Times New Roman" w:hAnsi="Times New Roman" w:cs="Times New Roman"/>
              <w:i/>
              <w:iCs/>
              <w:noProof/>
              <w:sz w:val="24"/>
              <w:szCs w:val="24"/>
            </w:rPr>
            <w:t>Mayo Clinic</w:t>
          </w:r>
          <w:r w:rsidRPr="00CB71E0">
            <w:rPr>
              <w:rFonts w:ascii="Times New Roman" w:hAnsi="Times New Roman" w:cs="Times New Roman"/>
              <w:noProof/>
              <w:sz w:val="24"/>
              <w:szCs w:val="24"/>
            </w:rPr>
            <w:t>. Retrieved March 27, 2020, from mayoclinic.org: https://www.mayoclinic.org/diseases-conditions/post-traumatic-stress-disorder/symptoms-causes/syc-20355967</w:t>
          </w:r>
        </w:p>
        <w:p w:rsidR="00CA712B" w:rsidRDefault="00CA712B"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News, B. (2016, February 25). </w:t>
          </w:r>
          <w:r w:rsidRPr="00CB71E0">
            <w:rPr>
              <w:rFonts w:ascii="Times New Roman" w:hAnsi="Times New Roman" w:cs="Times New Roman"/>
              <w:i/>
              <w:iCs/>
              <w:noProof/>
              <w:sz w:val="24"/>
              <w:szCs w:val="24"/>
            </w:rPr>
            <w:t>Savile and Hall: BBC 'missed chances to stop attacks'</w:t>
          </w:r>
          <w:r w:rsidRPr="00CB71E0">
            <w:rPr>
              <w:rFonts w:ascii="Times New Roman" w:hAnsi="Times New Roman" w:cs="Times New Roman"/>
              <w:noProof/>
              <w:sz w:val="24"/>
              <w:szCs w:val="24"/>
            </w:rPr>
            <w:t>. Retrieved April 24, 2020, from BBC News: http://www.bbc.com/news/uk-35658398</w:t>
          </w:r>
        </w:p>
        <w:p w:rsidR="00CA712B" w:rsidRDefault="00CA712B" w:rsidP="00DE4294">
          <w:pPr>
            <w:pStyle w:val="Bibliography"/>
            <w:spacing w:line="360" w:lineRule="auto"/>
            <w:ind w:left="706" w:hanging="706"/>
            <w:jc w:val="both"/>
            <w:rPr>
              <w:rFonts w:ascii="Segoe UI" w:hAnsi="Segoe UI" w:cs="Segoe UI"/>
              <w:color w:val="212121"/>
            </w:rPr>
          </w:pPr>
          <w:r w:rsidRPr="00CB71E0">
            <w:rPr>
              <w:rFonts w:ascii="Times New Roman" w:hAnsi="Times New Roman" w:cs="Times New Roman"/>
              <w:noProof/>
              <w:sz w:val="24"/>
              <w:szCs w:val="24"/>
            </w:rPr>
            <w:t xml:space="preserve">Reavis, J. A., Looman, J., Franco, K. A., &amp; Rojas, B. (2013). Adverse Childhood Experiences and Adult Criminality: How Long Must We Live before We Possess Our Own Lives? </w:t>
          </w:r>
          <w:r w:rsidRPr="00CB71E0">
            <w:rPr>
              <w:rFonts w:ascii="Times New Roman" w:hAnsi="Times New Roman" w:cs="Times New Roman"/>
              <w:i/>
              <w:iCs/>
              <w:noProof/>
              <w:sz w:val="24"/>
              <w:szCs w:val="24"/>
            </w:rPr>
            <w:t>The Permanente Journal, 17</w:t>
          </w:r>
          <w:r w:rsidRPr="00CB71E0">
            <w:rPr>
              <w:rFonts w:ascii="Times New Roman" w:hAnsi="Times New Roman" w:cs="Times New Roman"/>
              <w:noProof/>
              <w:sz w:val="24"/>
              <w:szCs w:val="24"/>
            </w:rPr>
            <w:t>(2), 44-48</w:t>
          </w:r>
          <w:r w:rsidRPr="00CA712B">
            <w:rPr>
              <w:rFonts w:ascii="Times New Roman" w:hAnsi="Times New Roman" w:cs="Times New Roman"/>
              <w:noProof/>
              <w:sz w:val="24"/>
              <w:szCs w:val="24"/>
            </w:rPr>
            <w:t>. D</w:t>
          </w:r>
          <w:r w:rsidRPr="00CA712B">
            <w:rPr>
              <w:rStyle w:val="id-label"/>
              <w:rFonts w:ascii="Times New Roman" w:hAnsi="Times New Roman" w:cs="Times New Roman"/>
              <w:color w:val="212121"/>
              <w:sz w:val="24"/>
              <w:szCs w:val="24"/>
            </w:rPr>
            <w:t>OI: </w:t>
          </w:r>
          <w:hyperlink r:id="rId11" w:tgtFrame="_blank" w:history="1">
            <w:r w:rsidRPr="00CA712B">
              <w:rPr>
                <w:rStyle w:val="Hyperlink"/>
                <w:rFonts w:ascii="Times New Roman" w:hAnsi="Times New Roman" w:cs="Times New Roman"/>
                <w:color w:val="0071BC"/>
                <w:sz w:val="24"/>
                <w:szCs w:val="24"/>
              </w:rPr>
              <w:t>10.7812/TPP/12-072</w:t>
            </w:r>
          </w:hyperlink>
        </w:p>
        <w:p w:rsidR="0089683F" w:rsidRPr="0089683F" w:rsidRDefault="0089683F" w:rsidP="00DE4294">
          <w:pPr>
            <w:pStyle w:val="Bibliography"/>
            <w:spacing w:line="360" w:lineRule="auto"/>
            <w:ind w:left="706" w:hanging="706"/>
            <w:jc w:val="both"/>
            <w:rPr>
              <w:rFonts w:ascii="Times New Roman" w:hAnsi="Times New Roman" w:cs="Times New Roman"/>
              <w:noProof/>
              <w:sz w:val="24"/>
              <w:szCs w:val="24"/>
            </w:rPr>
          </w:pPr>
          <w:r w:rsidRPr="00CB71E0">
            <w:rPr>
              <w:rFonts w:ascii="Times New Roman" w:hAnsi="Times New Roman" w:cs="Times New Roman"/>
              <w:noProof/>
              <w:sz w:val="24"/>
              <w:szCs w:val="24"/>
            </w:rPr>
            <w:t xml:space="preserve">Spitzer, R., Kroenke, K., Williams, J., &amp; Lowe, B. (2006). A brief measure for assessing generalized anxiety disorder. </w:t>
          </w:r>
          <w:r w:rsidRPr="00CB71E0">
            <w:rPr>
              <w:rFonts w:ascii="Times New Roman" w:hAnsi="Times New Roman" w:cs="Times New Roman"/>
              <w:i/>
              <w:iCs/>
              <w:noProof/>
              <w:sz w:val="24"/>
              <w:szCs w:val="24"/>
            </w:rPr>
            <w:t>Archives of Internal Medicine</w:t>
          </w:r>
          <w:r w:rsidRPr="00CB71E0">
            <w:rPr>
              <w:rFonts w:ascii="Times New Roman" w:hAnsi="Times New Roman" w:cs="Times New Roman"/>
              <w:noProof/>
              <w:sz w:val="24"/>
              <w:szCs w:val="24"/>
            </w:rPr>
            <w:t>, 1092-1097.</w:t>
          </w:r>
          <w:r>
            <w:rPr>
              <w:rFonts w:ascii="Times New Roman" w:hAnsi="Times New Roman" w:cs="Times New Roman"/>
              <w:noProof/>
              <w:sz w:val="24"/>
              <w:szCs w:val="24"/>
            </w:rPr>
            <w:t xml:space="preserve"> </w:t>
          </w:r>
          <w:r w:rsidRPr="0089683F">
            <w:rPr>
              <w:rStyle w:val="id-label"/>
              <w:rFonts w:ascii="Times New Roman" w:hAnsi="Times New Roman" w:cs="Times New Roman"/>
              <w:color w:val="212121"/>
              <w:sz w:val="24"/>
              <w:szCs w:val="24"/>
            </w:rPr>
            <w:t>DOI: </w:t>
          </w:r>
          <w:hyperlink r:id="rId12" w:tgtFrame="_blank" w:history="1">
            <w:r w:rsidRPr="0089683F">
              <w:rPr>
                <w:rStyle w:val="Hyperlink"/>
                <w:rFonts w:ascii="Times New Roman" w:hAnsi="Times New Roman" w:cs="Times New Roman"/>
                <w:color w:val="0071BC"/>
                <w:sz w:val="24"/>
                <w:szCs w:val="24"/>
              </w:rPr>
              <w:t>10.1001/archinte.166.10.1092</w:t>
            </w:r>
          </w:hyperlink>
        </w:p>
        <w:p w:rsidR="0089683F" w:rsidRPr="0089683F" w:rsidRDefault="0089683F" w:rsidP="00DE4294">
          <w:pPr>
            <w:spacing w:line="360" w:lineRule="auto"/>
          </w:pPr>
        </w:p>
        <w:p w:rsidR="007B2925" w:rsidRPr="007B2925" w:rsidRDefault="0089683F" w:rsidP="00DE4294">
          <w:pPr>
            <w:pStyle w:val="Bibliography"/>
            <w:spacing w:line="360" w:lineRule="auto"/>
            <w:ind w:left="706" w:hanging="706"/>
            <w:jc w:val="left"/>
            <w:rPr>
              <w:rFonts w:ascii="Times New Roman" w:hAnsi="Times New Roman" w:cs="Times New Roman"/>
              <w:sz w:val="24"/>
              <w:szCs w:val="24"/>
            </w:rPr>
          </w:pPr>
          <w:r w:rsidRPr="00497DE8">
            <w:rPr>
              <w:rFonts w:ascii="Times New Roman" w:hAnsi="Times New Roman" w:cs="Times New Roman"/>
              <w:noProof/>
              <w:sz w:val="24"/>
              <w:szCs w:val="24"/>
            </w:rPr>
            <w:t xml:space="preserve">Walkup, J. T., &amp; Rubin, D. H. (2013). Social Withdrawal and Violence </w:t>
          </w:r>
          <w:r w:rsidR="00D94764">
            <w:rPr>
              <w:rFonts w:ascii="Times New Roman" w:hAnsi="Times New Roman" w:cs="Times New Roman"/>
              <w:noProof/>
              <w:sz w:val="24"/>
              <w:szCs w:val="24"/>
            </w:rPr>
            <w:t>–</w:t>
          </w:r>
          <w:r w:rsidRPr="00497DE8">
            <w:rPr>
              <w:rFonts w:ascii="Times New Roman" w:hAnsi="Times New Roman" w:cs="Times New Roman"/>
              <w:noProof/>
              <w:sz w:val="24"/>
              <w:szCs w:val="24"/>
            </w:rPr>
            <w:t xml:space="preserve"> Newtown</w:t>
          </w:r>
          <w:r w:rsidR="00D94764">
            <w:rPr>
              <w:rFonts w:ascii="Times New Roman" w:hAnsi="Times New Roman" w:cs="Times New Roman"/>
              <w:noProof/>
              <w:sz w:val="24"/>
              <w:szCs w:val="24"/>
            </w:rPr>
            <w:t>,</w:t>
          </w:r>
          <w:r w:rsidRPr="00497DE8">
            <w:rPr>
              <w:rFonts w:ascii="Times New Roman" w:hAnsi="Times New Roman" w:cs="Times New Roman"/>
              <w:noProof/>
              <w:sz w:val="24"/>
              <w:szCs w:val="24"/>
            </w:rPr>
            <w:t xml:space="preserve"> Connecticut. </w:t>
          </w:r>
          <w:r w:rsidRPr="00497DE8">
            <w:rPr>
              <w:rFonts w:ascii="Times New Roman" w:hAnsi="Times New Roman" w:cs="Times New Roman"/>
              <w:i/>
              <w:iCs/>
              <w:noProof/>
              <w:sz w:val="24"/>
              <w:szCs w:val="24"/>
            </w:rPr>
            <w:t>New England Journal of Medicine</w:t>
          </w:r>
          <w:r w:rsidRPr="00497DE8">
            <w:rPr>
              <w:rFonts w:ascii="Times New Roman" w:hAnsi="Times New Roman" w:cs="Times New Roman"/>
              <w:noProof/>
              <w:sz w:val="24"/>
              <w:szCs w:val="24"/>
            </w:rPr>
            <w:t xml:space="preserve">, </w:t>
          </w:r>
          <w:r>
            <w:rPr>
              <w:rFonts w:ascii="Times New Roman" w:hAnsi="Times New Roman" w:cs="Times New Roman"/>
              <w:noProof/>
              <w:sz w:val="24"/>
              <w:szCs w:val="24"/>
            </w:rPr>
            <w:t xml:space="preserve">368(5), </w:t>
          </w:r>
          <w:r w:rsidRPr="00497DE8">
            <w:rPr>
              <w:rFonts w:ascii="Times New Roman" w:hAnsi="Times New Roman" w:cs="Times New Roman"/>
              <w:noProof/>
              <w:sz w:val="24"/>
              <w:szCs w:val="24"/>
            </w:rPr>
            <w:t>399-401.</w:t>
          </w:r>
          <w:r>
            <w:rPr>
              <w:rFonts w:ascii="Times New Roman" w:hAnsi="Times New Roman" w:cs="Times New Roman"/>
              <w:noProof/>
              <w:sz w:val="24"/>
              <w:szCs w:val="24"/>
            </w:rPr>
            <w:t xml:space="preserve"> </w:t>
          </w:r>
          <w:r w:rsidRPr="0089683F">
            <w:rPr>
              <w:rFonts w:ascii="Times New Roman" w:hAnsi="Times New Roman" w:cs="Times New Roman"/>
              <w:sz w:val="24"/>
              <w:szCs w:val="24"/>
              <w:shd w:val="clear" w:color="auto" w:fill="FFFFFF"/>
            </w:rPr>
            <w:t>DOI: 10.1056/NEJMp1215605</w:t>
          </w:r>
        </w:p>
        <w:p w:rsidR="00312F6C" w:rsidRPr="00312F6C" w:rsidRDefault="004766FC" w:rsidP="00DE4294">
          <w:pPr>
            <w:spacing w:line="360" w:lineRule="auto"/>
            <w:jc w:val="both"/>
          </w:pPr>
        </w:p>
      </w:sdtContent>
    </w:sdt>
    <w:p w:rsidR="00312F6C" w:rsidRDefault="00312F6C" w:rsidP="00DE4294">
      <w:pPr>
        <w:tabs>
          <w:tab w:val="left" w:pos="3090"/>
        </w:tabs>
        <w:spacing w:line="360" w:lineRule="auto"/>
        <w:jc w:val="both"/>
        <w:rPr>
          <w:rFonts w:ascii="Times New Roman" w:hAnsi="Times New Roman" w:cs="Times New Roman"/>
          <w:sz w:val="24"/>
          <w:szCs w:val="24"/>
        </w:rPr>
      </w:pPr>
    </w:p>
    <w:p w:rsidR="00312F6C" w:rsidRDefault="00312F6C" w:rsidP="00DE4294">
      <w:pPr>
        <w:tabs>
          <w:tab w:val="left" w:pos="3090"/>
        </w:tabs>
        <w:spacing w:line="360" w:lineRule="auto"/>
        <w:jc w:val="both"/>
        <w:rPr>
          <w:rFonts w:ascii="Times New Roman" w:hAnsi="Times New Roman" w:cs="Times New Roman"/>
          <w:sz w:val="24"/>
          <w:szCs w:val="24"/>
        </w:rPr>
      </w:pPr>
    </w:p>
    <w:p w:rsidR="00312F6C" w:rsidRDefault="00312F6C" w:rsidP="00DE4294">
      <w:pPr>
        <w:spacing w:line="360" w:lineRule="auto"/>
        <w:jc w:val="both"/>
        <w:rPr>
          <w:rFonts w:ascii="Times New Roman" w:hAnsi="Times New Roman" w:cs="Times New Roman"/>
          <w:sz w:val="24"/>
          <w:szCs w:val="24"/>
        </w:rPr>
      </w:pPr>
    </w:p>
    <w:p w:rsidR="00FD47EB" w:rsidRPr="00DE4294" w:rsidRDefault="00DE4294" w:rsidP="00DE4294">
      <w:pPr>
        <w:tabs>
          <w:tab w:val="left" w:pos="1137"/>
          <w:tab w:val="center" w:pos="4510"/>
        </w:tabs>
        <w:spacing w:line="36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FD47EB" w:rsidRPr="00DE4294" w:rsidSect="00200FCE">
      <w:footerReference w:type="default" r:id="rId13"/>
      <w:pgSz w:w="11900" w:h="16840" w:code="9"/>
      <w:pgMar w:top="1440" w:right="1440" w:bottom="2160" w:left="1440" w:header="706" w:footer="706"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FC" w:rsidRDefault="004766FC" w:rsidP="006D1242">
      <w:r>
        <w:separator/>
      </w:r>
    </w:p>
  </w:endnote>
  <w:endnote w:type="continuationSeparator" w:id="0">
    <w:p w:rsidR="004766FC" w:rsidRDefault="004766FC" w:rsidP="006D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358319"/>
      <w:docPartObj>
        <w:docPartGallery w:val="Page Numbers (Bottom of Page)"/>
        <w:docPartUnique/>
      </w:docPartObj>
    </w:sdtPr>
    <w:sdtEndPr>
      <w:rPr>
        <w:rFonts w:ascii="Times New Roman" w:hAnsi="Times New Roman" w:cs="Times New Roman"/>
        <w:noProof/>
        <w:sz w:val="24"/>
        <w:szCs w:val="24"/>
      </w:rPr>
    </w:sdtEndPr>
    <w:sdtContent>
      <w:p w:rsidR="006D1242" w:rsidRPr="006D1242" w:rsidRDefault="006D1242">
        <w:pPr>
          <w:pStyle w:val="Footer"/>
          <w:jc w:val="right"/>
          <w:rPr>
            <w:rFonts w:ascii="Times New Roman" w:hAnsi="Times New Roman" w:cs="Times New Roman"/>
            <w:sz w:val="24"/>
            <w:szCs w:val="24"/>
          </w:rPr>
        </w:pPr>
        <w:r w:rsidRPr="006D1242">
          <w:rPr>
            <w:rFonts w:ascii="Times New Roman" w:hAnsi="Times New Roman" w:cs="Times New Roman"/>
            <w:sz w:val="24"/>
            <w:szCs w:val="24"/>
          </w:rPr>
          <w:fldChar w:fldCharType="begin"/>
        </w:r>
        <w:r w:rsidRPr="006D1242">
          <w:rPr>
            <w:rFonts w:ascii="Times New Roman" w:hAnsi="Times New Roman" w:cs="Times New Roman"/>
            <w:sz w:val="24"/>
            <w:szCs w:val="24"/>
          </w:rPr>
          <w:instrText xml:space="preserve"> PAGE   \* MERGEFORMAT </w:instrText>
        </w:r>
        <w:r w:rsidRPr="006D1242">
          <w:rPr>
            <w:rFonts w:ascii="Times New Roman" w:hAnsi="Times New Roman" w:cs="Times New Roman"/>
            <w:sz w:val="24"/>
            <w:szCs w:val="24"/>
          </w:rPr>
          <w:fldChar w:fldCharType="separate"/>
        </w:r>
        <w:r w:rsidR="00AB31AF">
          <w:rPr>
            <w:rFonts w:ascii="Times New Roman" w:hAnsi="Times New Roman" w:cs="Times New Roman"/>
            <w:noProof/>
            <w:sz w:val="24"/>
            <w:szCs w:val="24"/>
          </w:rPr>
          <w:t>1</w:t>
        </w:r>
        <w:r w:rsidRPr="006D1242">
          <w:rPr>
            <w:rFonts w:ascii="Times New Roman" w:hAnsi="Times New Roman" w:cs="Times New Roman"/>
            <w:noProof/>
            <w:sz w:val="24"/>
            <w:szCs w:val="24"/>
          </w:rPr>
          <w:fldChar w:fldCharType="end"/>
        </w:r>
      </w:p>
    </w:sdtContent>
  </w:sdt>
  <w:p w:rsidR="006D1242" w:rsidRDefault="006D1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FC" w:rsidRDefault="004766FC" w:rsidP="006D1242">
      <w:r>
        <w:separator/>
      </w:r>
    </w:p>
  </w:footnote>
  <w:footnote w:type="continuationSeparator" w:id="0">
    <w:p w:rsidR="004766FC" w:rsidRDefault="004766FC" w:rsidP="006D1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552F"/>
    <w:multiLevelType w:val="hybridMultilevel"/>
    <w:tmpl w:val="235A9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F67E4"/>
    <w:multiLevelType w:val="multilevel"/>
    <w:tmpl w:val="AF60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B2C28"/>
    <w:multiLevelType w:val="multilevel"/>
    <w:tmpl w:val="491A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91B28"/>
    <w:multiLevelType w:val="hybridMultilevel"/>
    <w:tmpl w:val="4990A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E65B0"/>
    <w:multiLevelType w:val="hybridMultilevel"/>
    <w:tmpl w:val="B176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C8"/>
    <w:rsid w:val="00012F4D"/>
    <w:rsid w:val="0006041B"/>
    <w:rsid w:val="00083C4A"/>
    <w:rsid w:val="000B5A4A"/>
    <w:rsid w:val="000D23FB"/>
    <w:rsid w:val="000F275A"/>
    <w:rsid w:val="00131C0A"/>
    <w:rsid w:val="00172C05"/>
    <w:rsid w:val="00187B9D"/>
    <w:rsid w:val="001B5719"/>
    <w:rsid w:val="001C41C4"/>
    <w:rsid w:val="00200FCE"/>
    <w:rsid w:val="00223EE4"/>
    <w:rsid w:val="00284D27"/>
    <w:rsid w:val="00292997"/>
    <w:rsid w:val="00296CAB"/>
    <w:rsid w:val="002C47AC"/>
    <w:rsid w:val="003004CD"/>
    <w:rsid w:val="00312F6C"/>
    <w:rsid w:val="0035085F"/>
    <w:rsid w:val="003605E6"/>
    <w:rsid w:val="00441C6F"/>
    <w:rsid w:val="00475080"/>
    <w:rsid w:val="004766FC"/>
    <w:rsid w:val="004B730E"/>
    <w:rsid w:val="004D5737"/>
    <w:rsid w:val="004F05CF"/>
    <w:rsid w:val="004F21C8"/>
    <w:rsid w:val="005379C8"/>
    <w:rsid w:val="00556FF0"/>
    <w:rsid w:val="00571D5C"/>
    <w:rsid w:val="005D13C9"/>
    <w:rsid w:val="00601A7A"/>
    <w:rsid w:val="00654102"/>
    <w:rsid w:val="00654DDF"/>
    <w:rsid w:val="006B1B63"/>
    <w:rsid w:val="006D1242"/>
    <w:rsid w:val="006F35AE"/>
    <w:rsid w:val="00706C95"/>
    <w:rsid w:val="0077513F"/>
    <w:rsid w:val="007B2925"/>
    <w:rsid w:val="007C0641"/>
    <w:rsid w:val="007E5BB0"/>
    <w:rsid w:val="00841DD4"/>
    <w:rsid w:val="0089683F"/>
    <w:rsid w:val="008F06B1"/>
    <w:rsid w:val="008F49FC"/>
    <w:rsid w:val="009052F7"/>
    <w:rsid w:val="00973BC4"/>
    <w:rsid w:val="009A28A5"/>
    <w:rsid w:val="009C16EB"/>
    <w:rsid w:val="009E445B"/>
    <w:rsid w:val="00A746B3"/>
    <w:rsid w:val="00A906D4"/>
    <w:rsid w:val="00AB31AF"/>
    <w:rsid w:val="00B03D4E"/>
    <w:rsid w:val="00B6109D"/>
    <w:rsid w:val="00BA6B45"/>
    <w:rsid w:val="00BF2B59"/>
    <w:rsid w:val="00C94CD6"/>
    <w:rsid w:val="00CA712B"/>
    <w:rsid w:val="00CC4772"/>
    <w:rsid w:val="00D94764"/>
    <w:rsid w:val="00DE4294"/>
    <w:rsid w:val="00DF1580"/>
    <w:rsid w:val="00E12FA3"/>
    <w:rsid w:val="00E17A65"/>
    <w:rsid w:val="00E21A43"/>
    <w:rsid w:val="00E44975"/>
    <w:rsid w:val="00F31B19"/>
    <w:rsid w:val="00F74E95"/>
    <w:rsid w:val="00FA57FF"/>
    <w:rsid w:val="00FD47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1C8"/>
    <w:rPr>
      <w:color w:val="0000FF" w:themeColor="hyperlink"/>
      <w:u w:val="single"/>
    </w:rPr>
  </w:style>
  <w:style w:type="paragraph" w:styleId="ListParagraph">
    <w:name w:val="List Paragraph"/>
    <w:basedOn w:val="Normal"/>
    <w:uiPriority w:val="34"/>
    <w:qFormat/>
    <w:rsid w:val="00312F6C"/>
    <w:pPr>
      <w:ind w:left="720"/>
      <w:contextualSpacing/>
    </w:pPr>
  </w:style>
  <w:style w:type="paragraph" w:customStyle="1" w:styleId="Body">
    <w:name w:val="Body"/>
    <w:rsid w:val="00312F6C"/>
    <w:pPr>
      <w:pBdr>
        <w:top w:val="nil"/>
        <w:left w:val="nil"/>
        <w:bottom w:val="nil"/>
        <w:right w:val="nil"/>
        <w:between w:val="nil"/>
        <w:bar w:val="nil"/>
      </w:pBdr>
      <w:jc w:val="left"/>
    </w:pPr>
    <w:rPr>
      <w:rFonts w:ascii="Helvetica" w:eastAsia="Arial Unicode MS" w:hAnsi="Helvetica" w:cs="Arial Unicode MS"/>
      <w:color w:val="000000"/>
      <w:bdr w:val="nil"/>
      <w:lang w:val="de-DE"/>
    </w:rPr>
  </w:style>
  <w:style w:type="paragraph" w:styleId="Bibliography">
    <w:name w:val="Bibliography"/>
    <w:basedOn w:val="Normal"/>
    <w:next w:val="Normal"/>
    <w:uiPriority w:val="37"/>
    <w:unhideWhenUsed/>
    <w:rsid w:val="00312F6C"/>
  </w:style>
  <w:style w:type="table" w:styleId="LightShading">
    <w:name w:val="Light Shading"/>
    <w:basedOn w:val="TableNormal"/>
    <w:uiPriority w:val="60"/>
    <w:rsid w:val="00312F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312F6C"/>
    <w:rPr>
      <w:rFonts w:ascii="Tahoma" w:hAnsi="Tahoma" w:cs="Tahoma"/>
      <w:sz w:val="16"/>
      <w:szCs w:val="16"/>
    </w:rPr>
  </w:style>
  <w:style w:type="character" w:customStyle="1" w:styleId="BalloonTextChar">
    <w:name w:val="Balloon Text Char"/>
    <w:basedOn w:val="DefaultParagraphFont"/>
    <w:link w:val="BalloonText"/>
    <w:uiPriority w:val="99"/>
    <w:semiHidden/>
    <w:rsid w:val="00312F6C"/>
    <w:rPr>
      <w:rFonts w:ascii="Tahoma" w:hAnsi="Tahoma" w:cs="Tahoma"/>
      <w:sz w:val="16"/>
      <w:szCs w:val="16"/>
      <w:lang w:val="en-US"/>
    </w:rPr>
  </w:style>
  <w:style w:type="paragraph" w:styleId="Header">
    <w:name w:val="header"/>
    <w:basedOn w:val="Normal"/>
    <w:link w:val="HeaderChar"/>
    <w:uiPriority w:val="99"/>
    <w:unhideWhenUsed/>
    <w:rsid w:val="006D1242"/>
    <w:pPr>
      <w:tabs>
        <w:tab w:val="center" w:pos="4513"/>
        <w:tab w:val="right" w:pos="9026"/>
      </w:tabs>
    </w:pPr>
  </w:style>
  <w:style w:type="character" w:customStyle="1" w:styleId="HeaderChar">
    <w:name w:val="Header Char"/>
    <w:basedOn w:val="DefaultParagraphFont"/>
    <w:link w:val="Header"/>
    <w:uiPriority w:val="99"/>
    <w:rsid w:val="006D1242"/>
    <w:rPr>
      <w:lang w:val="en-US"/>
    </w:rPr>
  </w:style>
  <w:style w:type="paragraph" w:styleId="Footer">
    <w:name w:val="footer"/>
    <w:basedOn w:val="Normal"/>
    <w:link w:val="FooterChar"/>
    <w:uiPriority w:val="99"/>
    <w:unhideWhenUsed/>
    <w:rsid w:val="006D1242"/>
    <w:pPr>
      <w:tabs>
        <w:tab w:val="center" w:pos="4513"/>
        <w:tab w:val="right" w:pos="9026"/>
      </w:tabs>
    </w:pPr>
  </w:style>
  <w:style w:type="character" w:customStyle="1" w:styleId="FooterChar">
    <w:name w:val="Footer Char"/>
    <w:basedOn w:val="DefaultParagraphFont"/>
    <w:link w:val="Footer"/>
    <w:uiPriority w:val="99"/>
    <w:rsid w:val="006D1242"/>
    <w:rPr>
      <w:lang w:val="en-US"/>
    </w:rPr>
  </w:style>
  <w:style w:type="character" w:customStyle="1" w:styleId="identifier">
    <w:name w:val="identifier"/>
    <w:basedOn w:val="DefaultParagraphFont"/>
    <w:rsid w:val="00CA712B"/>
  </w:style>
  <w:style w:type="character" w:customStyle="1" w:styleId="id-label">
    <w:name w:val="id-label"/>
    <w:basedOn w:val="DefaultParagraphFont"/>
    <w:rsid w:val="00CA7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1C8"/>
    <w:rPr>
      <w:color w:val="0000FF" w:themeColor="hyperlink"/>
      <w:u w:val="single"/>
    </w:rPr>
  </w:style>
  <w:style w:type="paragraph" w:styleId="ListParagraph">
    <w:name w:val="List Paragraph"/>
    <w:basedOn w:val="Normal"/>
    <w:uiPriority w:val="34"/>
    <w:qFormat/>
    <w:rsid w:val="00312F6C"/>
    <w:pPr>
      <w:ind w:left="720"/>
      <w:contextualSpacing/>
    </w:pPr>
  </w:style>
  <w:style w:type="paragraph" w:customStyle="1" w:styleId="Body">
    <w:name w:val="Body"/>
    <w:rsid w:val="00312F6C"/>
    <w:pPr>
      <w:pBdr>
        <w:top w:val="nil"/>
        <w:left w:val="nil"/>
        <w:bottom w:val="nil"/>
        <w:right w:val="nil"/>
        <w:between w:val="nil"/>
        <w:bar w:val="nil"/>
      </w:pBdr>
      <w:jc w:val="left"/>
    </w:pPr>
    <w:rPr>
      <w:rFonts w:ascii="Helvetica" w:eastAsia="Arial Unicode MS" w:hAnsi="Helvetica" w:cs="Arial Unicode MS"/>
      <w:color w:val="000000"/>
      <w:bdr w:val="nil"/>
      <w:lang w:val="de-DE"/>
    </w:rPr>
  </w:style>
  <w:style w:type="paragraph" w:styleId="Bibliography">
    <w:name w:val="Bibliography"/>
    <w:basedOn w:val="Normal"/>
    <w:next w:val="Normal"/>
    <w:uiPriority w:val="37"/>
    <w:unhideWhenUsed/>
    <w:rsid w:val="00312F6C"/>
  </w:style>
  <w:style w:type="table" w:styleId="LightShading">
    <w:name w:val="Light Shading"/>
    <w:basedOn w:val="TableNormal"/>
    <w:uiPriority w:val="60"/>
    <w:rsid w:val="00312F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312F6C"/>
    <w:rPr>
      <w:rFonts w:ascii="Tahoma" w:hAnsi="Tahoma" w:cs="Tahoma"/>
      <w:sz w:val="16"/>
      <w:szCs w:val="16"/>
    </w:rPr>
  </w:style>
  <w:style w:type="character" w:customStyle="1" w:styleId="BalloonTextChar">
    <w:name w:val="Balloon Text Char"/>
    <w:basedOn w:val="DefaultParagraphFont"/>
    <w:link w:val="BalloonText"/>
    <w:uiPriority w:val="99"/>
    <w:semiHidden/>
    <w:rsid w:val="00312F6C"/>
    <w:rPr>
      <w:rFonts w:ascii="Tahoma" w:hAnsi="Tahoma" w:cs="Tahoma"/>
      <w:sz w:val="16"/>
      <w:szCs w:val="16"/>
      <w:lang w:val="en-US"/>
    </w:rPr>
  </w:style>
  <w:style w:type="paragraph" w:styleId="Header">
    <w:name w:val="header"/>
    <w:basedOn w:val="Normal"/>
    <w:link w:val="HeaderChar"/>
    <w:uiPriority w:val="99"/>
    <w:unhideWhenUsed/>
    <w:rsid w:val="006D1242"/>
    <w:pPr>
      <w:tabs>
        <w:tab w:val="center" w:pos="4513"/>
        <w:tab w:val="right" w:pos="9026"/>
      </w:tabs>
    </w:pPr>
  </w:style>
  <w:style w:type="character" w:customStyle="1" w:styleId="HeaderChar">
    <w:name w:val="Header Char"/>
    <w:basedOn w:val="DefaultParagraphFont"/>
    <w:link w:val="Header"/>
    <w:uiPriority w:val="99"/>
    <w:rsid w:val="006D1242"/>
    <w:rPr>
      <w:lang w:val="en-US"/>
    </w:rPr>
  </w:style>
  <w:style w:type="paragraph" w:styleId="Footer">
    <w:name w:val="footer"/>
    <w:basedOn w:val="Normal"/>
    <w:link w:val="FooterChar"/>
    <w:uiPriority w:val="99"/>
    <w:unhideWhenUsed/>
    <w:rsid w:val="006D1242"/>
    <w:pPr>
      <w:tabs>
        <w:tab w:val="center" w:pos="4513"/>
        <w:tab w:val="right" w:pos="9026"/>
      </w:tabs>
    </w:pPr>
  </w:style>
  <w:style w:type="character" w:customStyle="1" w:styleId="FooterChar">
    <w:name w:val="Footer Char"/>
    <w:basedOn w:val="DefaultParagraphFont"/>
    <w:link w:val="Footer"/>
    <w:uiPriority w:val="99"/>
    <w:rsid w:val="006D1242"/>
    <w:rPr>
      <w:lang w:val="en-US"/>
    </w:rPr>
  </w:style>
  <w:style w:type="character" w:customStyle="1" w:styleId="identifier">
    <w:name w:val="identifier"/>
    <w:basedOn w:val="DefaultParagraphFont"/>
    <w:rsid w:val="00CA712B"/>
  </w:style>
  <w:style w:type="character" w:customStyle="1" w:styleId="id-label">
    <w:name w:val="id-label"/>
    <w:basedOn w:val="DefaultParagraphFont"/>
    <w:rsid w:val="00CA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235111">
      <w:bodyDiv w:val="1"/>
      <w:marLeft w:val="0"/>
      <w:marRight w:val="0"/>
      <w:marTop w:val="0"/>
      <w:marBottom w:val="0"/>
      <w:divBdr>
        <w:top w:val="none" w:sz="0" w:space="0" w:color="auto"/>
        <w:left w:val="none" w:sz="0" w:space="0" w:color="auto"/>
        <w:bottom w:val="none" w:sz="0" w:space="0" w:color="auto"/>
        <w:right w:val="none" w:sz="0" w:space="0" w:color="auto"/>
      </w:divBdr>
    </w:div>
    <w:div w:id="1563447301">
      <w:bodyDiv w:val="1"/>
      <w:marLeft w:val="0"/>
      <w:marRight w:val="0"/>
      <w:marTop w:val="0"/>
      <w:marBottom w:val="0"/>
      <w:divBdr>
        <w:top w:val="none" w:sz="0" w:space="0" w:color="auto"/>
        <w:left w:val="none" w:sz="0" w:space="0" w:color="auto"/>
        <w:bottom w:val="none" w:sz="0" w:space="0" w:color="auto"/>
        <w:right w:val="none" w:sz="0" w:space="0" w:color="auto"/>
      </w:divBdr>
    </w:div>
    <w:div w:id="1645040302">
      <w:bodyDiv w:val="1"/>
      <w:marLeft w:val="0"/>
      <w:marRight w:val="0"/>
      <w:marTop w:val="0"/>
      <w:marBottom w:val="0"/>
      <w:divBdr>
        <w:top w:val="none" w:sz="0" w:space="0" w:color="auto"/>
        <w:left w:val="none" w:sz="0" w:space="0" w:color="auto"/>
        <w:bottom w:val="none" w:sz="0" w:space="0" w:color="auto"/>
        <w:right w:val="none" w:sz="0" w:space="0" w:color="auto"/>
      </w:divBdr>
    </w:div>
    <w:div w:id="16836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01/archinte.166.10.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7812/tpp/12-07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97/00004583-199205000-00001"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479615048118979E-2"/>
          <c:y val="3.9475625546806649E-2"/>
          <c:w val="0.90207594050743656"/>
          <c:h val="0.6125387926509186"/>
        </c:manualLayout>
      </c:layout>
      <c:barChart>
        <c:barDir val="col"/>
        <c:grouping val="clustered"/>
        <c:varyColors val="0"/>
        <c:ser>
          <c:idx val="0"/>
          <c:order val="0"/>
          <c:tx>
            <c:strRef>
              <c:f>Sheet1!$B$1</c:f>
              <c:strCache>
                <c:ptCount val="1"/>
                <c:pt idx="0">
                  <c:v>Series 1</c:v>
                </c:pt>
              </c:strCache>
            </c:strRef>
          </c:tx>
          <c:invertIfNegative val="0"/>
          <c:dPt>
            <c:idx val="6"/>
            <c:invertIfNegative val="0"/>
            <c:bubble3D val="0"/>
            <c:spPr>
              <a:solidFill>
                <a:srgbClr val="FF0000"/>
              </a:solidFill>
            </c:spPr>
          </c:dPt>
          <c:dPt>
            <c:idx val="7"/>
            <c:invertIfNegative val="0"/>
            <c:bubble3D val="0"/>
            <c:spPr>
              <a:solidFill>
                <a:srgbClr val="FF0000"/>
              </a:solidFill>
            </c:spPr>
          </c:dPt>
          <c:dPt>
            <c:idx val="8"/>
            <c:invertIfNegative val="0"/>
            <c:bubble3D val="0"/>
            <c:spPr>
              <a:solidFill>
                <a:srgbClr val="FF0000"/>
              </a:solidFill>
            </c:spPr>
          </c:dPt>
          <c:dPt>
            <c:idx val="9"/>
            <c:invertIfNegative val="0"/>
            <c:bubble3D val="0"/>
            <c:spPr>
              <a:solidFill>
                <a:srgbClr val="FF0000"/>
              </a:solidFill>
            </c:spPr>
          </c:dPt>
          <c:dPt>
            <c:idx val="11"/>
            <c:invertIfNegative val="0"/>
            <c:bubble3D val="0"/>
            <c:spPr>
              <a:solidFill>
                <a:srgbClr val="FFC000"/>
              </a:solidFill>
            </c:spPr>
          </c:dPt>
          <c:dPt>
            <c:idx val="12"/>
            <c:invertIfNegative val="0"/>
            <c:bubble3D val="0"/>
            <c:spPr>
              <a:solidFill>
                <a:srgbClr val="FFC000"/>
              </a:solidFill>
            </c:spPr>
          </c:dPt>
          <c:dPt>
            <c:idx val="13"/>
            <c:invertIfNegative val="0"/>
            <c:bubble3D val="0"/>
            <c:spPr>
              <a:solidFill>
                <a:srgbClr val="FFC000"/>
              </a:solidFill>
            </c:spPr>
          </c:dPt>
          <c:dPt>
            <c:idx val="14"/>
            <c:invertIfNegative val="0"/>
            <c:bubble3D val="0"/>
            <c:spPr>
              <a:solidFill>
                <a:srgbClr val="FFC000"/>
              </a:solidFill>
            </c:spPr>
          </c:dPt>
          <c:dPt>
            <c:idx val="15"/>
            <c:invertIfNegative val="0"/>
            <c:bubble3D val="0"/>
            <c:spPr>
              <a:solidFill>
                <a:srgbClr val="FFC000"/>
              </a:solidFill>
            </c:spPr>
          </c:dPt>
          <c:dLbls>
            <c:showLegendKey val="0"/>
            <c:showVal val="1"/>
            <c:showCatName val="0"/>
            <c:showSerName val="0"/>
            <c:showPercent val="0"/>
            <c:showBubbleSize val="0"/>
            <c:showLeaderLines val="0"/>
          </c:dLbls>
          <c:cat>
            <c:strRef>
              <c:f>Sheet1!$A$2:$A$17</c:f>
              <c:strCache>
                <c:ptCount val="16"/>
                <c:pt idx="0">
                  <c:v>0</c:v>
                </c:pt>
                <c:pt idx="1">
                  <c:v>1 to 10</c:v>
                </c:pt>
                <c:pt idx="2">
                  <c:v>11 to 20</c:v>
                </c:pt>
                <c:pt idx="3">
                  <c:v>21 to 30</c:v>
                </c:pt>
                <c:pt idx="4">
                  <c:v>31+</c:v>
                </c:pt>
                <c:pt idx="6">
                  <c:v>0</c:v>
                </c:pt>
                <c:pt idx="7">
                  <c:v>1 to 3</c:v>
                </c:pt>
                <c:pt idx="8">
                  <c:v>4 to 10</c:v>
                </c:pt>
                <c:pt idx="9">
                  <c:v>Over 11</c:v>
                </c:pt>
                <c:pt idx="11">
                  <c:v>0</c:v>
                </c:pt>
                <c:pt idx="12">
                  <c:v>1 to 3</c:v>
                </c:pt>
                <c:pt idx="13">
                  <c:v>4 to 10</c:v>
                </c:pt>
                <c:pt idx="14">
                  <c:v>Over 11</c:v>
                </c:pt>
                <c:pt idx="15">
                  <c:v>Unknown</c:v>
                </c:pt>
              </c:strCache>
            </c:strRef>
          </c:cat>
          <c:val>
            <c:numRef>
              <c:f>Sheet1!$B$2:$B$17</c:f>
              <c:numCache>
                <c:formatCode>0%</c:formatCode>
                <c:ptCount val="16"/>
                <c:pt idx="0">
                  <c:v>0.22</c:v>
                </c:pt>
                <c:pt idx="1">
                  <c:v>0.59</c:v>
                </c:pt>
                <c:pt idx="2">
                  <c:v>7.0000000000000007E-2</c:v>
                </c:pt>
                <c:pt idx="3">
                  <c:v>0.02</c:v>
                </c:pt>
                <c:pt idx="4">
                  <c:v>0.1</c:v>
                </c:pt>
                <c:pt idx="6">
                  <c:v>0.52</c:v>
                </c:pt>
                <c:pt idx="7">
                  <c:v>0.35</c:v>
                </c:pt>
                <c:pt idx="8">
                  <c:v>0.09</c:v>
                </c:pt>
                <c:pt idx="9">
                  <c:v>0.04</c:v>
                </c:pt>
                <c:pt idx="11">
                  <c:v>0.44</c:v>
                </c:pt>
                <c:pt idx="12">
                  <c:v>0.4</c:v>
                </c:pt>
                <c:pt idx="13">
                  <c:v>0.09</c:v>
                </c:pt>
                <c:pt idx="14">
                  <c:v>0.06</c:v>
                </c:pt>
                <c:pt idx="15">
                  <c:v>0.01</c:v>
                </c:pt>
              </c:numCache>
            </c:numRef>
          </c:val>
        </c:ser>
        <c:dLbls>
          <c:showLegendKey val="0"/>
          <c:showVal val="0"/>
          <c:showCatName val="0"/>
          <c:showSerName val="0"/>
          <c:showPercent val="0"/>
          <c:showBubbleSize val="0"/>
        </c:dLbls>
        <c:gapWidth val="150"/>
        <c:axId val="148598784"/>
        <c:axId val="148600320"/>
      </c:barChart>
      <c:catAx>
        <c:axId val="148598784"/>
        <c:scaling>
          <c:orientation val="minMax"/>
        </c:scaling>
        <c:delete val="0"/>
        <c:axPos val="b"/>
        <c:majorTickMark val="out"/>
        <c:minorTickMark val="none"/>
        <c:tickLblPos val="nextTo"/>
        <c:crossAx val="148600320"/>
        <c:crosses val="autoZero"/>
        <c:auto val="1"/>
        <c:lblAlgn val="ctr"/>
        <c:lblOffset val="100"/>
        <c:noMultiLvlLbl val="0"/>
      </c:catAx>
      <c:valAx>
        <c:axId val="148600320"/>
        <c:scaling>
          <c:orientation val="minMax"/>
        </c:scaling>
        <c:delete val="0"/>
        <c:axPos val="l"/>
        <c:numFmt formatCode="0%" sourceLinked="1"/>
        <c:majorTickMark val="out"/>
        <c:minorTickMark val="none"/>
        <c:tickLblPos val="nextTo"/>
        <c:crossAx val="14859878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0.82667</cdr:y>
    </cdr:from>
    <cdr:to>
      <cdr:x>0.36</cdr:x>
      <cdr:y>0.94133</cdr:y>
    </cdr:to>
    <cdr:sp macro="" textlink="">
      <cdr:nvSpPr>
        <cdr:cNvPr id="4" name="Text Box 3"/>
        <cdr:cNvSpPr txBox="1"/>
      </cdr:nvSpPr>
      <cdr:spPr>
        <a:xfrm xmlns:a="http://schemas.openxmlformats.org/drawingml/2006/main">
          <a:off x="0" y="2952750"/>
          <a:ext cx="2057400" cy="409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panose="02020603050405020304" pitchFamily="18" charset="0"/>
              <a:cs typeface="Times New Roman" panose="02020603050405020304" pitchFamily="18" charset="0"/>
            </a:rPr>
            <a:t>13. How many people do you know</a:t>
          </a:r>
          <a:r>
            <a:rPr lang="en-US" sz="900" baseline="0">
              <a:latin typeface="Times New Roman" panose="02020603050405020304" pitchFamily="18" charset="0"/>
              <a:cs typeface="Times New Roman" panose="02020603050405020304" pitchFamily="18" charset="0"/>
            </a:rPr>
            <a:t> who have been killed violently? </a:t>
          </a:r>
          <a:endParaRPr lang="en-US"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0.38167</cdr:x>
      <cdr:y>0.816</cdr:y>
    </cdr:from>
    <cdr:to>
      <cdr:x>0.70833</cdr:x>
      <cdr:y>0.984</cdr:y>
    </cdr:to>
    <cdr:sp macro="" textlink="">
      <cdr:nvSpPr>
        <cdr:cNvPr id="5" name="Text Box 4"/>
        <cdr:cNvSpPr txBox="1"/>
      </cdr:nvSpPr>
      <cdr:spPr>
        <a:xfrm xmlns:a="http://schemas.openxmlformats.org/drawingml/2006/main">
          <a:off x="2181226" y="2914649"/>
          <a:ext cx="1866900" cy="600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panose="02020603050405020304" pitchFamily="18" charset="0"/>
              <a:cs typeface="Times New Roman" panose="02020603050405020304" pitchFamily="18" charset="0"/>
            </a:rPr>
            <a:t>14. About</a:t>
          </a:r>
          <a:r>
            <a:rPr lang="en-US" sz="900" baseline="0">
              <a:latin typeface="Times New Roman" panose="02020603050405020304" pitchFamily="18" charset="0"/>
              <a:cs typeface="Times New Roman" panose="02020603050405020304" pitchFamily="18" charset="0"/>
            </a:rPr>
            <a:t> ho</a:t>
          </a:r>
          <a:r>
            <a:rPr lang="en-US" sz="900">
              <a:latin typeface="Times New Roman" panose="02020603050405020304" pitchFamily="18" charset="0"/>
              <a:cs typeface="Times New Roman" panose="02020603050405020304" pitchFamily="18" charset="0"/>
            </a:rPr>
            <a:t>w many incidences of </a:t>
          </a:r>
        </a:p>
        <a:p xmlns:a="http://schemas.openxmlformats.org/drawingml/2006/main">
          <a:r>
            <a:rPr lang="en-US" sz="900">
              <a:latin typeface="Times New Roman" panose="02020603050405020304" pitchFamily="18" charset="0"/>
              <a:cs typeface="Times New Roman" panose="02020603050405020304" pitchFamily="18" charset="0"/>
            </a:rPr>
            <a:t>violent crime occur</a:t>
          </a:r>
          <a:r>
            <a:rPr lang="en-US" sz="900" baseline="0">
              <a:latin typeface="Times New Roman" panose="02020603050405020304" pitchFamily="18" charset="0"/>
              <a:cs typeface="Times New Roman" panose="02020603050405020304" pitchFamily="18" charset="0"/>
            </a:rPr>
            <a:t> within your </a:t>
          </a:r>
        </a:p>
        <a:p xmlns:a="http://schemas.openxmlformats.org/drawingml/2006/main">
          <a:r>
            <a:rPr lang="en-US" sz="900" baseline="0">
              <a:latin typeface="Times New Roman" panose="02020603050405020304" pitchFamily="18" charset="0"/>
              <a:cs typeface="Times New Roman" panose="02020603050405020304" pitchFamily="18" charset="0"/>
            </a:rPr>
            <a:t>community in an average  week?</a:t>
          </a:r>
          <a:endParaRPr lang="en-US"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0.72333</cdr:x>
      <cdr:y>0.808</cdr:y>
    </cdr:from>
    <cdr:to>
      <cdr:x>0.985</cdr:x>
      <cdr:y>0.98667</cdr:y>
    </cdr:to>
    <cdr:sp macro="" textlink="">
      <cdr:nvSpPr>
        <cdr:cNvPr id="6" name="Text Box 5"/>
        <cdr:cNvSpPr txBox="1"/>
      </cdr:nvSpPr>
      <cdr:spPr>
        <a:xfrm xmlns:a="http://schemas.openxmlformats.org/drawingml/2006/main">
          <a:off x="4133850" y="2886075"/>
          <a:ext cx="1495425" cy="638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panose="02020603050405020304" pitchFamily="18" charset="0"/>
              <a:cs typeface="Times New Roman" panose="02020603050405020304" pitchFamily="18" charset="0"/>
            </a:rPr>
            <a:t>15. About how many incidences of burglary occur within your community in an average week?</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CDB1-A1D2-433C-A380-619F6D39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 Bethell</dc:creator>
  <cp:lastModifiedBy>Keva Bethell</cp:lastModifiedBy>
  <cp:revision>2</cp:revision>
  <dcterms:created xsi:type="dcterms:W3CDTF">2020-10-09T23:27:00Z</dcterms:created>
  <dcterms:modified xsi:type="dcterms:W3CDTF">2020-10-09T23:27:00Z</dcterms:modified>
</cp:coreProperties>
</file>