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43" w:rsidRPr="002F0A14" w:rsidRDefault="00571F43" w:rsidP="00D501E8">
      <w:pPr>
        <w:pStyle w:val="Sinespaciado"/>
        <w:spacing w:line="360" w:lineRule="auto"/>
        <w:jc w:val="both"/>
        <w:rPr>
          <w:rFonts w:ascii="Times New Roman" w:hAnsi="Times New Roman" w:cs="Times New Roman"/>
          <w:b/>
          <w:sz w:val="24"/>
          <w:szCs w:val="24"/>
        </w:rPr>
      </w:pPr>
      <w:r w:rsidRPr="002F0A14">
        <w:rPr>
          <w:rFonts w:ascii="Times New Roman" w:hAnsi="Times New Roman" w:cs="Times New Roman"/>
          <w:b/>
          <w:sz w:val="24"/>
          <w:szCs w:val="24"/>
        </w:rPr>
        <w:t xml:space="preserve">La percepción de la función familiar como </w:t>
      </w:r>
      <w:r w:rsidR="00BB3893" w:rsidRPr="002F0A14">
        <w:rPr>
          <w:rFonts w:ascii="Times New Roman" w:hAnsi="Times New Roman" w:cs="Times New Roman"/>
          <w:b/>
          <w:sz w:val="24"/>
          <w:szCs w:val="24"/>
        </w:rPr>
        <w:t>influencia en el</w:t>
      </w:r>
      <w:r w:rsidRPr="002F0A14">
        <w:rPr>
          <w:rFonts w:ascii="Times New Roman" w:hAnsi="Times New Roman" w:cs="Times New Roman"/>
          <w:b/>
          <w:sz w:val="24"/>
          <w:szCs w:val="24"/>
        </w:rPr>
        <w:t xml:space="preserve"> consumo </w:t>
      </w:r>
      <w:r w:rsidR="00294967" w:rsidRPr="002F0A14">
        <w:rPr>
          <w:rFonts w:ascii="Times New Roman" w:hAnsi="Times New Roman" w:cs="Times New Roman"/>
          <w:b/>
          <w:sz w:val="24"/>
          <w:szCs w:val="24"/>
        </w:rPr>
        <w:t>de sustancias psicoactivas</w:t>
      </w:r>
      <w:r w:rsidRPr="002F0A14">
        <w:rPr>
          <w:rFonts w:ascii="Times New Roman" w:hAnsi="Times New Roman" w:cs="Times New Roman"/>
          <w:b/>
          <w:sz w:val="24"/>
          <w:szCs w:val="24"/>
        </w:rPr>
        <w:t>.</w:t>
      </w:r>
    </w:p>
    <w:p w:rsidR="00FF5678" w:rsidRPr="002F0A14" w:rsidRDefault="00FF5678" w:rsidP="00D501E8">
      <w:pPr>
        <w:pStyle w:val="Sinespaciado"/>
        <w:spacing w:line="360" w:lineRule="auto"/>
        <w:jc w:val="both"/>
        <w:rPr>
          <w:rFonts w:ascii="Times New Roman" w:hAnsi="Times New Roman" w:cs="Times New Roman"/>
          <w:b/>
          <w:sz w:val="24"/>
          <w:szCs w:val="24"/>
          <w:lang w:val="fr-BE"/>
        </w:rPr>
      </w:pPr>
      <w:r w:rsidRPr="002F0A14">
        <w:rPr>
          <w:rFonts w:ascii="Times New Roman" w:hAnsi="Times New Roman" w:cs="Times New Roman"/>
          <w:b/>
          <w:sz w:val="24"/>
          <w:szCs w:val="24"/>
          <w:lang w:val="fr-BE"/>
        </w:rPr>
        <w:t>Perception of family function as an influence on the use of psychoactive substances</w:t>
      </w: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C2314E" w:rsidRPr="002F0A14" w:rsidRDefault="00C2314E" w:rsidP="00D501E8">
      <w:pPr>
        <w:pStyle w:val="Sinespaciado"/>
        <w:spacing w:line="360" w:lineRule="auto"/>
        <w:jc w:val="both"/>
        <w:rPr>
          <w:rFonts w:ascii="Times New Roman" w:hAnsi="Times New Roman" w:cs="Times New Roman"/>
          <w:b/>
          <w:sz w:val="24"/>
          <w:szCs w:val="24"/>
          <w:lang w:val="fr-BE"/>
        </w:rPr>
      </w:pPr>
    </w:p>
    <w:p w:rsidR="003C20B1" w:rsidRPr="002F0A14" w:rsidRDefault="003C20B1" w:rsidP="00D501E8">
      <w:pPr>
        <w:pStyle w:val="Sinespaciado"/>
        <w:spacing w:line="360" w:lineRule="auto"/>
        <w:jc w:val="both"/>
        <w:rPr>
          <w:rFonts w:ascii="Times New Roman" w:hAnsi="Times New Roman" w:cs="Times New Roman"/>
          <w:b/>
          <w:sz w:val="24"/>
          <w:szCs w:val="24"/>
          <w:lang w:val="fr-BE"/>
        </w:rPr>
      </w:pPr>
    </w:p>
    <w:p w:rsidR="003C20B1" w:rsidRPr="002F0A14" w:rsidRDefault="003C20B1" w:rsidP="00D501E8">
      <w:pPr>
        <w:pStyle w:val="Sinespaciado"/>
        <w:spacing w:line="360" w:lineRule="auto"/>
        <w:jc w:val="both"/>
        <w:rPr>
          <w:rFonts w:ascii="Times New Roman" w:hAnsi="Times New Roman" w:cs="Times New Roman"/>
          <w:b/>
          <w:sz w:val="24"/>
          <w:szCs w:val="24"/>
          <w:lang w:val="fr-BE"/>
        </w:rPr>
      </w:pPr>
    </w:p>
    <w:p w:rsidR="003C20B1" w:rsidRPr="002F0A14" w:rsidRDefault="003C20B1" w:rsidP="00D501E8">
      <w:pPr>
        <w:pStyle w:val="Sinespaciado"/>
        <w:spacing w:line="360" w:lineRule="auto"/>
        <w:jc w:val="both"/>
        <w:rPr>
          <w:rFonts w:ascii="Times New Roman" w:hAnsi="Times New Roman" w:cs="Times New Roman"/>
          <w:b/>
          <w:sz w:val="24"/>
          <w:szCs w:val="24"/>
          <w:lang w:val="fr-BE"/>
        </w:rPr>
      </w:pPr>
    </w:p>
    <w:p w:rsidR="00C2314E" w:rsidRDefault="00C2314E" w:rsidP="00D501E8">
      <w:pPr>
        <w:pStyle w:val="Sinespaciado"/>
        <w:spacing w:line="360" w:lineRule="auto"/>
        <w:jc w:val="both"/>
        <w:rPr>
          <w:rFonts w:ascii="Times New Roman" w:hAnsi="Times New Roman" w:cs="Times New Roman"/>
          <w:b/>
          <w:sz w:val="24"/>
          <w:szCs w:val="24"/>
          <w:lang w:val="fr-BE"/>
        </w:rPr>
      </w:pPr>
    </w:p>
    <w:p w:rsidR="00D501E8" w:rsidRDefault="00D501E8" w:rsidP="00D501E8">
      <w:pPr>
        <w:pStyle w:val="Sinespaciado"/>
        <w:spacing w:line="360" w:lineRule="auto"/>
        <w:jc w:val="both"/>
        <w:rPr>
          <w:rFonts w:ascii="Times New Roman" w:hAnsi="Times New Roman" w:cs="Times New Roman"/>
          <w:b/>
          <w:sz w:val="24"/>
          <w:szCs w:val="24"/>
          <w:lang w:val="fr-BE"/>
        </w:rPr>
      </w:pPr>
    </w:p>
    <w:p w:rsidR="00D501E8" w:rsidRDefault="00D501E8" w:rsidP="00D501E8">
      <w:pPr>
        <w:pStyle w:val="Sinespaciado"/>
        <w:spacing w:line="360" w:lineRule="auto"/>
        <w:jc w:val="both"/>
        <w:rPr>
          <w:rFonts w:ascii="Times New Roman" w:hAnsi="Times New Roman" w:cs="Times New Roman"/>
          <w:b/>
          <w:sz w:val="24"/>
          <w:szCs w:val="24"/>
          <w:lang w:val="fr-BE"/>
        </w:rPr>
      </w:pPr>
    </w:p>
    <w:p w:rsidR="00D501E8" w:rsidRDefault="00D501E8" w:rsidP="00D501E8">
      <w:pPr>
        <w:pStyle w:val="Sinespaciado"/>
        <w:spacing w:line="360" w:lineRule="auto"/>
        <w:jc w:val="both"/>
        <w:rPr>
          <w:rFonts w:ascii="Times New Roman" w:hAnsi="Times New Roman" w:cs="Times New Roman"/>
          <w:b/>
          <w:sz w:val="24"/>
          <w:szCs w:val="24"/>
          <w:lang w:val="fr-BE"/>
        </w:rPr>
      </w:pPr>
    </w:p>
    <w:p w:rsidR="00B25A53" w:rsidRDefault="00B25A53" w:rsidP="00D501E8">
      <w:pPr>
        <w:pStyle w:val="Sinespaciado"/>
        <w:spacing w:line="360" w:lineRule="auto"/>
        <w:jc w:val="both"/>
        <w:rPr>
          <w:rFonts w:ascii="Times New Roman" w:hAnsi="Times New Roman" w:cs="Times New Roman"/>
          <w:b/>
          <w:sz w:val="24"/>
          <w:szCs w:val="24"/>
          <w:lang w:val="fr-BE"/>
        </w:rPr>
      </w:pPr>
    </w:p>
    <w:p w:rsidR="00B25A53" w:rsidRDefault="00B25A53" w:rsidP="00D501E8">
      <w:pPr>
        <w:pStyle w:val="Sinespaciado"/>
        <w:spacing w:line="360" w:lineRule="auto"/>
        <w:jc w:val="both"/>
        <w:rPr>
          <w:rFonts w:ascii="Times New Roman" w:hAnsi="Times New Roman" w:cs="Times New Roman"/>
          <w:b/>
          <w:sz w:val="24"/>
          <w:szCs w:val="24"/>
          <w:lang w:val="fr-BE"/>
        </w:rPr>
      </w:pPr>
    </w:p>
    <w:p w:rsidR="00D501E8" w:rsidRPr="002F0A14" w:rsidRDefault="00D501E8" w:rsidP="00D501E8">
      <w:pPr>
        <w:pStyle w:val="Sinespaciado"/>
        <w:spacing w:line="360" w:lineRule="auto"/>
        <w:jc w:val="both"/>
        <w:rPr>
          <w:rFonts w:ascii="Times New Roman" w:hAnsi="Times New Roman" w:cs="Times New Roman"/>
          <w:b/>
          <w:sz w:val="24"/>
          <w:szCs w:val="24"/>
          <w:lang w:val="fr-BE"/>
        </w:rPr>
      </w:pPr>
    </w:p>
    <w:p w:rsidR="007A2281" w:rsidRPr="002F0A14" w:rsidRDefault="007A2281" w:rsidP="00D501E8">
      <w:pPr>
        <w:pStyle w:val="Sinespaciado"/>
        <w:spacing w:line="360" w:lineRule="auto"/>
        <w:jc w:val="both"/>
        <w:rPr>
          <w:rFonts w:ascii="Times New Roman" w:hAnsi="Times New Roman" w:cs="Times New Roman"/>
          <w:b/>
          <w:sz w:val="24"/>
          <w:szCs w:val="24"/>
        </w:rPr>
      </w:pPr>
      <w:r w:rsidRPr="002F0A14">
        <w:rPr>
          <w:rFonts w:ascii="Times New Roman" w:hAnsi="Times New Roman" w:cs="Times New Roman"/>
          <w:b/>
          <w:sz w:val="24"/>
          <w:szCs w:val="24"/>
        </w:rPr>
        <w:lastRenderedPageBreak/>
        <w:t>Resumen</w:t>
      </w:r>
    </w:p>
    <w:p w:rsidR="00F34D2B" w:rsidRPr="002F0A14" w:rsidRDefault="00F34D2B" w:rsidP="00D501E8">
      <w:pPr>
        <w:pStyle w:val="Sinespaciado"/>
        <w:spacing w:line="360" w:lineRule="auto"/>
        <w:jc w:val="both"/>
        <w:rPr>
          <w:rFonts w:ascii="Times New Roman" w:hAnsi="Times New Roman" w:cs="Times New Roman"/>
          <w:sz w:val="24"/>
          <w:szCs w:val="24"/>
        </w:rPr>
      </w:pPr>
      <w:r w:rsidRPr="002F0A14">
        <w:rPr>
          <w:rFonts w:ascii="Times New Roman" w:hAnsi="Times New Roman" w:cs="Times New Roman"/>
          <w:sz w:val="24"/>
          <w:szCs w:val="24"/>
          <w:shd w:val="clear" w:color="auto" w:fill="FFFFFF"/>
        </w:rPr>
        <w:t>Objetivos:</w:t>
      </w:r>
      <w:r w:rsidRPr="002F0A14">
        <w:rPr>
          <w:rFonts w:ascii="Times New Roman" w:hAnsi="Times New Roman" w:cs="Times New Roman"/>
          <w:sz w:val="24"/>
          <w:szCs w:val="24"/>
        </w:rPr>
        <w:t xml:space="preserve"> Establecer una relación entre niveles de percepción de la función familiar y los niveles de riesgo de consumo de al</w:t>
      </w:r>
      <w:r w:rsidR="00DA4C3C" w:rsidRPr="002F0A14">
        <w:rPr>
          <w:rFonts w:ascii="Times New Roman" w:hAnsi="Times New Roman" w:cs="Times New Roman"/>
          <w:sz w:val="24"/>
          <w:szCs w:val="24"/>
        </w:rPr>
        <w:t>cohol, tabaco y otras drogas. M</w:t>
      </w:r>
      <w:r w:rsidRPr="002F0A14">
        <w:rPr>
          <w:rFonts w:ascii="Times New Roman" w:hAnsi="Times New Roman" w:cs="Times New Roman"/>
          <w:sz w:val="24"/>
          <w:szCs w:val="24"/>
        </w:rPr>
        <w:t xml:space="preserve">edir el impacto </w:t>
      </w:r>
      <w:r w:rsidR="00447B88" w:rsidRPr="002F0A14">
        <w:rPr>
          <w:rFonts w:ascii="Times New Roman" w:hAnsi="Times New Roman" w:cs="Times New Roman"/>
          <w:sz w:val="24"/>
          <w:szCs w:val="24"/>
        </w:rPr>
        <w:t>de los</w:t>
      </w:r>
      <w:r w:rsidRPr="002F0A14">
        <w:rPr>
          <w:rFonts w:ascii="Times New Roman" w:hAnsi="Times New Roman" w:cs="Times New Roman"/>
          <w:sz w:val="24"/>
          <w:szCs w:val="24"/>
        </w:rPr>
        <w:t xml:space="preserve"> niveles de percepción de la función familiar </w:t>
      </w:r>
      <w:r w:rsidR="00447B88" w:rsidRPr="002F0A14">
        <w:rPr>
          <w:rFonts w:ascii="Times New Roman" w:hAnsi="Times New Roman" w:cs="Times New Roman"/>
          <w:sz w:val="24"/>
          <w:szCs w:val="24"/>
        </w:rPr>
        <w:t>sobre</w:t>
      </w:r>
      <w:r w:rsidRPr="002F0A14">
        <w:rPr>
          <w:rFonts w:ascii="Times New Roman" w:hAnsi="Times New Roman" w:cs="Times New Roman"/>
          <w:sz w:val="24"/>
          <w:szCs w:val="24"/>
        </w:rPr>
        <w:t xml:space="preserve"> las posibilidades de consumo de alcohol, tabaco y otras drogas en </w:t>
      </w:r>
      <w:r w:rsidR="001241FB" w:rsidRPr="002F0A14">
        <w:rPr>
          <w:rFonts w:ascii="Times New Roman" w:hAnsi="Times New Roman" w:cs="Times New Roman"/>
          <w:sz w:val="24"/>
          <w:szCs w:val="24"/>
        </w:rPr>
        <w:t>estudiantes</w:t>
      </w:r>
      <w:r w:rsidRPr="002F0A14">
        <w:rPr>
          <w:rFonts w:ascii="Times New Roman" w:hAnsi="Times New Roman" w:cs="Times New Roman"/>
          <w:sz w:val="24"/>
          <w:szCs w:val="24"/>
        </w:rPr>
        <w:t xml:space="preserve"> del Colegio de Bachillerato “27 de febrero”, Loja, Ecuador.</w:t>
      </w:r>
    </w:p>
    <w:p w:rsidR="00F34D2B" w:rsidRPr="002F0A14" w:rsidRDefault="001241FB" w:rsidP="00D501E8">
      <w:pPr>
        <w:pStyle w:val="Sinespaciado"/>
        <w:spacing w:line="360" w:lineRule="auto"/>
        <w:jc w:val="both"/>
        <w:rPr>
          <w:rFonts w:ascii="Times New Roman" w:hAnsi="Times New Roman" w:cs="Times New Roman"/>
          <w:sz w:val="24"/>
          <w:szCs w:val="24"/>
          <w:shd w:val="clear" w:color="auto" w:fill="FFFFFF"/>
        </w:rPr>
      </w:pPr>
      <w:r w:rsidRPr="002F0A14">
        <w:rPr>
          <w:rFonts w:ascii="Times New Roman" w:hAnsi="Times New Roman" w:cs="Times New Roman"/>
          <w:sz w:val="24"/>
          <w:szCs w:val="24"/>
          <w:shd w:val="clear" w:color="auto" w:fill="FFFFFF"/>
        </w:rPr>
        <w:t>Metodología: E</w:t>
      </w:r>
      <w:r w:rsidR="00F34D2B" w:rsidRPr="002F0A14">
        <w:rPr>
          <w:rFonts w:ascii="Times New Roman" w:hAnsi="Times New Roman" w:cs="Times New Roman"/>
          <w:sz w:val="24"/>
          <w:szCs w:val="24"/>
          <w:shd w:val="clear" w:color="auto" w:fill="FFFFFF"/>
        </w:rPr>
        <w:t>studio de corte transversal con muestreo no probabilístico de tipo no experimental</w:t>
      </w:r>
      <w:r w:rsidRPr="002F0A14">
        <w:rPr>
          <w:rFonts w:ascii="Times New Roman" w:hAnsi="Times New Roman" w:cs="Times New Roman"/>
          <w:sz w:val="24"/>
          <w:szCs w:val="24"/>
          <w:shd w:val="clear" w:color="auto" w:fill="FFFFFF"/>
        </w:rPr>
        <w:t>,</w:t>
      </w:r>
      <w:r w:rsidR="00F34D2B" w:rsidRPr="002F0A14">
        <w:rPr>
          <w:rFonts w:ascii="Times New Roman" w:hAnsi="Times New Roman" w:cs="Times New Roman"/>
          <w:sz w:val="24"/>
          <w:szCs w:val="24"/>
          <w:shd w:val="clear" w:color="auto" w:fill="FFFFFF"/>
        </w:rPr>
        <w:t xml:space="preserve"> conformado por 664 estudiantes de enseñanza básica superior y bachillerato. Se aplicó dos instrumentos psicométricos: APGAR-familiar y La Prueba de Detección de Consumo de Alcohol, Tabaco y Sustancias (ASSIST v3.1).</w:t>
      </w:r>
    </w:p>
    <w:p w:rsidR="00F34D2B" w:rsidRPr="002F0A14" w:rsidRDefault="00F34D2B" w:rsidP="00D501E8">
      <w:pPr>
        <w:pStyle w:val="Sinespaciado"/>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Resultados: </w:t>
      </w:r>
      <w:r w:rsidR="00DA4C3C" w:rsidRPr="002F0A14">
        <w:rPr>
          <w:rFonts w:ascii="Times New Roman" w:hAnsi="Times New Roman" w:cs="Times New Roman"/>
          <w:sz w:val="24"/>
          <w:szCs w:val="24"/>
        </w:rPr>
        <w:t>L</w:t>
      </w:r>
      <w:r w:rsidRPr="002F0A14">
        <w:rPr>
          <w:rFonts w:ascii="Times New Roman" w:hAnsi="Times New Roman" w:cs="Times New Roman"/>
          <w:sz w:val="24"/>
          <w:szCs w:val="24"/>
        </w:rPr>
        <w:t>os hallazgos mostraron una asociación significativa entre la percepción de la funcionalidad famil</w:t>
      </w:r>
      <w:r w:rsidR="00756897" w:rsidRPr="002F0A14">
        <w:rPr>
          <w:rFonts w:ascii="Times New Roman" w:hAnsi="Times New Roman" w:cs="Times New Roman"/>
          <w:sz w:val="24"/>
          <w:szCs w:val="24"/>
        </w:rPr>
        <w:t>iar y el consumo de drogas (p&lt;.01), alcohol (p&lt;.05) y tabaco (p&lt;.</w:t>
      </w:r>
      <w:r w:rsidRPr="002F0A14">
        <w:rPr>
          <w:rFonts w:ascii="Times New Roman" w:hAnsi="Times New Roman" w:cs="Times New Roman"/>
          <w:sz w:val="24"/>
          <w:szCs w:val="24"/>
        </w:rPr>
        <w:t>1</w:t>
      </w:r>
      <w:r w:rsidR="00756897" w:rsidRPr="002F0A14">
        <w:rPr>
          <w:rFonts w:ascii="Times New Roman" w:hAnsi="Times New Roman" w:cs="Times New Roman"/>
          <w:sz w:val="24"/>
          <w:szCs w:val="24"/>
        </w:rPr>
        <w:t>0</w:t>
      </w:r>
      <w:r w:rsidRPr="002F0A14">
        <w:rPr>
          <w:rFonts w:ascii="Times New Roman" w:hAnsi="Times New Roman" w:cs="Times New Roman"/>
          <w:sz w:val="24"/>
          <w:szCs w:val="24"/>
        </w:rPr>
        <w:t>). Los odd</w:t>
      </w:r>
      <w:r w:rsidR="00347E6D" w:rsidRPr="002F0A14">
        <w:rPr>
          <w:rFonts w:ascii="Times New Roman" w:hAnsi="Times New Roman" w:cs="Times New Roman"/>
          <w:sz w:val="24"/>
          <w:szCs w:val="24"/>
        </w:rPr>
        <w:t>s</w:t>
      </w:r>
      <w:r w:rsidRPr="002F0A14">
        <w:rPr>
          <w:rFonts w:ascii="Times New Roman" w:hAnsi="Times New Roman" w:cs="Times New Roman"/>
          <w:sz w:val="24"/>
          <w:szCs w:val="24"/>
        </w:rPr>
        <w:t xml:space="preserve"> ratio determinan que </w:t>
      </w:r>
      <w:r w:rsidR="00347E6D" w:rsidRPr="002F0A14">
        <w:rPr>
          <w:rFonts w:ascii="Times New Roman" w:hAnsi="Times New Roman" w:cs="Times New Roman"/>
          <w:sz w:val="24"/>
          <w:szCs w:val="24"/>
        </w:rPr>
        <w:t xml:space="preserve">las posibilidades de consumo </w:t>
      </w:r>
      <w:r w:rsidR="00EA2720" w:rsidRPr="002F0A14">
        <w:rPr>
          <w:rFonts w:ascii="Times New Roman" w:hAnsi="Times New Roman" w:cs="Times New Roman"/>
          <w:sz w:val="24"/>
          <w:szCs w:val="24"/>
        </w:rPr>
        <w:t>de estudiantes con</w:t>
      </w:r>
      <w:r w:rsidRPr="002F0A14">
        <w:rPr>
          <w:rFonts w:ascii="Times New Roman" w:hAnsi="Times New Roman" w:cs="Times New Roman"/>
          <w:sz w:val="24"/>
          <w:szCs w:val="24"/>
        </w:rPr>
        <w:t xml:space="preserve"> percepción de l</w:t>
      </w:r>
      <w:r w:rsidR="00347E6D" w:rsidRPr="002F0A14">
        <w:rPr>
          <w:rFonts w:ascii="Times New Roman" w:hAnsi="Times New Roman" w:cs="Times New Roman"/>
          <w:sz w:val="24"/>
          <w:szCs w:val="24"/>
        </w:rPr>
        <w:t>a función familiar baja son  2.</w:t>
      </w:r>
      <w:r w:rsidRPr="002F0A14">
        <w:rPr>
          <w:rFonts w:ascii="Times New Roman" w:hAnsi="Times New Roman" w:cs="Times New Roman"/>
          <w:sz w:val="24"/>
          <w:szCs w:val="24"/>
        </w:rPr>
        <w:t>58</w:t>
      </w:r>
      <w:r w:rsidR="00347E6D" w:rsidRPr="002F0A14">
        <w:rPr>
          <w:rFonts w:ascii="Times New Roman" w:hAnsi="Times New Roman" w:cs="Times New Roman"/>
          <w:sz w:val="24"/>
          <w:szCs w:val="24"/>
        </w:rPr>
        <w:t>, 2.</w:t>
      </w:r>
      <w:r w:rsidRPr="002F0A14">
        <w:rPr>
          <w:rFonts w:ascii="Times New Roman" w:hAnsi="Times New Roman" w:cs="Times New Roman"/>
          <w:sz w:val="24"/>
          <w:szCs w:val="24"/>
        </w:rPr>
        <w:t>10</w:t>
      </w:r>
      <w:r w:rsidR="00347E6D" w:rsidRPr="002F0A14">
        <w:rPr>
          <w:rFonts w:ascii="Times New Roman" w:hAnsi="Times New Roman" w:cs="Times New Roman"/>
          <w:sz w:val="24"/>
          <w:szCs w:val="24"/>
        </w:rPr>
        <w:t xml:space="preserve"> y 2.45</w:t>
      </w:r>
      <w:r w:rsidRPr="002F0A14">
        <w:rPr>
          <w:rFonts w:ascii="Times New Roman" w:hAnsi="Times New Roman" w:cs="Times New Roman"/>
          <w:sz w:val="24"/>
          <w:szCs w:val="24"/>
        </w:rPr>
        <w:t xml:space="preserve"> veces más altas </w:t>
      </w:r>
      <w:r w:rsidR="00EA2720" w:rsidRPr="002F0A14">
        <w:rPr>
          <w:rFonts w:ascii="Times New Roman" w:hAnsi="Times New Roman" w:cs="Times New Roman"/>
          <w:sz w:val="24"/>
          <w:szCs w:val="24"/>
        </w:rPr>
        <w:t xml:space="preserve">que estudiantes con percepción familiar alta </w:t>
      </w:r>
      <w:r w:rsidRPr="002F0A14">
        <w:rPr>
          <w:rFonts w:ascii="Times New Roman" w:hAnsi="Times New Roman" w:cs="Times New Roman"/>
          <w:sz w:val="24"/>
          <w:szCs w:val="24"/>
        </w:rPr>
        <w:t>para alcohol</w:t>
      </w:r>
      <w:r w:rsidR="001241FB" w:rsidRPr="002F0A14">
        <w:rPr>
          <w:rFonts w:ascii="Times New Roman" w:hAnsi="Times New Roman" w:cs="Times New Roman"/>
          <w:sz w:val="24"/>
          <w:szCs w:val="24"/>
        </w:rPr>
        <w:t>,</w:t>
      </w:r>
      <w:r w:rsidRPr="002F0A14">
        <w:rPr>
          <w:rFonts w:ascii="Times New Roman" w:hAnsi="Times New Roman" w:cs="Times New Roman"/>
          <w:sz w:val="24"/>
          <w:szCs w:val="24"/>
        </w:rPr>
        <w:t xml:space="preserve"> t</w:t>
      </w:r>
      <w:r w:rsidR="00347E6D" w:rsidRPr="002F0A14">
        <w:rPr>
          <w:rFonts w:ascii="Times New Roman" w:hAnsi="Times New Roman" w:cs="Times New Roman"/>
          <w:sz w:val="24"/>
          <w:szCs w:val="24"/>
        </w:rPr>
        <w:t xml:space="preserve">abaco y drogas respectivamente </w:t>
      </w:r>
    </w:p>
    <w:p w:rsidR="00F34D2B" w:rsidRPr="002F0A14" w:rsidRDefault="00447B88" w:rsidP="00D501E8">
      <w:pPr>
        <w:pStyle w:val="Sinespaciado"/>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Conclusiones: A medida que disminuye la percepción de la función familiar aumenta el nivel de riesgo en el consumo de adolescentes.</w:t>
      </w:r>
      <w:r w:rsidR="00F34D2B" w:rsidRPr="002F0A14">
        <w:rPr>
          <w:rFonts w:ascii="Times New Roman" w:hAnsi="Times New Roman" w:cs="Times New Roman"/>
          <w:sz w:val="24"/>
          <w:szCs w:val="24"/>
        </w:rPr>
        <w:t xml:space="preserve"> </w:t>
      </w:r>
    </w:p>
    <w:p w:rsidR="00F34D2B" w:rsidRDefault="00F34D2B" w:rsidP="00D501E8">
      <w:pPr>
        <w:pStyle w:val="Sinespaciado"/>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Palabras Claves: Función familiar, </w:t>
      </w:r>
      <w:r w:rsidR="00E90917" w:rsidRPr="002F0A14">
        <w:rPr>
          <w:rFonts w:ascii="Times New Roman" w:hAnsi="Times New Roman" w:cs="Times New Roman"/>
          <w:sz w:val="24"/>
          <w:szCs w:val="24"/>
        </w:rPr>
        <w:t>Adolescentes</w:t>
      </w:r>
      <w:r w:rsidRPr="002F0A14">
        <w:rPr>
          <w:rFonts w:ascii="Times New Roman" w:hAnsi="Times New Roman" w:cs="Times New Roman"/>
          <w:sz w:val="24"/>
          <w:szCs w:val="24"/>
        </w:rPr>
        <w:t xml:space="preserve">, Consumo de drogas. </w:t>
      </w: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Default="00B25A53" w:rsidP="00D501E8">
      <w:pPr>
        <w:pStyle w:val="Sinespaciado"/>
        <w:spacing w:line="360" w:lineRule="auto"/>
        <w:jc w:val="both"/>
        <w:rPr>
          <w:rFonts w:ascii="Times New Roman" w:hAnsi="Times New Roman" w:cs="Times New Roman"/>
          <w:sz w:val="24"/>
          <w:szCs w:val="24"/>
        </w:rPr>
      </w:pPr>
    </w:p>
    <w:p w:rsidR="00B25A53" w:rsidRPr="002F0A14" w:rsidRDefault="00B25A53" w:rsidP="00D501E8">
      <w:pPr>
        <w:pStyle w:val="Sinespaciado"/>
        <w:spacing w:line="360" w:lineRule="auto"/>
        <w:jc w:val="both"/>
        <w:rPr>
          <w:rFonts w:ascii="Times New Roman" w:hAnsi="Times New Roman" w:cs="Times New Roman"/>
          <w:sz w:val="24"/>
          <w:szCs w:val="24"/>
        </w:rPr>
      </w:pPr>
    </w:p>
    <w:p w:rsidR="007A2281" w:rsidRPr="002F0A14" w:rsidRDefault="00DA4C3C" w:rsidP="00D501E8">
      <w:pPr>
        <w:pStyle w:val="Sinespaciado"/>
        <w:spacing w:line="360" w:lineRule="auto"/>
        <w:jc w:val="both"/>
        <w:rPr>
          <w:rFonts w:ascii="Times New Roman" w:hAnsi="Times New Roman" w:cs="Times New Roman"/>
          <w:b/>
          <w:sz w:val="24"/>
          <w:szCs w:val="24"/>
          <w:lang w:val="fr-BE"/>
        </w:rPr>
      </w:pPr>
      <w:r w:rsidRPr="002F0A14">
        <w:rPr>
          <w:rFonts w:ascii="Times New Roman" w:hAnsi="Times New Roman" w:cs="Times New Roman"/>
          <w:b/>
          <w:sz w:val="24"/>
          <w:szCs w:val="24"/>
          <w:lang w:val="fr-BE"/>
        </w:rPr>
        <w:lastRenderedPageBreak/>
        <w:t>Abstract</w:t>
      </w:r>
    </w:p>
    <w:p w:rsidR="00DA4C3C" w:rsidRPr="002F0A14" w:rsidRDefault="00DA4C3C" w:rsidP="00D501E8">
      <w:pPr>
        <w:pStyle w:val="Sinespaciado"/>
        <w:spacing w:line="360" w:lineRule="auto"/>
        <w:jc w:val="both"/>
        <w:rPr>
          <w:rFonts w:ascii="Times New Roman" w:hAnsi="Times New Roman" w:cs="Times New Roman"/>
          <w:sz w:val="24"/>
          <w:szCs w:val="24"/>
          <w:lang w:val="en-US"/>
        </w:rPr>
      </w:pPr>
      <w:r w:rsidRPr="002F0A14">
        <w:rPr>
          <w:rFonts w:ascii="Times New Roman" w:hAnsi="Times New Roman" w:cs="Times New Roman"/>
          <w:sz w:val="24"/>
          <w:szCs w:val="24"/>
          <w:lang w:val="en-US"/>
        </w:rPr>
        <w:t xml:space="preserve">Objectives: To establish a statistical relationship between levels of perception of family function and levels of risk of consumption of alcohol, tobacco and other drugs. To measure the impact that these levels of perception of the family function cause in the </w:t>
      </w:r>
      <w:r w:rsidR="00347E6D" w:rsidRPr="002F0A14">
        <w:rPr>
          <w:rFonts w:ascii="Times New Roman" w:hAnsi="Times New Roman" w:cs="Times New Roman"/>
          <w:sz w:val="24"/>
          <w:szCs w:val="24"/>
          <w:lang w:val="en-US"/>
        </w:rPr>
        <w:t>odds</w:t>
      </w:r>
      <w:r w:rsidRPr="002F0A14">
        <w:rPr>
          <w:rFonts w:ascii="Times New Roman" w:hAnsi="Times New Roman" w:cs="Times New Roman"/>
          <w:sz w:val="24"/>
          <w:szCs w:val="24"/>
          <w:lang w:val="en-US"/>
        </w:rPr>
        <w:t xml:space="preserve"> of alcohol, tobacco and other drugs consumption on Colegio de Bachillerato “27 de Febrero”’ students in Loja, Ecuador.</w:t>
      </w:r>
    </w:p>
    <w:p w:rsidR="00DA4C3C" w:rsidRPr="002F0A14" w:rsidRDefault="00DA4C3C" w:rsidP="00D501E8">
      <w:pPr>
        <w:pStyle w:val="Sinespaciado"/>
        <w:spacing w:line="360" w:lineRule="auto"/>
        <w:jc w:val="both"/>
        <w:rPr>
          <w:rFonts w:ascii="Times New Roman" w:hAnsi="Times New Roman" w:cs="Times New Roman"/>
          <w:sz w:val="24"/>
          <w:szCs w:val="24"/>
          <w:lang w:val="en-US"/>
        </w:rPr>
      </w:pPr>
      <w:r w:rsidRPr="002F0A14">
        <w:rPr>
          <w:rFonts w:ascii="Times New Roman" w:hAnsi="Times New Roman" w:cs="Times New Roman"/>
          <w:sz w:val="24"/>
          <w:szCs w:val="24"/>
          <w:lang w:val="en-US"/>
        </w:rPr>
        <w:t>Methodology: Cross-sectional study with non-probabilistic sampling of a non-experimental type, made up of 664 students of basic higher education and high school. Two psychometric instruments were applied: APGAR-family and the Alcohol, Tobacco and Substance Consumption Detection Test (ASSIST v3.1).</w:t>
      </w:r>
    </w:p>
    <w:p w:rsidR="00DA4C3C" w:rsidRPr="002F0A14" w:rsidRDefault="00DA4C3C" w:rsidP="00D501E8">
      <w:pPr>
        <w:pStyle w:val="Sinespaciado"/>
        <w:spacing w:line="360" w:lineRule="auto"/>
        <w:jc w:val="both"/>
        <w:rPr>
          <w:rFonts w:ascii="Times New Roman" w:hAnsi="Times New Roman" w:cs="Times New Roman"/>
          <w:sz w:val="24"/>
          <w:szCs w:val="24"/>
          <w:lang w:val="en-US"/>
        </w:rPr>
      </w:pPr>
      <w:r w:rsidRPr="002F0A14">
        <w:rPr>
          <w:rFonts w:ascii="Times New Roman" w:hAnsi="Times New Roman" w:cs="Times New Roman"/>
          <w:sz w:val="24"/>
          <w:szCs w:val="24"/>
          <w:lang w:val="en-US"/>
        </w:rPr>
        <w:t>Results: the findings showed a significant association between the perception of family functionality and</w:t>
      </w:r>
      <w:r w:rsidR="00756897" w:rsidRPr="002F0A14">
        <w:rPr>
          <w:rFonts w:ascii="Times New Roman" w:hAnsi="Times New Roman" w:cs="Times New Roman"/>
          <w:sz w:val="24"/>
          <w:szCs w:val="24"/>
          <w:lang w:val="en-US"/>
        </w:rPr>
        <w:t xml:space="preserve"> the consumption of drugs (p&lt;.01), alcohol (p&lt;</w:t>
      </w:r>
      <w:r w:rsidRPr="002F0A14">
        <w:rPr>
          <w:rFonts w:ascii="Times New Roman" w:hAnsi="Times New Roman" w:cs="Times New Roman"/>
          <w:sz w:val="24"/>
          <w:szCs w:val="24"/>
          <w:lang w:val="en-US"/>
        </w:rPr>
        <w:t xml:space="preserve">.05) and </w:t>
      </w:r>
      <w:r w:rsidR="00756897" w:rsidRPr="002F0A14">
        <w:rPr>
          <w:rFonts w:ascii="Times New Roman" w:hAnsi="Times New Roman" w:cs="Times New Roman"/>
          <w:sz w:val="24"/>
          <w:szCs w:val="24"/>
          <w:lang w:val="en-US"/>
        </w:rPr>
        <w:t>tobacco (p&lt;</w:t>
      </w:r>
      <w:r w:rsidRPr="002F0A14">
        <w:rPr>
          <w:rFonts w:ascii="Times New Roman" w:hAnsi="Times New Roman" w:cs="Times New Roman"/>
          <w:sz w:val="24"/>
          <w:szCs w:val="24"/>
          <w:lang w:val="en-US"/>
        </w:rPr>
        <w:t>.1</w:t>
      </w:r>
      <w:r w:rsidR="00756897" w:rsidRPr="002F0A14">
        <w:rPr>
          <w:rFonts w:ascii="Times New Roman" w:hAnsi="Times New Roman" w:cs="Times New Roman"/>
          <w:sz w:val="24"/>
          <w:szCs w:val="24"/>
          <w:lang w:val="en-US"/>
        </w:rPr>
        <w:t>0</w:t>
      </w:r>
      <w:r w:rsidRPr="002F0A14">
        <w:rPr>
          <w:rFonts w:ascii="Times New Roman" w:hAnsi="Times New Roman" w:cs="Times New Roman"/>
          <w:sz w:val="24"/>
          <w:szCs w:val="24"/>
          <w:lang w:val="en-US"/>
        </w:rPr>
        <w:t xml:space="preserve">). The odd ratios determine that the </w:t>
      </w:r>
      <w:r w:rsidR="00347E6D" w:rsidRPr="002F0A14">
        <w:rPr>
          <w:rFonts w:ascii="Times New Roman" w:hAnsi="Times New Roman" w:cs="Times New Roman"/>
          <w:sz w:val="24"/>
          <w:szCs w:val="24"/>
          <w:lang w:val="en-US"/>
        </w:rPr>
        <w:t>chances</w:t>
      </w:r>
      <w:r w:rsidRPr="002F0A14">
        <w:rPr>
          <w:rFonts w:ascii="Times New Roman" w:hAnsi="Times New Roman" w:cs="Times New Roman"/>
          <w:sz w:val="24"/>
          <w:szCs w:val="24"/>
          <w:lang w:val="en-US"/>
        </w:rPr>
        <w:t xml:space="preserve"> of consumption </w:t>
      </w:r>
      <w:r w:rsidR="00EA2720" w:rsidRPr="002F0A14">
        <w:rPr>
          <w:rFonts w:ascii="Times New Roman" w:hAnsi="Times New Roman" w:cs="Times New Roman"/>
          <w:sz w:val="24"/>
          <w:szCs w:val="24"/>
          <w:lang w:val="en-US"/>
        </w:rPr>
        <w:t xml:space="preserve">for students with low perception </w:t>
      </w:r>
      <w:r w:rsidRPr="002F0A14">
        <w:rPr>
          <w:rFonts w:ascii="Times New Roman" w:hAnsi="Times New Roman" w:cs="Times New Roman"/>
          <w:sz w:val="24"/>
          <w:szCs w:val="24"/>
          <w:lang w:val="en-US"/>
        </w:rPr>
        <w:t>family fu</w:t>
      </w:r>
      <w:r w:rsidR="00EA2720" w:rsidRPr="002F0A14">
        <w:rPr>
          <w:rFonts w:ascii="Times New Roman" w:hAnsi="Times New Roman" w:cs="Times New Roman"/>
          <w:sz w:val="24"/>
          <w:szCs w:val="24"/>
          <w:lang w:val="en-US"/>
        </w:rPr>
        <w:t xml:space="preserve">nction are 2.58, 2.10 and 2.45 </w:t>
      </w:r>
      <w:r w:rsidRPr="002F0A14">
        <w:rPr>
          <w:rFonts w:ascii="Times New Roman" w:hAnsi="Times New Roman" w:cs="Times New Roman"/>
          <w:sz w:val="24"/>
          <w:szCs w:val="24"/>
          <w:lang w:val="en-US"/>
        </w:rPr>
        <w:t>times higher</w:t>
      </w:r>
      <w:r w:rsidR="00EA2720" w:rsidRPr="002F0A14">
        <w:rPr>
          <w:rFonts w:ascii="Times New Roman" w:hAnsi="Times New Roman" w:cs="Times New Roman"/>
          <w:sz w:val="24"/>
          <w:szCs w:val="24"/>
          <w:lang w:val="en-US"/>
        </w:rPr>
        <w:t xml:space="preserve"> than students with high perception of family function</w:t>
      </w:r>
      <w:r w:rsidRPr="002F0A14">
        <w:rPr>
          <w:rFonts w:ascii="Times New Roman" w:hAnsi="Times New Roman" w:cs="Times New Roman"/>
          <w:sz w:val="24"/>
          <w:szCs w:val="24"/>
          <w:lang w:val="en-US"/>
        </w:rPr>
        <w:t xml:space="preserve"> for alcohol,</w:t>
      </w:r>
      <w:r w:rsidR="00347E6D" w:rsidRPr="002F0A14">
        <w:rPr>
          <w:rFonts w:ascii="Times New Roman" w:hAnsi="Times New Roman" w:cs="Times New Roman"/>
          <w:sz w:val="24"/>
          <w:szCs w:val="24"/>
          <w:lang w:val="en-US"/>
        </w:rPr>
        <w:t xml:space="preserve"> tobacco and drugs respectively </w:t>
      </w:r>
    </w:p>
    <w:p w:rsidR="00DA4C3C" w:rsidRPr="002F0A14" w:rsidRDefault="00DA4C3C" w:rsidP="00B25A53">
      <w:pPr>
        <w:pStyle w:val="Sinespaciado"/>
        <w:spacing w:line="360" w:lineRule="auto"/>
        <w:jc w:val="both"/>
        <w:rPr>
          <w:rFonts w:ascii="Times New Roman" w:hAnsi="Times New Roman" w:cs="Times New Roman"/>
          <w:sz w:val="24"/>
          <w:szCs w:val="24"/>
          <w:lang w:val="en-US"/>
        </w:rPr>
      </w:pPr>
      <w:r w:rsidRPr="002F0A14">
        <w:rPr>
          <w:rFonts w:ascii="Times New Roman" w:hAnsi="Times New Roman" w:cs="Times New Roman"/>
          <w:sz w:val="24"/>
          <w:szCs w:val="24"/>
          <w:lang w:val="en-US"/>
        </w:rPr>
        <w:t xml:space="preserve">Conclusions: </w:t>
      </w:r>
      <w:r w:rsidR="00B25A53">
        <w:rPr>
          <w:rFonts w:ascii="Times New Roman" w:hAnsi="Times New Roman" w:cs="Times New Roman"/>
          <w:sz w:val="24"/>
          <w:szCs w:val="24"/>
          <w:lang w:val="en-US"/>
        </w:rPr>
        <w:t>A</w:t>
      </w:r>
      <w:r w:rsidR="00B25A53" w:rsidRPr="00B25A53">
        <w:rPr>
          <w:rFonts w:ascii="Times New Roman" w:hAnsi="Times New Roman" w:cs="Times New Roman"/>
          <w:sz w:val="24"/>
          <w:szCs w:val="24"/>
          <w:lang w:val="en-US"/>
        </w:rPr>
        <w:t>s the perception of family function decreases, the level of risk in adolescent consumption increases</w:t>
      </w:r>
    </w:p>
    <w:p w:rsidR="00DA4C3C" w:rsidRPr="002F0A14" w:rsidRDefault="00DA4C3C" w:rsidP="00D501E8">
      <w:pPr>
        <w:pStyle w:val="Sinespaciado"/>
        <w:spacing w:line="360" w:lineRule="auto"/>
        <w:jc w:val="both"/>
        <w:rPr>
          <w:rFonts w:ascii="Times New Roman" w:hAnsi="Times New Roman" w:cs="Times New Roman"/>
          <w:sz w:val="24"/>
          <w:szCs w:val="24"/>
          <w:lang w:val="en-US"/>
        </w:rPr>
      </w:pPr>
      <w:r w:rsidRPr="002F0A14">
        <w:rPr>
          <w:rFonts w:ascii="Times New Roman" w:hAnsi="Times New Roman" w:cs="Times New Roman"/>
          <w:sz w:val="24"/>
          <w:szCs w:val="24"/>
          <w:lang w:val="en-US"/>
        </w:rPr>
        <w:t xml:space="preserve">Key Words: Family function, </w:t>
      </w:r>
      <w:r w:rsidR="00E90917" w:rsidRPr="002F0A14">
        <w:rPr>
          <w:rFonts w:ascii="Times New Roman" w:hAnsi="Times New Roman" w:cs="Times New Roman"/>
          <w:sz w:val="24"/>
          <w:szCs w:val="24"/>
          <w:lang w:val="en-US"/>
        </w:rPr>
        <w:t>Adolescents</w:t>
      </w:r>
      <w:r w:rsidRPr="002F0A14">
        <w:rPr>
          <w:rFonts w:ascii="Times New Roman" w:hAnsi="Times New Roman" w:cs="Times New Roman"/>
          <w:sz w:val="24"/>
          <w:szCs w:val="24"/>
          <w:lang w:val="en-US"/>
        </w:rPr>
        <w:t>, Drug use.</w:t>
      </w:r>
    </w:p>
    <w:p w:rsidR="00FF5678" w:rsidRDefault="00FF5678"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Default="00B25A53" w:rsidP="00D501E8">
      <w:pPr>
        <w:pStyle w:val="Sinespaciado"/>
        <w:spacing w:line="360" w:lineRule="auto"/>
        <w:jc w:val="both"/>
        <w:rPr>
          <w:rFonts w:ascii="Times New Roman" w:hAnsi="Times New Roman" w:cs="Times New Roman"/>
          <w:sz w:val="24"/>
          <w:szCs w:val="24"/>
          <w:lang w:val="en-US"/>
        </w:rPr>
      </w:pPr>
    </w:p>
    <w:p w:rsidR="00B25A53" w:rsidRPr="002F0A14" w:rsidRDefault="00B25A53" w:rsidP="00D501E8">
      <w:pPr>
        <w:pStyle w:val="Sinespaciado"/>
        <w:spacing w:line="360" w:lineRule="auto"/>
        <w:jc w:val="both"/>
        <w:rPr>
          <w:rFonts w:ascii="Times New Roman" w:hAnsi="Times New Roman" w:cs="Times New Roman"/>
          <w:sz w:val="24"/>
          <w:szCs w:val="24"/>
          <w:lang w:val="en-US"/>
        </w:rPr>
      </w:pPr>
    </w:p>
    <w:p w:rsidR="007A2281" w:rsidRPr="002F0A14" w:rsidRDefault="007A2281" w:rsidP="00D501E8">
      <w:pPr>
        <w:spacing w:line="360" w:lineRule="auto"/>
        <w:jc w:val="both"/>
        <w:rPr>
          <w:rFonts w:ascii="Times New Roman" w:hAnsi="Times New Roman" w:cs="Times New Roman"/>
          <w:b/>
          <w:sz w:val="24"/>
          <w:szCs w:val="24"/>
        </w:rPr>
      </w:pPr>
      <w:r w:rsidRPr="002F0A14">
        <w:rPr>
          <w:rFonts w:ascii="Times New Roman" w:hAnsi="Times New Roman" w:cs="Times New Roman"/>
          <w:b/>
          <w:sz w:val="24"/>
          <w:szCs w:val="24"/>
        </w:rPr>
        <w:lastRenderedPageBreak/>
        <w:t>Introducción</w:t>
      </w:r>
    </w:p>
    <w:p w:rsidR="00413E35" w:rsidRPr="002F0A14" w:rsidRDefault="00ED397A" w:rsidP="00D501E8">
      <w:pPr>
        <w:spacing w:line="360" w:lineRule="auto"/>
        <w:jc w:val="both"/>
        <w:rPr>
          <w:rFonts w:ascii="Times New Roman" w:hAnsi="Times New Roman" w:cs="Times New Roman"/>
          <w:sz w:val="24"/>
          <w:szCs w:val="24"/>
        </w:rPr>
      </w:pPr>
      <w:r w:rsidRPr="002F0A14">
        <w:rPr>
          <w:rFonts w:ascii="Times New Roman" w:hAnsi="Times New Roman" w:cs="Times New Roman"/>
          <w:color w:val="000000" w:themeColor="text1"/>
          <w:sz w:val="24"/>
          <w:szCs w:val="24"/>
          <w:shd w:val="clear" w:color="auto" w:fill="FFFFFF"/>
        </w:rPr>
        <w:t>La adolescencia</w:t>
      </w:r>
      <w:r w:rsidR="00413E35" w:rsidRPr="002F0A14">
        <w:rPr>
          <w:rFonts w:ascii="Times New Roman" w:hAnsi="Times New Roman" w:cs="Times New Roman"/>
          <w:color w:val="000000" w:themeColor="text1"/>
          <w:sz w:val="24"/>
          <w:szCs w:val="24"/>
          <w:shd w:val="clear" w:color="auto" w:fill="FFFFFF"/>
        </w:rPr>
        <w:t xml:space="preserve"> </w:t>
      </w:r>
      <w:r w:rsidR="00447B88" w:rsidRPr="002F0A14">
        <w:rPr>
          <w:rFonts w:ascii="Times New Roman" w:hAnsi="Times New Roman" w:cs="Times New Roman"/>
          <w:color w:val="000000" w:themeColor="text1"/>
          <w:sz w:val="24"/>
          <w:szCs w:val="24"/>
          <w:shd w:val="clear" w:color="auto" w:fill="FFFFFF"/>
        </w:rPr>
        <w:t xml:space="preserve">es </w:t>
      </w:r>
      <w:r w:rsidR="00413E35" w:rsidRPr="002F0A14">
        <w:rPr>
          <w:rFonts w:ascii="Times New Roman" w:hAnsi="Times New Roman" w:cs="Times New Roman"/>
          <w:color w:val="000000" w:themeColor="text1"/>
          <w:sz w:val="24"/>
          <w:szCs w:val="24"/>
          <w:shd w:val="clear" w:color="auto" w:fill="FFFFFF"/>
        </w:rPr>
        <w:t xml:space="preserve">considerada </w:t>
      </w:r>
      <w:r w:rsidR="00AD6599" w:rsidRPr="002F0A14">
        <w:rPr>
          <w:rFonts w:ascii="Times New Roman" w:hAnsi="Times New Roman" w:cs="Times New Roman"/>
          <w:color w:val="000000" w:themeColor="text1"/>
          <w:sz w:val="24"/>
          <w:szCs w:val="24"/>
          <w:shd w:val="clear" w:color="auto" w:fill="FFFFFF"/>
        </w:rPr>
        <w:t xml:space="preserve">como </w:t>
      </w:r>
      <w:r w:rsidR="00413E35" w:rsidRPr="002F0A14">
        <w:rPr>
          <w:rFonts w:ascii="Times New Roman" w:hAnsi="Times New Roman" w:cs="Times New Roman"/>
          <w:color w:val="000000" w:themeColor="text1"/>
          <w:sz w:val="24"/>
          <w:szCs w:val="24"/>
          <w:shd w:val="clear" w:color="auto" w:fill="FFFFFF"/>
        </w:rPr>
        <w:t xml:space="preserve">una etapa de búsqueda y de </w:t>
      </w:r>
      <w:r w:rsidR="003F7E7F" w:rsidRPr="002F0A14">
        <w:rPr>
          <w:rFonts w:ascii="Times New Roman" w:hAnsi="Times New Roman" w:cs="Times New Roman"/>
          <w:color w:val="000000" w:themeColor="text1"/>
          <w:sz w:val="24"/>
          <w:szCs w:val="24"/>
          <w:shd w:val="clear" w:color="auto" w:fill="FFFFFF"/>
        </w:rPr>
        <w:t>cambios</w:t>
      </w:r>
      <w:r w:rsidR="00413E35" w:rsidRPr="002F0A14">
        <w:rPr>
          <w:rFonts w:ascii="Times New Roman" w:hAnsi="Times New Roman" w:cs="Times New Roman"/>
          <w:color w:val="000000" w:themeColor="text1"/>
          <w:sz w:val="24"/>
          <w:szCs w:val="24"/>
          <w:shd w:val="clear" w:color="auto" w:fill="FFFFFF"/>
        </w:rPr>
        <w:t xml:space="preserve">, dando importancia más acentuada al grupo de pares, </w:t>
      </w:r>
      <w:r w:rsidR="009F6D44" w:rsidRPr="002F0A14">
        <w:rPr>
          <w:rFonts w:ascii="Times New Roman" w:hAnsi="Times New Roman" w:cs="Times New Roman"/>
          <w:color w:val="000000" w:themeColor="text1"/>
          <w:sz w:val="24"/>
          <w:szCs w:val="24"/>
          <w:shd w:val="clear" w:color="auto" w:fill="FFFFFF"/>
        </w:rPr>
        <w:t xml:space="preserve">que </w:t>
      </w:r>
      <w:r w:rsidR="00413E35" w:rsidRPr="002F0A14">
        <w:rPr>
          <w:rFonts w:ascii="Times New Roman" w:hAnsi="Times New Roman" w:cs="Times New Roman"/>
          <w:color w:val="000000" w:themeColor="text1"/>
          <w:sz w:val="24"/>
          <w:szCs w:val="24"/>
          <w:shd w:val="clear" w:color="auto" w:fill="FFFFFF"/>
        </w:rPr>
        <w:t>entra</w:t>
      </w:r>
      <w:r w:rsidR="009F6D44" w:rsidRPr="002F0A14">
        <w:rPr>
          <w:rFonts w:ascii="Times New Roman" w:hAnsi="Times New Roman" w:cs="Times New Roman"/>
          <w:color w:val="000000" w:themeColor="text1"/>
          <w:sz w:val="24"/>
          <w:szCs w:val="24"/>
          <w:shd w:val="clear" w:color="auto" w:fill="FFFFFF"/>
        </w:rPr>
        <w:t xml:space="preserve"> a </w:t>
      </w:r>
      <w:r w:rsidR="00413E35" w:rsidRPr="002F0A14">
        <w:rPr>
          <w:rFonts w:ascii="Times New Roman" w:hAnsi="Times New Roman" w:cs="Times New Roman"/>
          <w:color w:val="000000" w:themeColor="text1"/>
          <w:sz w:val="24"/>
          <w:szCs w:val="24"/>
          <w:shd w:val="clear" w:color="auto" w:fill="FFFFFF"/>
        </w:rPr>
        <w:t xml:space="preserve">menudo en problemas consigo mismo y con la </w:t>
      </w:r>
      <w:r w:rsidR="00447B88" w:rsidRPr="002F0A14">
        <w:rPr>
          <w:rFonts w:ascii="Times New Roman" w:hAnsi="Times New Roman" w:cs="Times New Roman"/>
          <w:color w:val="000000" w:themeColor="text1"/>
          <w:sz w:val="24"/>
          <w:szCs w:val="24"/>
          <w:shd w:val="clear" w:color="auto" w:fill="FFFFFF"/>
        </w:rPr>
        <w:t xml:space="preserve">familia. </w:t>
      </w:r>
      <w:r w:rsidR="00731CD1" w:rsidRPr="002F0A14">
        <w:rPr>
          <w:rFonts w:ascii="Times New Roman" w:hAnsi="Times New Roman" w:cs="Times New Roman"/>
          <w:color w:val="000000" w:themeColor="text1"/>
          <w:sz w:val="24"/>
          <w:szCs w:val="24"/>
          <w:shd w:val="clear" w:color="auto" w:fill="FFFFFF"/>
        </w:rPr>
        <w:t>Está etapa</w:t>
      </w:r>
      <w:r w:rsidR="00447B88" w:rsidRPr="002F0A14">
        <w:rPr>
          <w:rFonts w:ascii="Times New Roman" w:hAnsi="Times New Roman" w:cs="Times New Roman"/>
          <w:color w:val="000000" w:themeColor="text1"/>
          <w:sz w:val="24"/>
          <w:szCs w:val="24"/>
          <w:shd w:val="clear" w:color="auto" w:fill="FFFFFF"/>
        </w:rPr>
        <w:t xml:space="preserve"> genera</w:t>
      </w:r>
      <w:r w:rsidR="00413E35" w:rsidRPr="002F0A14">
        <w:rPr>
          <w:rFonts w:ascii="Times New Roman" w:hAnsi="Times New Roman" w:cs="Times New Roman"/>
          <w:color w:val="000000" w:themeColor="text1"/>
          <w:sz w:val="24"/>
          <w:szCs w:val="24"/>
          <w:shd w:val="clear" w:color="auto" w:fill="FFFFFF"/>
        </w:rPr>
        <w:t xml:space="preserve"> mayor vuln</w:t>
      </w:r>
      <w:r w:rsidR="00AD6599" w:rsidRPr="002F0A14">
        <w:rPr>
          <w:rFonts w:ascii="Times New Roman" w:hAnsi="Times New Roman" w:cs="Times New Roman"/>
          <w:color w:val="000000" w:themeColor="text1"/>
          <w:sz w:val="24"/>
          <w:szCs w:val="24"/>
          <w:shd w:val="clear" w:color="auto" w:fill="FFFFFF"/>
        </w:rPr>
        <w:t>erabilidad a factores de riesgo</w:t>
      </w:r>
      <w:r w:rsidR="00413E35" w:rsidRPr="002F0A14">
        <w:rPr>
          <w:rFonts w:ascii="Times New Roman" w:hAnsi="Times New Roman" w:cs="Times New Roman"/>
          <w:color w:val="000000" w:themeColor="text1"/>
          <w:sz w:val="24"/>
          <w:szCs w:val="24"/>
          <w:shd w:val="clear" w:color="auto" w:fill="FFFFFF"/>
        </w:rPr>
        <w:t xml:space="preserve"> debido a su inmadurez y falta de herramientas para la </w:t>
      </w:r>
      <w:r w:rsidR="00AD6599" w:rsidRPr="002F0A14">
        <w:rPr>
          <w:rFonts w:ascii="Times New Roman" w:hAnsi="Times New Roman" w:cs="Times New Roman"/>
          <w:color w:val="000000" w:themeColor="text1"/>
          <w:sz w:val="24"/>
          <w:szCs w:val="24"/>
          <w:shd w:val="clear" w:color="auto" w:fill="FFFFFF"/>
        </w:rPr>
        <w:t>toma de decisiones, que pueden ocasionar</w:t>
      </w:r>
      <w:r w:rsidR="00413E35" w:rsidRPr="002F0A14">
        <w:rPr>
          <w:rFonts w:ascii="Times New Roman" w:hAnsi="Times New Roman" w:cs="Times New Roman"/>
          <w:color w:val="000000" w:themeColor="text1"/>
          <w:sz w:val="24"/>
          <w:szCs w:val="24"/>
          <w:shd w:val="clear" w:color="auto" w:fill="FFFFFF"/>
        </w:rPr>
        <w:t xml:space="preserve"> el consumo de sustancias legales e ilegales </w:t>
      </w:r>
      <w:r w:rsidR="00413E35" w:rsidRPr="002F0A14">
        <w:rPr>
          <w:rFonts w:ascii="Times New Roman" w:hAnsi="Times New Roman" w:cs="Times New Roman"/>
          <w:color w:val="000000" w:themeColor="text1"/>
          <w:sz w:val="24"/>
          <w:szCs w:val="24"/>
          <w:shd w:val="clear" w:color="auto" w:fill="FFFFFF"/>
        </w:rPr>
        <w:fldChar w:fldCharType="begin" w:fldLock="1"/>
      </w:r>
      <w:r w:rsidR="001F024D" w:rsidRPr="002F0A14">
        <w:rPr>
          <w:rFonts w:ascii="Times New Roman" w:hAnsi="Times New Roman" w:cs="Times New Roman"/>
          <w:color w:val="000000" w:themeColor="text1"/>
          <w:sz w:val="24"/>
          <w:szCs w:val="24"/>
          <w:shd w:val="clear" w:color="auto" w:fill="FFFFFF"/>
        </w:rPr>
        <w:instrText>ADDIN CSL_CITATION {"citationItems":[{"id":"ITEM-1","itemData":{"DOI":"10.1590/S0104-11692009000200017","ISSN":"01041169","abstract":"Adolescence is a phase of exposure to several risk behaviors, especially the experimental use of drugs and its associated problems. The study aims to identify risk factors and drug use among secondary students in Comonfort, Guanajuato, Mexico. This is a cross-sectional study, using a version of the Drug User Screening Inventory (DUSI) adapted from Portuguese to Spanish. The sample was composed of 695 (42.9%) students, 52.8% women. Drug use was present in 20.3%, predominantly alcohol and tobacco. Risk factors are related to the male gender, older than 13 years, second and third grades, living with relatives, poor relationships, curiosity, family conflicts, peer pressure and solidarity. Conclusion: alcohol and tobacco are the most used drugs and are associated to curiosity and peer pressure.","author":[{"dropping-particle":"","family":"Jordán Jinez","given":"Lourdes","non-dropping-particle":"","parse-names":false,"suffix":""},{"dropping-particle":"","family":"Molina","given":"José","non-dropping-particle":"","parse-names":false,"suffix":""},{"dropping-particle":"","family":"Pillon","given":"Sandra","non-dropping-particle":"","parse-names":false,"suffix":""}],"container-title":"Revista Latino-Americana de Enfermagem","id":"ITEM-1","issue":"2","issued":{"date-parts":[["2009"]]},"page":"246-252","title":"Uso de drogas y factores de riesgo entre estudiantes de enseñanza media","type":"article-journal","volume":"17"},"uris":["http://www.mendeley.com/documents/?uuid=b8ed51e1-1f87-4c36-8d38-1c17444d0106"]},{"id":"ITEM-2","itemData":{"abstract":"El fuerte crecimiento de la inmigración está cambiando la confi guración de la sociedad española en un modo muy notable. El número de alumnos extranjeros en los centros educativos ha ido aumentando de forma continuada en la última década. Esa nueva realidad determina que toda una serie de conocimientos, relativamente bien establecidos sobre el consumo de drogas de los adolescentes, deban ser revisados para establecer pautas adecuadas para el desarrollo de programas de prevención adaptados a esta nueva realidad. En este trabajo, utilizando una muestra de 2.260 estudiantes de 1er y 2º ciclo de Educación Secundaria Obligatoria (E.S.O.), se analizan los patrones de consumo de los adolescentes inmigrantes y autóctonos, se examinan los procesos de aculturación y se comparan cómo distintos factores personales (impulsividad, búsqueda de sensaciones) y contextuales (familia, escuela y amigos) se relacionan con el consumo en los distintos grupos. A la luz de los resultados encontrados, se discute cómo el conocimiento de las diferencias entre inmigrantes y autóctonos en los patrones de consumo y sus relaciones con las variables analizadas, posibilitará la optimización de propuestas de prevención e intervención, tanto a nivel familiar como escolar, adaptadas a las particularidades culturales y contextuales de las distintas poblaciones que confi guran nuestra realidad social.","author":[{"dropping-particle":"","family":"Luengo","given":"Ángeles","non-dropping-particle":"","parse-names":false,"suffix":""},{"dropping-particle":"","family":"Villar","given":"Paula","non-dropping-particle":"","parse-names":false,"suffix":""},{"dropping-particle":"","family":"Sobral","given":"Jorge","non-dropping-particle":"","parse-names":false,"suffix":""},{"dropping-particle":"","family":"Romero","given":"Estrella","non-dropping-particle":"","parse-names":false,"suffix":""},{"dropping-particle":"","family":"Gómez-Fraguela","given":"José","non-dropping-particle":"","parse-names":false,"suffix":""}],"container-title":"Revista Española de Drogodependencias","id":"ITEM-2","issue":"4","issued":{"date-parts":[["2009"]]},"page":"448-479","title":"El consumo de drogas en los adolescentes inmigrantes: implicaciones para la prevención","type":"article-journal","volume":"34"},"uris":["http://www.mendeley.com/documents/?uuid=1cd1cec5-6ed3-45c1-b8ca-1d09534567a3"]},{"id":"ITEM-3","itemData":{"DOI":"10.21134/haaj.v18i1.363","ISSN":"1988205X","abstract":"Introduction. An association between affective and anxiety disorders has been proposed in adolescents with substance use. Objective. To determine the prevalence of psychoactive substance use and the most frequent mental disorders associated with this consumption, in Colombian adolescents. Methods. This is a cross-sectional study that uses data from the National Mental Health Survey 2015. With adolescents between 12 and 17 years old, in whom CIDI-CAPI (version 21.1.3) was applied by computer and modified ASSIST. Results. A total of 408 adolescents between 12 and 17 years old who reported psychoactive substance use at least once in their lives were described , this group was a representative sample of national population. The most frequent consumed substance was alcohol with a prevalence of 16.6% (95% CI, 14.2-19.2), Bogotá is the region with the highest consumption of substances with a prevalence of 33.8% (IC95 % 24.7-44.2). Otherwise, being a man between 16 and 17 years old represents a risk factor for substance use. Likewise, presenting affective disorders increases by 2.28 times the risk of psychoactive substance use. Conclusions. Adolescents with affective or anxiety disorders are at higher risk of psychoactive substances use, making difficult the treatment and desmonstrating the vulnerability of this population.","author":[{"dropping-particle":"","family":"Cruz-Ramírez","given":"Viviana","non-dropping-particle":"","parse-names":false,"suffix":""},{"dropping-particle":"","family":"Gómez-Restrepo","given":"Carlos","non-dropping-particle":"","parse-names":false,"suffix":""},{"dropping-particle":"","family":"Rincón","given":"Carlos J.","non-dropping-particle":"","parse-names":false,"suffix":""}],"container-title":"Health and Addictions / Salud y Drogas","id":"ITEM-3","issue":"1","issued":{"date-parts":[["2018"]]},"page":"97-106","title":"Salud mental y consumo de sustancias psicoactivas en adolescentes colombianos","type":"article-journal","volume":"18"},"uris":["http://www.mendeley.com/documents/?uuid=552296dd-bd62-49ec-ba2e-9ec69e0feb36"]}],"mendeley":{"formattedCitation":"(Cruz-Ramírez et al., 2018; Jordán Jinez et al., 2009; Luengo et al., 2009)","manualFormatting":"(Cruz et al., 2018; Jordán et al., 2009; Luengo et al., 2009)","plainTextFormattedCitation":"(Cruz-Ramírez et al., 2018; Jordán Jinez et al., 2009; Luengo et al., 2009)","previouslyFormattedCitation":"(Cruz-Ramírez et al., 2018; Jordán Jinez et al., 2009; Luengo et al., 2009)"},"properties":{"noteIndex":0},"schema":"https://github.com/citation-style-language/schema/raw/master/csl-citation.json"}</w:instrText>
      </w:r>
      <w:r w:rsidR="00413E35" w:rsidRPr="002F0A14">
        <w:rPr>
          <w:rFonts w:ascii="Times New Roman" w:hAnsi="Times New Roman" w:cs="Times New Roman"/>
          <w:color w:val="000000" w:themeColor="text1"/>
          <w:sz w:val="24"/>
          <w:szCs w:val="24"/>
          <w:shd w:val="clear" w:color="auto" w:fill="FFFFFF"/>
        </w:rPr>
        <w:fldChar w:fldCharType="separate"/>
      </w:r>
      <w:r w:rsidR="001F024D" w:rsidRPr="002F0A14">
        <w:rPr>
          <w:rFonts w:ascii="Times New Roman" w:hAnsi="Times New Roman" w:cs="Times New Roman"/>
          <w:noProof/>
          <w:color w:val="000000" w:themeColor="text1"/>
          <w:sz w:val="24"/>
          <w:szCs w:val="24"/>
          <w:shd w:val="clear" w:color="auto" w:fill="FFFFFF"/>
        </w:rPr>
        <w:t>(Cruz et al., 2018; Jordán et al., 2009; Luengo et al., 2009)</w:t>
      </w:r>
      <w:r w:rsidR="00413E35" w:rsidRPr="002F0A14">
        <w:rPr>
          <w:rFonts w:ascii="Times New Roman" w:hAnsi="Times New Roman" w:cs="Times New Roman"/>
          <w:color w:val="000000" w:themeColor="text1"/>
          <w:sz w:val="24"/>
          <w:szCs w:val="24"/>
          <w:shd w:val="clear" w:color="auto" w:fill="FFFFFF"/>
        </w:rPr>
        <w:fldChar w:fldCharType="end"/>
      </w:r>
      <w:r w:rsidR="00754C64" w:rsidRPr="002F0A14">
        <w:rPr>
          <w:rFonts w:ascii="Times New Roman" w:hAnsi="Times New Roman" w:cs="Times New Roman"/>
          <w:sz w:val="24"/>
          <w:szCs w:val="24"/>
        </w:rPr>
        <w:t xml:space="preserve">. </w:t>
      </w:r>
      <w:r w:rsidR="00C9288E" w:rsidRPr="002F0A14">
        <w:rPr>
          <w:rFonts w:ascii="Times New Roman" w:hAnsi="Times New Roman" w:cs="Times New Roman"/>
          <w:sz w:val="24"/>
          <w:szCs w:val="24"/>
        </w:rPr>
        <w:t xml:space="preserve">Los niños y adolescentes </w:t>
      </w:r>
      <w:r w:rsidR="00413E35" w:rsidRPr="002F0A14">
        <w:rPr>
          <w:rFonts w:ascii="Times New Roman" w:hAnsi="Times New Roman" w:cs="Times New Roman"/>
          <w:color w:val="000000" w:themeColor="text1"/>
          <w:sz w:val="24"/>
          <w:szCs w:val="24"/>
          <w:shd w:val="clear" w:color="auto" w:fill="FFFFFF"/>
        </w:rPr>
        <w:t xml:space="preserve">entre los 8 y 18 años </w:t>
      </w:r>
      <w:r w:rsidR="00C9288E" w:rsidRPr="002F0A14">
        <w:rPr>
          <w:rFonts w:ascii="Times New Roman" w:hAnsi="Times New Roman" w:cs="Times New Roman"/>
          <w:color w:val="000000" w:themeColor="text1"/>
          <w:sz w:val="24"/>
          <w:szCs w:val="24"/>
          <w:shd w:val="clear" w:color="auto" w:fill="FFFFFF"/>
        </w:rPr>
        <w:t>prese</w:t>
      </w:r>
      <w:r w:rsidR="00413E35" w:rsidRPr="002F0A14">
        <w:rPr>
          <w:rFonts w:ascii="Times New Roman" w:hAnsi="Times New Roman" w:cs="Times New Roman"/>
          <w:color w:val="000000" w:themeColor="text1"/>
          <w:sz w:val="24"/>
          <w:szCs w:val="24"/>
          <w:shd w:val="clear" w:color="auto" w:fill="FFFFFF"/>
        </w:rPr>
        <w:t xml:space="preserve">ntan mayor susceptibilidad a iniciar el consumo de sustancias psicoactivas </w:t>
      </w:r>
      <w:r w:rsidR="00413E35" w:rsidRPr="002F0A14">
        <w:rPr>
          <w:rFonts w:ascii="Times New Roman" w:hAnsi="Times New Roman" w:cs="Times New Roman"/>
          <w:color w:val="000000" w:themeColor="text1"/>
          <w:sz w:val="24"/>
          <w:szCs w:val="24"/>
          <w:shd w:val="clear" w:color="auto" w:fill="FFFFFF"/>
        </w:rPr>
        <w:fldChar w:fldCharType="begin" w:fldLock="1"/>
      </w:r>
      <w:r w:rsidR="001F024D" w:rsidRPr="002F0A14">
        <w:rPr>
          <w:rFonts w:ascii="Times New Roman" w:hAnsi="Times New Roman" w:cs="Times New Roman"/>
          <w:color w:val="000000" w:themeColor="text1"/>
          <w:sz w:val="24"/>
          <w:szCs w:val="24"/>
          <w:shd w:val="clear" w:color="auto" w:fill="FFFFFF"/>
        </w:rPr>
        <w:instrText>ADDIN CSL_CITATION {"citationItems":[{"id":"ITEM-1","itemData":{"DOI":"10.1590/s0104-11692005000700008","ISSN":"01041169","abstract":"The present investigation had as objective identifying in a family the possible factors of risk related to the use of alcohol and tobacco in the children and adolescents. It is important to emphasize that study of this nature within a social and culture perspective expresses the attempt to include/understand the factors of risk for the use of tobacco and to drink alcoholic the environmental influences in the familiar surroundings views to prevent futures cases with dependency. For the study used a sample of one hundred families, to that applied to an instrument pre to them established with the people in charge of the respective families. As result were obtained 51% of the schooling level are low, 54% has inferior wage to the basic one, 61% to drink alcoholic. To emphasize that unquestionable the reduction of the casuistry of alcoholism and/or tabaquismo to influence significantly in the quality of the individuals life.","author":[{"dropping-particle":"","family":"Ramírez Ruiz","given":"Martha","non-dropping-particle":"","parse-names":false,"suffix":""},{"dropping-particle":"","family":"Andrade","given":"Denise","non-dropping-particle":"","parse-names":false,"suffix":""}],"container-title":"Revista latino-americana de enfermagem.","id":"ITEM-1","issue":"1","issued":{"date-parts":[["2005"]]},"page":"813-818","title":"La familia y los factores de riesgo relacionados con el consumo de alcohol y tabaco en los niños y adolescentes (Guayaquil-Equador).","type":"article-journal","volume":"13"},"uris":["http://www.mendeley.com/documents/?uuid=f66e6a85-8198-4670-9714-82deef20f46a"]}],"mendeley":{"formattedCitation":"(Ramírez Ruiz &amp; Andrade, 2005)","manualFormatting":"(Ramírez &amp; Andrade, 2005)","plainTextFormattedCitation":"(Ramírez Ruiz &amp; Andrade, 2005)","previouslyFormattedCitation":"(Ramírez Ruiz &amp; Andrade, 2005)"},"properties":{"noteIndex":0},"schema":"https://github.com/citation-style-language/schema/raw/master/csl-citation.json"}</w:instrText>
      </w:r>
      <w:r w:rsidR="00413E35" w:rsidRPr="002F0A14">
        <w:rPr>
          <w:rFonts w:ascii="Times New Roman" w:hAnsi="Times New Roman" w:cs="Times New Roman"/>
          <w:color w:val="000000" w:themeColor="text1"/>
          <w:sz w:val="24"/>
          <w:szCs w:val="24"/>
          <w:shd w:val="clear" w:color="auto" w:fill="FFFFFF"/>
        </w:rPr>
        <w:fldChar w:fldCharType="separate"/>
      </w:r>
      <w:r w:rsidR="00413E35" w:rsidRPr="002F0A14">
        <w:rPr>
          <w:rFonts w:ascii="Times New Roman" w:hAnsi="Times New Roman" w:cs="Times New Roman"/>
          <w:noProof/>
          <w:color w:val="000000" w:themeColor="text1"/>
          <w:sz w:val="24"/>
          <w:szCs w:val="24"/>
          <w:shd w:val="clear" w:color="auto" w:fill="FFFFFF"/>
        </w:rPr>
        <w:t>(Ramírez &amp; Andrade, 2005)</w:t>
      </w:r>
      <w:r w:rsidR="00413E35" w:rsidRPr="002F0A14">
        <w:rPr>
          <w:rFonts w:ascii="Times New Roman" w:hAnsi="Times New Roman" w:cs="Times New Roman"/>
          <w:color w:val="000000" w:themeColor="text1"/>
          <w:sz w:val="24"/>
          <w:szCs w:val="24"/>
          <w:shd w:val="clear" w:color="auto" w:fill="FFFFFF"/>
        </w:rPr>
        <w:fldChar w:fldCharType="end"/>
      </w:r>
      <w:r w:rsidR="00447B88" w:rsidRPr="002F0A14">
        <w:rPr>
          <w:rFonts w:ascii="Times New Roman" w:hAnsi="Times New Roman" w:cs="Times New Roman"/>
          <w:color w:val="000000" w:themeColor="text1"/>
          <w:sz w:val="24"/>
          <w:szCs w:val="24"/>
          <w:shd w:val="clear" w:color="auto" w:fill="FFFFFF"/>
        </w:rPr>
        <w:t>. E</w:t>
      </w:r>
      <w:r w:rsidR="00413E35" w:rsidRPr="002F0A14">
        <w:rPr>
          <w:rFonts w:ascii="Times New Roman" w:hAnsi="Times New Roman" w:cs="Times New Roman"/>
          <w:color w:val="000000" w:themeColor="text1"/>
          <w:sz w:val="24"/>
          <w:szCs w:val="24"/>
          <w:shd w:val="clear" w:color="auto" w:fill="FFFFFF"/>
        </w:rPr>
        <w:t>l inic</w:t>
      </w:r>
      <w:r w:rsidR="00C9288E" w:rsidRPr="002F0A14">
        <w:rPr>
          <w:rFonts w:ascii="Times New Roman" w:hAnsi="Times New Roman" w:cs="Times New Roman"/>
          <w:color w:val="000000" w:themeColor="text1"/>
          <w:sz w:val="24"/>
          <w:szCs w:val="24"/>
          <w:shd w:val="clear" w:color="auto" w:fill="FFFFFF"/>
        </w:rPr>
        <w:t>io del consumo de sustancias es más frecuente</w:t>
      </w:r>
      <w:r w:rsidR="00413E35" w:rsidRPr="002F0A14">
        <w:rPr>
          <w:rFonts w:ascii="Times New Roman" w:hAnsi="Times New Roman" w:cs="Times New Roman"/>
          <w:color w:val="000000" w:themeColor="text1"/>
          <w:sz w:val="24"/>
          <w:szCs w:val="24"/>
          <w:shd w:val="clear" w:color="auto" w:fill="FFFFFF"/>
        </w:rPr>
        <w:t xml:space="preserve"> entre los 14 y 15 años, ya sea por curiosidad o por normas culturales </w:t>
      </w:r>
      <w:r w:rsidR="00413E35" w:rsidRPr="002F0A14">
        <w:rPr>
          <w:rFonts w:ascii="Times New Roman" w:hAnsi="Times New Roman" w:cs="Times New Roman"/>
          <w:color w:val="000000" w:themeColor="text1"/>
          <w:sz w:val="24"/>
          <w:szCs w:val="24"/>
          <w:shd w:val="clear" w:color="auto" w:fill="FFFFFF"/>
        </w:rPr>
        <w:fldChar w:fldCharType="begin" w:fldLock="1"/>
      </w:r>
      <w:r w:rsidR="00541298" w:rsidRPr="002F0A14">
        <w:rPr>
          <w:rFonts w:ascii="Times New Roman" w:hAnsi="Times New Roman" w:cs="Times New Roman"/>
          <w:color w:val="000000" w:themeColor="text1"/>
          <w:sz w:val="24"/>
          <w:szCs w:val="24"/>
          <w:shd w:val="clear" w:color="auto" w:fill="FFFFFF"/>
        </w:rPr>
        <w:instrText>ADDIN CSL_CITATION {"citationItems":[{"id":"ITEM-1","itemData":{"abstract":"El fuerte crecimiento de la inmigración está cambiando la confi guración de la sociedad española en un modo muy notable. El número de alumnos extranjeros en los centros educativos ha ido aumentando de forma continuada en la última década. Esa nueva realidad determina que toda una serie de conocimientos, relativamente bien establecidos sobre el consumo de drogas de los adolescentes, deban ser revisados para establecer pautas adecuadas para el desarrollo de programas de prevención adaptados a esta nueva realidad. En este trabajo, utilizando una muestra de 2.260 estudiantes de 1er y 2º ciclo de Educación Secundaria Obligatoria (E.S.O.), se analizan los patrones de consumo de los adolescentes inmigrantes y autóctonos, se examinan los procesos de aculturación y se comparan cómo distintos factores personales (impulsividad, búsqueda de sensaciones) y contextuales (familia, escuela y amigos) se relacionan con el consumo en los distintos grupos. A la luz de los resultados encontrados, se discute cómo el conocimiento de las diferencias entre inmigrantes y autóctonos en los patrones de consumo y sus relaciones con las variables analizadas, posibilitará la optimización de propuestas de prevención e intervención, tanto a nivel familiar como escolar, adaptadas a las particularidades culturales y contextuales de las distintas poblaciones que confi guran nuestra realidad social.","author":[{"dropping-particle":"","family":"Luengo","given":"Ángeles","non-dropping-particle":"","parse-names":false,"suffix":""},{"dropping-particle":"","family":"Villar","given":"Paula","non-dropping-particle":"","parse-names":false,"suffix":""},{"dropping-particle":"","family":"Sobral","given":"Jorge","non-dropping-particle":"","parse-names":false,"suffix":""},{"dropping-particle":"","family":"Romero","given":"Estrella","non-dropping-particle":"","parse-names":false,"suffix":""},{"dropping-particle":"","family":"Gómez-Fraguela","given":"José","non-dropping-particle":"","parse-names":false,"suffix":""}],"container-title":"Revista Española de Drogodependencias","id":"ITEM-1","issue":"4","issued":{"date-parts":[["2009"]]},"page":"448-479","title":"El consumo de drogas en los adolescentes inmigrantes: implicaciones para la prevención","type":"article-journal","volume":"34"},"uris":["http://www.mendeley.com/documents/?uuid=1cd1cec5-6ed3-45c1-b8ca-1d09534567a3"]}],"mendeley":{"formattedCitation":"(Luengo et al., 2009)","plainTextFormattedCitation":"(Luengo et al., 2009)","previouslyFormattedCitation":"(Luengo et al., 2009)"},"properties":{"noteIndex":0},"schema":"https://github.com/citation-style-language/schema/raw/master/csl-citation.json"}</w:instrText>
      </w:r>
      <w:r w:rsidR="00413E35" w:rsidRPr="002F0A14">
        <w:rPr>
          <w:rFonts w:ascii="Times New Roman" w:hAnsi="Times New Roman" w:cs="Times New Roman"/>
          <w:color w:val="000000" w:themeColor="text1"/>
          <w:sz w:val="24"/>
          <w:szCs w:val="24"/>
          <w:shd w:val="clear" w:color="auto" w:fill="FFFFFF"/>
        </w:rPr>
        <w:fldChar w:fldCharType="separate"/>
      </w:r>
      <w:r w:rsidR="00413E35" w:rsidRPr="002F0A14">
        <w:rPr>
          <w:rFonts w:ascii="Times New Roman" w:hAnsi="Times New Roman" w:cs="Times New Roman"/>
          <w:noProof/>
          <w:color w:val="000000" w:themeColor="text1"/>
          <w:sz w:val="24"/>
          <w:szCs w:val="24"/>
          <w:shd w:val="clear" w:color="auto" w:fill="FFFFFF"/>
        </w:rPr>
        <w:t>(Luengo et al., 2009)</w:t>
      </w:r>
      <w:r w:rsidR="00413E35" w:rsidRPr="002F0A14">
        <w:rPr>
          <w:rFonts w:ascii="Times New Roman" w:hAnsi="Times New Roman" w:cs="Times New Roman"/>
          <w:color w:val="000000" w:themeColor="text1"/>
          <w:sz w:val="24"/>
          <w:szCs w:val="24"/>
          <w:shd w:val="clear" w:color="auto" w:fill="FFFFFF"/>
        </w:rPr>
        <w:fldChar w:fldCharType="end"/>
      </w:r>
      <w:r w:rsidR="001F024D" w:rsidRPr="002F0A14">
        <w:rPr>
          <w:rFonts w:ascii="Times New Roman" w:hAnsi="Times New Roman" w:cs="Times New Roman"/>
          <w:color w:val="000000" w:themeColor="text1"/>
          <w:sz w:val="24"/>
          <w:szCs w:val="24"/>
          <w:shd w:val="clear" w:color="auto" w:fill="FFFFFF"/>
        </w:rPr>
        <w:t>.</w:t>
      </w:r>
    </w:p>
    <w:p w:rsidR="00413E35" w:rsidRPr="002F0A14" w:rsidRDefault="00A96D9D" w:rsidP="00D501E8">
      <w:pPr>
        <w:spacing w:line="360" w:lineRule="auto"/>
        <w:jc w:val="both"/>
        <w:rPr>
          <w:rFonts w:ascii="Times New Roman" w:hAnsi="Times New Roman" w:cs="Times New Roman"/>
          <w:sz w:val="24"/>
          <w:szCs w:val="24"/>
        </w:rPr>
      </w:pPr>
      <w:r w:rsidRPr="002F0A14">
        <w:rPr>
          <w:rFonts w:ascii="Times New Roman" w:hAnsi="Times New Roman" w:cs="Times New Roman"/>
          <w:color w:val="000000" w:themeColor="text1"/>
          <w:sz w:val="24"/>
          <w:szCs w:val="24"/>
        </w:rPr>
        <w:t xml:space="preserve">El consumo de sustancias ha venido aumentando en los jóvenes y adolescentes de educación secundaria </w:t>
      </w:r>
      <w:r w:rsidRPr="002F0A14">
        <w:rPr>
          <w:rFonts w:ascii="Times New Roman" w:hAnsi="Times New Roman" w:cs="Times New Roman"/>
          <w:color w:val="000000" w:themeColor="text1"/>
          <w:sz w:val="24"/>
          <w:szCs w:val="24"/>
        </w:rPr>
        <w:fldChar w:fldCharType="begin" w:fldLock="1"/>
      </w:r>
      <w:r w:rsidRPr="002F0A14">
        <w:rPr>
          <w:rFonts w:ascii="Times New Roman" w:hAnsi="Times New Roman" w:cs="Times New Roman"/>
          <w:color w:val="000000" w:themeColor="text1"/>
          <w:sz w:val="24"/>
          <w:szCs w:val="24"/>
        </w:rPr>
        <w:instrText>ADDIN CSL_CITATION {"citationItems":[{"id":"ITEM-1","itemData":{"DOI":"10.5093/in2009v18n3a2","ISSN":"11320559","abstract":"En este trabajo se estudia la relación entre el inicio precoz de consumo de taba- co, alcohol y cannabis y los consumos problemáticos, en una muestra de 6280 jóvenes madrileños, entre 15 y 24 años. La experimentación temprana con tabaco, alcohol (antes de los 14 años) o cannabis (antes de los 15 años) se asocia a prevalencias mas elevadas de consumo diario de tabaco y de can- nabis, a patrones de alcohol abusivo en promedio diario y a policonsumo regular o consu- mo concurrente de 2 o más drogas en el último mes. También se asocia con consecuencias negativas provocadas por el consumo de alcohol o drogas en el ámbito académico, económico, familiar y social. Se observa que la fuerza de las asociaciones encontradas aumenta a medida que aumenta el número de sustancias de inicio precoz, resultando esto una constante en la práctica totalidad de las asociaciones estudiadas, lo que sugiere que seria interesante incorporar en estudios futuros el análisis de inicios precoces de consumos agrupados. Palabras clave: Inicio precoz, tabaco, alcohol, drogas, consumo problemático, adolescencia.","author":[{"dropping-particle":"","family":"Hernández","given":"Teresa","non-dropping-particle":"","parse-names":false,"suffix":""},{"dropping-particle":"","family":"Roldán","given":"Jesús","non-dropping-particle":"","parse-names":false,"suffix":""},{"dropping-particle":"","family":"Jiménez","given":"Anunciación","non-dropping-particle":"","parse-names":false,"suffix":""},{"dropping-particle":"","family":"Mora","given":"Carlos","non-dropping-particle":"","parse-names":false,"suffix":""},{"dropping-particle":"","family":"Sánchez-Garnica","given":"Dolores","non-dropping-particle":"","parse-names":false,"suffix":""},{"dropping-particle":"","family":"Pérez","given":"María","non-dropping-particle":"","parse-names":false,"suffix":""}],"container-title":"Psychosocial Intervention","id":"ITEM-1","issue":"3","issued":{"date-parts":[["2009"]]},"page":"199-212","title":"La edad de inicio en el consumo de drogas, un indicador de consumo problemático","type":"article-journal","volume":"18"},"uris":["http://www.mendeley.com/documents/?uuid=3e1b5b9c-088b-4382-ab35-889ac1064e64"]}],"mendeley":{"formattedCitation":"(Hernández et al., 2009)","plainTextFormattedCitation":"(Hernández et al., 2009)","previouslyFormattedCitation":"(Hernández et al., 2009)"},"properties":{"noteIndex":0},"schema":"https://github.com/citation-style-language/schema/raw/master/csl-citation.json"}</w:instrText>
      </w:r>
      <w:r w:rsidRPr="002F0A14">
        <w:rPr>
          <w:rFonts w:ascii="Times New Roman" w:hAnsi="Times New Roman" w:cs="Times New Roman"/>
          <w:color w:val="000000" w:themeColor="text1"/>
          <w:sz w:val="24"/>
          <w:szCs w:val="24"/>
        </w:rPr>
        <w:fldChar w:fldCharType="separate"/>
      </w:r>
      <w:r w:rsidRPr="002F0A14">
        <w:rPr>
          <w:rFonts w:ascii="Times New Roman" w:hAnsi="Times New Roman" w:cs="Times New Roman"/>
          <w:noProof/>
          <w:color w:val="000000" w:themeColor="text1"/>
          <w:sz w:val="24"/>
          <w:szCs w:val="24"/>
        </w:rPr>
        <w:t>(Hernández et al., 2009)</w:t>
      </w:r>
      <w:r w:rsidRPr="002F0A14">
        <w:rPr>
          <w:rFonts w:ascii="Times New Roman" w:hAnsi="Times New Roman" w:cs="Times New Roman"/>
          <w:color w:val="000000" w:themeColor="text1"/>
          <w:sz w:val="24"/>
          <w:szCs w:val="24"/>
        </w:rPr>
        <w:fldChar w:fldCharType="end"/>
      </w:r>
      <w:r w:rsidRPr="002F0A14">
        <w:rPr>
          <w:rFonts w:ascii="Times New Roman" w:hAnsi="Times New Roman" w:cs="Times New Roman"/>
          <w:color w:val="000000" w:themeColor="text1"/>
          <w:sz w:val="24"/>
          <w:szCs w:val="24"/>
        </w:rPr>
        <w:t xml:space="preserve">, </w:t>
      </w:r>
      <w:r w:rsidR="00447B88" w:rsidRPr="002F0A14">
        <w:rPr>
          <w:rFonts w:ascii="Times New Roman" w:hAnsi="Times New Roman" w:cs="Times New Roman"/>
          <w:color w:val="000000" w:themeColor="text1"/>
          <w:sz w:val="24"/>
          <w:szCs w:val="24"/>
        </w:rPr>
        <w:t xml:space="preserve">lo que </w:t>
      </w:r>
      <w:r w:rsidRPr="002F0A14">
        <w:rPr>
          <w:rFonts w:ascii="Times New Roman" w:hAnsi="Times New Roman" w:cs="Times New Roman"/>
          <w:color w:val="000000" w:themeColor="text1"/>
          <w:sz w:val="24"/>
          <w:szCs w:val="24"/>
        </w:rPr>
        <w:t>representa</w:t>
      </w:r>
      <w:r w:rsidR="00413E35" w:rsidRPr="002F0A14">
        <w:rPr>
          <w:rFonts w:ascii="Times New Roman" w:hAnsi="Times New Roman" w:cs="Times New Roman"/>
          <w:color w:val="000000" w:themeColor="text1"/>
          <w:sz w:val="24"/>
          <w:szCs w:val="24"/>
        </w:rPr>
        <w:t xml:space="preserve"> </w:t>
      </w:r>
      <w:r w:rsidR="001A2D82" w:rsidRPr="002F0A14">
        <w:rPr>
          <w:rFonts w:ascii="Times New Roman" w:hAnsi="Times New Roman" w:cs="Times New Roman"/>
          <w:color w:val="000000" w:themeColor="text1"/>
          <w:sz w:val="24"/>
          <w:szCs w:val="24"/>
        </w:rPr>
        <w:t xml:space="preserve">un </w:t>
      </w:r>
      <w:r w:rsidR="00447B88" w:rsidRPr="002F0A14">
        <w:rPr>
          <w:rFonts w:ascii="Times New Roman" w:hAnsi="Times New Roman" w:cs="Times New Roman"/>
          <w:color w:val="000000" w:themeColor="text1"/>
          <w:sz w:val="24"/>
          <w:szCs w:val="24"/>
        </w:rPr>
        <w:t>grave</w:t>
      </w:r>
      <w:r w:rsidR="001A2D82" w:rsidRPr="002F0A14">
        <w:rPr>
          <w:rFonts w:ascii="Times New Roman" w:hAnsi="Times New Roman" w:cs="Times New Roman"/>
          <w:color w:val="000000" w:themeColor="text1"/>
          <w:sz w:val="24"/>
          <w:szCs w:val="24"/>
        </w:rPr>
        <w:t xml:space="preserve"> problema de salud </w:t>
      </w:r>
      <w:r w:rsidR="00413E35" w:rsidRPr="002F0A14">
        <w:rPr>
          <w:rFonts w:ascii="Times New Roman" w:hAnsi="Times New Roman" w:cs="Times New Roman"/>
          <w:color w:val="000000" w:themeColor="text1"/>
          <w:sz w:val="24"/>
          <w:szCs w:val="24"/>
        </w:rPr>
        <w:fldChar w:fldCharType="begin" w:fldLock="1"/>
      </w:r>
      <w:r w:rsidR="001F024D" w:rsidRPr="002F0A14">
        <w:rPr>
          <w:rFonts w:ascii="Times New Roman" w:hAnsi="Times New Roman" w:cs="Times New Roman"/>
          <w:color w:val="000000" w:themeColor="text1"/>
          <w:sz w:val="24"/>
          <w:szCs w:val="24"/>
        </w:rPr>
        <w:instrText>ADDIN CSL_CITATION {"citationItems":[{"id":"ITEM-1","itemData":{"DOI":"10.24245/mim.v34i2.1595","ISSN":"01864866","abstract":"Substance abuse among young adults and teenagers represents a considerable health issue, as substance use can be associated to serious injuries, accidents, disabilities, substance use and other psychiatric disorders, suicidal ideation and suicidal behavior, sexual risk practices, among others. In the last years, this health problem has been increasing significantly. The objective of this article is to present a review of general aspects of substance abuse in adolescents, such as: epidemiology, risk factors, screening, evaluation, diagnosis, some considerations for referral and general hospital treatment. As a result, it was found that several risk factors have been identified, such as individual, family and environmental factors. Also, strategies for early detection, counsel and reference to integrated treatment known as SBIRT (Screnning, Brief Intervention, Reference to Treatment) were identified. Finally, it is concluded that the implementation of SBIRT programs in general hospital are effective to improve the link between general hospital services to specialized programs for the treatment of substance use disorders.","author":[{"dropping-particle":"","family":"Tena-Suck","given":"Antonio","non-dropping-particle":"","parse-names":false,"suffix":""},{"dropping-particle":"","family":"Castro-Martínez","given":"Guadalupe","non-dropping-particle":"","parse-names":false,"suffix":""},{"dropping-particle":"","family":"Marín-Navarrete","given":"Rodrigo","non-dropping-particle":"","parse-names":false,"suffix":""},{"dropping-particle":"","family":"Gómez-Romero","given":"Pedro","non-dropping-particle":"","parse-names":false,"suffix":""},{"dropping-particle":"","family":"la Fuente-Martín","given":"Ana","non-dropping-particle":"de","parse-names":false,"suffix":""},{"dropping-particle":"","family":"Gómez-Martínez","given":"Rodrigo","non-dropping-particle":"","parse-names":false,"suffix":""}],"container-title":"Medicina Interna de Mexico","id":"ITEM-1","issue":"2","issued":{"date-parts":[["2018"]]},"page":"264-277","title":"Consumo de sustancias en adolescentes: consideraciones para la práctica médica","type":"article-journal","volume":"34"},"uris":["http://www.mendeley.com/documents/?uuid=67526715-bdeb-499f-aaaa-5744d6709f47"]}],"mendeley":{"formattedCitation":"(Tena-Suck et al., 2018)","manualFormatting":"(Tena et al., 2018)","plainTextFormattedCitation":"(Tena-Suck et al., 2018)","previouslyFormattedCitation":"(Tena-Suck et al., 2018)"},"properties":{"noteIndex":0},"schema":"https://github.com/citation-style-language/schema/raw/master/csl-citation.json"}</w:instrText>
      </w:r>
      <w:r w:rsidR="00413E35" w:rsidRPr="002F0A14">
        <w:rPr>
          <w:rFonts w:ascii="Times New Roman" w:hAnsi="Times New Roman" w:cs="Times New Roman"/>
          <w:color w:val="000000" w:themeColor="text1"/>
          <w:sz w:val="24"/>
          <w:szCs w:val="24"/>
        </w:rPr>
        <w:fldChar w:fldCharType="separate"/>
      </w:r>
      <w:r w:rsidR="001F024D" w:rsidRPr="002F0A14">
        <w:rPr>
          <w:rFonts w:ascii="Times New Roman" w:hAnsi="Times New Roman" w:cs="Times New Roman"/>
          <w:noProof/>
          <w:color w:val="000000" w:themeColor="text1"/>
          <w:sz w:val="24"/>
          <w:szCs w:val="24"/>
        </w:rPr>
        <w:t>(Tena</w:t>
      </w:r>
      <w:r w:rsidR="004A3B7C" w:rsidRPr="002F0A14">
        <w:rPr>
          <w:rFonts w:ascii="Times New Roman" w:hAnsi="Times New Roman" w:cs="Times New Roman"/>
          <w:noProof/>
          <w:color w:val="000000" w:themeColor="text1"/>
          <w:sz w:val="24"/>
          <w:szCs w:val="24"/>
        </w:rPr>
        <w:t xml:space="preserve"> et al., 2018</w:t>
      </w:r>
      <w:r w:rsidR="005525B0" w:rsidRPr="002F0A14">
        <w:rPr>
          <w:rFonts w:ascii="Times New Roman" w:hAnsi="Times New Roman" w:cs="Times New Roman"/>
          <w:noProof/>
          <w:color w:val="000000" w:themeColor="text1"/>
          <w:sz w:val="24"/>
          <w:szCs w:val="24"/>
        </w:rPr>
        <w:t>)</w:t>
      </w:r>
      <w:r w:rsidR="00413E35" w:rsidRPr="002F0A14">
        <w:rPr>
          <w:rFonts w:ascii="Times New Roman" w:hAnsi="Times New Roman" w:cs="Times New Roman"/>
          <w:color w:val="000000" w:themeColor="text1"/>
          <w:sz w:val="24"/>
          <w:szCs w:val="24"/>
        </w:rPr>
        <w:fldChar w:fldCharType="end"/>
      </w:r>
      <w:r w:rsidR="001A2D82" w:rsidRPr="002F0A14">
        <w:rPr>
          <w:rFonts w:ascii="Times New Roman" w:hAnsi="Times New Roman" w:cs="Times New Roman"/>
          <w:color w:val="000000" w:themeColor="text1"/>
          <w:sz w:val="24"/>
          <w:szCs w:val="24"/>
        </w:rPr>
        <w:t xml:space="preserve">. </w:t>
      </w:r>
      <w:r w:rsidR="00413E35" w:rsidRPr="002F0A14">
        <w:rPr>
          <w:rFonts w:ascii="Times New Roman" w:hAnsi="Times New Roman" w:cs="Times New Roman"/>
          <w:sz w:val="24"/>
          <w:szCs w:val="24"/>
        </w:rPr>
        <w:t xml:space="preserve">La evidencia epidemiológica internacional reconoce que el uso ocasional o </w:t>
      </w:r>
      <w:r w:rsidR="00731CD1" w:rsidRPr="002F0A14">
        <w:rPr>
          <w:rFonts w:ascii="Times New Roman" w:hAnsi="Times New Roman" w:cs="Times New Roman"/>
          <w:sz w:val="24"/>
          <w:szCs w:val="24"/>
        </w:rPr>
        <w:t>continuo</w:t>
      </w:r>
      <w:r w:rsidR="00447B88" w:rsidRPr="002F0A14">
        <w:rPr>
          <w:rFonts w:ascii="Times New Roman" w:hAnsi="Times New Roman" w:cs="Times New Roman"/>
          <w:sz w:val="24"/>
          <w:szCs w:val="24"/>
        </w:rPr>
        <w:t xml:space="preserve"> de alcohol y cigarro, só</w:t>
      </w:r>
      <w:r w:rsidR="00413E35" w:rsidRPr="002F0A14">
        <w:rPr>
          <w:rFonts w:ascii="Times New Roman" w:hAnsi="Times New Roman" w:cs="Times New Roman"/>
          <w:sz w:val="24"/>
          <w:szCs w:val="24"/>
        </w:rPr>
        <w:t>los o combinados, es</w:t>
      </w:r>
      <w:r w:rsidR="001A2D82" w:rsidRPr="002F0A14">
        <w:rPr>
          <w:rFonts w:ascii="Times New Roman" w:hAnsi="Times New Roman" w:cs="Times New Roman"/>
          <w:sz w:val="24"/>
          <w:szCs w:val="24"/>
        </w:rPr>
        <w:t xml:space="preserve"> muy común entre la gente joven</w:t>
      </w:r>
      <w:r w:rsidR="00413E35" w:rsidRPr="002F0A14">
        <w:rPr>
          <w:rFonts w:ascii="Times New Roman" w:hAnsi="Times New Roman" w:cs="Times New Roman"/>
          <w:sz w:val="24"/>
          <w:szCs w:val="24"/>
        </w:rPr>
        <w:t xml:space="preserve"> </w:t>
      </w:r>
      <w:r w:rsidR="00413E35"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author":[{"dropping-particle":"","family":"Linares","given":"Liyansis","non-dropping-particle":"","parse-names":false,"suffix":""},{"dropping-particle":"","family":"Linares","given":"Lázaro","non-dropping-particle":"","parse-names":false,"suffix":""},{"dropping-particle":"","family":"Alfonso","given":"Yoel","non-dropping-particle":"","parse-names":false,"suffix":""},{"dropping-particle":"","family":"Linares","given":"Andrés","non-dropping-particle":"","parse-names":false,"suffix":""}],"container-title":"Revista Universidad Médica Pinareña","id":"ITEM-1","issue":"1","issued":{"date-parts":[["2017"]]},"page":"4-14","title":"Caracterización del consumo de alcohol y cigarros en adolescentes de la escuela Ormani Arenado","type":"article-journal","volume":"13"},"uris":["http://www.mendeley.com/documents/?uuid=fde0f66e-9e12-4d1e-932b-a45fe20a5bf7"]}],"mendeley":{"formattedCitation":"(Linares et al., 2017)","plainTextFormattedCitation":"(Linares et al., 2017)","previouslyFormattedCitation":"(Linares et al., 2017)"},"properties":{"noteIndex":0},"schema":"https://github.com/citation-style-language/schema/raw/master/csl-citation.json"}</w:instrText>
      </w:r>
      <w:r w:rsidR="00413E35"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(Linares et al., 2017)</w:t>
      </w:r>
      <w:r w:rsidR="00413E35"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w:t>
      </w:r>
    </w:p>
    <w:p w:rsidR="0005237C" w:rsidRPr="002F0A14" w:rsidRDefault="00CE425F"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En la actualidad, es frecuente observar adolescentes que utilizan conductas de “salida” como el consumo de alcohol y tabaco cuando enfrentan problemas individuales, familiares, ambientales y sociales </w:t>
      </w:r>
      <w:r w:rsidR="0005237C"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{"citationItems":[{"id":"ITEM-1","itemData":{"ISSN":"1578-5319","abstract":"Resumen The problem of alcohol consumption is considered multifactorial where micro enviromental factors like family, contribute in the onset and maintenance of this behavior. This study is descriptive correlational with the objective to identify the relationship and effect of family functionality with alcohol use in High School teenagers in a 362 teenagers sample with a random stratified sampling with proportional allocation to the stratum size. Results show a negative and significant relationship between family functioning and alcohol dependent use (rs=204, p=.021). The variables with effect on the consumption of alcohol among adolescents are the occupation, age at onset of alcohol use and family functionality with 13.8% of explained variance. It is concluded that family functionality is important as affect significantly teenagers behavior, so professional nursing is a key element for the development and implementation of focused interventions to the family in order to give family strategies that impact on the holistic well-being. El problema del consumo de alcohol se considera multifactorial en el cual factores micro ambientales como la familia, contribuye en el inicio y mantenimiento de esta conducta. El presente estudio es descriptivo correlacional con el objetivo de identificar la relación y el efecto de la funcionalidad familiar con el consumo de alcohol de adolescentes que estudian secundaria en una muestra de 362 adolescentes, con un muestreo aleatorio estratificado con asignación proporcional al tamaño del estrato. Los resultados muestran una relación negativa significativa de la funcionalidad familiar con el consumo dependiente de alcohol (rs=-.204, p=.021). Las variables con efecto en el consumo de alcohol en los adolescentes de secundaria son la ocupación, edad de inicio del consumo de alcohol y la funcionalidad familiar con un 13.8% de la varianza explicada. Se concluye que la funcionalidad familiar es muy importante ya que afecta significativamente las conductas de los adolescentes, por lo cual el profesional de enfermería es un elemento clave para el desarrollo e implementación de intervenciones enfocadas a la familia con el objetivo brindar estrategias familiares que impacten en el bienestar holístico de estas.","author":[{"dropping-particle":"","family":"Alonso-Castillo","given":"María Magdalena","non-dropping-particle":"","parse-names":false,"suffix":""},{"dropping-particle":"","family":"Yañez-Lozano","given":"Ángeles","non-dropping-particle":"","parse-names":false,"suffix":""},{"dropping-particle":"","family":"Armendáriz-García","given":"Nora Angélica","non-dropping-particle":"","parse-names":false,"suffix":""}],"container-title":"Health and Addictions/Salud y Drogas","id":"ITEM-1","issue":"1","issued":{"date-parts":[["2017"]]},"page":"87-96","title":"Funcionalidad familiar y consumo de alcohol en adolescentes de secundaria","type":"article-journal","volume":"17"},"uris":["http://www.mendeley.com/documents/?uuid=2e0ef013-f731-42cb-8b5f-8012d27f1382"]}],"mendeley":{"formattedCitation":"(Alonso-Castillo et al., 2017)","manualFormatting":"(Alonso et al., 2017)","plainTextFormattedCitation":"(Alonso-Castillo et al., 2017)","previouslyFormattedCitation":"(Alonso-Castillo et al., 2017)"},"properties":{"noteIndex":0},"schema":"https://github.com/citation-style-language/schema/raw/master/csl-citation.json"}</w:instrText>
      </w:r>
      <w:r w:rsidR="0005237C"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(Alonso et al., 2017)</w:t>
      </w:r>
      <w:r w:rsidR="0005237C" w:rsidRPr="002F0A14">
        <w:rPr>
          <w:rFonts w:ascii="Times New Roman" w:hAnsi="Times New Roman" w:cs="Times New Roman"/>
          <w:sz w:val="24"/>
          <w:szCs w:val="24"/>
        </w:rPr>
        <w:fldChar w:fldCharType="end"/>
      </w:r>
      <w:r w:rsidR="00447B88" w:rsidRPr="002F0A14">
        <w:rPr>
          <w:rFonts w:ascii="Times New Roman" w:hAnsi="Times New Roman" w:cs="Times New Roman"/>
          <w:sz w:val="24"/>
          <w:szCs w:val="24"/>
        </w:rPr>
        <w:t xml:space="preserve">. Esto genera </w:t>
      </w:r>
      <w:r w:rsidR="0005237C" w:rsidRPr="002F0A14">
        <w:rPr>
          <w:rFonts w:ascii="Times New Roman" w:hAnsi="Times New Roman" w:cs="Times New Roman"/>
          <w:sz w:val="24"/>
          <w:szCs w:val="24"/>
        </w:rPr>
        <w:t xml:space="preserve">problemas en la salud, la educación y la seguridad pública </w:t>
      </w:r>
      <w:r w:rsidR="0005237C"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author":[{"dropping-particle":"","family":"Ferrel","given":"Fernando","non-dropping-particle":"","parse-names":false,"suffix":""},{"dropping-particle":"","family":"Ferrel","given":"Lucía","non-dropping-particle":"","parse-names":false,"suffix":""},{"dropping-particle":"","family":"Alarcón","given":"Alana","non-dropping-particle":"","parse-names":false,"suffix":""},{"dropping-particle":"","family":"Delgado","given":"Karen","non-dropping-particle":"","parse-names":false,"suffix":""}],"container-title":"Psychologia","id":"ITEM-1","issue":"2","issued":{"date-parts":[["2016"]]},"page":"43-54","title":"El consumo de sustancias psicoactivas como indicador de deterioro de la salud mental en jóvenes escolarizados","type":"article-journal","volume":"10"},"uris":["http://www.mendeley.com/documents/?uuid=bc8e8be2-c2f9-440c-b30c-b99032b41344"]}],"mendeley":{"formattedCitation":"(Ferrel et al., 2016)","plainTextFormattedCitation":"(Ferrel et al., 2016)","previouslyFormattedCitation":"(Ferrel et al., 2016)"},"properties":{"noteIndex":0},"schema":"https://github.com/citation-style-language/schema/raw/master/csl-citation.json"}</w:instrText>
      </w:r>
      <w:r w:rsidR="0005237C"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(Ferrel et al., 2016)</w:t>
      </w:r>
      <w:r w:rsidR="0005237C" w:rsidRPr="002F0A14">
        <w:rPr>
          <w:rFonts w:ascii="Times New Roman" w:hAnsi="Times New Roman" w:cs="Times New Roman"/>
          <w:sz w:val="24"/>
          <w:szCs w:val="24"/>
        </w:rPr>
        <w:fldChar w:fldCharType="end"/>
      </w:r>
      <w:r w:rsidR="0005237C" w:rsidRPr="002F0A14">
        <w:rPr>
          <w:rFonts w:ascii="Times New Roman" w:hAnsi="Times New Roman" w:cs="Times New Roman"/>
          <w:sz w:val="24"/>
          <w:szCs w:val="24"/>
        </w:rPr>
        <w:t xml:space="preserve">. </w:t>
      </w:r>
    </w:p>
    <w:p w:rsidR="007A3D8D" w:rsidRPr="002F0A14" w:rsidRDefault="00870595" w:rsidP="00D501E8">
      <w:pPr>
        <w:spacing w:line="360" w:lineRule="auto"/>
        <w:jc w:val="both"/>
        <w:rPr>
          <w:rFonts w:ascii="Times New Roman" w:hAnsi="Times New Roman" w:cs="Times New Roman"/>
          <w:noProof/>
          <w:sz w:val="24"/>
          <w:szCs w:val="24"/>
        </w:rPr>
      </w:pPr>
      <w:r w:rsidRPr="002F0A14">
        <w:rPr>
          <w:rFonts w:ascii="Times New Roman" w:hAnsi="Times New Roman" w:cs="Times New Roman"/>
          <w:sz w:val="24"/>
          <w:szCs w:val="24"/>
        </w:rPr>
        <w:t>Dentro de los adolescentes</w:t>
      </w:r>
      <w:r w:rsidR="00C9288E" w:rsidRPr="002F0A14">
        <w:rPr>
          <w:rFonts w:ascii="Times New Roman" w:hAnsi="Times New Roman" w:cs="Times New Roman"/>
          <w:sz w:val="24"/>
          <w:szCs w:val="24"/>
        </w:rPr>
        <w:t>,</w:t>
      </w:r>
      <w:r w:rsidRPr="002F0A14">
        <w:rPr>
          <w:rFonts w:ascii="Times New Roman" w:hAnsi="Times New Roman" w:cs="Times New Roman"/>
          <w:sz w:val="24"/>
          <w:szCs w:val="24"/>
        </w:rPr>
        <w:t xml:space="preserve"> los factores familiares y ambientales determinan el inicio del consumo de sustancias </w:t>
      </w:r>
      <w:r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{"citationItems":[{"id":"ITEM-1","itemData":{"DOI":"10.24245/mim.v34i2.1595","ISSN":"01864866","abstract":"Substance abuse among young adults and teenagers represents a considerable health issue, as substance use can be associated to serious injuries, accidents, disabilities, substance use and other psychiatric disorders, suicidal ideation and suicidal behavior, sexual risk practices, among others. In the last years, this health problem has been increasing significantly. The objective of this article is to present a review of general aspects of substance abuse in adolescents, such as: epidemiology, risk factors, screening, evaluation, diagnosis, some considerations for referral and general hospital treatment. As a result, it was found that several risk factors have been identified, such as individual, family and environmental factors. Also, strategies for early detection, counsel and reference to integrated treatment known as SBIRT (Screnning, Brief Intervention, Reference to Treatment) were identified. Finally, it is concluded that the implementation of SBIRT programs in general hospital are effective to improve the link between general hospital services to specialized programs for the treatment of substance use disorders.","author":[{"dropping-particle":"","family":"Tena-Suck","given":"Antonio","non-dropping-particle":"","parse-names":false,"suffix":""},{"dropping-particle":"","family":"Castro-Martínez","given":"Guadalupe","non-dropping-particle":"","parse-names":false,"suffix":""},{"dropping-particle":"","family":"Marín-Navarrete","given":"Rodrigo","non-dropping-particle":"","parse-names":false,"suffix":""},{"dropping-particle":"","family":"Gómez-Romero","given":"Pedro","non-dropping-particle":"","parse-names":false,"suffix":""},{"dropping-particle":"","family":"la Fuente-Martín","given":"Ana","non-dropping-particle":"de","parse-names":false,"suffix":""},{"dropping-particle":"","family":"Gómez-Martínez","given":"Rodrigo","non-dropping-particle":"","parse-names":false,"suffix":""}],"container-title":"Medicina Interna de Mexico","id":"ITEM-1","issue":"2","issued":{"date-parts":[["2018"]]},"page":"264-277","title":"Consumo de sustancias en adolescentes: consideraciones para la práctica médica","type":"article-journal","volume":"34"},"uris":["http://www.mendeley.com/documents/?uuid=67526715-bdeb-499f-aaaa-5744d6709f47"]}],"mendeley":{"formattedCitation":"(Tena-Suck et al., 2018)","manualFormatting":"(Tena et al., 2018)","plainTextFormattedCitation":"(Tena-Suck et al., 2018)","previouslyFormattedCitation":"(Tena-Suck et al., 2018)"},"properties":{"noteIndex":0},"schema":"https://github.com/citation-style-language/schema/raw/master/csl-citation.json"}</w:instrText>
      </w:r>
      <w:r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(Tena</w:t>
      </w:r>
      <w:r w:rsidRPr="002F0A14">
        <w:rPr>
          <w:rFonts w:ascii="Times New Roman" w:hAnsi="Times New Roman" w:cs="Times New Roman"/>
          <w:noProof/>
          <w:sz w:val="24"/>
          <w:szCs w:val="24"/>
        </w:rPr>
        <w:t xml:space="preserve"> et al., 2018)</w:t>
      </w:r>
      <w:r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w:t>
      </w:r>
      <w:r w:rsidR="00C9288E" w:rsidRPr="002F0A14">
        <w:rPr>
          <w:rFonts w:ascii="Times New Roman" w:hAnsi="Times New Roman" w:cs="Times New Roman"/>
          <w:sz w:val="24"/>
          <w:szCs w:val="24"/>
        </w:rPr>
        <w:t xml:space="preserve">Por ejemplo, </w:t>
      </w:r>
      <w:r w:rsidR="001F024D"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{"citationItems":[{"id":"ITEM-1","itemData":{"ISSN":"01200534","abstract":"The study searches for the drug use and the associated factors, in the school population of Guatemala City. A questionnaire was constructed and it was evaluated with four pilot studies. The questionnaire was administrated to a sample of 400 students of three socioeconomic classes, in a range of 11 to 18 years. The data was processed with the EPI-INFO, a statistical program; it was used the Chi-Squared, the Fisher proof and the Odd Ratio, an association measure for the risk estimation. It was founded that in the last 30 days, 12% of the adolescents smoked cigarettes; 21.5% drunk alcoholic beverages; 1.6% smoked marijuana; 0.5% used inhalants, 3.2% take tranquilizer pills; 0.5% used cocaine and 0,3% used heroine. It was indicated as a risk group the male of high or medium class of the east and west region of the city and all adolescents that have neighbors, friends or relatives that use drugs.","author":[{"dropping-particle":"","family":"Ortiz","given":"Julieta","non-dropping-particle":"","parse-names":false,"suffix":""}],"container-title":"Revista Latinoamericana de Psicología","id":"ITEM-1","issue":"2","issued":{"date-parts":[["1996"]]},"page":"367-392","title":"Uso de drogas en adolescentes guatemaltecos: Factores de riesgo","type":"article-journal","volume":"28"},"uris":["http://www.mendeley.com/documents/?uuid=1e0f032e-2708-4d27-b6fe-b85dbc71a214"]}],"mendeley":{"formattedCitation":"(Ortiz, 1996)","manualFormatting":"Ortiz (1996)","plainTextFormattedCitation":"(Ortiz, 1996)","previouslyFormattedCitation":"(Ortiz, 1996)"},"properties":{"noteIndex":0},"schema":"https://github.com/citation-style-language/schema/raw/master/csl-citation.json"}</w:instrText>
      </w:r>
      <w:r w:rsidR="001F024D"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Ortiz (1996)</w:t>
      </w:r>
      <w:r w:rsidR="001F024D" w:rsidRPr="002F0A14">
        <w:rPr>
          <w:rFonts w:ascii="Times New Roman" w:hAnsi="Times New Roman" w:cs="Times New Roman"/>
          <w:sz w:val="24"/>
          <w:szCs w:val="24"/>
        </w:rPr>
        <w:fldChar w:fldCharType="end"/>
      </w:r>
      <w:r w:rsidR="001F024D" w:rsidRPr="002F0A14">
        <w:rPr>
          <w:rFonts w:ascii="Times New Roman" w:hAnsi="Times New Roman" w:cs="Times New Roman"/>
          <w:sz w:val="24"/>
          <w:szCs w:val="24"/>
        </w:rPr>
        <w:t xml:space="preserve"> </w:t>
      </w:r>
      <w:r w:rsidR="004A5B9A" w:rsidRPr="002F0A14">
        <w:rPr>
          <w:rFonts w:ascii="Times New Roman" w:hAnsi="Times New Roman" w:cs="Times New Roman"/>
          <w:sz w:val="24"/>
          <w:szCs w:val="24"/>
        </w:rPr>
        <w:t>encontró</w:t>
      </w:r>
      <w:r w:rsidR="00C9288E" w:rsidRPr="002F0A14">
        <w:rPr>
          <w:rFonts w:ascii="Times New Roman" w:hAnsi="Times New Roman" w:cs="Times New Roman"/>
          <w:sz w:val="24"/>
          <w:szCs w:val="24"/>
        </w:rPr>
        <w:t xml:space="preserve"> que </w:t>
      </w:r>
      <w:r w:rsidR="00731CD1" w:rsidRPr="002F0A14">
        <w:rPr>
          <w:rFonts w:ascii="Times New Roman" w:hAnsi="Times New Roman" w:cs="Times New Roman"/>
          <w:sz w:val="24"/>
          <w:szCs w:val="24"/>
        </w:rPr>
        <w:t>en Guatemala existe 3.</w:t>
      </w:r>
      <w:r w:rsidR="004A5B9A" w:rsidRPr="002F0A14">
        <w:rPr>
          <w:rFonts w:ascii="Times New Roman" w:hAnsi="Times New Roman" w:cs="Times New Roman"/>
          <w:sz w:val="24"/>
          <w:szCs w:val="24"/>
        </w:rPr>
        <w:t xml:space="preserve">32 veces mayor riesgo de consumir cualquier tipo de drogas cuando un adolescente tiene un familiar consumidor de alguna droga. Otro factor de riesgo en los jóvenes son las condiciones económicas desfavorables lo que ocasiona un ingreso al mundo laboral más temprano, lo que favorece la interacción con las drogas </w:t>
      </w:r>
      <w:r w:rsidR="004A5B9A"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{"citationItems":[{"id":"ITEM-1","itemData":{"DOI":"10.1590/s0104-11692010000700016","ISSN":"01041169","abstract":"This study aimed to characterize the predominant causes and the types of drugs consumed among young people between 10 and 18 years old at an institution that receives young lawbreakers in an Ecuadorian city. A descriptive and qualitative study was carried out, using individual and semi-structured interviews as the main source of data collection. Ten young people between 10 and 16 years old participated. Content analysis resulted in three themes: lack of family support, influence from the environment where young people develop and ignorance about the side effects drugs produce and plans for the future. Marijuana was identified as the most consumed drug, followed by alcohol and inhaled drugs. Exploration of the causes that make these young people consume drugs contributes to identifying their needs and creating important spaces for health care, particularly health promotion.","author":[{"dropping-particle":"","family":"Riofrío G","given":"Rosa","non-dropping-particle":"","parse-names":false,"suffix":""},{"dropping-particle":"","family":"Nascimento","given":"Lucila","non-dropping-particle":"","parse-names":false,"suffix":""}],"container-title":"Revista Latino-Americana de Enfermagem","id":"ITEM-1","issue":"SPEC. ISSUE","issued":{"date-parts":[["2010"]]},"page":"598-605","title":"Consumo de drogas en los jóvenes de la ciudad de Guayaquil, Ecuador","type":"article-journal","volume":"18"},"uris":["http://www.mendeley.com/documents/?uuid=7f54331a-693b-4e24-9e48-926f4db62fed"]}],"mendeley":{"formattedCitation":"(Riofrío G &amp; Nascimento, 2010)","manualFormatting":"(Riofrío &amp; Nascimento, 2010)","plainTextFormattedCitation":"(Riofrío G &amp; Nascimento, 2010)","previouslyFormattedCitation":"(Riofrío G &amp; Nascimento, 2010)"},"properties":{"noteIndex":0},"schema":"https://github.com/citation-style-language/schema/raw/master/csl-citation.json"}</w:instrText>
      </w:r>
      <w:r w:rsidR="004A5B9A"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(Riofrío</w:t>
      </w:r>
      <w:r w:rsidR="004A5B9A" w:rsidRPr="002F0A14">
        <w:rPr>
          <w:rFonts w:ascii="Times New Roman" w:hAnsi="Times New Roman" w:cs="Times New Roman"/>
          <w:noProof/>
          <w:sz w:val="24"/>
          <w:szCs w:val="24"/>
        </w:rPr>
        <w:t xml:space="preserve"> &amp; Nascimento, 2010)</w:t>
      </w:r>
      <w:r w:rsidR="004A5B9A" w:rsidRPr="002F0A14">
        <w:rPr>
          <w:rFonts w:ascii="Times New Roman" w:hAnsi="Times New Roman" w:cs="Times New Roman"/>
          <w:sz w:val="24"/>
          <w:szCs w:val="24"/>
        </w:rPr>
        <w:fldChar w:fldCharType="end"/>
      </w:r>
      <w:r w:rsidR="004A5B9A" w:rsidRPr="002F0A14">
        <w:rPr>
          <w:rFonts w:ascii="Times New Roman" w:hAnsi="Times New Roman" w:cs="Times New Roman"/>
          <w:sz w:val="24"/>
          <w:szCs w:val="24"/>
        </w:rPr>
        <w:t>.</w:t>
      </w:r>
      <w:r w:rsidR="007A3D8D" w:rsidRPr="002F0A14">
        <w:rPr>
          <w:rFonts w:ascii="Times New Roman" w:hAnsi="Times New Roman" w:cs="Times New Roman"/>
          <w:sz w:val="24"/>
          <w:szCs w:val="24"/>
        </w:rPr>
        <w:t xml:space="preserve"> </w:t>
      </w:r>
      <w:r w:rsidR="007A3D8D" w:rsidRPr="002F0A14">
        <w:rPr>
          <w:rFonts w:ascii="Times New Roman" w:hAnsi="Times New Roman" w:cs="Times New Roman"/>
          <w:noProof/>
          <w:sz w:val="24"/>
          <w:szCs w:val="24"/>
        </w:rPr>
        <w:t>La tipología de familia influye en el consumo de sustancias psicoactivas, los consumidores pertenecen a l</w:t>
      </w:r>
      <w:r w:rsidR="00731CD1" w:rsidRPr="002F0A14">
        <w:rPr>
          <w:rFonts w:ascii="Times New Roman" w:hAnsi="Times New Roman" w:cs="Times New Roman"/>
          <w:noProof/>
          <w:sz w:val="24"/>
          <w:szCs w:val="24"/>
        </w:rPr>
        <w:t>a familia monoparental en un 25.6</w:t>
      </w:r>
      <w:r w:rsidR="008151B2" w:rsidRPr="002F0A14">
        <w:rPr>
          <w:rFonts w:ascii="Times New Roman" w:hAnsi="Times New Roman" w:cs="Times New Roman"/>
          <w:noProof/>
          <w:sz w:val="24"/>
          <w:szCs w:val="24"/>
        </w:rPr>
        <w:t xml:space="preserve"> </w:t>
      </w:r>
      <w:r w:rsidR="00731CD1" w:rsidRPr="002F0A14">
        <w:rPr>
          <w:rFonts w:ascii="Times New Roman" w:hAnsi="Times New Roman" w:cs="Times New Roman"/>
          <w:noProof/>
          <w:sz w:val="24"/>
          <w:szCs w:val="24"/>
        </w:rPr>
        <w:t>% y 9.</w:t>
      </w:r>
      <w:r w:rsidR="007A3D8D" w:rsidRPr="002F0A14">
        <w:rPr>
          <w:rFonts w:ascii="Times New Roman" w:hAnsi="Times New Roman" w:cs="Times New Roman"/>
          <w:noProof/>
          <w:sz w:val="24"/>
          <w:szCs w:val="24"/>
        </w:rPr>
        <w:t>8</w:t>
      </w:r>
      <w:r w:rsidR="008151B2" w:rsidRPr="002F0A14">
        <w:rPr>
          <w:rFonts w:ascii="Times New Roman" w:hAnsi="Times New Roman" w:cs="Times New Roman"/>
          <w:noProof/>
          <w:sz w:val="24"/>
          <w:szCs w:val="24"/>
        </w:rPr>
        <w:t xml:space="preserve">  </w:t>
      </w:r>
      <w:r w:rsidR="007A3D8D" w:rsidRPr="002F0A14">
        <w:rPr>
          <w:rFonts w:ascii="Times New Roman" w:hAnsi="Times New Roman" w:cs="Times New Roman"/>
          <w:noProof/>
          <w:sz w:val="24"/>
          <w:szCs w:val="24"/>
        </w:rPr>
        <w:t xml:space="preserve">% de consumidores a familia extensa </w:t>
      </w:r>
      <w:r w:rsidR="007A3D8D" w:rsidRPr="002F0A14">
        <w:rPr>
          <w:rFonts w:ascii="Times New Roman" w:hAnsi="Times New Roman" w:cs="Times New Roman"/>
          <w:noProof/>
          <w:sz w:val="24"/>
          <w:szCs w:val="24"/>
        </w:rPr>
        <w:fldChar w:fldCharType="begin" w:fldLock="1"/>
      </w:r>
      <w:r w:rsidR="001F024D" w:rsidRPr="002F0A14">
        <w:rPr>
          <w:rFonts w:ascii="Times New Roman" w:hAnsi="Times New Roman" w:cs="Times New Roman"/>
          <w:noProof/>
          <w:sz w:val="24"/>
          <w:szCs w:val="24"/>
        </w:rPr>
        <w:instrText>ADDIN CSL_CITATION {"citationItems":[{"id":"ITEM-1","itemData":{"DOI":"10.15446/rsap.v19n1.41785","ISSN":"01240064","abstract":"Objective To determine household risk factors that have an impact on the use of psychoactive substances (SPA, by its acronym in Spanish) by students of the technical educational institution San Luis Gonzaga in Chicoral, Tolima (Colombia). Methodology This is a quantitative, descriptive and cross-sectional study. Data were collected by applying the International survey for middle school students - standardized questionnaire, 2009, Argentinian version. The processing of the information was done through the statistical data base package SPSS version 19. Results The most common psychoactive substances consumed by students are alcohol, cigarettes, marijuana, stimulants, energizing pills or drinks, tranquilizers and others. The list of legal substances is led by alcohol, followed by cigarettes, while the most used illegal substance is marijuana. The age of initiation ranges between 8 and 13, with the highest prevalence between 15 and 17. There are no significant differences between males and females. The family, friends and school environments are the most common places for SPA consumption. Conclusions The family plays an important role in the teenager’s life and in the prevention against the use of SPA, by playing an active role in the knowledge of children’s activities, the places they frequent and their friends, in order to establish control mechanism to build a strong relationship.","author":[{"dropping-particle":"","family":"Aguirre-Guiza","given":"Norma C.","non-dropping-particle":"","parse-names":false,"suffix":""},{"dropping-particle":"","family":"Aldana-Pinzón","given":"Olga B.","non-dropping-particle":"","parse-names":false,"suffix":""},{"dropping-particle":"","family":"Bonilla-Ibáñez","given":"Claudia P.","non-dropping-particle":"","parse-names":false,"suffix":""}],"container-title":"Revista de Salud Publica","id":"ITEM-1","issue":"1","issued":{"date-parts":[["2017"]]},"page":"3-9","title":"Factores familiares de riesgo de consumo de sustancias psicoactivas en estudiantes de una institución de educación media técnica de Colombia","type":"article-journal","volume":"19"},"uris":["http://www.mendeley.com/documents/?uuid=4d12dd95-8dee-4f1b-9ced-19ad7a194841"]}],"mendeley":{"formattedCitation":"(Aguirre-Guiza et al., 2017)","manualFormatting":"(Aguirre et al., 2017)","plainTextFormattedCitation":"(Aguirre-Guiza et al., 2017)","previouslyFormattedCitation":"(Aguirre-Guiza et al., 2017)"},"properties":{"noteIndex":0},"schema":"https://github.com/citation-style-language/schema/raw/master/csl-citation.json"}</w:instrText>
      </w:r>
      <w:r w:rsidR="007A3D8D" w:rsidRPr="002F0A14">
        <w:rPr>
          <w:rFonts w:ascii="Times New Roman" w:hAnsi="Times New Roman" w:cs="Times New Roman"/>
          <w:noProof/>
          <w:sz w:val="24"/>
          <w:szCs w:val="24"/>
        </w:rPr>
        <w:fldChar w:fldCharType="separate"/>
      </w:r>
      <w:r w:rsidR="001F024D" w:rsidRPr="002F0A14">
        <w:rPr>
          <w:rFonts w:ascii="Times New Roman" w:hAnsi="Times New Roman" w:cs="Times New Roman"/>
          <w:noProof/>
          <w:sz w:val="24"/>
          <w:szCs w:val="24"/>
        </w:rPr>
        <w:t>(Aguirre et al., 2017)</w:t>
      </w:r>
      <w:r w:rsidR="007A3D8D" w:rsidRPr="002F0A14">
        <w:rPr>
          <w:rFonts w:ascii="Times New Roman" w:hAnsi="Times New Roman" w:cs="Times New Roman"/>
          <w:noProof/>
          <w:sz w:val="24"/>
          <w:szCs w:val="24"/>
        </w:rPr>
        <w:fldChar w:fldCharType="end"/>
      </w:r>
      <w:r w:rsidR="007A3D8D" w:rsidRPr="002F0A14">
        <w:rPr>
          <w:rFonts w:ascii="Times New Roman" w:hAnsi="Times New Roman" w:cs="Times New Roman"/>
          <w:noProof/>
          <w:sz w:val="24"/>
          <w:szCs w:val="24"/>
        </w:rPr>
        <w:t xml:space="preserve">. Aunque en el estudio realizado por </w:t>
      </w:r>
      <w:r w:rsidR="001F024D" w:rsidRPr="002F0A14">
        <w:rPr>
          <w:rFonts w:ascii="Times New Roman" w:hAnsi="Times New Roman" w:cs="Times New Roman"/>
          <w:noProof/>
          <w:sz w:val="24"/>
          <w:szCs w:val="24"/>
        </w:rPr>
        <w:fldChar w:fldCharType="begin" w:fldLock="1"/>
      </w:r>
      <w:r w:rsidR="008C28CF" w:rsidRPr="002F0A14">
        <w:rPr>
          <w:rFonts w:ascii="Times New Roman" w:hAnsi="Times New Roman" w:cs="Times New Roman"/>
          <w:noProof/>
          <w:sz w:val="24"/>
          <w:szCs w:val="24"/>
        </w:rPr>
        <w:instrText>ADDIN CSL_CITATION {"citationItems":[{"id":"ITEM-1","itemData":{"DOI":"10.30849/rip/ijp.v51i2.31","ISBN":"2845454600","ISSN":"00349690","abstract":"Presents the results of an investigation whose purpose was to establish the association between some family and psychosocial factors and the consumption of drugs in Colombian adolescents. High school students with good academic performance, without apparent problems of consumption of psychoactive substances and adolescents who were in treatment for such problems were selected in order to ensure comparability. Multiple scales were used to assess the various factors. The results show that, to reduced maternal behavioral control, less satisfaction with life and greater presence of adverse events increases the likelihood of drug use in adolescence.","author":[{"dropping-particle":"","family":"Moreno","given":"Norman","non-dropping-particle":"","parse-names":false,"suffix":""},{"dropping-particle":"","family":"Palomar","given":"Joaquina","non-dropping-particle":"","parse-names":false,"suffix":""}],"container-title":"Interamerican Journal of Psychology","id":"ITEM-1","issue":"2","issued":{"date-parts":[["2017"]]},"page":"141-151","title":"Factores familiares y psicosociales asociados al consumo de drogas en adolescentes","type":"article-journal","volume":"51"},"uris":["http://www.mendeley.com/documents/?uuid=e0fa3a88-9faa-4dda-8830-4677da3483c0"]}],"mendeley":{"formattedCitation":"(Moreno &amp; Palomar, 2017)","manualFormatting":"Moreno &amp; Palomar (2017)","plainTextFormattedCitation":"(Moreno &amp; Palomar, 2017)","previouslyFormattedCitation":"(Moreno &amp; Palomar, 2017)"},"properties":{"noteIndex":0},"schema":"https://github.com/citation-style-language/schema/raw/master/csl-citation.json"}</w:instrText>
      </w:r>
      <w:r w:rsidR="001F024D" w:rsidRPr="002F0A14">
        <w:rPr>
          <w:rFonts w:ascii="Times New Roman" w:hAnsi="Times New Roman" w:cs="Times New Roman"/>
          <w:noProof/>
          <w:sz w:val="24"/>
          <w:szCs w:val="24"/>
        </w:rPr>
        <w:fldChar w:fldCharType="separate"/>
      </w:r>
      <w:r w:rsidR="001F024D" w:rsidRPr="002F0A14">
        <w:rPr>
          <w:rFonts w:ascii="Times New Roman" w:hAnsi="Times New Roman" w:cs="Times New Roman"/>
          <w:noProof/>
          <w:sz w:val="24"/>
          <w:szCs w:val="24"/>
        </w:rPr>
        <w:t>Moreno &amp; Palom</w:t>
      </w:r>
      <w:r w:rsidR="008C28CF" w:rsidRPr="002F0A14">
        <w:rPr>
          <w:rFonts w:ascii="Times New Roman" w:hAnsi="Times New Roman" w:cs="Times New Roman"/>
          <w:noProof/>
          <w:sz w:val="24"/>
          <w:szCs w:val="24"/>
        </w:rPr>
        <w:t>ar</w:t>
      </w:r>
      <w:r w:rsidR="001F024D" w:rsidRPr="002F0A14">
        <w:rPr>
          <w:rFonts w:ascii="Times New Roman" w:hAnsi="Times New Roman" w:cs="Times New Roman"/>
          <w:noProof/>
          <w:sz w:val="24"/>
          <w:szCs w:val="24"/>
        </w:rPr>
        <w:t xml:space="preserve"> </w:t>
      </w:r>
      <w:r w:rsidR="008C28CF" w:rsidRPr="002F0A14">
        <w:rPr>
          <w:rFonts w:ascii="Times New Roman" w:hAnsi="Times New Roman" w:cs="Times New Roman"/>
          <w:noProof/>
          <w:sz w:val="24"/>
          <w:szCs w:val="24"/>
        </w:rPr>
        <w:t>(</w:t>
      </w:r>
      <w:r w:rsidR="001F024D" w:rsidRPr="002F0A14">
        <w:rPr>
          <w:rFonts w:ascii="Times New Roman" w:hAnsi="Times New Roman" w:cs="Times New Roman"/>
          <w:noProof/>
          <w:sz w:val="24"/>
          <w:szCs w:val="24"/>
        </w:rPr>
        <w:t>2017)</w:t>
      </w:r>
      <w:r w:rsidR="001F024D" w:rsidRPr="002F0A14">
        <w:rPr>
          <w:rFonts w:ascii="Times New Roman" w:hAnsi="Times New Roman" w:cs="Times New Roman"/>
          <w:noProof/>
          <w:sz w:val="24"/>
          <w:szCs w:val="24"/>
        </w:rPr>
        <w:fldChar w:fldCharType="end"/>
      </w:r>
      <w:r w:rsidR="007A3D8D" w:rsidRPr="002F0A14">
        <w:rPr>
          <w:rFonts w:ascii="Times New Roman" w:hAnsi="Times New Roman" w:cs="Times New Roman"/>
          <w:noProof/>
          <w:sz w:val="24"/>
          <w:szCs w:val="24"/>
        </w:rPr>
        <w:t xml:space="preserve"> en una muesta de escolares colombianos, no se encontró diferencias significativas entre el tipo de familia y el consumo de sustancias psicactivas.</w:t>
      </w:r>
    </w:p>
    <w:p w:rsidR="0021157E" w:rsidRPr="002F0A14" w:rsidRDefault="0021157E"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La familia se configurará como un factor de riesgo cuando en la misma se promueven actitudes de consumo y más aún cuando el consumo se encuentra presente por parte de padres o adultos, y exist</w:t>
      </w:r>
      <w:r w:rsidR="00EA726F" w:rsidRPr="002F0A14">
        <w:rPr>
          <w:rFonts w:ascii="Times New Roman" w:hAnsi="Times New Roman" w:cs="Times New Roman"/>
          <w:sz w:val="24"/>
          <w:szCs w:val="24"/>
        </w:rPr>
        <w:t>e</w:t>
      </w:r>
      <w:r w:rsidRPr="002F0A14">
        <w:rPr>
          <w:rFonts w:ascii="Times New Roman" w:hAnsi="Times New Roman" w:cs="Times New Roman"/>
          <w:sz w:val="24"/>
          <w:szCs w:val="24"/>
        </w:rPr>
        <w:t xml:space="preserve"> abuso físico o psíquico </w:t>
      </w:r>
      <w:r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{"citationItems":[{"id":"ITEM-1","itemData":{"DOI":"10.15446/rsap.v19n1.41785","ISSN":"01240064","abstract":"Objective To determine household risk factors that have an impact on the use of psychoactive substances (SPA, by its acronym in Spanish) by students of the technical educational institution San Luis Gonzaga in Chicoral, Tolima (Colombia). Methodology This is a quantitative, descriptive and cross-sectional study. Data were collected by applying the International survey for middle school students - standardized questionnaire, 2009, Argentinian version. The processing of the information was done through the statistical data base package SPSS version 19. Results The most common psychoactive substances consumed by students are alcohol, cigarettes, marijuana, stimulants, energizing pills or drinks, tranquilizers and others. The list of legal substances is led by alcohol, followed by cigarettes, while the most used illegal substance is marijuana. The age of initiation ranges between 8 and 13, with the highest prevalence between 15 and 17. There are no significant differences between males and females. The family, friends and school environments are the most common places for SPA consumption. Conclusions The family plays an important role in the teenager’s life and in the prevention against the use of SPA, by playing an active role in the knowledge of children’s activities, the places they frequent and their friends, in order to establish control mechanism to build a strong relationship.","author":[{"dropping-particle":"","family":"Aguirre-Guiza","given":"Norma C.","non-dropping-particle":"","parse-names":false,"suffix":""},{"dropping-particle":"","family":"Aldana-Pinzón","given":"Olga B.","non-dropping-particle":"","parse-names":false,"suffix":""},{"dropping-particle":"","family":"Bonilla-Ibáñez","given":"Claudia P.","non-dropping-particle":"","parse-names":false,"suffix":""}],"container-title":"Revista de Salud Publica","id":"ITEM-1","issue":"1","issued":{"date-parts":[["2017"]]},"page":"3-9","title":"Factores familiares de riesgo de consumo de sustancias psicoactivas en estudiantes de una institución de educación media técnica de Colombia","type":"article-journal","volume":"19"},"uris":["http://www.mendeley.com/documents/?uuid=4d12dd95-8dee-4f1b-9ced-19ad7a194841"]}],"mendeley":{"formattedCitation":"(Aguirre-Guiza et al., 2017)","manualFormatting":"(Aguirre et al., 2017)","plainTextFormattedCitation":"(Aguirre-Guiza et al., 2017)","previouslyFormattedCitation":"(Aguirre-Guiza et al., 2017)"},"properties":{"noteIndex":0},"schema":"https://github.com/citation-style-language/schema/raw/master/csl-citation.json"}</w:instrText>
      </w:r>
      <w:r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(Aguirre</w:t>
      </w:r>
      <w:r w:rsidRPr="002F0A14">
        <w:rPr>
          <w:rFonts w:ascii="Times New Roman" w:hAnsi="Times New Roman" w:cs="Times New Roman"/>
          <w:noProof/>
          <w:sz w:val="24"/>
          <w:szCs w:val="24"/>
        </w:rPr>
        <w:t xml:space="preserve"> et al., 2017)</w:t>
      </w:r>
      <w:r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w:t>
      </w:r>
      <w:r w:rsidR="00EA726F" w:rsidRPr="002F0A14">
        <w:rPr>
          <w:rFonts w:ascii="Times New Roman" w:hAnsi="Times New Roman" w:cs="Times New Roman"/>
          <w:sz w:val="24"/>
          <w:szCs w:val="24"/>
        </w:rPr>
        <w:t>L</w:t>
      </w:r>
      <w:r w:rsidRPr="002F0A14">
        <w:rPr>
          <w:rFonts w:ascii="Times New Roman" w:hAnsi="Times New Roman" w:cs="Times New Roman"/>
          <w:sz w:val="24"/>
          <w:szCs w:val="24"/>
        </w:rPr>
        <w:t xml:space="preserve">a percepción que los adolescentes tienen </w:t>
      </w:r>
      <w:r w:rsidRPr="002F0A14">
        <w:rPr>
          <w:rFonts w:ascii="Times New Roman" w:hAnsi="Times New Roman" w:cs="Times New Roman"/>
          <w:sz w:val="24"/>
          <w:szCs w:val="24"/>
        </w:rPr>
        <w:lastRenderedPageBreak/>
        <w:t xml:space="preserve">del funcionamiento familiar influye decisivamente en la adopción de conductas de riesgo para la salud (adicciones, relaciones sexuales de riesgo, pandillerismo, etc.) </w:t>
      </w:r>
      <w:r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{"citationItems":[{"id":"ITEM-1","itemData":{"DOI":"10.1016/j.af.2016.07.003","ISSN":"14058871","abstract":"OBJETIVO\\nidentificar la percepción que tienen los adolescentes y sus padres sobre su funcionalidad familiar y su asociación con el consumo de alcohol. \\n\\nMÉTODOS\\nestudio descriptivo y transversal. Se aplicó una encuesta en la que se recogieron datos sociodemográficos, tipo de familia, Test Apgar Familiar y Test audit, tanto a los adolescentes como a sus padres. Se asociaron las variables del estudio con los estadísticos D de Somers y Gamma; para su significancia se utilizó U de Mann-Whitney y χ2 de Pearson. \\n\\nRESULTADOS\\nparticiparon 236 adolescentes, la edad media fue de 14.6 ±2.38 años de desviación estándar; 54.7% (129) fue del sexo femenino, 66.1% había cursado el nivel educativo básico, 92.8% era estudiante. La familia nuclear fue predominante con 57.2% (135). La percepción de los adolescentes fue: familias funcionales 86.86%; disfunción leve en 12.71%; y disfunción grave en 0.42%. El consumo de alcohol en adolescentes fue de 27.9%. Se correlacionó la percepción de la funcionalidad familiar de los padres con el consumo de alcohol por parte de los adolescentes, obteniendo de acuerdo con la prueba estadística D de Somers, un valor de 0.094 y una p=0.072. \\n\\nCONCLUSIONES\\nel consumo de alcohol en los adolescentes no dependió de su percepción de la funcionalidad familiar. \\n\\nOBJECTIVE\\nto identify the perception of adolescents and their parents about family functionality and its relation with the use of alcohol in adolescents. \\n\\nMETHODS\\ndescriptive, and cross-sectional study. A survey was applied where sociodemographic data, type of family, Family Apgar Test and Test audit, were collected from both adolescents and their parents. Variables of this study were associated with the D of Somers and Gamma statistical analysis. For its significance, it was used the U Mann-Whitney and the Pearson χ2. \\n\\nRESULTS\\n236 parents participated, the average age was 14.6 ±2.38 years of standard deviation; 54.7% (129) female; 66.1% completed their basic education level; 92.8% were students. The nuclear family structure was predominantly with 57.2% (135). The adolescent perception was: functional in 86.86%; mild dysfunction in 12.71%; and serious dysfunction in 0.42%. Alcohol consumption was in 27.9%. There was a correlation between family functionality perception from parents with the use of alcohol by the adolescents, obtaining a value of 0.094 and a p=0.072, according to the D of Sommer statistical analysis. \\n\\nCONCLUSIONS\\nuse of alcohol by adolescents did…","author":[{"dropping-particle":"","family":"Trujillo-Guerrero","given":"Tania Judith","non-dropping-particle":"","parse-names":false,"suffix":""},{"dropping-particle":"","family":"Vázquez-Cruz","given":"Eduardo","non-dropping-particle":"","parse-names":false,"suffix":""},{"dropping-particle":"","family":"Córdova-Soriano","given":"José Arturo","non-dropping-particle":"","parse-names":false,"suffix":""}],"container-title":"Atención Familiar","id":"ITEM-1","issue":"3","issued":{"date-parts":[["2016"]]},"page":"100-103","publisher":"Universidad Nacional Autónoma de México","title":"Percepción de la funcionalidad familiar y el consumo de alcohol en adolescentes","type":"article-journal","volume":"23"},"uris":["http://www.mendeley.com/documents/?uuid=4d1a1066-ac37-4440-9ff0-8062ccdfd4e1"]}],"mendeley":{"formattedCitation":"(Trujillo-Guerrero et al., 2016)","manualFormatting":"(Trujillo et al., 2016)","plainTextFormattedCitation":"(Trujillo-Guerrero et al., 2016)","previouslyFormattedCitation":"(Trujillo-Guerrero et al., 2016)"},"properties":{"noteIndex":0},"schema":"https://github.com/citation-style-language/schema/raw/master/csl-citation.json"}</w:instrText>
      </w:r>
      <w:r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(Trujillo et al., 2016)</w:t>
      </w:r>
      <w:r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w:t>
      </w:r>
    </w:p>
    <w:p w:rsidR="0021157E" w:rsidRPr="002F0A14" w:rsidRDefault="00EA726F"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Por lo tanto, e</w:t>
      </w:r>
      <w:r w:rsidR="0021157E" w:rsidRPr="002F0A14">
        <w:rPr>
          <w:rFonts w:ascii="Times New Roman" w:hAnsi="Times New Roman" w:cs="Times New Roman"/>
          <w:sz w:val="24"/>
          <w:szCs w:val="24"/>
        </w:rPr>
        <w:t xml:space="preserve">stá investigación tuvo como objetivo </w:t>
      </w:r>
      <w:r w:rsidRPr="002F0A14">
        <w:rPr>
          <w:rFonts w:ascii="Times New Roman" w:hAnsi="Times New Roman" w:cs="Times New Roman"/>
          <w:sz w:val="24"/>
          <w:szCs w:val="24"/>
        </w:rPr>
        <w:t>conocer la</w:t>
      </w:r>
      <w:r w:rsidR="0021157E" w:rsidRPr="002F0A14">
        <w:rPr>
          <w:rFonts w:ascii="Times New Roman" w:hAnsi="Times New Roman" w:cs="Times New Roman"/>
          <w:sz w:val="24"/>
          <w:szCs w:val="24"/>
        </w:rPr>
        <w:t xml:space="preserve"> relación estadística entre los diferentes niveles de percepción de la función familiar (baja satisfacción de la función familiar, media satisf</w:t>
      </w:r>
      <w:r w:rsidRPr="002F0A14">
        <w:rPr>
          <w:rFonts w:ascii="Times New Roman" w:hAnsi="Times New Roman" w:cs="Times New Roman"/>
          <w:sz w:val="24"/>
          <w:szCs w:val="24"/>
        </w:rPr>
        <w:t>acción de la función familiar y</w:t>
      </w:r>
      <w:r w:rsidR="0021157E" w:rsidRPr="002F0A14">
        <w:rPr>
          <w:rFonts w:ascii="Times New Roman" w:hAnsi="Times New Roman" w:cs="Times New Roman"/>
          <w:sz w:val="24"/>
          <w:szCs w:val="24"/>
        </w:rPr>
        <w:t xml:space="preserve"> alta satisfacción de la función familiar), y los niveles de riesgo (leve, moderado-grave) de consumo de alcohol, tabaco y otras drogas, </w:t>
      </w:r>
      <w:r w:rsidRPr="002F0A14">
        <w:rPr>
          <w:rFonts w:ascii="Times New Roman" w:hAnsi="Times New Roman" w:cs="Times New Roman"/>
          <w:sz w:val="24"/>
          <w:szCs w:val="24"/>
        </w:rPr>
        <w:t>para</w:t>
      </w:r>
      <w:r w:rsidR="0021157E" w:rsidRPr="002F0A14">
        <w:rPr>
          <w:rFonts w:ascii="Times New Roman" w:hAnsi="Times New Roman" w:cs="Times New Roman"/>
          <w:sz w:val="24"/>
          <w:szCs w:val="24"/>
        </w:rPr>
        <w:t xml:space="preserve"> medir el impacto que estos niveles de percepción de la función familiar causan en las posibilidades de consumo de alcohol, tabaco y otras drogas en los adolescentes. </w:t>
      </w:r>
    </w:p>
    <w:p w:rsidR="007A2281" w:rsidRPr="002F0A14" w:rsidRDefault="007A2281" w:rsidP="00D501E8">
      <w:pPr>
        <w:spacing w:line="360" w:lineRule="auto"/>
        <w:jc w:val="both"/>
        <w:rPr>
          <w:rFonts w:ascii="Times New Roman" w:hAnsi="Times New Roman" w:cs="Times New Roman"/>
          <w:b/>
          <w:sz w:val="24"/>
          <w:szCs w:val="24"/>
        </w:rPr>
      </w:pPr>
      <w:r w:rsidRPr="002F0A14">
        <w:rPr>
          <w:rFonts w:ascii="Times New Roman" w:hAnsi="Times New Roman" w:cs="Times New Roman"/>
          <w:b/>
          <w:sz w:val="24"/>
          <w:szCs w:val="24"/>
        </w:rPr>
        <w:t>Materiales y Métodos</w:t>
      </w:r>
    </w:p>
    <w:p w:rsidR="007A2281" w:rsidRPr="002F0A14" w:rsidRDefault="007A2281"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Diseño</w:t>
      </w:r>
    </w:p>
    <w:p w:rsidR="007A2281" w:rsidRPr="002F0A14" w:rsidRDefault="005719DA" w:rsidP="00D501E8">
      <w:pPr>
        <w:spacing w:line="360" w:lineRule="auto"/>
        <w:rPr>
          <w:rFonts w:ascii="Times New Roman" w:hAnsi="Times New Roman" w:cs="Times New Roman"/>
          <w:sz w:val="24"/>
          <w:szCs w:val="24"/>
        </w:rPr>
      </w:pPr>
      <w:r w:rsidRPr="002F0A14">
        <w:rPr>
          <w:rFonts w:ascii="Times New Roman" w:hAnsi="Times New Roman" w:cs="Times New Roman"/>
          <w:sz w:val="24"/>
          <w:szCs w:val="24"/>
        </w:rPr>
        <w:t>El estudio</w:t>
      </w:r>
      <w:r w:rsidR="007A2281" w:rsidRPr="002F0A14">
        <w:rPr>
          <w:rFonts w:ascii="Times New Roman" w:hAnsi="Times New Roman" w:cs="Times New Roman"/>
          <w:sz w:val="24"/>
          <w:szCs w:val="24"/>
        </w:rPr>
        <w:t xml:space="preserve"> se rea</w:t>
      </w:r>
      <w:r w:rsidR="00ED397A" w:rsidRPr="002F0A14">
        <w:rPr>
          <w:rFonts w:ascii="Times New Roman" w:hAnsi="Times New Roman" w:cs="Times New Roman"/>
          <w:sz w:val="24"/>
          <w:szCs w:val="24"/>
        </w:rPr>
        <w:t xml:space="preserve">lizó con un diseño transversal </w:t>
      </w:r>
      <w:r w:rsidRPr="002F0A14">
        <w:rPr>
          <w:rFonts w:ascii="Times New Roman" w:hAnsi="Times New Roman" w:cs="Times New Roman"/>
          <w:sz w:val="24"/>
          <w:szCs w:val="24"/>
        </w:rPr>
        <w:t xml:space="preserve">de </w:t>
      </w:r>
      <w:r w:rsidR="00885E87" w:rsidRPr="002F0A14">
        <w:rPr>
          <w:rFonts w:ascii="Times New Roman" w:hAnsi="Times New Roman" w:cs="Times New Roman"/>
          <w:sz w:val="24"/>
          <w:szCs w:val="24"/>
        </w:rPr>
        <w:t>tipo no experimental</w:t>
      </w:r>
      <w:r w:rsidRPr="002F0A14">
        <w:rPr>
          <w:rFonts w:ascii="Times New Roman" w:hAnsi="Times New Roman" w:cs="Times New Roman"/>
          <w:sz w:val="24"/>
          <w:szCs w:val="24"/>
        </w:rPr>
        <w:t>.</w:t>
      </w:r>
    </w:p>
    <w:p w:rsidR="007A2281" w:rsidRPr="002F0A14" w:rsidRDefault="007A2281"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Participantes</w:t>
      </w:r>
    </w:p>
    <w:p w:rsidR="007A2281" w:rsidRPr="002F0A14" w:rsidRDefault="00E24C9F"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La presente investigación estuvo</w:t>
      </w:r>
      <w:r w:rsidR="007A2281" w:rsidRPr="002F0A14">
        <w:rPr>
          <w:rFonts w:ascii="Times New Roman" w:hAnsi="Times New Roman" w:cs="Times New Roman"/>
          <w:sz w:val="24"/>
          <w:szCs w:val="24"/>
        </w:rPr>
        <w:t xml:space="preserve"> confo</w:t>
      </w:r>
      <w:r w:rsidR="00EA726F" w:rsidRPr="002F0A14">
        <w:rPr>
          <w:rFonts w:ascii="Times New Roman" w:hAnsi="Times New Roman" w:cs="Times New Roman"/>
          <w:sz w:val="24"/>
          <w:szCs w:val="24"/>
        </w:rPr>
        <w:t>rmada</w:t>
      </w:r>
      <w:r w:rsidRPr="002F0A14">
        <w:rPr>
          <w:rFonts w:ascii="Times New Roman" w:hAnsi="Times New Roman" w:cs="Times New Roman"/>
          <w:sz w:val="24"/>
          <w:szCs w:val="24"/>
        </w:rPr>
        <w:t xml:space="preserve"> por 664 estudiantes de educación básica y bachillerato entre los 13 y 20 años</w:t>
      </w:r>
      <w:r w:rsidR="00EA726F" w:rsidRPr="002F0A14">
        <w:rPr>
          <w:rFonts w:ascii="Times New Roman" w:hAnsi="Times New Roman" w:cs="Times New Roman"/>
          <w:sz w:val="24"/>
          <w:szCs w:val="24"/>
        </w:rPr>
        <w:t xml:space="preserve"> del Colegio de Bac</w:t>
      </w:r>
      <w:r w:rsidR="00731CD1" w:rsidRPr="002F0A14">
        <w:rPr>
          <w:rFonts w:ascii="Times New Roman" w:hAnsi="Times New Roman" w:cs="Times New Roman"/>
          <w:sz w:val="24"/>
          <w:szCs w:val="24"/>
        </w:rPr>
        <w:t>hillerato “27 de febrero”, Loja,</w:t>
      </w:r>
      <w:r w:rsidR="00EA726F" w:rsidRPr="002F0A14">
        <w:rPr>
          <w:rFonts w:ascii="Times New Roman" w:hAnsi="Times New Roman" w:cs="Times New Roman"/>
          <w:sz w:val="24"/>
          <w:szCs w:val="24"/>
        </w:rPr>
        <w:t xml:space="preserve"> Ecuador</w:t>
      </w:r>
      <w:r w:rsidRPr="002F0A14">
        <w:rPr>
          <w:rFonts w:ascii="Times New Roman" w:hAnsi="Times New Roman" w:cs="Times New Roman"/>
          <w:sz w:val="24"/>
          <w:szCs w:val="24"/>
        </w:rPr>
        <w:t>.</w:t>
      </w:r>
      <w:r w:rsidR="00731CD1" w:rsidRPr="002F0A14">
        <w:rPr>
          <w:rFonts w:ascii="Times New Roman" w:hAnsi="Times New Roman" w:cs="Times New Roman"/>
          <w:sz w:val="24"/>
          <w:szCs w:val="24"/>
        </w:rPr>
        <w:t xml:space="preserve"> </w:t>
      </w:r>
      <w:r w:rsidR="007A2281" w:rsidRPr="002F0A14">
        <w:rPr>
          <w:rFonts w:ascii="Times New Roman" w:hAnsi="Times New Roman" w:cs="Times New Roman"/>
          <w:sz w:val="24"/>
          <w:szCs w:val="24"/>
        </w:rPr>
        <w:t>La selección de los estudiantes se realizó a través de un muestreo no probabilístico con criterios de inclusión. Los criterios que se tomaron en cuenta fueron: a) Motivación para participar en la investigación; b) Consentimiento Informado firmado por parte de los tutores; b) Estar matriculado legalmente a la institución pública; c) Asistir normalmente a clases; d) tener una edad comprendida entre 13 y 20 años.</w:t>
      </w:r>
    </w:p>
    <w:p w:rsidR="007A2281" w:rsidRPr="002F0A14" w:rsidRDefault="007A2281"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Instrumentos</w:t>
      </w:r>
    </w:p>
    <w:p w:rsidR="005B2F3A" w:rsidRPr="002F0A14" w:rsidRDefault="00EA726F"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Se aplicó l</w:t>
      </w:r>
      <w:r w:rsidR="007A2281" w:rsidRPr="002F0A14">
        <w:rPr>
          <w:rFonts w:ascii="Times New Roman" w:hAnsi="Times New Roman" w:cs="Times New Roman"/>
          <w:sz w:val="24"/>
          <w:szCs w:val="24"/>
        </w:rPr>
        <w:t>a prueba de detección de consumo de alcohol, tabaco y sustancias (ASSIST v3.1)</w:t>
      </w:r>
      <w:r w:rsidR="0076650B" w:rsidRPr="002F0A14">
        <w:rPr>
          <w:rFonts w:ascii="Times New Roman" w:hAnsi="Times New Roman" w:cs="Times New Roman"/>
          <w:sz w:val="24"/>
          <w:szCs w:val="24"/>
        </w:rPr>
        <w:fldChar w:fldCharType="begin" w:fldLock="1"/>
      </w:r>
      <w:r w:rsidR="0076650B" w:rsidRPr="002F0A14">
        <w:rPr>
          <w:rFonts w:ascii="Times New Roman" w:hAnsi="Times New Roman" w:cs="Times New Roman"/>
          <w:sz w:val="24"/>
          <w:szCs w:val="24"/>
        </w:rPr>
        <w:instrText>ADDIN CSL_CITATION {"citationItems":[{"id":"ITEM-1","itemData":{"ISBN":"9789275332368","abstract":"La prueba de detección de consumo de alcohol, tabaco y sustancias (ASSIST) Manual para uso en la atención primaria La prueba de detección de consumo de alcohol, tabaco y sustancias (ASSIST, por sus siglas en inglés) fue desarrollada para la Organización Mundial de la Salud (OMS) por un grupo internacional de investigadores y médicos como una herramienta técnica para ayudar a la identificación temprana de riesgos para la salud y trastornos debido al uso de sustancias en la atención primaria de salud, la atención médica general y otros entornos. El objetivo del proyecto OMS ASSIST es brindar apoyo y promover la prueba de detección de consumo e intervenciones breves del uso de sustancias psicoactivas por profesionales de la salud para facilitar la prevención, la identificación temprana y el manejo de los trastornos de uso de sustancias en los sistemas de atención de la salud con el objetivo principal de reducir la carga de morbilidad que se atribuye al uso de sustancias en el mundo.","author":[{"dropping-particle":"","family":"Organización Mundial de la Salud (OMS)","given":"","non-dropping-particle":"","parse-names":false,"suffix":""}],"container-title":"OMS","id":"ITEM-1","issued":{"date-parts":[["2011"]]},"number-of-pages":"73","title":"ASSIST, la prueba de detección de consumo de alcohol, tabaco y sustancias","type":"book"},"uris":["http://www.mendeley.com/documents/?uuid=e5134c82-39a3-4ea1-8540-738c3b71c213"]}],"mendeley":{"formattedCitation":"(Organización Mundial de la Salud (OMS), 2011)","manualFormatting":" (OMS, 2011)","plainTextFormattedCitation":"(Organización Mundial de la Salud (OMS), 2011)","previouslyFormattedCitation":"(Organización Mundial de la Salud (OMS), 2011)"},"properties":{"noteIndex":0},"schema":"https://github.com/citation-style-language/schema/raw/master/csl-citation.json"}</w:instrText>
      </w:r>
      <w:r w:rsidR="0076650B" w:rsidRPr="002F0A14">
        <w:rPr>
          <w:rFonts w:ascii="Times New Roman" w:hAnsi="Times New Roman" w:cs="Times New Roman"/>
          <w:sz w:val="24"/>
          <w:szCs w:val="24"/>
        </w:rPr>
        <w:fldChar w:fldCharType="separate"/>
      </w:r>
      <w:r w:rsidR="0076650B" w:rsidRPr="002F0A14">
        <w:rPr>
          <w:rFonts w:ascii="Times New Roman" w:hAnsi="Times New Roman" w:cs="Times New Roman"/>
          <w:noProof/>
          <w:sz w:val="24"/>
          <w:szCs w:val="24"/>
        </w:rPr>
        <w:t xml:space="preserve"> (OMS, 2011)</w:t>
      </w:r>
      <w:r w:rsidR="0076650B" w:rsidRPr="002F0A14">
        <w:rPr>
          <w:rFonts w:ascii="Times New Roman" w:hAnsi="Times New Roman" w:cs="Times New Roman"/>
          <w:sz w:val="24"/>
          <w:szCs w:val="24"/>
        </w:rPr>
        <w:fldChar w:fldCharType="end"/>
      </w:r>
      <w:r w:rsidRPr="002F0A14">
        <w:rPr>
          <w:rFonts w:ascii="Times New Roman" w:hAnsi="Times New Roman" w:cs="Times New Roman"/>
          <w:sz w:val="24"/>
          <w:szCs w:val="24"/>
        </w:rPr>
        <w:t>.</w:t>
      </w:r>
      <w:r w:rsidR="007A2281" w:rsidRPr="002F0A14">
        <w:rPr>
          <w:rFonts w:ascii="Times New Roman" w:hAnsi="Times New Roman" w:cs="Times New Roman"/>
          <w:sz w:val="24"/>
          <w:szCs w:val="24"/>
        </w:rPr>
        <w:t xml:space="preserve"> </w:t>
      </w:r>
      <w:r w:rsidRPr="002F0A14">
        <w:rPr>
          <w:rFonts w:ascii="Times New Roman" w:hAnsi="Times New Roman" w:cs="Times New Roman"/>
          <w:sz w:val="24"/>
          <w:szCs w:val="24"/>
        </w:rPr>
        <w:t>E</w:t>
      </w:r>
      <w:r w:rsidR="007A2281" w:rsidRPr="002F0A14">
        <w:rPr>
          <w:rFonts w:ascii="Times New Roman" w:hAnsi="Times New Roman" w:cs="Times New Roman"/>
          <w:sz w:val="24"/>
          <w:szCs w:val="24"/>
        </w:rPr>
        <w:t xml:space="preserve">s un instrumento que consta de 8 ítems, permite </w:t>
      </w:r>
      <w:r w:rsidR="0076650B" w:rsidRPr="002F0A14">
        <w:rPr>
          <w:rFonts w:ascii="Times New Roman" w:hAnsi="Times New Roman" w:cs="Times New Roman"/>
          <w:sz w:val="24"/>
          <w:szCs w:val="24"/>
        </w:rPr>
        <w:t xml:space="preserve">detectar y </w:t>
      </w:r>
      <w:r w:rsidR="007A2281" w:rsidRPr="002F0A14">
        <w:rPr>
          <w:rFonts w:ascii="Times New Roman" w:hAnsi="Times New Roman" w:cs="Times New Roman"/>
          <w:sz w:val="24"/>
          <w:szCs w:val="24"/>
        </w:rPr>
        <w:t xml:space="preserve">medir el nivel de riesgo entre las distintas categorías de sustancias (alcohol, tabaco, cannabis, cocaína, estimulantes de tipo anfetamina, inhalantes, sedantes, alucinógenos, opiáceos y otras drogas). El participante debe seleccionar un conjunto de alternativas tipo Likert, </w:t>
      </w:r>
      <w:r w:rsidRPr="002F0A14">
        <w:rPr>
          <w:rFonts w:ascii="Times New Roman" w:hAnsi="Times New Roman" w:cs="Times New Roman"/>
          <w:sz w:val="24"/>
          <w:szCs w:val="24"/>
        </w:rPr>
        <w:t>para transformar los resultados en distintos niveles de riesgo. Riesgo B</w:t>
      </w:r>
      <w:r w:rsidR="004544F8" w:rsidRPr="002F0A14">
        <w:rPr>
          <w:rFonts w:ascii="Times New Roman" w:hAnsi="Times New Roman" w:cs="Times New Roman"/>
          <w:sz w:val="24"/>
          <w:szCs w:val="24"/>
        </w:rPr>
        <w:t>ajo</w:t>
      </w:r>
      <w:r w:rsidRPr="002F0A14">
        <w:rPr>
          <w:rFonts w:ascii="Times New Roman" w:hAnsi="Times New Roman" w:cs="Times New Roman"/>
          <w:sz w:val="24"/>
          <w:szCs w:val="24"/>
        </w:rPr>
        <w:t xml:space="preserve"> </w:t>
      </w:r>
      <w:r w:rsidR="004544F8" w:rsidRPr="002F0A14">
        <w:rPr>
          <w:rFonts w:ascii="Times New Roman" w:hAnsi="Times New Roman" w:cs="Times New Roman"/>
          <w:sz w:val="24"/>
          <w:szCs w:val="24"/>
        </w:rPr>
        <w:t>indica un consumo no peligroso; moderado u</w:t>
      </w:r>
      <w:r w:rsidR="00376594" w:rsidRPr="002F0A14">
        <w:rPr>
          <w:rFonts w:ascii="Times New Roman" w:hAnsi="Times New Roman" w:cs="Times New Roman"/>
          <w:sz w:val="24"/>
          <w:szCs w:val="24"/>
        </w:rPr>
        <w:t>n consumo peligroso o dañino y R</w:t>
      </w:r>
      <w:r w:rsidR="004544F8" w:rsidRPr="002F0A14">
        <w:rPr>
          <w:rFonts w:ascii="Times New Roman" w:hAnsi="Times New Roman" w:cs="Times New Roman"/>
          <w:sz w:val="24"/>
          <w:szCs w:val="24"/>
        </w:rPr>
        <w:t xml:space="preserve">iesgo </w:t>
      </w:r>
      <w:r w:rsidR="00376594" w:rsidRPr="002F0A14">
        <w:rPr>
          <w:rFonts w:ascii="Times New Roman" w:hAnsi="Times New Roman" w:cs="Times New Roman"/>
          <w:sz w:val="24"/>
          <w:szCs w:val="24"/>
        </w:rPr>
        <w:t>Alto</w:t>
      </w:r>
      <w:r w:rsidR="004544F8" w:rsidRPr="002F0A14">
        <w:rPr>
          <w:rFonts w:ascii="Times New Roman" w:hAnsi="Times New Roman" w:cs="Times New Roman"/>
          <w:sz w:val="24"/>
          <w:szCs w:val="24"/>
        </w:rPr>
        <w:t xml:space="preserve"> indica dependencia a sustancias</w:t>
      </w:r>
      <w:r w:rsidR="00376594" w:rsidRPr="002F0A14">
        <w:rPr>
          <w:rFonts w:ascii="Times New Roman" w:hAnsi="Times New Roman" w:cs="Times New Roman"/>
          <w:sz w:val="24"/>
          <w:szCs w:val="24"/>
        </w:rPr>
        <w:t>. E</w:t>
      </w:r>
      <w:r w:rsidR="00607349" w:rsidRPr="002F0A14">
        <w:rPr>
          <w:rFonts w:ascii="Times New Roman" w:hAnsi="Times New Roman" w:cs="Times New Roman"/>
          <w:sz w:val="24"/>
          <w:szCs w:val="24"/>
        </w:rPr>
        <w:t>ste instrumento ha demostrado buenas propiedades psicométricas dentro de los ado</w:t>
      </w:r>
      <w:r w:rsidR="004544F8" w:rsidRPr="002F0A14">
        <w:rPr>
          <w:rFonts w:ascii="Times New Roman" w:hAnsi="Times New Roman" w:cs="Times New Roman"/>
          <w:sz w:val="24"/>
          <w:szCs w:val="24"/>
        </w:rPr>
        <w:t xml:space="preserve">lescentes </w:t>
      </w:r>
      <w:r w:rsidR="00607349" w:rsidRPr="002F0A14">
        <w:rPr>
          <w:rFonts w:ascii="Times New Roman" w:hAnsi="Times New Roman" w:cs="Times New Roman"/>
          <w:sz w:val="24"/>
          <w:szCs w:val="24"/>
        </w:rPr>
        <w:fldChar w:fldCharType="begin" w:fldLock="1"/>
      </w:r>
      <w:r w:rsidR="005039A9" w:rsidRPr="002F0A14">
        <w:rPr>
          <w:rFonts w:ascii="Times New Roman" w:hAnsi="Times New Roman" w:cs="Times New Roman"/>
          <w:sz w:val="24"/>
          <w:szCs w:val="24"/>
        </w:rPr>
        <w:instrText>ADDIN CSL_CITATION {"citationItems":[{"id":"ITEM-1","itemData":{"author":[{"dropping-particle":"","family":"Ferrel","given":"Fernando","non-dropping-particle":"","parse-names":false,"suffix":""},{"dropping-particle":"","family":"Ferrel","given":"Lucía","non-dropping-particle":"","parse-names":false,"suffix":""},{"dropping-particle":"","family":"Alarcón","given":"Alana","non-dropping-particle":"","parse-names":false,"suffix":""},{"dropping-particle":"","family":"Delgado","given":"Karen","non-dropping-particle":"","parse-names":false,"suffix":""}],"container-title":"Psychologia","id":"ITEM-1","issue":"2","issued":{"date-parts":[["2016"]]},"page":"43-54","title":"El consumo de sustancias psicoactivas como indicador de deterioro de la salud mental en jóvenes escolarizados","type":"article-journal","volume":"10"},"uris":["http://www.mendeley.com/documents/?uuid=bc8e8be2-c2f9-440c-b30c-b99032b41344"]}],"mendeley":{"formattedCitation":"(Ferrel et al., 2016)","plainTextFormattedCitation":"(Ferrel et al., 2016)","previouslyFormattedCitation":"(Ferrel et al., 2016)"},"properties":{"noteIndex":0},"schema":"https://github.com/citation-style-language/schema/raw/master/csl-citation.json"}</w:instrText>
      </w:r>
      <w:r w:rsidR="00607349" w:rsidRPr="002F0A14">
        <w:rPr>
          <w:rFonts w:ascii="Times New Roman" w:hAnsi="Times New Roman" w:cs="Times New Roman"/>
          <w:sz w:val="24"/>
          <w:szCs w:val="24"/>
        </w:rPr>
        <w:fldChar w:fldCharType="separate"/>
      </w:r>
      <w:r w:rsidR="00541298" w:rsidRPr="002F0A14">
        <w:rPr>
          <w:rFonts w:ascii="Times New Roman" w:hAnsi="Times New Roman" w:cs="Times New Roman"/>
          <w:noProof/>
          <w:sz w:val="24"/>
          <w:szCs w:val="24"/>
        </w:rPr>
        <w:t>(Ferrel et al., 2016)</w:t>
      </w:r>
      <w:r w:rsidR="00607349" w:rsidRPr="002F0A14">
        <w:rPr>
          <w:rFonts w:ascii="Times New Roman" w:hAnsi="Times New Roman" w:cs="Times New Roman"/>
          <w:sz w:val="24"/>
          <w:szCs w:val="24"/>
        </w:rPr>
        <w:fldChar w:fldCharType="end"/>
      </w:r>
      <w:r w:rsidR="00607349" w:rsidRPr="002F0A14">
        <w:rPr>
          <w:rFonts w:ascii="Times New Roman" w:hAnsi="Times New Roman" w:cs="Times New Roman"/>
          <w:sz w:val="24"/>
          <w:szCs w:val="24"/>
        </w:rPr>
        <w:t>.</w:t>
      </w:r>
    </w:p>
    <w:p w:rsidR="00783745" w:rsidRPr="002F0A14" w:rsidRDefault="00376594"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lastRenderedPageBreak/>
        <w:t xml:space="preserve">Otro </w:t>
      </w:r>
      <w:r w:rsidR="00F9157B" w:rsidRPr="002F0A14">
        <w:rPr>
          <w:rFonts w:ascii="Times New Roman" w:hAnsi="Times New Roman" w:cs="Times New Roman"/>
          <w:sz w:val="24"/>
          <w:szCs w:val="24"/>
        </w:rPr>
        <w:t>instrumento</w:t>
      </w:r>
      <w:r w:rsidRPr="002F0A14">
        <w:rPr>
          <w:rFonts w:ascii="Times New Roman" w:hAnsi="Times New Roman" w:cs="Times New Roman"/>
          <w:sz w:val="24"/>
          <w:szCs w:val="24"/>
        </w:rPr>
        <w:t xml:space="preserve"> que se utilizó</w:t>
      </w:r>
      <w:r w:rsidR="00F9157B" w:rsidRPr="002F0A14">
        <w:rPr>
          <w:rFonts w:ascii="Times New Roman" w:hAnsi="Times New Roman" w:cs="Times New Roman"/>
          <w:sz w:val="24"/>
          <w:szCs w:val="24"/>
        </w:rPr>
        <w:t xml:space="preserve"> para evaluar la funcionalidad familiar, </w:t>
      </w:r>
      <w:r w:rsidRPr="002F0A14">
        <w:rPr>
          <w:rFonts w:ascii="Times New Roman" w:hAnsi="Times New Roman" w:cs="Times New Roman"/>
          <w:sz w:val="24"/>
          <w:szCs w:val="24"/>
        </w:rPr>
        <w:t>fue</w:t>
      </w:r>
      <w:r w:rsidR="00F9157B" w:rsidRPr="002F0A14">
        <w:rPr>
          <w:rFonts w:ascii="Times New Roman" w:hAnsi="Times New Roman" w:cs="Times New Roman"/>
          <w:sz w:val="24"/>
          <w:szCs w:val="24"/>
        </w:rPr>
        <w:t xml:space="preserve"> </w:t>
      </w:r>
      <w:r w:rsidR="00CF2304" w:rsidRPr="002F0A14">
        <w:rPr>
          <w:rFonts w:ascii="Times New Roman" w:hAnsi="Times New Roman" w:cs="Times New Roman"/>
          <w:sz w:val="24"/>
          <w:szCs w:val="24"/>
        </w:rPr>
        <w:t xml:space="preserve">el cuestionario </w:t>
      </w:r>
      <w:r w:rsidR="00F9157B" w:rsidRPr="002F0A14">
        <w:rPr>
          <w:rFonts w:ascii="Times New Roman" w:hAnsi="Times New Roman" w:cs="Times New Roman"/>
          <w:sz w:val="24"/>
          <w:szCs w:val="24"/>
        </w:rPr>
        <w:t xml:space="preserve">del </w:t>
      </w:r>
      <w:r w:rsidR="00C9609E" w:rsidRPr="002F0A14">
        <w:rPr>
          <w:rFonts w:ascii="Times New Roman" w:hAnsi="Times New Roman" w:cs="Times New Roman"/>
          <w:sz w:val="24"/>
          <w:szCs w:val="24"/>
        </w:rPr>
        <w:t>APGAR-Familiar</w:t>
      </w:r>
      <w:r w:rsidR="00CF2304" w:rsidRPr="002F0A14">
        <w:rPr>
          <w:rFonts w:ascii="Times New Roman" w:hAnsi="Times New Roman" w:cs="Times New Roman"/>
          <w:sz w:val="24"/>
          <w:szCs w:val="24"/>
        </w:rPr>
        <w:t xml:space="preserve"> </w:t>
      </w:r>
      <w:r w:rsidR="00CF2304" w:rsidRPr="002F0A14">
        <w:rPr>
          <w:rFonts w:ascii="Times New Roman" w:hAnsi="Times New Roman" w:cs="Times New Roman"/>
          <w:sz w:val="24"/>
          <w:szCs w:val="24"/>
        </w:rPr>
        <w:fldChar w:fldCharType="begin" w:fldLock="1"/>
      </w:r>
      <w:r w:rsidR="0076650B" w:rsidRPr="002F0A14">
        <w:rPr>
          <w:rFonts w:ascii="Times New Roman" w:hAnsi="Times New Roman" w:cs="Times New Roman"/>
          <w:sz w:val="24"/>
          <w:szCs w:val="24"/>
        </w:rPr>
        <w:instrText>ADDIN CSL_CITATION {"citationItems":[{"id":"ITEM-1","itemData":{"author":[{"dropping-particle":"","family":"Bellón","given":"J. A","non-dropping-particle":"","parse-names":false,"suffix":""},{"dropping-particle":"","family":"Luna del Castillo","given":"J. D","non-dropping-particle":"","parse-names":false,"suffix":""},{"dropping-particle":"","family":"Lardelli","given":"P","non-dropping-particle":"","parse-names":false,"suffix":""},{"dropping-particle":"","family":"Delgado","given":"J","non-dropping-particle":"","parse-names":false,"suffix":""},{"dropping-particle":"","family":"Luna","given":"J. D","non-dropping-particle":"","parse-names":false,"suffix":""},{"dropping-particle":"","family":"Lardelli-Claret","given":"P","non-dropping-particle":"","parse-names":false,"suffix":""}],"container-title":"Atención Primaria","id":"ITEM-1","issue":"6","issued":{"date-parts":[["1996"]]},"page":"289-296","title":"Validez y fiabilidad del cuestionario de función familiar Apgar-Familiar","type":"article-journal","volume":"18"},"uris":["http://www.mendeley.com/documents/?uuid=0f0d0971-024c-4038-a6bc-5791867e8fd5"]}],"mendeley":{"formattedCitation":"(Bellón et al., 1996)","plainTextFormattedCitation":"(Bellón et al., 1996)","previouslyFormattedCitation":"(Bellón et al., 1996)"},"properties":{"noteIndex":0},"schema":"https://github.com/citation-style-language/schema/raw/master/csl-citation.json"}</w:instrText>
      </w:r>
      <w:r w:rsidR="00CF2304" w:rsidRPr="002F0A14">
        <w:rPr>
          <w:rFonts w:ascii="Times New Roman" w:hAnsi="Times New Roman" w:cs="Times New Roman"/>
          <w:sz w:val="24"/>
          <w:szCs w:val="24"/>
        </w:rPr>
        <w:fldChar w:fldCharType="separate"/>
      </w:r>
      <w:r w:rsidR="006A05B0" w:rsidRPr="002F0A14">
        <w:rPr>
          <w:rFonts w:ascii="Times New Roman" w:hAnsi="Times New Roman" w:cs="Times New Roman"/>
          <w:noProof/>
          <w:sz w:val="24"/>
          <w:szCs w:val="24"/>
        </w:rPr>
        <w:t>(Bellón et al., 1996)</w:t>
      </w:r>
      <w:r w:rsidR="00CF2304"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Este </w:t>
      </w:r>
      <w:r w:rsidR="00F05174" w:rsidRPr="002F0A14">
        <w:rPr>
          <w:rFonts w:ascii="Times New Roman" w:hAnsi="Times New Roman" w:cs="Times New Roman"/>
          <w:sz w:val="24"/>
          <w:szCs w:val="24"/>
        </w:rPr>
        <w:t>corre</w:t>
      </w:r>
      <w:r w:rsidR="00C9609E" w:rsidRPr="002F0A14">
        <w:rPr>
          <w:rFonts w:ascii="Times New Roman" w:hAnsi="Times New Roman" w:cs="Times New Roman"/>
          <w:sz w:val="24"/>
          <w:szCs w:val="24"/>
        </w:rPr>
        <w:t>sponde a la versión española mostrando</w:t>
      </w:r>
      <w:r w:rsidR="00F05174" w:rsidRPr="002F0A14">
        <w:rPr>
          <w:rFonts w:ascii="Times New Roman" w:hAnsi="Times New Roman" w:cs="Times New Roman"/>
          <w:sz w:val="24"/>
          <w:szCs w:val="24"/>
        </w:rPr>
        <w:t xml:space="preserve"> un índice de escala globa</w:t>
      </w:r>
      <w:r w:rsidR="00731CD1" w:rsidRPr="002F0A14">
        <w:rPr>
          <w:rFonts w:ascii="Times New Roman" w:hAnsi="Times New Roman" w:cs="Times New Roman"/>
          <w:sz w:val="24"/>
          <w:szCs w:val="24"/>
        </w:rPr>
        <w:t>l test-retest de .</w:t>
      </w:r>
      <w:r w:rsidR="00C80C96" w:rsidRPr="002F0A14">
        <w:rPr>
          <w:rFonts w:ascii="Times New Roman" w:hAnsi="Times New Roman" w:cs="Times New Roman"/>
          <w:sz w:val="24"/>
          <w:szCs w:val="24"/>
        </w:rPr>
        <w:t>86 y un alph</w:t>
      </w:r>
      <w:r w:rsidR="00663466" w:rsidRPr="002F0A14">
        <w:rPr>
          <w:rFonts w:ascii="Times New Roman" w:hAnsi="Times New Roman" w:cs="Times New Roman"/>
          <w:sz w:val="24"/>
          <w:szCs w:val="24"/>
        </w:rPr>
        <w:t>a de C</w:t>
      </w:r>
      <w:r w:rsidR="00C80C96" w:rsidRPr="002F0A14">
        <w:rPr>
          <w:rFonts w:ascii="Times New Roman" w:hAnsi="Times New Roman" w:cs="Times New Roman"/>
          <w:sz w:val="24"/>
          <w:szCs w:val="24"/>
        </w:rPr>
        <w:t>ro</w:t>
      </w:r>
      <w:r w:rsidR="004544F8" w:rsidRPr="002F0A14">
        <w:rPr>
          <w:rFonts w:ascii="Times New Roman" w:hAnsi="Times New Roman" w:cs="Times New Roman"/>
          <w:sz w:val="24"/>
          <w:szCs w:val="24"/>
        </w:rPr>
        <w:t>n</w:t>
      </w:r>
      <w:r w:rsidR="00C80C96" w:rsidRPr="002F0A14">
        <w:rPr>
          <w:rFonts w:ascii="Times New Roman" w:hAnsi="Times New Roman" w:cs="Times New Roman"/>
          <w:sz w:val="24"/>
          <w:szCs w:val="24"/>
        </w:rPr>
        <w:t xml:space="preserve">bach de </w:t>
      </w:r>
      <w:r w:rsidRPr="002F0A14">
        <w:rPr>
          <w:rFonts w:ascii="Times New Roman" w:hAnsi="Times New Roman" w:cs="Times New Roman"/>
          <w:sz w:val="24"/>
          <w:szCs w:val="24"/>
        </w:rPr>
        <w:t>.84,</w:t>
      </w:r>
      <w:r w:rsidR="00C9609E" w:rsidRPr="002F0A14">
        <w:rPr>
          <w:rFonts w:ascii="Times New Roman" w:hAnsi="Times New Roman" w:cs="Times New Roman"/>
          <w:sz w:val="24"/>
          <w:szCs w:val="24"/>
        </w:rPr>
        <w:t xml:space="preserve"> lo que indica que e</w:t>
      </w:r>
      <w:r w:rsidRPr="002F0A14">
        <w:rPr>
          <w:rFonts w:ascii="Times New Roman" w:hAnsi="Times New Roman" w:cs="Times New Roman"/>
          <w:sz w:val="24"/>
          <w:szCs w:val="24"/>
        </w:rPr>
        <w:t>s adecuado para su aplicación. E</w:t>
      </w:r>
      <w:r w:rsidR="00C9609E" w:rsidRPr="002F0A14">
        <w:rPr>
          <w:rFonts w:ascii="Times New Roman" w:hAnsi="Times New Roman" w:cs="Times New Roman"/>
          <w:sz w:val="24"/>
          <w:szCs w:val="24"/>
        </w:rPr>
        <w:t xml:space="preserve">ste instrumento conformado por 5 preguntas que abarcan la función familiar: adaptación, cooperación, desarrollo, afectividad y capacidad resolutiva. </w:t>
      </w:r>
      <w:r w:rsidR="009351A5" w:rsidRPr="002F0A14">
        <w:rPr>
          <w:rFonts w:ascii="Times New Roman" w:hAnsi="Times New Roman" w:cs="Times New Roman"/>
          <w:sz w:val="24"/>
          <w:szCs w:val="24"/>
        </w:rPr>
        <w:t>El A</w:t>
      </w:r>
      <w:r w:rsidR="00663466" w:rsidRPr="002F0A14">
        <w:rPr>
          <w:rFonts w:ascii="Times New Roman" w:hAnsi="Times New Roman" w:cs="Times New Roman"/>
          <w:sz w:val="24"/>
          <w:szCs w:val="24"/>
        </w:rPr>
        <w:t xml:space="preserve">pgar familiar ha sido ampliamente utilizado y mostrando adecuadas propiedades psicométricas en adolescentes de 11 a 18 años con una consistencia </w:t>
      </w:r>
      <w:r w:rsidR="004544F8" w:rsidRPr="002F0A14">
        <w:rPr>
          <w:rFonts w:ascii="Times New Roman" w:hAnsi="Times New Roman" w:cs="Times New Roman"/>
          <w:sz w:val="24"/>
          <w:szCs w:val="24"/>
        </w:rPr>
        <w:t>interna del alpha de Cron</w:t>
      </w:r>
      <w:r w:rsidR="00663466" w:rsidRPr="002F0A14">
        <w:rPr>
          <w:rFonts w:ascii="Times New Roman" w:hAnsi="Times New Roman" w:cs="Times New Roman"/>
          <w:sz w:val="24"/>
          <w:szCs w:val="24"/>
        </w:rPr>
        <w:t>bach =</w:t>
      </w:r>
      <w:r w:rsidR="00731CD1" w:rsidRPr="002F0A14">
        <w:rPr>
          <w:rFonts w:ascii="Times New Roman" w:hAnsi="Times New Roman" w:cs="Times New Roman"/>
          <w:sz w:val="24"/>
          <w:szCs w:val="24"/>
        </w:rPr>
        <w:t xml:space="preserve"> </w:t>
      </w:r>
      <w:r w:rsidR="00663466" w:rsidRPr="002F0A14">
        <w:rPr>
          <w:rFonts w:ascii="Times New Roman" w:hAnsi="Times New Roman" w:cs="Times New Roman"/>
          <w:sz w:val="24"/>
          <w:szCs w:val="24"/>
        </w:rPr>
        <w:t xml:space="preserve">.788 </w:t>
      </w:r>
      <w:r w:rsidR="00663466"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{"citationItems":[{"id":"ITEM-1","itemData":{"ISSN":"2307-7999","abstract":"El presente artículo busca presentar un análisis psicométrico preliminar de la Escala APGAR de funcionalidad familiar, desarrollada por Smilkstein (1978). Diversos han sido los esfuerzos en tratar de conceptualizar la familia. En el trascurso de las décadas se ha venido definiendo de muchas formas, es así que tal definición se ha caracterizado por constantes cambios, que resulta natural a raíz de los constantes cambios en la sociedad.","author":[{"dropping-particle":"","family":"Castilla","given":"Humberto","non-dropping-particle":"","parse-names":false,"suffix":""},{"dropping-particle":"","family":"Caycho","given":"Tomás","non-dropping-particle":"","parse-names":false,"suffix":""},{"dropping-particle":"","family":"Shimabukuro","given":"Midori","non-dropping-particle":"","parse-names":false,"suffix":""},{"dropping-particle":"","family":"Valdivia","given":"Amalia","non-dropping-particle":"","parse-names":false,"suffix":""}],"container-title":"Propósitos y representaciones","id":"ITEM-1","issue":"1","issued":{"date-parts":[["2014"]]},"page":"49-78","title":"Percepción del funcionamiento familiar: Análisis psicométrico de la Escala APGAR-familiar en adolescentes de Lima","type":"article-journal","volume":"2"},"uris":["http://www.mendeley.com/documents/?uuid=57c142e4-c9a5-44f7-a0cb-4ba8de947e8a"]}],"mendeley":{"formattedCitation":"(Castilla et al., 2014)","plainTextFormattedCitation":"(Castilla et al., 2014)","previouslyFormattedCitation":"(Castilla et al., 2014)"},"properties":{"noteIndex":0},"schema":"https://github.com/citation-style-language/schema/raw/master/csl-citation.json"}</w:instrText>
      </w:r>
      <w:r w:rsidR="00663466"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(Castilla et al., 2014)</w:t>
      </w:r>
      <w:r w:rsidR="00663466" w:rsidRPr="002F0A14">
        <w:rPr>
          <w:rFonts w:ascii="Times New Roman" w:hAnsi="Times New Roman" w:cs="Times New Roman"/>
          <w:sz w:val="24"/>
          <w:szCs w:val="24"/>
        </w:rPr>
        <w:fldChar w:fldCharType="end"/>
      </w:r>
      <w:r w:rsidR="00663466" w:rsidRPr="002F0A14">
        <w:rPr>
          <w:rFonts w:ascii="Times New Roman" w:hAnsi="Times New Roman" w:cs="Times New Roman"/>
          <w:sz w:val="24"/>
          <w:szCs w:val="24"/>
        </w:rPr>
        <w:t xml:space="preserve">. </w:t>
      </w:r>
      <w:r w:rsidR="00404C57" w:rsidRPr="002F0A14">
        <w:rPr>
          <w:rFonts w:ascii="Times New Roman" w:hAnsi="Times New Roman" w:cs="Times New Roman"/>
          <w:sz w:val="24"/>
          <w:szCs w:val="24"/>
        </w:rPr>
        <w:t>Para la</w:t>
      </w:r>
      <w:r w:rsidR="00783745" w:rsidRPr="002F0A14">
        <w:rPr>
          <w:rFonts w:ascii="Times New Roman" w:hAnsi="Times New Roman" w:cs="Times New Roman"/>
          <w:sz w:val="24"/>
          <w:szCs w:val="24"/>
        </w:rPr>
        <w:t xml:space="preserve"> interpretación del Apgar-famil</w:t>
      </w:r>
      <w:r w:rsidRPr="002F0A14">
        <w:rPr>
          <w:rFonts w:ascii="Times New Roman" w:hAnsi="Times New Roman" w:cs="Times New Roman"/>
          <w:sz w:val="24"/>
          <w:szCs w:val="24"/>
        </w:rPr>
        <w:t>iar nos basam</w:t>
      </w:r>
      <w:r w:rsidR="00783745" w:rsidRPr="002F0A14">
        <w:rPr>
          <w:rFonts w:ascii="Times New Roman" w:hAnsi="Times New Roman" w:cs="Times New Roman"/>
          <w:sz w:val="24"/>
          <w:szCs w:val="24"/>
        </w:rPr>
        <w:t>o</w:t>
      </w:r>
      <w:r w:rsidRPr="002F0A14">
        <w:rPr>
          <w:rFonts w:ascii="Times New Roman" w:hAnsi="Times New Roman" w:cs="Times New Roman"/>
          <w:sz w:val="24"/>
          <w:szCs w:val="24"/>
        </w:rPr>
        <w:t>s</w:t>
      </w:r>
      <w:r w:rsidR="00783745" w:rsidRPr="002F0A14">
        <w:rPr>
          <w:rFonts w:ascii="Times New Roman" w:hAnsi="Times New Roman" w:cs="Times New Roman"/>
          <w:sz w:val="24"/>
          <w:szCs w:val="24"/>
        </w:rPr>
        <w:t xml:space="preserve"> en la </w:t>
      </w:r>
      <w:r w:rsidR="00404C57" w:rsidRPr="002F0A14">
        <w:rPr>
          <w:rFonts w:ascii="Times New Roman" w:hAnsi="Times New Roman" w:cs="Times New Roman"/>
          <w:sz w:val="24"/>
          <w:szCs w:val="24"/>
        </w:rPr>
        <w:t xml:space="preserve">propuesta de </w:t>
      </w:r>
      <w:r w:rsidR="008C28CF" w:rsidRPr="002F0A14">
        <w:rPr>
          <w:rFonts w:ascii="Times New Roman" w:hAnsi="Times New Roman" w:cs="Times New Roman"/>
          <w:sz w:val="24"/>
          <w:szCs w:val="24"/>
        </w:rPr>
        <w:fldChar w:fldCharType="begin" w:fldLock="1"/>
      </w:r>
      <w:r w:rsidR="008C28CF" w:rsidRPr="002F0A14">
        <w:rPr>
          <w:rFonts w:ascii="Times New Roman" w:hAnsi="Times New Roman" w:cs="Times New Roman"/>
          <w:sz w:val="24"/>
          <w:szCs w:val="24"/>
        </w:rPr>
        <w:instrText>ADDIN CSL_CITATION {"citationItems":[{"id":"ITEM-1","itemData":{"DOI":"10.22201/facmed.14058871p.2010.4.21348","ISSN":"1405-8871","abstract":"—","author":[{"dropping-particle":"","family":"Gómez","given":"Francisco Javier","non-dropping-particle":"","parse-names":false,"suffix":""},{"dropping-particle":"","family":"Ponce","given":"Efrén Raúl","non-dropping-particle":"","parse-names":false,"suffix":""}],"container-title":"Atención Familiar","id":"ITEM-1","issue":"4","issued":{"date-parts":[["2010"]]},"page":"102-106","title":"Una nueva propuesta para la interpretación de Family apgar","type":"article-journal","volume":"17"},"uris":["http://www.mendeley.com/documents/?uuid=bb8c9297-3ba6-4c14-a4b4-5e0d742ee927"]}],"mendeley":{"formattedCitation":"(Gómez &amp; Ponce, 2010)","manualFormatting":"Gómez &amp; Ponce (2010)","plainTextFormattedCitation":"(Gómez &amp; Ponce, 2010)"},"properties":{"noteIndex":0},"schema":"https://github.com/citation-style-language/schema/raw/master/csl-citation.json"}</w:instrText>
      </w:r>
      <w:r w:rsidR="008C28CF" w:rsidRPr="002F0A14">
        <w:rPr>
          <w:rFonts w:ascii="Times New Roman" w:hAnsi="Times New Roman" w:cs="Times New Roman"/>
          <w:sz w:val="24"/>
          <w:szCs w:val="24"/>
        </w:rPr>
        <w:fldChar w:fldCharType="separate"/>
      </w:r>
      <w:r w:rsidR="008C28CF" w:rsidRPr="002F0A14">
        <w:rPr>
          <w:rFonts w:ascii="Times New Roman" w:hAnsi="Times New Roman" w:cs="Times New Roman"/>
          <w:noProof/>
          <w:sz w:val="24"/>
          <w:szCs w:val="24"/>
        </w:rPr>
        <w:t>Gómez &amp; Ponce (2010)</w:t>
      </w:r>
      <w:r w:rsidR="008C28CF" w:rsidRPr="002F0A14">
        <w:rPr>
          <w:rFonts w:ascii="Times New Roman" w:hAnsi="Times New Roman" w:cs="Times New Roman"/>
          <w:sz w:val="24"/>
          <w:szCs w:val="24"/>
        </w:rPr>
        <w:fldChar w:fldCharType="end"/>
      </w:r>
      <w:r w:rsidR="008C28CF" w:rsidRPr="002F0A14">
        <w:rPr>
          <w:rFonts w:ascii="Times New Roman" w:hAnsi="Times New Roman" w:cs="Times New Roman"/>
          <w:sz w:val="24"/>
          <w:szCs w:val="24"/>
        </w:rPr>
        <w:t xml:space="preserve"> </w:t>
      </w:r>
      <w:r w:rsidR="009F11C2" w:rsidRPr="002F0A14">
        <w:rPr>
          <w:rFonts w:ascii="Times New Roman" w:hAnsi="Times New Roman" w:cs="Times New Roman"/>
          <w:sz w:val="24"/>
          <w:szCs w:val="24"/>
        </w:rPr>
        <w:t xml:space="preserve">que </w:t>
      </w:r>
      <w:r w:rsidR="00C029F0" w:rsidRPr="002F0A14">
        <w:rPr>
          <w:rFonts w:ascii="Times New Roman" w:hAnsi="Times New Roman" w:cs="Times New Roman"/>
          <w:sz w:val="24"/>
          <w:szCs w:val="24"/>
        </w:rPr>
        <w:t>menciona la percepción del funcionamiento familiar mediante la satisfacción que tienen con su grupo familiar</w:t>
      </w:r>
      <w:r w:rsidRPr="002F0A14">
        <w:rPr>
          <w:rFonts w:ascii="Times New Roman" w:hAnsi="Times New Roman" w:cs="Times New Roman"/>
          <w:sz w:val="24"/>
          <w:szCs w:val="24"/>
        </w:rPr>
        <w:t xml:space="preserve">. Los </w:t>
      </w:r>
      <w:r w:rsidR="00901D4C" w:rsidRPr="002F0A14">
        <w:rPr>
          <w:rFonts w:ascii="Times New Roman" w:hAnsi="Times New Roman" w:cs="Times New Roman"/>
          <w:sz w:val="24"/>
          <w:szCs w:val="24"/>
        </w:rPr>
        <w:t>puntajes entre 0-3</w:t>
      </w:r>
      <w:r w:rsidR="00783745" w:rsidRPr="002F0A14">
        <w:rPr>
          <w:rFonts w:ascii="Times New Roman" w:hAnsi="Times New Roman" w:cs="Times New Roman"/>
          <w:sz w:val="24"/>
          <w:szCs w:val="24"/>
        </w:rPr>
        <w:t xml:space="preserve"> corresponde</w:t>
      </w:r>
      <w:r w:rsidRPr="002F0A14">
        <w:rPr>
          <w:rFonts w:ascii="Times New Roman" w:hAnsi="Times New Roman" w:cs="Times New Roman"/>
          <w:sz w:val="24"/>
          <w:szCs w:val="24"/>
        </w:rPr>
        <w:t>n</w:t>
      </w:r>
      <w:r w:rsidR="00783745" w:rsidRPr="002F0A14">
        <w:rPr>
          <w:rFonts w:ascii="Times New Roman" w:hAnsi="Times New Roman" w:cs="Times New Roman"/>
          <w:sz w:val="24"/>
          <w:szCs w:val="24"/>
        </w:rPr>
        <w:t xml:space="preserve"> a baja satisfacción de la función familiar</w:t>
      </w:r>
      <w:r w:rsidRPr="002F0A14">
        <w:rPr>
          <w:rFonts w:ascii="Times New Roman" w:hAnsi="Times New Roman" w:cs="Times New Roman"/>
          <w:sz w:val="24"/>
          <w:szCs w:val="24"/>
        </w:rPr>
        <w:t>, 4-6</w:t>
      </w:r>
      <w:r w:rsidR="00783745" w:rsidRPr="002F0A14">
        <w:rPr>
          <w:rFonts w:ascii="Times New Roman" w:hAnsi="Times New Roman" w:cs="Times New Roman"/>
          <w:sz w:val="24"/>
          <w:szCs w:val="24"/>
        </w:rPr>
        <w:t xml:space="preserve"> media satisfacción de la función familiar y 7-10 alta sati</w:t>
      </w:r>
      <w:r w:rsidR="00404C57" w:rsidRPr="002F0A14">
        <w:rPr>
          <w:rFonts w:ascii="Times New Roman" w:hAnsi="Times New Roman" w:cs="Times New Roman"/>
          <w:sz w:val="24"/>
          <w:szCs w:val="24"/>
        </w:rPr>
        <w:t>sfacción de la función familiar.</w:t>
      </w:r>
    </w:p>
    <w:p w:rsidR="007A2281" w:rsidRPr="002F0A14" w:rsidRDefault="007A2281"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Procedimiento</w:t>
      </w:r>
    </w:p>
    <w:p w:rsidR="00387A00" w:rsidRPr="002F0A14" w:rsidRDefault="00387A00"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El presente estudio fue aprobado por parte de la Carrera de Psicología Clínica de la Universidad Nacional de Loj</w:t>
      </w:r>
      <w:r w:rsidR="00AE13ED" w:rsidRPr="002F0A14">
        <w:rPr>
          <w:rFonts w:ascii="Times New Roman" w:hAnsi="Times New Roman" w:cs="Times New Roman"/>
          <w:sz w:val="24"/>
          <w:szCs w:val="24"/>
        </w:rPr>
        <w:t>a y por parte de autoridades del</w:t>
      </w:r>
      <w:r w:rsidRPr="002F0A14">
        <w:rPr>
          <w:rFonts w:ascii="Times New Roman" w:hAnsi="Times New Roman" w:cs="Times New Roman"/>
          <w:sz w:val="24"/>
          <w:szCs w:val="24"/>
        </w:rPr>
        <w:t xml:space="preserve"> Colegio de Bachillerato “</w:t>
      </w:r>
      <w:r w:rsidR="00AE13ED" w:rsidRPr="002F0A14">
        <w:rPr>
          <w:rFonts w:ascii="Times New Roman" w:hAnsi="Times New Roman" w:cs="Times New Roman"/>
          <w:sz w:val="24"/>
          <w:szCs w:val="24"/>
        </w:rPr>
        <w:t xml:space="preserve">27 de Febrero” de la ciudad de Loja, Ecuador. La institución educativa seleccionada corresponde a un colegio público de la localidad. Antes de realizar la aplicación de reactivos psicológicos, se procedió a capacitar a estudiantes en la aplicación y tabulación de los reactivos psicológicos. Posterior, </w:t>
      </w:r>
      <w:r w:rsidR="00376594" w:rsidRPr="002F0A14">
        <w:rPr>
          <w:rFonts w:ascii="Times New Roman" w:hAnsi="Times New Roman" w:cs="Times New Roman"/>
          <w:sz w:val="24"/>
          <w:szCs w:val="24"/>
        </w:rPr>
        <w:t>se visitó cada aula del plantel</w:t>
      </w:r>
      <w:r w:rsidR="00AE13ED" w:rsidRPr="002F0A14">
        <w:rPr>
          <w:rFonts w:ascii="Times New Roman" w:hAnsi="Times New Roman" w:cs="Times New Roman"/>
          <w:sz w:val="24"/>
          <w:szCs w:val="24"/>
        </w:rPr>
        <w:t xml:space="preserve"> educativo informando sobre los objetivos, confidencialidad, procedimientos y el riesgo que implica su participación. </w:t>
      </w:r>
      <w:r w:rsidR="00E20D99" w:rsidRPr="002F0A14">
        <w:rPr>
          <w:rFonts w:ascii="Times New Roman" w:hAnsi="Times New Roman" w:cs="Times New Roman"/>
          <w:sz w:val="24"/>
          <w:szCs w:val="24"/>
        </w:rPr>
        <w:t xml:space="preserve">Para que puedan participar en la investigación se les entregó un formulario de consentimiento informado que debía ser firmado y autorizado por sus representantes legales. </w:t>
      </w:r>
    </w:p>
    <w:p w:rsidR="00A75B27" w:rsidRPr="002F0A14" w:rsidRDefault="00A75B27"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Análisis de Datos</w:t>
      </w:r>
    </w:p>
    <w:p w:rsidR="007E703B" w:rsidRPr="002F0A14" w:rsidRDefault="00A75B27"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El total de individuos qu</w:t>
      </w:r>
      <w:r w:rsidR="00376594" w:rsidRPr="002F0A14">
        <w:rPr>
          <w:rFonts w:ascii="Times New Roman" w:hAnsi="Times New Roman" w:cs="Times New Roman"/>
          <w:sz w:val="24"/>
          <w:szCs w:val="24"/>
        </w:rPr>
        <w:t xml:space="preserve">e participaron en el estudio fue </w:t>
      </w:r>
      <w:r w:rsidRPr="002F0A14">
        <w:rPr>
          <w:rFonts w:ascii="Times New Roman" w:hAnsi="Times New Roman" w:cs="Times New Roman"/>
          <w:sz w:val="24"/>
          <w:szCs w:val="24"/>
        </w:rPr>
        <w:t>664. Las variables utilizadas para el correspondiente análisis, sus categorías y frecuencias se encuentran en la Tabla 1</w:t>
      </w:r>
      <w:r w:rsidR="00731CD1" w:rsidRPr="002F0A14">
        <w:rPr>
          <w:rFonts w:ascii="Times New Roman" w:hAnsi="Times New Roman" w:cs="Times New Roman"/>
          <w:sz w:val="24"/>
          <w:szCs w:val="24"/>
        </w:rPr>
        <w:t>. Se utilizó el test ASSIST V3.</w:t>
      </w:r>
      <w:r w:rsidRPr="002F0A14">
        <w:rPr>
          <w:rFonts w:ascii="Times New Roman" w:hAnsi="Times New Roman" w:cs="Times New Roman"/>
          <w:sz w:val="24"/>
          <w:szCs w:val="24"/>
        </w:rPr>
        <w:t xml:space="preserve">1 para el consumo de alcohol, tabaco y otras drogas. Para la variable </w:t>
      </w:r>
      <w:r w:rsidR="00870DF4" w:rsidRPr="002F0A14">
        <w:rPr>
          <w:rFonts w:ascii="Times New Roman" w:hAnsi="Times New Roman" w:cs="Times New Roman"/>
          <w:sz w:val="24"/>
          <w:szCs w:val="24"/>
        </w:rPr>
        <w:t>“</w:t>
      </w:r>
      <w:r w:rsidRPr="002F0A14">
        <w:rPr>
          <w:rFonts w:ascii="Times New Roman" w:hAnsi="Times New Roman" w:cs="Times New Roman"/>
          <w:sz w:val="24"/>
          <w:szCs w:val="24"/>
        </w:rPr>
        <w:t>otras drogas</w:t>
      </w:r>
      <w:r w:rsidR="00870DF4" w:rsidRPr="002F0A14">
        <w:rPr>
          <w:rFonts w:ascii="Times New Roman" w:hAnsi="Times New Roman" w:cs="Times New Roman"/>
          <w:sz w:val="24"/>
          <w:szCs w:val="24"/>
        </w:rPr>
        <w:t>”</w:t>
      </w:r>
      <w:r w:rsidRPr="002F0A14">
        <w:rPr>
          <w:rFonts w:ascii="Times New Roman" w:hAnsi="Times New Roman" w:cs="Times New Roman"/>
          <w:sz w:val="24"/>
          <w:szCs w:val="24"/>
        </w:rPr>
        <w:t xml:space="preserve"> se procedió a unificar las distintas sustancias (cannabis, sedantes, alucinógenos, inhalantes, opiáceos, anfetamina, cocaína y otras drogas) por su bajo número de respuestas positivas. </w:t>
      </w:r>
      <w:r w:rsidR="00870DF4" w:rsidRPr="002F0A14">
        <w:rPr>
          <w:rFonts w:ascii="Times New Roman" w:hAnsi="Times New Roman" w:cs="Times New Roman"/>
          <w:sz w:val="24"/>
          <w:szCs w:val="24"/>
        </w:rPr>
        <w:t xml:space="preserve">Para los individuos que no consumen ninguna sustancia se les ha designado la categoría No Consume, para los individuos que tienen un consumo no peligroso se les ha asignado la categoría Riesgo Leve y para individuos que tiene un consumo peligroso para su salud se le ha asignado la categoría Riesgo Moderado-Alto. Cabe señalar que la categoría </w:t>
      </w:r>
      <w:r w:rsidR="00870DF4" w:rsidRPr="002F0A14">
        <w:rPr>
          <w:rFonts w:ascii="Times New Roman" w:hAnsi="Times New Roman" w:cs="Times New Roman"/>
          <w:sz w:val="24"/>
          <w:szCs w:val="24"/>
        </w:rPr>
        <w:lastRenderedPageBreak/>
        <w:t>Riesgo Alto ha sido también unificada con la categoría de Riesgo Moderado para las variables de Alcohol, Tabaco y otras drogas debido al bajo porcentaje de respuestas positivas que engloba la categoría Riesgo Alto.</w:t>
      </w:r>
    </w:p>
    <w:tbl>
      <w:tblPr>
        <w:tblStyle w:val="Tablaconcuadrcula"/>
        <w:tblW w:w="6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1413"/>
        <w:gridCol w:w="1006"/>
      </w:tblGrid>
      <w:tr w:rsidR="007E703B" w:rsidRPr="002F0A14" w:rsidTr="00B25A53">
        <w:trPr>
          <w:trHeight w:val="454"/>
          <w:jc w:val="center"/>
        </w:trPr>
        <w:tc>
          <w:tcPr>
            <w:tcW w:w="6530" w:type="dxa"/>
            <w:gridSpan w:val="4"/>
          </w:tcPr>
          <w:p w:rsidR="007E703B" w:rsidRPr="002F0A14" w:rsidRDefault="007E703B"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 xml:space="preserve">Tabla 1. </w:t>
            </w:r>
          </w:p>
        </w:tc>
      </w:tr>
      <w:tr w:rsidR="007E703B" w:rsidRPr="002F0A14" w:rsidTr="00B25A53">
        <w:trPr>
          <w:trHeight w:val="454"/>
          <w:jc w:val="center"/>
        </w:trPr>
        <w:tc>
          <w:tcPr>
            <w:tcW w:w="6530" w:type="dxa"/>
            <w:gridSpan w:val="4"/>
            <w:tcBorders>
              <w:bottom w:val="single" w:sz="4" w:space="0" w:color="auto"/>
            </w:tcBorders>
          </w:tcPr>
          <w:p w:rsidR="007E703B" w:rsidRPr="002F0A14" w:rsidRDefault="00903D87" w:rsidP="00B25A53">
            <w:pPr>
              <w:spacing w:before="20" w:line="360" w:lineRule="auto"/>
              <w:rPr>
                <w:rFonts w:ascii="Times New Roman" w:hAnsi="Times New Roman" w:cs="Times New Roman"/>
                <w:b/>
                <w:i/>
                <w:sz w:val="24"/>
                <w:szCs w:val="24"/>
                <w:lang w:val="es-ES"/>
              </w:rPr>
            </w:pPr>
            <w:r w:rsidRPr="002F0A14">
              <w:rPr>
                <w:rFonts w:ascii="Times New Roman" w:hAnsi="Times New Roman" w:cs="Times New Roman"/>
                <w:b/>
                <w:i/>
                <w:sz w:val="24"/>
                <w:szCs w:val="24"/>
                <w:lang w:val="es-ES"/>
              </w:rPr>
              <w:t>Variables utilizadas para establecer los análisis estadísiticos.</w:t>
            </w:r>
          </w:p>
        </w:tc>
      </w:tr>
      <w:tr w:rsidR="007E703B" w:rsidRPr="002F0A14" w:rsidTr="00B25A53">
        <w:trPr>
          <w:trHeight w:val="454"/>
          <w:jc w:val="center"/>
        </w:trPr>
        <w:tc>
          <w:tcPr>
            <w:tcW w:w="1701" w:type="dxa"/>
            <w:tcBorders>
              <w:top w:val="single" w:sz="4" w:space="0" w:color="auto"/>
              <w:bottom w:val="single" w:sz="4" w:space="0" w:color="auto"/>
            </w:tcBorders>
          </w:tcPr>
          <w:p w:rsidR="007E703B" w:rsidRPr="002F0A14" w:rsidRDefault="007E703B" w:rsidP="00B25A53">
            <w:pPr>
              <w:spacing w:before="20" w:line="360" w:lineRule="auto"/>
              <w:jc w:val="center"/>
              <w:rPr>
                <w:rFonts w:ascii="Times New Roman" w:hAnsi="Times New Roman" w:cs="Times New Roman"/>
                <w:b/>
                <w:sz w:val="24"/>
                <w:szCs w:val="24"/>
                <w:lang w:val="es-EC"/>
              </w:rPr>
            </w:pPr>
            <w:r w:rsidRPr="002F0A14">
              <w:rPr>
                <w:rFonts w:ascii="Times New Roman" w:hAnsi="Times New Roman" w:cs="Times New Roman"/>
                <w:b/>
                <w:sz w:val="24"/>
                <w:szCs w:val="24"/>
                <w:lang w:val="es-EC"/>
              </w:rPr>
              <w:t>Variable</w:t>
            </w:r>
          </w:p>
        </w:tc>
        <w:tc>
          <w:tcPr>
            <w:tcW w:w="2410" w:type="dxa"/>
            <w:tcBorders>
              <w:top w:val="single" w:sz="4" w:space="0" w:color="auto"/>
              <w:bottom w:val="single" w:sz="4" w:space="0" w:color="auto"/>
            </w:tcBorders>
          </w:tcPr>
          <w:p w:rsidR="007E703B" w:rsidRPr="002F0A14" w:rsidRDefault="007E703B" w:rsidP="00B25A53">
            <w:pPr>
              <w:spacing w:before="20" w:line="360" w:lineRule="auto"/>
              <w:jc w:val="center"/>
              <w:rPr>
                <w:rFonts w:ascii="Times New Roman" w:hAnsi="Times New Roman" w:cs="Times New Roman"/>
                <w:b/>
                <w:sz w:val="24"/>
                <w:szCs w:val="24"/>
                <w:lang w:val="es-EC"/>
              </w:rPr>
            </w:pPr>
            <w:r w:rsidRPr="002F0A14">
              <w:rPr>
                <w:rFonts w:ascii="Times New Roman" w:hAnsi="Times New Roman" w:cs="Times New Roman"/>
                <w:b/>
                <w:sz w:val="24"/>
                <w:szCs w:val="24"/>
                <w:lang w:val="es-EC"/>
              </w:rPr>
              <w:t>Niveles</w:t>
            </w:r>
          </w:p>
        </w:tc>
        <w:tc>
          <w:tcPr>
            <w:tcW w:w="1413" w:type="dxa"/>
            <w:tcBorders>
              <w:top w:val="single" w:sz="4" w:space="0" w:color="auto"/>
              <w:bottom w:val="single" w:sz="4" w:space="0" w:color="auto"/>
            </w:tcBorders>
          </w:tcPr>
          <w:p w:rsidR="007E703B" w:rsidRPr="002F0A14" w:rsidRDefault="009F2AA6" w:rsidP="00B25A53">
            <w:pPr>
              <w:spacing w:before="20" w:line="360" w:lineRule="auto"/>
              <w:jc w:val="center"/>
              <w:rPr>
                <w:rFonts w:ascii="Times New Roman" w:hAnsi="Times New Roman" w:cs="Times New Roman"/>
                <w:b/>
                <w:i/>
                <w:sz w:val="24"/>
                <w:szCs w:val="24"/>
                <w:lang w:val="es-EC"/>
              </w:rPr>
            </w:pPr>
            <w:r w:rsidRPr="002F0A14">
              <w:rPr>
                <w:rFonts w:ascii="Times New Roman" w:hAnsi="Times New Roman" w:cs="Times New Roman"/>
                <w:b/>
                <w:i/>
                <w:sz w:val="24"/>
                <w:szCs w:val="24"/>
                <w:lang w:val="es-EC"/>
              </w:rPr>
              <w:t>f</w:t>
            </w:r>
          </w:p>
        </w:tc>
        <w:tc>
          <w:tcPr>
            <w:tcW w:w="1006" w:type="dxa"/>
            <w:tcBorders>
              <w:top w:val="single" w:sz="4" w:space="0" w:color="auto"/>
              <w:bottom w:val="single" w:sz="4" w:space="0" w:color="auto"/>
            </w:tcBorders>
          </w:tcPr>
          <w:p w:rsidR="007E703B" w:rsidRPr="002F0A14" w:rsidRDefault="009F2AA6" w:rsidP="00B25A53">
            <w:pPr>
              <w:spacing w:before="20" w:line="360" w:lineRule="auto"/>
              <w:jc w:val="center"/>
              <w:rPr>
                <w:rFonts w:ascii="Times New Roman" w:hAnsi="Times New Roman" w:cs="Times New Roman"/>
                <w:b/>
                <w:sz w:val="24"/>
                <w:szCs w:val="24"/>
                <w:lang w:val="es-EC"/>
              </w:rPr>
            </w:pPr>
            <w:r w:rsidRPr="002F0A14">
              <w:rPr>
                <w:rFonts w:ascii="Times New Roman" w:hAnsi="Times New Roman" w:cs="Times New Roman"/>
                <w:b/>
                <w:sz w:val="24"/>
                <w:szCs w:val="24"/>
                <w:lang w:val="es-EC"/>
              </w:rPr>
              <w:t>%</w:t>
            </w:r>
          </w:p>
        </w:tc>
      </w:tr>
      <w:tr w:rsidR="007E703B" w:rsidRPr="002F0A14" w:rsidTr="00B25A53">
        <w:trPr>
          <w:trHeight w:val="454"/>
          <w:jc w:val="center"/>
        </w:trPr>
        <w:tc>
          <w:tcPr>
            <w:tcW w:w="1701" w:type="dxa"/>
            <w:vMerge w:val="restart"/>
            <w:tcBorders>
              <w:top w:val="single" w:sz="4" w:space="0" w:color="auto"/>
            </w:tcBorders>
          </w:tcPr>
          <w:p w:rsidR="007E703B" w:rsidRPr="002F0A14" w:rsidRDefault="00E41F9D"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Gé</w:t>
            </w:r>
            <w:r w:rsidR="007E703B" w:rsidRPr="002F0A14">
              <w:rPr>
                <w:rFonts w:ascii="Times New Roman" w:hAnsi="Times New Roman" w:cs="Times New Roman"/>
                <w:b/>
                <w:sz w:val="24"/>
                <w:szCs w:val="24"/>
                <w:lang w:val="es-EC"/>
              </w:rPr>
              <w:t>nero</w:t>
            </w:r>
          </w:p>
        </w:tc>
        <w:tc>
          <w:tcPr>
            <w:tcW w:w="2410" w:type="dxa"/>
            <w:tcBorders>
              <w:top w:val="single" w:sz="4" w:space="0" w:color="auto"/>
            </w:tcBorders>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Hombre</w:t>
            </w:r>
          </w:p>
        </w:tc>
        <w:tc>
          <w:tcPr>
            <w:tcW w:w="1413" w:type="dxa"/>
            <w:tcBorders>
              <w:top w:val="single" w:sz="4" w:space="0" w:color="auto"/>
            </w:tcBorders>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327</w:t>
            </w:r>
          </w:p>
        </w:tc>
        <w:tc>
          <w:tcPr>
            <w:tcW w:w="1006" w:type="dxa"/>
            <w:tcBorders>
              <w:top w:val="single" w:sz="4" w:space="0" w:color="auto"/>
            </w:tcBorders>
          </w:tcPr>
          <w:p w:rsidR="007E703B"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49.</w:t>
            </w:r>
            <w:r w:rsidR="007E703B" w:rsidRPr="002F0A14">
              <w:rPr>
                <w:rFonts w:ascii="Times New Roman" w:hAnsi="Times New Roman" w:cs="Times New Roman"/>
                <w:sz w:val="24"/>
                <w:szCs w:val="24"/>
                <w:lang w:val="es-EC"/>
              </w:rPr>
              <w:t>2</w:t>
            </w:r>
          </w:p>
        </w:tc>
      </w:tr>
      <w:tr w:rsidR="007E703B" w:rsidRPr="002F0A14" w:rsidTr="00B25A53">
        <w:trPr>
          <w:trHeight w:val="454"/>
          <w:jc w:val="center"/>
        </w:trPr>
        <w:tc>
          <w:tcPr>
            <w:tcW w:w="1701" w:type="dxa"/>
            <w:vMerge/>
          </w:tcPr>
          <w:p w:rsidR="007E703B" w:rsidRPr="002F0A14" w:rsidRDefault="007E703B" w:rsidP="00B25A53">
            <w:pPr>
              <w:spacing w:before="20" w:line="360" w:lineRule="auto"/>
              <w:rPr>
                <w:rFonts w:ascii="Times New Roman" w:hAnsi="Times New Roman" w:cs="Times New Roman"/>
                <w:b/>
                <w:sz w:val="24"/>
                <w:szCs w:val="24"/>
                <w:lang w:val="es-EC"/>
              </w:rPr>
            </w:pPr>
          </w:p>
        </w:tc>
        <w:tc>
          <w:tcPr>
            <w:tcW w:w="2410"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Mujer</w:t>
            </w:r>
          </w:p>
        </w:tc>
        <w:tc>
          <w:tcPr>
            <w:tcW w:w="1413"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337</w:t>
            </w:r>
          </w:p>
        </w:tc>
        <w:tc>
          <w:tcPr>
            <w:tcW w:w="1006" w:type="dxa"/>
          </w:tcPr>
          <w:p w:rsidR="007E703B"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50.</w:t>
            </w:r>
            <w:r w:rsidR="007E703B" w:rsidRPr="002F0A14">
              <w:rPr>
                <w:rFonts w:ascii="Times New Roman" w:hAnsi="Times New Roman" w:cs="Times New Roman"/>
                <w:sz w:val="24"/>
                <w:szCs w:val="24"/>
                <w:lang w:val="es-EC"/>
              </w:rPr>
              <w:t>8</w:t>
            </w:r>
          </w:p>
        </w:tc>
      </w:tr>
      <w:tr w:rsidR="007E703B" w:rsidRPr="002F0A14" w:rsidTr="00B25A53">
        <w:trPr>
          <w:trHeight w:val="454"/>
          <w:jc w:val="center"/>
        </w:trPr>
        <w:tc>
          <w:tcPr>
            <w:tcW w:w="1701" w:type="dxa"/>
            <w:vMerge w:val="restart"/>
          </w:tcPr>
          <w:p w:rsidR="007E703B" w:rsidRPr="002F0A14" w:rsidRDefault="007E703B"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Edad</w:t>
            </w:r>
          </w:p>
        </w:tc>
        <w:tc>
          <w:tcPr>
            <w:tcW w:w="2410"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13 – 14</w:t>
            </w:r>
          </w:p>
        </w:tc>
        <w:tc>
          <w:tcPr>
            <w:tcW w:w="1413"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242</w:t>
            </w:r>
          </w:p>
        </w:tc>
        <w:tc>
          <w:tcPr>
            <w:tcW w:w="1006" w:type="dxa"/>
          </w:tcPr>
          <w:p w:rsidR="007E703B"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36.</w:t>
            </w:r>
            <w:r w:rsidR="007E703B" w:rsidRPr="002F0A14">
              <w:rPr>
                <w:rFonts w:ascii="Times New Roman" w:hAnsi="Times New Roman" w:cs="Times New Roman"/>
                <w:sz w:val="24"/>
                <w:szCs w:val="24"/>
                <w:lang w:val="es-EC"/>
              </w:rPr>
              <w:t>4</w:t>
            </w:r>
          </w:p>
        </w:tc>
      </w:tr>
      <w:tr w:rsidR="007E703B" w:rsidRPr="002F0A14" w:rsidTr="00B25A53">
        <w:trPr>
          <w:trHeight w:val="454"/>
          <w:jc w:val="center"/>
        </w:trPr>
        <w:tc>
          <w:tcPr>
            <w:tcW w:w="1701" w:type="dxa"/>
            <w:vMerge/>
          </w:tcPr>
          <w:p w:rsidR="007E703B" w:rsidRPr="002F0A14" w:rsidRDefault="007E703B" w:rsidP="00B25A53">
            <w:pPr>
              <w:spacing w:before="20" w:line="360" w:lineRule="auto"/>
              <w:rPr>
                <w:rFonts w:ascii="Times New Roman" w:hAnsi="Times New Roman" w:cs="Times New Roman"/>
                <w:b/>
                <w:sz w:val="24"/>
                <w:szCs w:val="24"/>
                <w:lang w:val="es-EC"/>
              </w:rPr>
            </w:pPr>
          </w:p>
        </w:tc>
        <w:tc>
          <w:tcPr>
            <w:tcW w:w="2410"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15 – 16</w:t>
            </w:r>
          </w:p>
        </w:tc>
        <w:tc>
          <w:tcPr>
            <w:tcW w:w="1413"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272</w:t>
            </w:r>
          </w:p>
        </w:tc>
        <w:tc>
          <w:tcPr>
            <w:tcW w:w="1006" w:type="dxa"/>
          </w:tcPr>
          <w:p w:rsidR="007E703B"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41.</w:t>
            </w:r>
            <w:r w:rsidR="007E703B" w:rsidRPr="002F0A14">
              <w:rPr>
                <w:rFonts w:ascii="Times New Roman" w:hAnsi="Times New Roman" w:cs="Times New Roman"/>
                <w:sz w:val="24"/>
                <w:szCs w:val="24"/>
                <w:lang w:val="es-EC"/>
              </w:rPr>
              <w:t>0</w:t>
            </w:r>
          </w:p>
        </w:tc>
      </w:tr>
      <w:tr w:rsidR="007E703B" w:rsidRPr="002F0A14" w:rsidTr="00B25A53">
        <w:trPr>
          <w:trHeight w:val="454"/>
          <w:jc w:val="center"/>
        </w:trPr>
        <w:tc>
          <w:tcPr>
            <w:tcW w:w="1701" w:type="dxa"/>
            <w:vMerge/>
          </w:tcPr>
          <w:p w:rsidR="007E703B" w:rsidRPr="002F0A14" w:rsidRDefault="007E703B" w:rsidP="00B25A53">
            <w:pPr>
              <w:spacing w:before="20" w:line="360" w:lineRule="auto"/>
              <w:rPr>
                <w:rFonts w:ascii="Times New Roman" w:hAnsi="Times New Roman" w:cs="Times New Roman"/>
                <w:b/>
                <w:sz w:val="24"/>
                <w:szCs w:val="24"/>
                <w:lang w:val="es-EC"/>
              </w:rPr>
            </w:pPr>
          </w:p>
        </w:tc>
        <w:tc>
          <w:tcPr>
            <w:tcW w:w="2410"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+16</w:t>
            </w:r>
          </w:p>
        </w:tc>
        <w:tc>
          <w:tcPr>
            <w:tcW w:w="1413" w:type="dxa"/>
          </w:tcPr>
          <w:p w:rsidR="007E703B" w:rsidRPr="002F0A14" w:rsidRDefault="007E703B"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150</w:t>
            </w:r>
          </w:p>
        </w:tc>
        <w:tc>
          <w:tcPr>
            <w:tcW w:w="1006" w:type="dxa"/>
          </w:tcPr>
          <w:p w:rsidR="007E703B"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23.</w:t>
            </w:r>
            <w:r w:rsidR="007E703B" w:rsidRPr="002F0A14">
              <w:rPr>
                <w:rFonts w:ascii="Times New Roman" w:hAnsi="Times New Roman" w:cs="Times New Roman"/>
                <w:sz w:val="24"/>
                <w:szCs w:val="24"/>
                <w:lang w:val="es-EC"/>
              </w:rPr>
              <w:t>6</w:t>
            </w:r>
          </w:p>
        </w:tc>
      </w:tr>
      <w:tr w:rsidR="00B01521" w:rsidRPr="002F0A14" w:rsidTr="00B25A53">
        <w:trPr>
          <w:trHeight w:val="454"/>
          <w:jc w:val="center"/>
        </w:trPr>
        <w:tc>
          <w:tcPr>
            <w:tcW w:w="1701" w:type="dxa"/>
            <w:vMerge w:val="restart"/>
          </w:tcPr>
          <w:p w:rsidR="00B01521" w:rsidRPr="002F0A14" w:rsidRDefault="00C25908"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Satisfacción</w:t>
            </w:r>
            <w:r w:rsidR="000A78F5" w:rsidRPr="002F0A14">
              <w:rPr>
                <w:rFonts w:ascii="Times New Roman" w:hAnsi="Times New Roman" w:cs="Times New Roman"/>
                <w:b/>
                <w:sz w:val="24"/>
                <w:szCs w:val="24"/>
                <w:lang w:val="es-EC"/>
              </w:rPr>
              <w:t xml:space="preserve"> de la función familiar</w:t>
            </w:r>
          </w:p>
        </w:tc>
        <w:tc>
          <w:tcPr>
            <w:tcW w:w="2410" w:type="dxa"/>
          </w:tcPr>
          <w:p w:rsidR="00B01521" w:rsidRPr="002F0A14" w:rsidRDefault="00BC7C9F"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Baja</w:t>
            </w:r>
          </w:p>
        </w:tc>
        <w:tc>
          <w:tcPr>
            <w:tcW w:w="1413" w:type="dxa"/>
          </w:tcPr>
          <w:p w:rsidR="00B01521" w:rsidRPr="002F0A14" w:rsidRDefault="00BC7C9F"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81</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12.</w:t>
            </w:r>
            <w:r w:rsidR="00BC7C9F" w:rsidRPr="002F0A14">
              <w:rPr>
                <w:rFonts w:ascii="Times New Roman" w:hAnsi="Times New Roman" w:cs="Times New Roman"/>
                <w:sz w:val="24"/>
                <w:szCs w:val="24"/>
                <w:lang w:val="es-EC"/>
              </w:rPr>
              <w:t>8</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771EF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 xml:space="preserve">Media </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137</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20.</w:t>
            </w:r>
            <w:r w:rsidR="00B01521" w:rsidRPr="002F0A14">
              <w:rPr>
                <w:rFonts w:ascii="Times New Roman" w:hAnsi="Times New Roman" w:cs="Times New Roman"/>
                <w:sz w:val="24"/>
                <w:szCs w:val="24"/>
                <w:lang w:val="es-EC"/>
              </w:rPr>
              <w:t>6</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BC7C9F"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Alta</w:t>
            </w:r>
          </w:p>
        </w:tc>
        <w:tc>
          <w:tcPr>
            <w:tcW w:w="1413" w:type="dxa"/>
          </w:tcPr>
          <w:p w:rsidR="00B01521" w:rsidRPr="002F0A14" w:rsidRDefault="00BC7C9F"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442</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66.</w:t>
            </w:r>
            <w:r w:rsidR="00BC7C9F" w:rsidRPr="002F0A14">
              <w:rPr>
                <w:rFonts w:ascii="Times New Roman" w:hAnsi="Times New Roman" w:cs="Times New Roman"/>
                <w:sz w:val="24"/>
                <w:szCs w:val="24"/>
                <w:lang w:val="es-EC"/>
              </w:rPr>
              <w:t>6</w:t>
            </w:r>
          </w:p>
        </w:tc>
      </w:tr>
      <w:tr w:rsidR="00B01521" w:rsidRPr="002F0A14" w:rsidTr="00B25A53">
        <w:trPr>
          <w:trHeight w:val="454"/>
          <w:jc w:val="center"/>
        </w:trPr>
        <w:tc>
          <w:tcPr>
            <w:tcW w:w="1701" w:type="dxa"/>
            <w:vMerge w:val="restart"/>
          </w:tcPr>
          <w:p w:rsidR="00B01521" w:rsidRPr="002F0A14" w:rsidRDefault="00B01521"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Drogas</w:t>
            </w: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No consume</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577</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86.</w:t>
            </w:r>
            <w:r w:rsidR="00B01521" w:rsidRPr="002F0A14">
              <w:rPr>
                <w:rFonts w:ascii="Times New Roman" w:hAnsi="Times New Roman" w:cs="Times New Roman"/>
                <w:sz w:val="24"/>
                <w:szCs w:val="24"/>
                <w:lang w:val="es-EC"/>
              </w:rPr>
              <w:t>9</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Bajo</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22</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3.</w:t>
            </w:r>
            <w:r w:rsidR="009F2AA6" w:rsidRPr="002F0A14">
              <w:rPr>
                <w:rFonts w:ascii="Times New Roman" w:hAnsi="Times New Roman" w:cs="Times New Roman"/>
                <w:sz w:val="24"/>
                <w:szCs w:val="24"/>
                <w:lang w:val="es-EC"/>
              </w:rPr>
              <w:t>3</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Moderado - Alto</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65</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9.</w:t>
            </w:r>
            <w:r w:rsidR="009F2AA6" w:rsidRPr="002F0A14">
              <w:rPr>
                <w:rFonts w:ascii="Times New Roman" w:hAnsi="Times New Roman" w:cs="Times New Roman"/>
                <w:sz w:val="24"/>
                <w:szCs w:val="24"/>
                <w:lang w:val="es-EC"/>
              </w:rPr>
              <w:t>8</w:t>
            </w:r>
          </w:p>
        </w:tc>
      </w:tr>
      <w:tr w:rsidR="00B01521" w:rsidRPr="002F0A14" w:rsidTr="00B25A53">
        <w:trPr>
          <w:trHeight w:val="454"/>
          <w:jc w:val="center"/>
        </w:trPr>
        <w:tc>
          <w:tcPr>
            <w:tcW w:w="1701" w:type="dxa"/>
            <w:vMerge w:val="restart"/>
          </w:tcPr>
          <w:p w:rsidR="00B01521" w:rsidRPr="002F0A14" w:rsidRDefault="00B01521"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Tabaco</w:t>
            </w: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No consume</w:t>
            </w:r>
          </w:p>
        </w:tc>
        <w:tc>
          <w:tcPr>
            <w:tcW w:w="1413" w:type="dxa"/>
          </w:tcPr>
          <w:p w:rsidR="00B01521" w:rsidRPr="002F0A14" w:rsidRDefault="00B01521" w:rsidP="00B25A53">
            <w:pPr>
              <w:pStyle w:val="HTMLconformatoprevio"/>
              <w:shd w:val="clear" w:color="auto" w:fill="FFFFFF"/>
              <w:wordWrap w:val="0"/>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489</w:t>
            </w:r>
          </w:p>
        </w:tc>
        <w:tc>
          <w:tcPr>
            <w:tcW w:w="1006"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73</w:t>
            </w:r>
            <w:r w:rsidR="008151B2" w:rsidRPr="002F0A14">
              <w:rPr>
                <w:rFonts w:ascii="Times New Roman" w:hAnsi="Times New Roman" w:cs="Times New Roman"/>
                <w:sz w:val="24"/>
                <w:szCs w:val="24"/>
                <w:lang w:val="es-EC"/>
              </w:rPr>
              <w:t>.</w:t>
            </w:r>
            <w:r w:rsidRPr="002F0A14">
              <w:rPr>
                <w:rFonts w:ascii="Times New Roman" w:hAnsi="Times New Roman" w:cs="Times New Roman"/>
                <w:sz w:val="24"/>
                <w:szCs w:val="24"/>
                <w:lang w:val="es-EC"/>
              </w:rPr>
              <w:t>6</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Bajo</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60</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9.</w:t>
            </w:r>
            <w:r w:rsidR="009F2AA6" w:rsidRPr="002F0A14">
              <w:rPr>
                <w:rFonts w:ascii="Times New Roman" w:hAnsi="Times New Roman" w:cs="Times New Roman"/>
                <w:sz w:val="24"/>
                <w:szCs w:val="24"/>
                <w:lang w:val="es-EC"/>
              </w:rPr>
              <w:t>0</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b/>
                <w:sz w:val="24"/>
                <w:szCs w:val="24"/>
                <w:lang w:val="es-EC"/>
              </w:rPr>
            </w:pP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Moderado - Alto</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115</w:t>
            </w:r>
          </w:p>
        </w:tc>
        <w:tc>
          <w:tcPr>
            <w:tcW w:w="1006"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17</w:t>
            </w:r>
            <w:r w:rsidR="008151B2" w:rsidRPr="002F0A14">
              <w:rPr>
                <w:rFonts w:ascii="Times New Roman" w:hAnsi="Times New Roman" w:cs="Times New Roman"/>
                <w:sz w:val="24"/>
                <w:szCs w:val="24"/>
                <w:lang w:val="es-EC"/>
              </w:rPr>
              <w:t>.</w:t>
            </w:r>
            <w:r w:rsidRPr="002F0A14">
              <w:rPr>
                <w:rFonts w:ascii="Times New Roman" w:hAnsi="Times New Roman" w:cs="Times New Roman"/>
                <w:sz w:val="24"/>
                <w:szCs w:val="24"/>
                <w:lang w:val="es-EC"/>
              </w:rPr>
              <w:t>4</w:t>
            </w:r>
          </w:p>
        </w:tc>
      </w:tr>
      <w:tr w:rsidR="00B01521" w:rsidRPr="002F0A14" w:rsidTr="00B25A53">
        <w:trPr>
          <w:trHeight w:val="454"/>
          <w:jc w:val="center"/>
        </w:trPr>
        <w:tc>
          <w:tcPr>
            <w:tcW w:w="1701" w:type="dxa"/>
            <w:vMerge w:val="restart"/>
          </w:tcPr>
          <w:p w:rsidR="00B01521" w:rsidRPr="002F0A14" w:rsidRDefault="00B01521" w:rsidP="00B25A53">
            <w:pPr>
              <w:spacing w:before="20" w:line="360" w:lineRule="auto"/>
              <w:rPr>
                <w:rFonts w:ascii="Times New Roman" w:hAnsi="Times New Roman" w:cs="Times New Roman"/>
                <w:b/>
                <w:sz w:val="24"/>
                <w:szCs w:val="24"/>
                <w:lang w:val="es-EC"/>
              </w:rPr>
            </w:pPr>
            <w:r w:rsidRPr="002F0A14">
              <w:rPr>
                <w:rFonts w:ascii="Times New Roman" w:hAnsi="Times New Roman" w:cs="Times New Roman"/>
                <w:b/>
                <w:sz w:val="24"/>
                <w:szCs w:val="24"/>
                <w:lang w:val="es-EC"/>
              </w:rPr>
              <w:t>Alcohol</w:t>
            </w: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No consume</w:t>
            </w:r>
          </w:p>
        </w:tc>
        <w:tc>
          <w:tcPr>
            <w:tcW w:w="1413" w:type="dxa"/>
          </w:tcPr>
          <w:p w:rsidR="00B01521" w:rsidRPr="002F0A14" w:rsidRDefault="00B01521" w:rsidP="00B25A53">
            <w:pPr>
              <w:pStyle w:val="HTMLconformatoprevio"/>
              <w:shd w:val="clear" w:color="auto" w:fill="FFFFFF"/>
              <w:wordWrap w:val="0"/>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374</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56.</w:t>
            </w:r>
            <w:r w:rsidR="00B01521" w:rsidRPr="002F0A14">
              <w:rPr>
                <w:rFonts w:ascii="Times New Roman" w:hAnsi="Times New Roman" w:cs="Times New Roman"/>
                <w:sz w:val="24"/>
                <w:szCs w:val="24"/>
                <w:lang w:val="es-EC"/>
              </w:rPr>
              <w:t>3</w:t>
            </w:r>
          </w:p>
        </w:tc>
      </w:tr>
      <w:tr w:rsidR="00B01521" w:rsidRPr="002F0A14" w:rsidTr="00B25A53">
        <w:trPr>
          <w:trHeight w:val="454"/>
          <w:jc w:val="center"/>
        </w:trPr>
        <w:tc>
          <w:tcPr>
            <w:tcW w:w="1701" w:type="dxa"/>
            <w:vMerge/>
          </w:tcPr>
          <w:p w:rsidR="00B01521" w:rsidRPr="002F0A14" w:rsidRDefault="00B01521" w:rsidP="00B25A53">
            <w:pPr>
              <w:spacing w:before="20" w:line="360" w:lineRule="auto"/>
              <w:rPr>
                <w:rFonts w:ascii="Times New Roman" w:hAnsi="Times New Roman" w:cs="Times New Roman"/>
                <w:sz w:val="24"/>
                <w:szCs w:val="24"/>
                <w:lang w:val="es-EC"/>
              </w:rPr>
            </w:pPr>
          </w:p>
        </w:tc>
        <w:tc>
          <w:tcPr>
            <w:tcW w:w="2410"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Bajo</w:t>
            </w:r>
          </w:p>
        </w:tc>
        <w:tc>
          <w:tcPr>
            <w:tcW w:w="1413" w:type="dxa"/>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125</w:t>
            </w:r>
          </w:p>
        </w:tc>
        <w:tc>
          <w:tcPr>
            <w:tcW w:w="1006" w:type="dxa"/>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18.</w:t>
            </w:r>
            <w:r w:rsidR="00B01521" w:rsidRPr="002F0A14">
              <w:rPr>
                <w:rFonts w:ascii="Times New Roman" w:hAnsi="Times New Roman" w:cs="Times New Roman"/>
                <w:sz w:val="24"/>
                <w:szCs w:val="24"/>
                <w:lang w:val="es-EC"/>
              </w:rPr>
              <w:t>8</w:t>
            </w:r>
          </w:p>
        </w:tc>
      </w:tr>
      <w:tr w:rsidR="00B01521" w:rsidRPr="002F0A14" w:rsidTr="00B25A53">
        <w:trPr>
          <w:trHeight w:val="454"/>
          <w:jc w:val="center"/>
        </w:trPr>
        <w:tc>
          <w:tcPr>
            <w:tcW w:w="1701" w:type="dxa"/>
            <w:vMerge/>
            <w:tcBorders>
              <w:bottom w:val="single" w:sz="4" w:space="0" w:color="auto"/>
            </w:tcBorders>
          </w:tcPr>
          <w:p w:rsidR="00B01521" w:rsidRPr="002F0A14" w:rsidRDefault="00B01521" w:rsidP="00B25A53">
            <w:pPr>
              <w:spacing w:before="20" w:line="360" w:lineRule="auto"/>
              <w:rPr>
                <w:rFonts w:ascii="Times New Roman" w:hAnsi="Times New Roman" w:cs="Times New Roman"/>
                <w:sz w:val="24"/>
                <w:szCs w:val="24"/>
                <w:lang w:val="es-EC"/>
              </w:rPr>
            </w:pPr>
          </w:p>
        </w:tc>
        <w:tc>
          <w:tcPr>
            <w:tcW w:w="2410" w:type="dxa"/>
            <w:tcBorders>
              <w:bottom w:val="single" w:sz="4" w:space="0" w:color="auto"/>
            </w:tcBorders>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Riesgo Moderado - Alto</w:t>
            </w:r>
          </w:p>
        </w:tc>
        <w:tc>
          <w:tcPr>
            <w:tcW w:w="1413" w:type="dxa"/>
            <w:tcBorders>
              <w:bottom w:val="single" w:sz="4" w:space="0" w:color="auto"/>
            </w:tcBorders>
          </w:tcPr>
          <w:p w:rsidR="00B01521" w:rsidRPr="002F0A14" w:rsidRDefault="00B01521" w:rsidP="00B25A53">
            <w:pPr>
              <w:spacing w:before="20" w:line="360" w:lineRule="auto"/>
              <w:jc w:val="center"/>
              <w:rPr>
                <w:rFonts w:ascii="Times New Roman" w:hAnsi="Times New Roman" w:cs="Times New Roman"/>
                <w:sz w:val="24"/>
                <w:szCs w:val="24"/>
                <w:lang w:val="es-EC"/>
              </w:rPr>
            </w:pPr>
            <w:r w:rsidRPr="002F0A14">
              <w:rPr>
                <w:rStyle w:val="gnkrckgcgsb"/>
                <w:rFonts w:ascii="Times New Roman" w:hAnsi="Times New Roman" w:cs="Times New Roman"/>
                <w:sz w:val="24"/>
                <w:szCs w:val="24"/>
                <w:bdr w:val="none" w:sz="0" w:space="0" w:color="auto" w:frame="1"/>
                <w:lang w:val="es-EC"/>
              </w:rPr>
              <w:t>165</w:t>
            </w:r>
          </w:p>
        </w:tc>
        <w:tc>
          <w:tcPr>
            <w:tcW w:w="1006" w:type="dxa"/>
            <w:tcBorders>
              <w:bottom w:val="single" w:sz="4" w:space="0" w:color="auto"/>
            </w:tcBorders>
          </w:tcPr>
          <w:p w:rsidR="00B01521" w:rsidRPr="002F0A14" w:rsidRDefault="008151B2" w:rsidP="00B25A53">
            <w:pPr>
              <w:spacing w:before="20" w:line="360" w:lineRule="auto"/>
              <w:jc w:val="center"/>
              <w:rPr>
                <w:rFonts w:ascii="Times New Roman" w:hAnsi="Times New Roman" w:cs="Times New Roman"/>
                <w:sz w:val="24"/>
                <w:szCs w:val="24"/>
                <w:lang w:val="es-EC"/>
              </w:rPr>
            </w:pPr>
            <w:r w:rsidRPr="002F0A14">
              <w:rPr>
                <w:rFonts w:ascii="Times New Roman" w:hAnsi="Times New Roman" w:cs="Times New Roman"/>
                <w:sz w:val="24"/>
                <w:szCs w:val="24"/>
                <w:lang w:val="es-EC"/>
              </w:rPr>
              <w:t>24.</w:t>
            </w:r>
            <w:r w:rsidR="009F2AA6" w:rsidRPr="002F0A14">
              <w:rPr>
                <w:rFonts w:ascii="Times New Roman" w:hAnsi="Times New Roman" w:cs="Times New Roman"/>
                <w:sz w:val="24"/>
                <w:szCs w:val="24"/>
                <w:lang w:val="es-EC"/>
              </w:rPr>
              <w:t>9</w:t>
            </w:r>
          </w:p>
        </w:tc>
      </w:tr>
      <w:tr w:rsidR="009F2AA6" w:rsidRPr="002F0A14" w:rsidTr="00B25A53">
        <w:trPr>
          <w:trHeight w:val="454"/>
          <w:jc w:val="center"/>
        </w:trPr>
        <w:tc>
          <w:tcPr>
            <w:tcW w:w="6530" w:type="dxa"/>
            <w:gridSpan w:val="4"/>
            <w:tcBorders>
              <w:top w:val="single" w:sz="4" w:space="0" w:color="auto"/>
            </w:tcBorders>
          </w:tcPr>
          <w:p w:rsidR="009F2AA6" w:rsidRPr="002F0A14" w:rsidRDefault="009F2AA6" w:rsidP="00B25A53">
            <w:pPr>
              <w:pStyle w:val="HTMLconformatoprevio"/>
              <w:shd w:val="clear" w:color="auto" w:fill="FFFFFF"/>
              <w:wordWrap w:val="0"/>
              <w:spacing w:before="20" w:line="360" w:lineRule="auto"/>
              <w:rPr>
                <w:rFonts w:ascii="Times New Roman" w:hAnsi="Times New Roman" w:cs="Times New Roman"/>
                <w:color w:val="000000"/>
                <w:sz w:val="24"/>
                <w:szCs w:val="24"/>
                <w:bdr w:val="none" w:sz="0" w:space="0" w:color="auto" w:frame="1"/>
                <w:lang w:val="es-EC"/>
              </w:rPr>
            </w:pPr>
            <w:r w:rsidRPr="002F0A14">
              <w:rPr>
                <w:rStyle w:val="gnkrckgcgsb"/>
                <w:rFonts w:ascii="Times New Roman" w:hAnsi="Times New Roman" w:cs="Times New Roman"/>
                <w:b/>
                <w:color w:val="000000"/>
                <w:sz w:val="24"/>
                <w:szCs w:val="24"/>
                <w:bdr w:val="none" w:sz="0" w:space="0" w:color="auto" w:frame="1"/>
                <w:lang w:val="es-EC"/>
              </w:rPr>
              <w:t>Nota</w:t>
            </w:r>
            <w:r w:rsidRPr="002F0A14">
              <w:rPr>
                <w:rStyle w:val="gnkrckgcgsb"/>
                <w:rFonts w:ascii="Times New Roman" w:hAnsi="Times New Roman" w:cs="Times New Roman"/>
                <w:color w:val="000000"/>
                <w:sz w:val="24"/>
                <w:szCs w:val="24"/>
                <w:bdr w:val="none" w:sz="0" w:space="0" w:color="auto" w:frame="1"/>
                <w:lang w:val="es-EC"/>
              </w:rPr>
              <w:t xml:space="preserve">: </w:t>
            </w:r>
            <w:r w:rsidRPr="002F0A14">
              <w:rPr>
                <w:rStyle w:val="gnkrckgcgsb"/>
                <w:rFonts w:ascii="Times New Roman" w:hAnsi="Times New Roman" w:cs="Times New Roman"/>
                <w:i/>
                <w:color w:val="000000"/>
                <w:sz w:val="24"/>
                <w:szCs w:val="24"/>
                <w:bdr w:val="none" w:sz="0" w:space="0" w:color="auto" w:frame="1"/>
                <w:lang w:val="es-EC"/>
              </w:rPr>
              <w:t xml:space="preserve">f = </w:t>
            </w:r>
            <w:r w:rsidRPr="002F0A14">
              <w:rPr>
                <w:rStyle w:val="gnkrckgcgsb"/>
                <w:rFonts w:ascii="Times New Roman" w:hAnsi="Times New Roman" w:cs="Times New Roman"/>
                <w:color w:val="000000"/>
                <w:sz w:val="24"/>
                <w:szCs w:val="24"/>
                <w:bdr w:val="none" w:sz="0" w:space="0" w:color="auto" w:frame="1"/>
                <w:lang w:val="es-EC"/>
              </w:rPr>
              <w:t>frecuencia, % = porcentaje</w:t>
            </w:r>
          </w:p>
        </w:tc>
      </w:tr>
    </w:tbl>
    <w:p w:rsidR="00885E87" w:rsidRPr="002F0A14" w:rsidRDefault="00DE7D1E" w:rsidP="00D501E8">
      <w:pPr>
        <w:spacing w:line="360" w:lineRule="auto"/>
        <w:jc w:val="both"/>
        <w:rPr>
          <w:rFonts w:ascii="Times New Roman" w:hAnsi="Times New Roman" w:cs="Times New Roman"/>
          <w:i/>
          <w:sz w:val="24"/>
          <w:szCs w:val="24"/>
        </w:rPr>
      </w:pPr>
      <w:r w:rsidRPr="002F0A14">
        <w:rPr>
          <w:rFonts w:ascii="Times New Roman" w:hAnsi="Times New Roman" w:cs="Times New Roman"/>
          <w:sz w:val="24"/>
          <w:szCs w:val="24"/>
        </w:rPr>
        <w:t xml:space="preserve">Este análisis </w:t>
      </w:r>
      <w:r w:rsidR="00927CC7" w:rsidRPr="002F0A14">
        <w:rPr>
          <w:rFonts w:ascii="Times New Roman" w:hAnsi="Times New Roman" w:cs="Times New Roman"/>
          <w:sz w:val="24"/>
          <w:szCs w:val="24"/>
        </w:rPr>
        <w:t>establece</w:t>
      </w:r>
      <w:r w:rsidRPr="002F0A14">
        <w:rPr>
          <w:rFonts w:ascii="Times New Roman" w:hAnsi="Times New Roman" w:cs="Times New Roman"/>
          <w:sz w:val="24"/>
          <w:szCs w:val="24"/>
        </w:rPr>
        <w:t xml:space="preserve"> si existe una asociación entre el </w:t>
      </w:r>
      <w:r w:rsidR="00224BD2" w:rsidRPr="002F0A14">
        <w:rPr>
          <w:rFonts w:ascii="Times New Roman" w:hAnsi="Times New Roman" w:cs="Times New Roman"/>
          <w:sz w:val="24"/>
          <w:szCs w:val="24"/>
        </w:rPr>
        <w:t>n</w:t>
      </w:r>
      <w:r w:rsidRPr="002F0A14">
        <w:rPr>
          <w:rFonts w:ascii="Times New Roman" w:hAnsi="Times New Roman" w:cs="Times New Roman"/>
          <w:sz w:val="24"/>
          <w:szCs w:val="24"/>
        </w:rPr>
        <w:t xml:space="preserve">ivel de </w:t>
      </w:r>
      <w:r w:rsidR="009F11C2" w:rsidRPr="002F0A14">
        <w:rPr>
          <w:rFonts w:ascii="Times New Roman" w:hAnsi="Times New Roman" w:cs="Times New Roman"/>
          <w:sz w:val="24"/>
          <w:szCs w:val="24"/>
        </w:rPr>
        <w:t>satisfacción</w:t>
      </w:r>
      <w:r w:rsidRPr="002F0A14">
        <w:rPr>
          <w:rFonts w:ascii="Times New Roman" w:hAnsi="Times New Roman" w:cs="Times New Roman"/>
          <w:sz w:val="24"/>
          <w:szCs w:val="24"/>
        </w:rPr>
        <w:t xml:space="preserve"> </w:t>
      </w:r>
      <w:r w:rsidR="004132C6" w:rsidRPr="002F0A14">
        <w:rPr>
          <w:rFonts w:ascii="Times New Roman" w:hAnsi="Times New Roman" w:cs="Times New Roman"/>
          <w:sz w:val="24"/>
          <w:szCs w:val="24"/>
        </w:rPr>
        <w:t xml:space="preserve">de la función </w:t>
      </w:r>
      <w:r w:rsidR="00224BD2" w:rsidRPr="002F0A14">
        <w:rPr>
          <w:rFonts w:ascii="Times New Roman" w:hAnsi="Times New Roman" w:cs="Times New Roman"/>
          <w:sz w:val="24"/>
          <w:szCs w:val="24"/>
        </w:rPr>
        <w:t xml:space="preserve">familiar </w:t>
      </w:r>
      <w:r w:rsidRPr="002F0A14">
        <w:rPr>
          <w:rFonts w:ascii="Times New Roman" w:hAnsi="Times New Roman" w:cs="Times New Roman"/>
          <w:sz w:val="24"/>
          <w:szCs w:val="24"/>
        </w:rPr>
        <w:t>y el consumo de dife</w:t>
      </w:r>
      <w:r w:rsidR="00927CC7" w:rsidRPr="002F0A14">
        <w:rPr>
          <w:rFonts w:ascii="Times New Roman" w:hAnsi="Times New Roman" w:cs="Times New Roman"/>
          <w:sz w:val="24"/>
          <w:szCs w:val="24"/>
        </w:rPr>
        <w:t>rentes sustancias psicotrópicas</w:t>
      </w:r>
      <w:r w:rsidRPr="002F0A14">
        <w:rPr>
          <w:rFonts w:ascii="Times New Roman" w:hAnsi="Times New Roman" w:cs="Times New Roman"/>
          <w:sz w:val="24"/>
          <w:szCs w:val="24"/>
        </w:rPr>
        <w:t xml:space="preserve">. </w:t>
      </w:r>
      <w:r w:rsidR="00927CC7" w:rsidRPr="002F0A14">
        <w:rPr>
          <w:rFonts w:ascii="Times New Roman" w:hAnsi="Times New Roman" w:cs="Times New Roman"/>
          <w:sz w:val="24"/>
          <w:szCs w:val="24"/>
        </w:rPr>
        <w:t>Se ha desarrollado</w:t>
      </w:r>
      <w:r w:rsidRPr="002F0A14">
        <w:rPr>
          <w:rFonts w:ascii="Times New Roman" w:hAnsi="Times New Roman" w:cs="Times New Roman"/>
          <w:sz w:val="24"/>
          <w:szCs w:val="24"/>
        </w:rPr>
        <w:t xml:space="preserve"> una prueba de independencia basada en el estadístico chi-cuadrado</w:t>
      </w:r>
      <w:r w:rsidR="00927CC7" w:rsidRPr="002F0A14">
        <w:rPr>
          <w:rFonts w:ascii="Times New Roman" w:hAnsi="Times New Roman" w:cs="Times New Roman"/>
          <w:sz w:val="24"/>
          <w:szCs w:val="24"/>
        </w:rPr>
        <w:t>.</w:t>
      </w:r>
      <w:r w:rsidRPr="002F0A14">
        <w:rPr>
          <w:rFonts w:ascii="Times New Roman" w:hAnsi="Times New Roman" w:cs="Times New Roman"/>
          <w:sz w:val="24"/>
          <w:szCs w:val="24"/>
        </w:rPr>
        <w:t xml:space="preserve"> </w:t>
      </w:r>
      <w:r w:rsidR="00756897" w:rsidRPr="002F0A14">
        <w:rPr>
          <w:rFonts w:ascii="Times New Roman" w:hAnsi="Times New Roman" w:cs="Times New Roman"/>
          <w:sz w:val="24"/>
          <w:szCs w:val="24"/>
        </w:rPr>
        <w:t>Sin embargo, e</w:t>
      </w:r>
      <w:r w:rsidRPr="002F0A14">
        <w:rPr>
          <w:rFonts w:ascii="Times New Roman" w:hAnsi="Times New Roman" w:cs="Times New Roman"/>
          <w:sz w:val="24"/>
          <w:szCs w:val="24"/>
        </w:rPr>
        <w:t xml:space="preserve">sta prueba no permite realizar un análisis profundo entre las relaciones de las categorías de ambas variables. </w:t>
      </w:r>
      <w:r w:rsidR="00756897" w:rsidRPr="002F0A14">
        <w:rPr>
          <w:rFonts w:ascii="Times New Roman" w:hAnsi="Times New Roman" w:cs="Times New Roman"/>
          <w:sz w:val="24"/>
          <w:szCs w:val="24"/>
        </w:rPr>
        <w:lastRenderedPageBreak/>
        <w:t>Solamente e</w:t>
      </w:r>
      <w:r w:rsidRPr="002F0A14">
        <w:rPr>
          <w:rFonts w:ascii="Times New Roman" w:hAnsi="Times New Roman" w:cs="Times New Roman"/>
          <w:sz w:val="24"/>
          <w:szCs w:val="24"/>
        </w:rPr>
        <w:t>s posible comparar los valores de las frecuencias de la tabla de contingencia para un an</w:t>
      </w:r>
      <w:r w:rsidR="00756897" w:rsidRPr="002F0A14">
        <w:rPr>
          <w:rFonts w:ascii="Times New Roman" w:hAnsi="Times New Roman" w:cs="Times New Roman"/>
          <w:sz w:val="24"/>
          <w:szCs w:val="24"/>
        </w:rPr>
        <w:t>álisis descriptivo. Posteriormente</w:t>
      </w:r>
      <w:r w:rsidRPr="002F0A14">
        <w:rPr>
          <w:rFonts w:ascii="Times New Roman" w:hAnsi="Times New Roman" w:cs="Times New Roman"/>
          <w:sz w:val="24"/>
          <w:szCs w:val="24"/>
        </w:rPr>
        <w:t xml:space="preserve">, se presenta un análisis de perfil de filas, donde las filas corresponden el </w:t>
      </w:r>
      <w:r w:rsidR="004132C6" w:rsidRPr="002F0A14">
        <w:rPr>
          <w:rFonts w:ascii="Times New Roman" w:hAnsi="Times New Roman" w:cs="Times New Roman"/>
          <w:sz w:val="24"/>
          <w:szCs w:val="24"/>
        </w:rPr>
        <w:t>n</w:t>
      </w:r>
      <w:r w:rsidRPr="002F0A14">
        <w:rPr>
          <w:rFonts w:ascii="Times New Roman" w:hAnsi="Times New Roman" w:cs="Times New Roman"/>
          <w:sz w:val="24"/>
          <w:szCs w:val="24"/>
        </w:rPr>
        <w:t xml:space="preserve">ivel de </w:t>
      </w:r>
      <w:r w:rsidR="009F11C2" w:rsidRPr="002F0A14">
        <w:rPr>
          <w:rFonts w:ascii="Times New Roman" w:hAnsi="Times New Roman" w:cs="Times New Roman"/>
          <w:sz w:val="24"/>
          <w:szCs w:val="24"/>
        </w:rPr>
        <w:t>satisfacción</w:t>
      </w:r>
      <w:r w:rsidR="004132C6" w:rsidRPr="002F0A14">
        <w:rPr>
          <w:rFonts w:ascii="Times New Roman" w:hAnsi="Times New Roman" w:cs="Times New Roman"/>
          <w:sz w:val="24"/>
          <w:szCs w:val="24"/>
        </w:rPr>
        <w:t xml:space="preserve"> de la función</w:t>
      </w:r>
      <w:r w:rsidRPr="002F0A14">
        <w:rPr>
          <w:rFonts w:ascii="Times New Roman" w:hAnsi="Times New Roman" w:cs="Times New Roman"/>
          <w:sz w:val="24"/>
          <w:szCs w:val="24"/>
        </w:rPr>
        <w:t xml:space="preserve"> familiar. Los perfiles de fila ayudan a analizar las proporciones de cada categoría en las filas con re</w:t>
      </w:r>
      <w:r w:rsidR="004132C6" w:rsidRPr="002F0A14">
        <w:rPr>
          <w:rFonts w:ascii="Times New Roman" w:hAnsi="Times New Roman" w:cs="Times New Roman"/>
          <w:sz w:val="24"/>
          <w:szCs w:val="24"/>
        </w:rPr>
        <w:t xml:space="preserve">specto a cada columna. </w:t>
      </w:r>
    </w:p>
    <w:p w:rsidR="00DE7D1E" w:rsidRPr="002F0A14" w:rsidRDefault="00DE7D1E"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Para un análisis estadístico más profundo se plantea el desarrollo de modelos de regresión logística para cada una de las sustancias analizadas. Para este análisis se ha recategorizado los niveles de consumo en: Consume y No Consume.  El objetivo principal de la regresión logística es modelar la relación entre un conjunto de variables para obtener un resultado binario en base a las probabilidades de ocurrencia. La probabilidad estimada viene dad</w:t>
      </w:r>
      <w:r w:rsidR="00903D87" w:rsidRPr="002F0A14">
        <w:rPr>
          <w:rFonts w:ascii="Times New Roman" w:hAnsi="Times New Roman" w:cs="Times New Roman"/>
          <w:sz w:val="24"/>
          <w:szCs w:val="24"/>
        </w:rPr>
        <w:t>a</w:t>
      </w:r>
      <w:r w:rsidRPr="002F0A14">
        <w:rPr>
          <w:rFonts w:ascii="Times New Roman" w:hAnsi="Times New Roman" w:cs="Times New Roman"/>
          <w:sz w:val="24"/>
          <w:szCs w:val="24"/>
        </w:rPr>
        <w:t xml:space="preserve"> por la ecuación:</w:t>
      </w:r>
    </w:p>
    <w:p w:rsidR="00DE7D1E" w:rsidRPr="002F0A14" w:rsidRDefault="00DE7D1E" w:rsidP="00D501E8">
      <w:pPr>
        <w:spacing w:line="360" w:lineRule="auto"/>
        <w:jc w:val="center"/>
        <w:rPr>
          <w:rFonts w:ascii="Times New Roman" w:hAnsi="Times New Roman" w:cs="Times New Roman"/>
          <w:sz w:val="24"/>
          <w:szCs w:val="24"/>
        </w:rPr>
      </w:pPr>
      <w:r w:rsidRPr="002F0A14">
        <w:rPr>
          <w:rFonts w:ascii="Times New Roman" w:hAnsi="Times New Roman" w:cs="Times New Roman"/>
          <w:sz w:val="24"/>
          <w:szCs w:val="24"/>
        </w:rPr>
        <w:t xml:space="preserve">           </w:t>
      </w:r>
      <m:oMath>
        <m:r>
          <w:rPr>
            <w:rFonts w:ascii="Cambria Math" w:hAnsi="Cambria Math" w:cs="Times New Roman"/>
            <w:sz w:val="24"/>
            <w:szCs w:val="24"/>
          </w:rPr>
          <m:t xml:space="preserve">       E</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sup>
            </m:sSup>
          </m:num>
          <m:den>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sup>
            </m:sSup>
          </m:den>
        </m:f>
        <m:r>
          <w:rPr>
            <w:rFonts w:ascii="Cambria Math" w:hAnsi="Cambria Math" w:cs="Times New Roman"/>
            <w:sz w:val="24"/>
            <w:szCs w:val="24"/>
          </w:rPr>
          <m:t xml:space="preserve">                                          </m:t>
        </m:r>
      </m:oMath>
      <w:r w:rsidRPr="002F0A14">
        <w:rPr>
          <w:rFonts w:ascii="Times New Roman" w:hAnsi="Times New Roman" w:cs="Times New Roman"/>
          <w:sz w:val="24"/>
          <w:szCs w:val="24"/>
        </w:rPr>
        <w:t>(1)</w:t>
      </w:r>
    </w:p>
    <w:p w:rsidR="00DE7D1E" w:rsidRPr="002F0A14" w:rsidRDefault="00DE7D1E"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La variable dependiente se codifica con 1 para resultados positivos y 0 para resultados negativos. Por lo tanto, el valor de E (y) es la probabilidad de que y = 1 para un conjunto dado de valores de las variables independientes. Como E (y) es un valor de probabilidad, se define como:</w:t>
      </w:r>
    </w:p>
    <w:p w:rsidR="00DE7D1E" w:rsidRPr="002F0A14" w:rsidRDefault="00DE7D1E" w:rsidP="00D501E8">
      <w:pPr>
        <w:spacing w:line="360" w:lineRule="auto"/>
        <w:rPr>
          <w:rFonts w:ascii="Times New Roman" w:hAnsi="Times New Roman" w:cs="Times New Roman"/>
          <w:sz w:val="24"/>
          <w:szCs w:val="24"/>
        </w:rPr>
      </w:pPr>
      <m:oMath>
        <m:r>
          <w:rPr>
            <w:rFonts w:ascii="Cambria Math" w:hAnsi="Cambria Math" w:cs="Times New Roman"/>
            <w:sz w:val="24"/>
            <w:szCs w:val="24"/>
          </w:rPr>
          <m:t xml:space="preserve">                                                 E</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 P</m:t>
        </m:r>
        <m:d>
          <m:dPr>
            <m:ctrlPr>
              <w:rPr>
                <w:rFonts w:ascii="Cambria Math" w:hAnsi="Cambria Math" w:cs="Times New Roman"/>
                <w:i/>
                <w:sz w:val="24"/>
                <w:szCs w:val="24"/>
              </w:rPr>
            </m:ctrlPr>
          </m:dPr>
          <m:e>
            <m:r>
              <w:rPr>
                <w:rFonts w:ascii="Cambria Math" w:hAnsi="Cambria Math" w:cs="Times New Roman"/>
                <w:sz w:val="24"/>
                <w:szCs w:val="24"/>
              </w:rPr>
              <m:t>y=1</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 .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e>
        </m:d>
        <m:r>
          <w:rPr>
            <w:rFonts w:ascii="Cambria Math" w:hAnsi="Cambria Math" w:cs="Times New Roman"/>
            <w:sz w:val="24"/>
            <w:szCs w:val="24"/>
          </w:rPr>
          <m:t xml:space="preserve">                                    (2)</m:t>
        </m:r>
      </m:oMath>
      <w:r w:rsidRPr="002F0A14">
        <w:rPr>
          <w:rFonts w:ascii="Times New Roman" w:hAnsi="Times New Roman" w:cs="Times New Roman"/>
          <w:sz w:val="24"/>
          <w:szCs w:val="24"/>
        </w:rPr>
        <w:t xml:space="preserve">                                         </w:t>
      </w:r>
    </w:p>
    <w:p w:rsidR="00DE7D1E" w:rsidRPr="002F0A14" w:rsidRDefault="00DE7D1E"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Además de ser una técnica para establecer relaciones y predecir sucesos, permite interpretar los efectos en la variable dependiente mediante los valores de Odd Ratio</w:t>
      </w:r>
      <w:r w:rsidR="00903D87" w:rsidRPr="002F0A14">
        <w:rPr>
          <w:rFonts w:ascii="Times New Roman" w:hAnsi="Times New Roman" w:cs="Times New Roman"/>
          <w:sz w:val="24"/>
          <w:szCs w:val="24"/>
        </w:rPr>
        <w:t xml:space="preserve"> (razón de probabilidades)</w:t>
      </w:r>
      <w:r w:rsidRPr="002F0A14">
        <w:rPr>
          <w:rFonts w:ascii="Times New Roman" w:hAnsi="Times New Roman" w:cs="Times New Roman"/>
          <w:sz w:val="24"/>
          <w:szCs w:val="24"/>
        </w:rPr>
        <w:t>. Las probabilidades a favor de que ocurra un evento se definen como la probabilidad de que el evento ocurra, dividido por la probabilidad de que no ocurra. Sobre la base de un cierto conjunto de valores de las variables independientes, las posibilidades a favor de y = 1 se calculan de la siguiente manera:</w:t>
      </w:r>
    </w:p>
    <w:p w:rsidR="00DE7D1E" w:rsidRPr="002F0A14" w:rsidRDefault="00DE7D1E" w:rsidP="00D501E8">
      <w:pPr>
        <w:spacing w:line="360" w:lineRule="auto"/>
        <w:jc w:val="center"/>
        <w:rPr>
          <w:rFonts w:ascii="Times New Roman" w:hAnsi="Times New Roman" w:cs="Times New Roman"/>
          <w:sz w:val="24"/>
          <w:szCs w:val="24"/>
        </w:rPr>
      </w:pPr>
      <w:r w:rsidRPr="002F0A14">
        <w:rPr>
          <w:rFonts w:ascii="Times New Roman" w:hAnsi="Times New Roman" w:cs="Times New Roman"/>
          <w:sz w:val="24"/>
          <w:szCs w:val="24"/>
        </w:rPr>
        <w:t xml:space="preserve">          </w:t>
      </w:r>
      <m:oMath>
        <m:r>
          <w:rPr>
            <w:rFonts w:ascii="Cambria Math" w:hAnsi="Cambria Math" w:cs="Times New Roman"/>
            <w:sz w:val="24"/>
            <w:szCs w:val="24"/>
          </w:rPr>
          <m:t xml:space="preserve">odds= </m:t>
        </m:r>
        <m:f>
          <m:fPr>
            <m:ctrlPr>
              <w:rPr>
                <w:rFonts w:ascii="Cambria Math" w:hAnsi="Cambria Math" w:cs="Times New Roman"/>
                <w:i/>
                <w:sz w:val="24"/>
                <w:szCs w:val="24"/>
              </w:rPr>
            </m:ctrlPr>
          </m:fPr>
          <m:num>
            <m:r>
              <w:rPr>
                <w:rFonts w:ascii="Cambria Math" w:hAnsi="Cambria Math" w:cs="Times New Roman"/>
                <w:sz w:val="24"/>
                <w:szCs w:val="24"/>
              </w:rPr>
              <m:t>P(y=1|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 .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num>
          <m:den>
            <m:r>
              <w:rPr>
                <w:rFonts w:ascii="Cambria Math" w:hAnsi="Cambria Math" w:cs="Times New Roman"/>
                <w:sz w:val="24"/>
                <w:szCs w:val="24"/>
              </w:rPr>
              <m:t>P(y=0|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 .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den>
        </m:f>
        <m:r>
          <w:rPr>
            <w:rFonts w:ascii="Cambria Math" w:hAnsi="Cambria Math"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 .,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m:rPr>
                <m:sty m:val="p"/>
              </m:rPr>
              <w:rPr>
                <w:rFonts w:ascii="Cambria Math" w:hAnsi="Cambria Math" w:cs="Times New Roman"/>
                <w:sz w:val="24"/>
                <w:szCs w:val="24"/>
              </w:rPr>
              <m:t>)</m:t>
            </m:r>
          </m:num>
          <m:den>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 .,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m:rPr>
                <m:sty m:val="p"/>
              </m:rPr>
              <w:rPr>
                <w:rFonts w:ascii="Cambria Math" w:hAnsi="Cambria Math" w:cs="Times New Roman"/>
                <w:sz w:val="24"/>
                <w:szCs w:val="24"/>
              </w:rPr>
              <m:t>)</m:t>
            </m:r>
          </m:den>
        </m:f>
      </m:oMath>
      <w:r w:rsidRPr="002F0A14">
        <w:rPr>
          <w:rFonts w:ascii="Times New Roman" w:hAnsi="Times New Roman" w:cs="Times New Roman"/>
          <w:sz w:val="24"/>
          <w:szCs w:val="24"/>
        </w:rPr>
        <w:t xml:space="preserve">       (3)                             </w:t>
      </w:r>
    </w:p>
    <w:p w:rsidR="00DE7D1E" w:rsidRPr="002F0A14" w:rsidRDefault="00DE7D1E"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Por lo tanto, el odd ratio ayuda a medir el impacto que un aumento en una unidad de las variables independientes tiene en estas posibilidades o el impacto de una categoría sobre otra para variables cualitativas. Esto está dado por la probabilidad de y = 1 cuando una de las variables independientes aumenta (Odds A) por una unidad dividida por la probabilidad de que y = 1 cuando no ha habido cambio en los valores de la variable independiente (Odds B).</w:t>
      </w:r>
    </w:p>
    <w:p w:rsidR="00DE7D1E" w:rsidRPr="002F0A14" w:rsidRDefault="00DE7D1E" w:rsidP="00D501E8">
      <w:pPr>
        <w:spacing w:line="360" w:lineRule="auto"/>
        <w:jc w:val="center"/>
        <w:rPr>
          <w:rFonts w:ascii="Times New Roman" w:hAnsi="Times New Roman" w:cs="Times New Roman"/>
          <w:sz w:val="24"/>
          <w:szCs w:val="24"/>
        </w:rPr>
      </w:pPr>
      <w:r w:rsidRPr="002F0A14">
        <w:rPr>
          <w:rFonts w:ascii="Times New Roman" w:hAnsi="Times New Roman" w:cs="Times New Roman"/>
          <w:sz w:val="24"/>
          <w:szCs w:val="24"/>
        </w:rPr>
        <w:t xml:space="preserve">                       </w:t>
      </w:r>
      <m:oMath>
        <m:r>
          <w:rPr>
            <w:rFonts w:ascii="Cambria Math" w:hAnsi="Cambria Math" w:cs="Times New Roman"/>
            <w:sz w:val="24"/>
            <w:szCs w:val="24"/>
          </w:rPr>
          <m:t xml:space="preserve"> odd ratio= </m:t>
        </m:r>
        <m:f>
          <m:fPr>
            <m:ctrlPr>
              <w:rPr>
                <w:rFonts w:ascii="Cambria Math" w:hAnsi="Cambria Math" w:cs="Times New Roman"/>
                <w:i/>
                <w:sz w:val="24"/>
                <w:szCs w:val="24"/>
              </w:rPr>
            </m:ctrlPr>
          </m:fPr>
          <m:num>
            <m:r>
              <w:rPr>
                <w:rFonts w:ascii="Cambria Math" w:hAnsi="Cambria Math" w:cs="Times New Roman"/>
                <w:sz w:val="24"/>
                <w:szCs w:val="24"/>
              </w:rPr>
              <m:t>Odds A</m:t>
            </m:r>
          </m:num>
          <m:den>
            <m:r>
              <w:rPr>
                <w:rFonts w:ascii="Cambria Math" w:hAnsi="Cambria Math" w:cs="Times New Roman"/>
                <w:sz w:val="24"/>
                <w:szCs w:val="24"/>
              </w:rPr>
              <m:t>Odds B</m:t>
            </m:r>
          </m:den>
        </m:f>
      </m:oMath>
      <w:r w:rsidRPr="002F0A14">
        <w:rPr>
          <w:rFonts w:ascii="Times New Roman" w:hAnsi="Times New Roman" w:cs="Times New Roman"/>
          <w:sz w:val="24"/>
          <w:szCs w:val="24"/>
        </w:rPr>
        <w:t xml:space="preserve">                       (4)</w:t>
      </w:r>
    </w:p>
    <w:p w:rsidR="007A2281" w:rsidRPr="002F0A14" w:rsidRDefault="007A2281" w:rsidP="00D501E8">
      <w:pPr>
        <w:spacing w:line="360" w:lineRule="auto"/>
        <w:rPr>
          <w:rFonts w:ascii="Times New Roman" w:hAnsi="Times New Roman" w:cs="Times New Roman"/>
          <w:sz w:val="24"/>
          <w:szCs w:val="24"/>
        </w:rPr>
      </w:pPr>
      <w:r w:rsidRPr="002F0A14">
        <w:rPr>
          <w:rFonts w:ascii="Times New Roman" w:hAnsi="Times New Roman" w:cs="Times New Roman"/>
          <w:b/>
          <w:sz w:val="24"/>
          <w:szCs w:val="24"/>
        </w:rPr>
        <w:t>Resultados</w:t>
      </w:r>
    </w:p>
    <w:p w:rsidR="00DE7D1E" w:rsidRPr="002F0A14" w:rsidRDefault="003A130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lastRenderedPageBreak/>
        <w:t xml:space="preserve">Los resultados </w:t>
      </w:r>
      <w:r w:rsidR="00756897" w:rsidRPr="002F0A14">
        <w:rPr>
          <w:rFonts w:ascii="Times New Roman" w:hAnsi="Times New Roman" w:cs="Times New Roman"/>
          <w:sz w:val="24"/>
          <w:szCs w:val="24"/>
        </w:rPr>
        <w:t xml:space="preserve">presentados en la Tabla 2 </w:t>
      </w:r>
      <w:r w:rsidRPr="002F0A14">
        <w:rPr>
          <w:rFonts w:ascii="Times New Roman" w:hAnsi="Times New Roman" w:cs="Times New Roman"/>
          <w:sz w:val="24"/>
          <w:szCs w:val="24"/>
        </w:rPr>
        <w:t>para las pruebas de independencia muestran una relación estadística a diferentes niveles de significancia para los tres tipos de sustancias anal</w:t>
      </w:r>
      <w:r w:rsidR="00756897" w:rsidRPr="002F0A14">
        <w:rPr>
          <w:rFonts w:ascii="Times New Roman" w:hAnsi="Times New Roman" w:cs="Times New Roman"/>
          <w:sz w:val="24"/>
          <w:szCs w:val="24"/>
        </w:rPr>
        <w:t>izadas. Existe</w:t>
      </w:r>
      <w:r w:rsidRPr="002F0A14">
        <w:rPr>
          <w:rFonts w:ascii="Times New Roman" w:hAnsi="Times New Roman" w:cs="Times New Roman"/>
          <w:sz w:val="24"/>
          <w:szCs w:val="24"/>
        </w:rPr>
        <w:t xml:space="preserve"> relación entre nivel de satisfacción de la función familiar y el nivel de riesgo del</w:t>
      </w:r>
      <w:r w:rsidR="00756897" w:rsidRPr="002F0A14">
        <w:rPr>
          <w:rFonts w:ascii="Times New Roman" w:hAnsi="Times New Roman" w:cs="Times New Roman"/>
          <w:sz w:val="24"/>
          <w:szCs w:val="24"/>
        </w:rPr>
        <w:t xml:space="preserve"> consumo de drogas </w:t>
      </w:r>
      <w:r w:rsidR="006F5181" w:rsidRPr="002F0A14">
        <w:rPr>
          <w:rFonts w:ascii="Times New Roman" w:hAnsi="Times New Roman" w:cs="Times New Roman"/>
          <w:sz w:val="24"/>
          <w:szCs w:val="24"/>
        </w:rPr>
        <w:t xml:space="preserve">(χ² (4, 664) = 15.11, </w:t>
      </w:r>
      <w:r w:rsidR="00756897" w:rsidRPr="002F0A14">
        <w:rPr>
          <w:rFonts w:ascii="Times New Roman" w:hAnsi="Times New Roman" w:cs="Times New Roman"/>
          <w:sz w:val="24"/>
          <w:szCs w:val="24"/>
        </w:rPr>
        <w:t xml:space="preserve">p&lt;.01), </w:t>
      </w:r>
      <w:r w:rsidRPr="002F0A14">
        <w:rPr>
          <w:rFonts w:ascii="Times New Roman" w:hAnsi="Times New Roman" w:cs="Times New Roman"/>
          <w:sz w:val="24"/>
          <w:szCs w:val="24"/>
        </w:rPr>
        <w:t>entre nivel de satisfacción de la función familiar y el nivel de riesgo del consumo de alcohol</w:t>
      </w:r>
      <w:r w:rsidR="00756897" w:rsidRPr="002F0A14">
        <w:rPr>
          <w:rFonts w:ascii="Times New Roman" w:hAnsi="Times New Roman" w:cs="Times New Roman"/>
          <w:sz w:val="24"/>
          <w:szCs w:val="24"/>
        </w:rPr>
        <w:t xml:space="preserve"> (</w:t>
      </w:r>
      <w:r w:rsidR="006F5181" w:rsidRPr="002F0A14">
        <w:rPr>
          <w:rFonts w:ascii="Times New Roman" w:hAnsi="Times New Roman" w:cs="Times New Roman"/>
          <w:sz w:val="24"/>
          <w:szCs w:val="24"/>
        </w:rPr>
        <w:t xml:space="preserve">χ² (4, 664)  = 10.971,  </w:t>
      </w:r>
      <w:r w:rsidR="00756897" w:rsidRPr="002F0A14">
        <w:rPr>
          <w:rFonts w:ascii="Times New Roman" w:hAnsi="Times New Roman" w:cs="Times New Roman"/>
          <w:sz w:val="24"/>
          <w:szCs w:val="24"/>
        </w:rPr>
        <w:t xml:space="preserve">p&lt;.05) y </w:t>
      </w:r>
      <w:r w:rsidRPr="002F0A14">
        <w:rPr>
          <w:rFonts w:ascii="Times New Roman" w:hAnsi="Times New Roman" w:cs="Times New Roman"/>
          <w:sz w:val="24"/>
          <w:szCs w:val="24"/>
        </w:rPr>
        <w:t>entre nivel de satisfacción de la función familiar y el nivel de riesgo del consumo de tabaco</w:t>
      </w:r>
      <w:r w:rsidR="00756897" w:rsidRPr="002F0A14">
        <w:rPr>
          <w:rFonts w:ascii="Times New Roman" w:hAnsi="Times New Roman" w:cs="Times New Roman"/>
          <w:sz w:val="24"/>
          <w:szCs w:val="24"/>
        </w:rPr>
        <w:t xml:space="preserve"> (</w:t>
      </w:r>
      <w:r w:rsidR="006F5181" w:rsidRPr="002F0A14">
        <w:rPr>
          <w:rFonts w:ascii="Times New Roman" w:hAnsi="Times New Roman" w:cs="Times New Roman"/>
          <w:sz w:val="24"/>
          <w:szCs w:val="24"/>
        </w:rPr>
        <w:t xml:space="preserve">χ² (4, 664)  = 9.35, </w:t>
      </w:r>
      <w:r w:rsidR="00756897" w:rsidRPr="002F0A14">
        <w:rPr>
          <w:rFonts w:ascii="Times New Roman" w:hAnsi="Times New Roman" w:cs="Times New Roman"/>
          <w:sz w:val="24"/>
          <w:szCs w:val="24"/>
        </w:rPr>
        <w:t>p&lt;</w:t>
      </w:r>
      <w:r w:rsidRPr="002F0A14">
        <w:rPr>
          <w:rFonts w:ascii="Times New Roman" w:hAnsi="Times New Roman" w:cs="Times New Roman"/>
          <w:sz w:val="24"/>
          <w:szCs w:val="24"/>
        </w:rPr>
        <w:t>.10</w:t>
      </w:r>
      <w:r w:rsidR="00756897" w:rsidRPr="002F0A14">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19"/>
        <w:gridCol w:w="1620"/>
        <w:gridCol w:w="1890"/>
      </w:tblGrid>
      <w:tr w:rsidR="00996BCD" w:rsidRPr="002F0A14" w:rsidTr="008E4829">
        <w:trPr>
          <w:jc w:val="center"/>
        </w:trPr>
        <w:tc>
          <w:tcPr>
            <w:tcW w:w="6925" w:type="dxa"/>
            <w:gridSpan w:val="4"/>
          </w:tcPr>
          <w:p w:rsidR="00996BCD" w:rsidRPr="002F0A14" w:rsidRDefault="00996BCD"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Tabla 2.</w:t>
            </w:r>
          </w:p>
        </w:tc>
      </w:tr>
      <w:tr w:rsidR="00996BCD" w:rsidRPr="002F0A14" w:rsidTr="008E4829">
        <w:trPr>
          <w:jc w:val="center"/>
        </w:trPr>
        <w:tc>
          <w:tcPr>
            <w:tcW w:w="6925" w:type="dxa"/>
            <w:gridSpan w:val="4"/>
            <w:tcBorders>
              <w:bottom w:val="single" w:sz="4" w:space="0" w:color="auto"/>
            </w:tcBorders>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Perfiles de fila y valores de chi-cuadrado</w:t>
            </w:r>
          </w:p>
        </w:tc>
      </w:tr>
      <w:tr w:rsidR="00996BCD" w:rsidRPr="002F0A14" w:rsidTr="008E4829">
        <w:trPr>
          <w:jc w:val="center"/>
        </w:trPr>
        <w:tc>
          <w:tcPr>
            <w:tcW w:w="1696" w:type="dxa"/>
            <w:tcBorders>
              <w:top w:val="single" w:sz="4" w:space="0" w:color="auto"/>
              <w:bottom w:val="single" w:sz="4" w:space="0" w:color="auto"/>
            </w:tcBorders>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5229" w:type="dxa"/>
            <w:gridSpan w:val="3"/>
            <w:tcBorders>
              <w:top w:val="single" w:sz="4" w:space="0" w:color="auto"/>
              <w:bottom w:val="single" w:sz="4" w:space="0" w:color="auto"/>
            </w:tcBorders>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Consumo Drogas</w:t>
            </w:r>
          </w:p>
        </w:tc>
      </w:tr>
      <w:tr w:rsidR="00DE7D1E" w:rsidRPr="002F0A14" w:rsidTr="008E4829">
        <w:trPr>
          <w:jc w:val="center"/>
        </w:trPr>
        <w:tc>
          <w:tcPr>
            <w:tcW w:w="1696" w:type="dxa"/>
            <w:tcBorders>
              <w:top w:val="single" w:sz="4" w:space="0" w:color="auto"/>
            </w:tcBorders>
          </w:tcPr>
          <w:p w:rsidR="00DE7D1E" w:rsidRPr="002F0A14" w:rsidRDefault="009F11C2"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Satisfacción de la función f</w:t>
            </w:r>
            <w:r w:rsidR="00DE7D1E" w:rsidRPr="002F0A14">
              <w:rPr>
                <w:rFonts w:ascii="Times New Roman" w:eastAsiaTheme="minorHAnsi" w:hAnsi="Times New Roman" w:cs="Times New Roman"/>
                <w:b/>
                <w:sz w:val="24"/>
                <w:szCs w:val="24"/>
                <w:lang w:val="es-EC"/>
              </w:rPr>
              <w:t>amilia</w:t>
            </w:r>
            <w:r w:rsidRPr="002F0A14">
              <w:rPr>
                <w:rFonts w:ascii="Times New Roman" w:eastAsiaTheme="minorHAnsi" w:hAnsi="Times New Roman" w:cs="Times New Roman"/>
                <w:b/>
                <w:sz w:val="24"/>
                <w:szCs w:val="24"/>
                <w:lang w:val="es-EC"/>
              </w:rPr>
              <w:t>r</w:t>
            </w:r>
          </w:p>
        </w:tc>
        <w:tc>
          <w:tcPr>
            <w:tcW w:w="1719"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No consume</w:t>
            </w:r>
          </w:p>
        </w:tc>
        <w:tc>
          <w:tcPr>
            <w:tcW w:w="162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Leve</w:t>
            </w:r>
          </w:p>
        </w:tc>
        <w:tc>
          <w:tcPr>
            <w:tcW w:w="189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Moderado -</w:t>
            </w:r>
          </w:p>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Alto</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0.79</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0.02</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0.19</w:t>
            </w:r>
          </w:p>
        </w:tc>
      </w:tr>
      <w:tr w:rsidR="00DE7D1E" w:rsidRPr="002F0A14" w:rsidTr="008E4829">
        <w:trPr>
          <w:jc w:val="center"/>
        </w:trPr>
        <w:tc>
          <w:tcPr>
            <w:tcW w:w="1696" w:type="dxa"/>
          </w:tcPr>
          <w:p w:rsidR="00DE7D1E"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719" w:type="dxa"/>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0.82</w:t>
            </w:r>
          </w:p>
        </w:tc>
        <w:tc>
          <w:tcPr>
            <w:tcW w:w="1620" w:type="dxa"/>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0.05</w:t>
            </w:r>
          </w:p>
        </w:tc>
        <w:tc>
          <w:tcPr>
            <w:tcW w:w="1890" w:type="dxa"/>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0.13</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0.90</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0.03</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0.07</w:t>
            </w:r>
          </w:p>
        </w:tc>
      </w:tr>
      <w:tr w:rsidR="00DE7D1E" w:rsidRPr="002F0A14" w:rsidTr="008E4829">
        <w:trPr>
          <w:jc w:val="center"/>
        </w:trPr>
        <w:tc>
          <w:tcPr>
            <w:tcW w:w="6925" w:type="dxa"/>
            <w:gridSpan w:val="4"/>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Prueba de independencia:   χ² </w:t>
            </w:r>
            <w:r w:rsidR="0011137A" w:rsidRPr="002F0A14">
              <w:rPr>
                <w:rFonts w:ascii="Times New Roman" w:eastAsiaTheme="minorHAnsi" w:hAnsi="Times New Roman" w:cs="Times New Roman"/>
                <w:sz w:val="24"/>
                <w:szCs w:val="24"/>
                <w:lang w:val="es-EC"/>
              </w:rPr>
              <w:t>(4, 664)</w:t>
            </w:r>
            <w:r w:rsidRPr="002F0A14">
              <w:rPr>
                <w:rFonts w:ascii="Times New Roman" w:eastAsiaTheme="minorHAnsi" w:hAnsi="Times New Roman" w:cs="Times New Roman"/>
                <w:sz w:val="24"/>
                <w:szCs w:val="24"/>
                <w:lang w:val="es-EC"/>
              </w:rPr>
              <w:t xml:space="preserve"> = 15.11    </w:t>
            </w:r>
            <w:r w:rsidR="0011137A" w:rsidRPr="002F0A14">
              <w:rPr>
                <w:rFonts w:ascii="Times New Roman" w:eastAsiaTheme="minorHAnsi" w:hAnsi="Times New Roman" w:cs="Times New Roman"/>
                <w:sz w:val="24"/>
                <w:szCs w:val="24"/>
                <w:lang w:val="es-EC"/>
              </w:rPr>
              <w:t>p&lt;.01</w:t>
            </w:r>
          </w:p>
        </w:tc>
      </w:tr>
      <w:tr w:rsidR="00DE7D1E" w:rsidRPr="002F0A14" w:rsidTr="008E4829">
        <w:trPr>
          <w:jc w:val="center"/>
        </w:trPr>
        <w:tc>
          <w:tcPr>
            <w:tcW w:w="1696" w:type="dxa"/>
            <w:tcBorders>
              <w:bottom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5229" w:type="dxa"/>
            <w:gridSpan w:val="3"/>
            <w:tcBorders>
              <w:bottom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Consumo Tabaco</w:t>
            </w:r>
          </w:p>
        </w:tc>
      </w:tr>
      <w:tr w:rsidR="00DE7D1E" w:rsidRPr="002F0A14" w:rsidTr="008E4829">
        <w:trPr>
          <w:jc w:val="center"/>
        </w:trPr>
        <w:tc>
          <w:tcPr>
            <w:tcW w:w="1696" w:type="dxa"/>
            <w:tcBorders>
              <w:top w:val="single" w:sz="4" w:space="0" w:color="auto"/>
            </w:tcBorders>
          </w:tcPr>
          <w:p w:rsidR="00DE7D1E" w:rsidRPr="002F0A14" w:rsidRDefault="009F11C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 xml:space="preserve">Satisfacción de la función </w:t>
            </w:r>
            <w:r w:rsidR="00DE7D1E" w:rsidRPr="002F0A14">
              <w:rPr>
                <w:rFonts w:ascii="Times New Roman" w:eastAsiaTheme="minorHAnsi" w:hAnsi="Times New Roman" w:cs="Times New Roman"/>
                <w:b/>
                <w:sz w:val="24"/>
                <w:szCs w:val="24"/>
                <w:lang w:val="es-EC"/>
              </w:rPr>
              <w:t>Familia</w:t>
            </w:r>
            <w:r w:rsidRPr="002F0A14">
              <w:rPr>
                <w:rFonts w:ascii="Times New Roman" w:eastAsiaTheme="minorHAnsi" w:hAnsi="Times New Roman" w:cs="Times New Roman"/>
                <w:b/>
                <w:sz w:val="24"/>
                <w:szCs w:val="24"/>
                <w:lang w:val="es-EC"/>
              </w:rPr>
              <w:t>r</w:t>
            </w:r>
          </w:p>
        </w:tc>
        <w:tc>
          <w:tcPr>
            <w:tcW w:w="1719"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No consume</w:t>
            </w:r>
          </w:p>
        </w:tc>
        <w:tc>
          <w:tcPr>
            <w:tcW w:w="162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Leve</w:t>
            </w:r>
          </w:p>
        </w:tc>
        <w:tc>
          <w:tcPr>
            <w:tcW w:w="189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Moderado -</w:t>
            </w:r>
          </w:p>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Alto</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0.65</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0.11</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0.24</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0.69</w:t>
            </w:r>
          </w:p>
        </w:tc>
        <w:tc>
          <w:tcPr>
            <w:tcW w:w="1620" w:type="dxa"/>
          </w:tcPr>
          <w:p w:rsidR="00996BCD" w:rsidRPr="002F0A14" w:rsidRDefault="00996BCD" w:rsidP="00D501E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061"/>
              </w:tabs>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0.09</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0.22</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0.77</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0.09</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0.14</w:t>
            </w:r>
          </w:p>
        </w:tc>
      </w:tr>
      <w:tr w:rsidR="00DE7D1E" w:rsidRPr="002F0A14" w:rsidTr="008E4829">
        <w:trPr>
          <w:jc w:val="center"/>
        </w:trPr>
        <w:tc>
          <w:tcPr>
            <w:tcW w:w="6925" w:type="dxa"/>
            <w:gridSpan w:val="4"/>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Prueba de independencia</w:t>
            </w:r>
            <w:r w:rsidR="0011137A" w:rsidRPr="002F0A14">
              <w:rPr>
                <w:rFonts w:ascii="Times New Roman" w:eastAsiaTheme="minorHAnsi" w:hAnsi="Times New Roman" w:cs="Times New Roman"/>
                <w:sz w:val="24"/>
                <w:szCs w:val="24"/>
                <w:lang w:val="es-EC"/>
              </w:rPr>
              <w:t>:   χ² (4, 664)  = 9.35   p&lt;.10</w:t>
            </w:r>
          </w:p>
        </w:tc>
      </w:tr>
      <w:tr w:rsidR="00DE7D1E" w:rsidRPr="002F0A14" w:rsidTr="008E4829">
        <w:trPr>
          <w:jc w:val="center"/>
        </w:trPr>
        <w:tc>
          <w:tcPr>
            <w:tcW w:w="1696" w:type="dxa"/>
            <w:tcBorders>
              <w:bottom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5229" w:type="dxa"/>
            <w:gridSpan w:val="3"/>
            <w:tcBorders>
              <w:bottom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Consumo Alcohol</w:t>
            </w:r>
          </w:p>
        </w:tc>
      </w:tr>
      <w:tr w:rsidR="00DE7D1E" w:rsidRPr="002F0A14" w:rsidTr="008E4829">
        <w:trPr>
          <w:jc w:val="center"/>
        </w:trPr>
        <w:tc>
          <w:tcPr>
            <w:tcW w:w="1696" w:type="dxa"/>
            <w:tcBorders>
              <w:top w:val="single" w:sz="4" w:space="0" w:color="auto"/>
            </w:tcBorders>
          </w:tcPr>
          <w:p w:rsidR="00DE7D1E" w:rsidRPr="002F0A14" w:rsidRDefault="009F11C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Satisfacción de la función Familiar</w:t>
            </w:r>
          </w:p>
        </w:tc>
        <w:tc>
          <w:tcPr>
            <w:tcW w:w="1719"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No consume</w:t>
            </w:r>
          </w:p>
        </w:tc>
        <w:tc>
          <w:tcPr>
            <w:tcW w:w="162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Leve</w:t>
            </w:r>
          </w:p>
        </w:tc>
        <w:tc>
          <w:tcPr>
            <w:tcW w:w="1890" w:type="dxa"/>
            <w:tcBorders>
              <w:top w:val="single" w:sz="4" w:space="0" w:color="auto"/>
            </w:tcBorders>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Riesgo Moderado -</w:t>
            </w:r>
          </w:p>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Alto</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0.49</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0.21</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0.30</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0.47</w:t>
            </w:r>
          </w:p>
        </w:tc>
        <w:tc>
          <w:tcPr>
            <w:tcW w:w="1620" w:type="dxa"/>
          </w:tcPr>
          <w:p w:rsidR="00996BCD" w:rsidRPr="002F0A14" w:rsidRDefault="00996BCD" w:rsidP="00D501E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061"/>
              </w:tabs>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0.24</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0.29</w:t>
            </w:r>
          </w:p>
        </w:tc>
      </w:tr>
      <w:tr w:rsidR="00996BCD" w:rsidRPr="002F0A14" w:rsidTr="008E4829">
        <w:trPr>
          <w:jc w:val="center"/>
        </w:trPr>
        <w:tc>
          <w:tcPr>
            <w:tcW w:w="1696" w:type="dxa"/>
          </w:tcPr>
          <w:p w:rsidR="00996BCD" w:rsidRPr="002F0A14" w:rsidRDefault="00996BCD"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Alta</w:t>
            </w:r>
          </w:p>
        </w:tc>
        <w:tc>
          <w:tcPr>
            <w:tcW w:w="1719"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0.61</w:t>
            </w:r>
          </w:p>
        </w:tc>
        <w:tc>
          <w:tcPr>
            <w:tcW w:w="162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0.17</w:t>
            </w:r>
          </w:p>
        </w:tc>
        <w:tc>
          <w:tcPr>
            <w:tcW w:w="1890" w:type="dxa"/>
          </w:tcPr>
          <w:p w:rsidR="00996BCD" w:rsidRPr="002F0A14" w:rsidRDefault="00996BCD"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0.22</w:t>
            </w:r>
          </w:p>
        </w:tc>
      </w:tr>
      <w:tr w:rsidR="00DE7D1E" w:rsidRPr="002F0A14" w:rsidTr="008E4829">
        <w:trPr>
          <w:jc w:val="center"/>
        </w:trPr>
        <w:tc>
          <w:tcPr>
            <w:tcW w:w="6925" w:type="dxa"/>
            <w:gridSpan w:val="4"/>
          </w:tcPr>
          <w:p w:rsidR="00DE7D1E" w:rsidRPr="002F0A14" w:rsidRDefault="00DE7D1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lastRenderedPageBreak/>
              <w:t xml:space="preserve">Prueba de independencia: </w:t>
            </w:r>
            <w:r w:rsidR="0011137A" w:rsidRPr="002F0A14">
              <w:rPr>
                <w:rFonts w:ascii="Times New Roman" w:eastAsiaTheme="minorHAnsi" w:hAnsi="Times New Roman" w:cs="Times New Roman"/>
                <w:sz w:val="24"/>
                <w:szCs w:val="24"/>
                <w:lang w:val="es-EC"/>
              </w:rPr>
              <w:t xml:space="preserve">  χ² (4, 664)  = 10.971   p&lt;.05</w:t>
            </w:r>
          </w:p>
        </w:tc>
      </w:tr>
      <w:tr w:rsidR="009C7D24" w:rsidRPr="002F0A14" w:rsidTr="008E4829">
        <w:trPr>
          <w:jc w:val="center"/>
        </w:trPr>
        <w:tc>
          <w:tcPr>
            <w:tcW w:w="6925" w:type="dxa"/>
            <w:gridSpan w:val="4"/>
          </w:tcPr>
          <w:p w:rsidR="009C7D24" w:rsidRPr="002F0A14" w:rsidRDefault="009C7D24"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 xml:space="preserve">Nota: </w:t>
            </w:r>
            <w:r w:rsidRPr="002F0A14">
              <w:rPr>
                <w:rFonts w:ascii="Times New Roman" w:eastAsiaTheme="minorHAnsi" w:hAnsi="Times New Roman" w:cs="Times New Roman"/>
                <w:sz w:val="24"/>
                <w:szCs w:val="24"/>
                <w:lang w:val="es-EC"/>
              </w:rPr>
              <w:t xml:space="preserve">χ² = Chi cuadrada de Pearson </w:t>
            </w:r>
          </w:p>
        </w:tc>
      </w:tr>
    </w:tbl>
    <w:p w:rsidR="00205197" w:rsidRPr="002F0A14" w:rsidRDefault="00205197" w:rsidP="00DE7D1E">
      <w:pPr>
        <w:autoSpaceDE w:val="0"/>
        <w:autoSpaceDN w:val="0"/>
        <w:adjustRightInd w:val="0"/>
        <w:spacing w:after="0" w:line="360" w:lineRule="auto"/>
        <w:jc w:val="both"/>
        <w:rPr>
          <w:rFonts w:ascii="Times New Roman" w:hAnsi="Times New Roman" w:cs="Times New Roman"/>
          <w:sz w:val="24"/>
          <w:szCs w:val="24"/>
        </w:rPr>
      </w:pPr>
    </w:p>
    <w:p w:rsidR="003A1309" w:rsidRPr="002F0A14" w:rsidRDefault="003A130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La rela</w:t>
      </w:r>
      <w:r w:rsidR="008151B2" w:rsidRPr="002F0A14">
        <w:rPr>
          <w:rFonts w:ascii="Times New Roman" w:hAnsi="Times New Roman" w:cs="Times New Roman"/>
          <w:sz w:val="24"/>
          <w:szCs w:val="24"/>
        </w:rPr>
        <w:t>ción entre la Satisf</w:t>
      </w:r>
      <w:r w:rsidRPr="002F0A14">
        <w:rPr>
          <w:rFonts w:ascii="Times New Roman" w:hAnsi="Times New Roman" w:cs="Times New Roman"/>
          <w:sz w:val="24"/>
          <w:szCs w:val="24"/>
        </w:rPr>
        <w:t>acción de la Función familiar y el Riesgo Moderado-Alto de consumo de drogas mostró que el 7</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de los ind</w:t>
      </w:r>
      <w:r w:rsidR="008151B2" w:rsidRPr="002F0A14">
        <w:rPr>
          <w:rFonts w:ascii="Times New Roman" w:hAnsi="Times New Roman" w:cs="Times New Roman"/>
          <w:sz w:val="24"/>
          <w:szCs w:val="24"/>
        </w:rPr>
        <w:t>ividuos tuvieron una Satisfacció</w:t>
      </w:r>
      <w:r w:rsidRPr="002F0A14">
        <w:rPr>
          <w:rFonts w:ascii="Times New Roman" w:hAnsi="Times New Roman" w:cs="Times New Roman"/>
          <w:sz w:val="24"/>
          <w:szCs w:val="24"/>
        </w:rPr>
        <w:t>n de la Función familiar alta, el 13</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media, y el 19</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baja.</w:t>
      </w:r>
    </w:p>
    <w:p w:rsidR="003A1309" w:rsidRPr="002F0A14" w:rsidRDefault="003A130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Se observó que el porcentaje de riesgo de consumo moderado-alto aumenta cuando el adolescente percibe una baja satisfacción de la función familiar. Complementariamente, se observó que está relación se da de manera inversa para la categoría </w:t>
      </w:r>
      <w:r w:rsidRPr="002F0A14">
        <w:rPr>
          <w:rFonts w:ascii="Times New Roman" w:hAnsi="Times New Roman" w:cs="Times New Roman"/>
          <w:i/>
          <w:sz w:val="24"/>
          <w:szCs w:val="24"/>
        </w:rPr>
        <w:t>No Consume</w:t>
      </w:r>
      <w:r w:rsidRPr="002F0A14">
        <w:rPr>
          <w:rFonts w:ascii="Times New Roman" w:hAnsi="Times New Roman" w:cs="Times New Roman"/>
          <w:sz w:val="24"/>
          <w:szCs w:val="24"/>
        </w:rPr>
        <w:t>.</w:t>
      </w:r>
    </w:p>
    <w:p w:rsidR="00172919" w:rsidRPr="002F0A14" w:rsidRDefault="0017291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Para la relación entre nivel de satisfacción de la función familiar y el nivel de riesgo del consumo de tabaco se notó una tendencia parecida a la relación con otras drogas, pero menos variable. El porcentaje de individuos con un consumo de riesgo moderado – alto va aumentando de 14</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a 22</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y a 24</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xml:space="preserve">% dados (los niveles de alta satisfacción, media satisfacción y baja satisfacción de la función familiar). Similarmente, el porcentaje de individuos que no consumen tabaco aumentó según estos respectivos niveles de percepción familiar, y no se identificó ninguna tendencia para el nivel de consumo de </w:t>
      </w:r>
      <w:r w:rsidRPr="002F0A14">
        <w:rPr>
          <w:rFonts w:ascii="Times New Roman" w:hAnsi="Times New Roman" w:cs="Times New Roman"/>
          <w:i/>
          <w:sz w:val="24"/>
          <w:szCs w:val="24"/>
        </w:rPr>
        <w:t>riesgo leve</w:t>
      </w:r>
      <w:r w:rsidRPr="002F0A14">
        <w:rPr>
          <w:rFonts w:ascii="Times New Roman" w:hAnsi="Times New Roman" w:cs="Times New Roman"/>
          <w:sz w:val="24"/>
          <w:szCs w:val="24"/>
        </w:rPr>
        <w:t>.</w:t>
      </w:r>
    </w:p>
    <w:p w:rsidR="00172919" w:rsidRPr="002F0A14" w:rsidRDefault="0017291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Finalmente, la relación entre el nivel de </w:t>
      </w:r>
      <w:r w:rsidRPr="002F0A14">
        <w:rPr>
          <w:rFonts w:ascii="Times New Roman" w:hAnsi="Times New Roman" w:cs="Times New Roman"/>
          <w:i/>
          <w:sz w:val="24"/>
          <w:szCs w:val="24"/>
        </w:rPr>
        <w:t xml:space="preserve">satisfacción de la función familiar </w:t>
      </w:r>
      <w:r w:rsidRPr="002F0A14">
        <w:rPr>
          <w:rFonts w:ascii="Times New Roman" w:hAnsi="Times New Roman" w:cs="Times New Roman"/>
          <w:sz w:val="24"/>
          <w:szCs w:val="24"/>
        </w:rPr>
        <w:t xml:space="preserve">y el nivel de </w:t>
      </w:r>
      <w:r w:rsidRPr="002F0A14">
        <w:rPr>
          <w:rFonts w:ascii="Times New Roman" w:hAnsi="Times New Roman" w:cs="Times New Roman"/>
          <w:i/>
          <w:sz w:val="24"/>
          <w:szCs w:val="24"/>
        </w:rPr>
        <w:t xml:space="preserve">riesgo del consumo </w:t>
      </w:r>
      <w:r w:rsidRPr="002F0A14">
        <w:rPr>
          <w:rFonts w:ascii="Times New Roman" w:hAnsi="Times New Roman" w:cs="Times New Roman"/>
          <w:sz w:val="24"/>
          <w:szCs w:val="24"/>
        </w:rPr>
        <w:t>de alcohol, se pudo observar que para individuos que presentan alta satisfacción de la función familiar el 22</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tienen un consumo de riesgo moderado–alto, mientras que para individuos que presentan media y baja satisfacción de la función familiar, el 29 y 30</w:t>
      </w:r>
      <w:r w:rsidR="008151B2" w:rsidRPr="002F0A14">
        <w:rPr>
          <w:rFonts w:ascii="Times New Roman" w:hAnsi="Times New Roman" w:cs="Times New Roman"/>
          <w:sz w:val="24"/>
          <w:szCs w:val="24"/>
        </w:rPr>
        <w:t xml:space="preserve"> </w:t>
      </w:r>
      <w:r w:rsidRPr="002F0A14">
        <w:rPr>
          <w:rFonts w:ascii="Times New Roman" w:hAnsi="Times New Roman" w:cs="Times New Roman"/>
          <w:sz w:val="24"/>
          <w:szCs w:val="24"/>
        </w:rPr>
        <w:t>% de ellos tienen un consumo de riesgo leve y moderado–alto respectivamente. Se identificó la misma tendencia para el consumo de tabaco y otras drogas. Las diferencias en los niveles de riesgo del consumo de otras drogas, alcohol y tabaco entre media y baja satisfacción de la función familiar no se ven vieron muy acentuadas. Además, existieron porcentajes más equilibrados entre los niveles de riesgo del consumo expuestas en la tabla de otras drogas y tabaco, esto debido a una mayor tende</w:t>
      </w:r>
      <w:bookmarkStart w:id="0" w:name="_GoBack"/>
      <w:bookmarkEnd w:id="0"/>
      <w:r w:rsidRPr="002F0A14">
        <w:rPr>
          <w:rFonts w:ascii="Times New Roman" w:hAnsi="Times New Roman" w:cs="Times New Roman"/>
          <w:sz w:val="24"/>
          <w:szCs w:val="24"/>
        </w:rPr>
        <w:t>ncia al consumo de alcohol por parte de los adolescentes.</w:t>
      </w:r>
    </w:p>
    <w:p w:rsidR="00F9231A" w:rsidRPr="00B25A53" w:rsidRDefault="00F9231A" w:rsidP="00D501E8">
      <w:pPr>
        <w:autoSpaceDE w:val="0"/>
        <w:autoSpaceDN w:val="0"/>
        <w:adjustRightInd w:val="0"/>
        <w:spacing w:after="0" w:line="360" w:lineRule="auto"/>
        <w:jc w:val="both"/>
        <w:rPr>
          <w:rFonts w:ascii="Times New Roman" w:hAnsi="Times New Roman" w:cs="Times New Roman"/>
          <w:i/>
          <w:sz w:val="24"/>
          <w:szCs w:val="24"/>
        </w:rPr>
      </w:pPr>
      <w:r w:rsidRPr="00B25A53">
        <w:rPr>
          <w:rFonts w:ascii="Times New Roman" w:hAnsi="Times New Roman" w:cs="Times New Roman"/>
          <w:i/>
          <w:sz w:val="24"/>
          <w:szCs w:val="24"/>
        </w:rPr>
        <w:t>Impacto sobre el consumo de sustancias psicotrópicas</w:t>
      </w:r>
    </w:p>
    <w:p w:rsidR="00F9231A" w:rsidRPr="002F0A14" w:rsidRDefault="00DE7D1E"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Para examinar el impacto del nivel de </w:t>
      </w:r>
      <w:r w:rsidR="00C413FD" w:rsidRPr="002F0A14">
        <w:rPr>
          <w:rFonts w:ascii="Times New Roman" w:hAnsi="Times New Roman" w:cs="Times New Roman"/>
          <w:sz w:val="24"/>
          <w:szCs w:val="24"/>
        </w:rPr>
        <w:t>satisfacción de la función</w:t>
      </w:r>
      <w:r w:rsidRPr="002F0A14">
        <w:rPr>
          <w:rFonts w:ascii="Times New Roman" w:hAnsi="Times New Roman" w:cs="Times New Roman"/>
          <w:sz w:val="24"/>
          <w:szCs w:val="24"/>
        </w:rPr>
        <w:t xml:space="preserve"> familia</w:t>
      </w:r>
      <w:r w:rsidR="00C413FD" w:rsidRPr="002F0A14">
        <w:rPr>
          <w:rFonts w:ascii="Times New Roman" w:hAnsi="Times New Roman" w:cs="Times New Roman"/>
          <w:sz w:val="24"/>
          <w:szCs w:val="24"/>
        </w:rPr>
        <w:t>r</w:t>
      </w:r>
      <w:r w:rsidR="00224BD2" w:rsidRPr="002F0A14">
        <w:rPr>
          <w:rFonts w:ascii="Times New Roman" w:hAnsi="Times New Roman" w:cs="Times New Roman"/>
          <w:sz w:val="24"/>
          <w:szCs w:val="24"/>
        </w:rPr>
        <w:t xml:space="preserve"> sobre el</w:t>
      </w:r>
      <w:r w:rsidRPr="002F0A14">
        <w:rPr>
          <w:rFonts w:ascii="Times New Roman" w:hAnsi="Times New Roman" w:cs="Times New Roman"/>
          <w:sz w:val="24"/>
          <w:szCs w:val="24"/>
        </w:rPr>
        <w:t xml:space="preserve"> consumo o no de sustancias psicotrópicas se ha desarrollado un modelo de regresión logística para cada una de las tres sustancias analizadas. Además, se ha inc</w:t>
      </w:r>
      <w:r w:rsidR="00C413FD" w:rsidRPr="002F0A14">
        <w:rPr>
          <w:rFonts w:ascii="Times New Roman" w:hAnsi="Times New Roman" w:cs="Times New Roman"/>
          <w:sz w:val="24"/>
          <w:szCs w:val="24"/>
        </w:rPr>
        <w:t>luido las variables de edad y gé</w:t>
      </w:r>
      <w:r w:rsidRPr="002F0A14">
        <w:rPr>
          <w:rFonts w:ascii="Times New Roman" w:hAnsi="Times New Roman" w:cs="Times New Roman"/>
          <w:sz w:val="24"/>
          <w:szCs w:val="24"/>
        </w:rPr>
        <w:t>nero para determinar si tienen algún impacto sobre el patrón de consumo de estas sustancias. Se ha categorizado Consume = 1 y No Cons</w:t>
      </w:r>
      <w:r w:rsidR="00C413FD" w:rsidRPr="002F0A14">
        <w:rPr>
          <w:rFonts w:ascii="Times New Roman" w:hAnsi="Times New Roman" w:cs="Times New Roman"/>
          <w:sz w:val="24"/>
          <w:szCs w:val="24"/>
        </w:rPr>
        <w:t>u</w:t>
      </w:r>
      <w:r w:rsidRPr="002F0A14">
        <w:rPr>
          <w:rFonts w:ascii="Times New Roman" w:hAnsi="Times New Roman" w:cs="Times New Roman"/>
          <w:sz w:val="24"/>
          <w:szCs w:val="24"/>
        </w:rPr>
        <w:t>me</w:t>
      </w:r>
      <w:r w:rsidR="00927CC7" w:rsidRPr="002F0A14">
        <w:rPr>
          <w:rFonts w:ascii="Times New Roman" w:hAnsi="Times New Roman" w:cs="Times New Roman"/>
          <w:sz w:val="24"/>
          <w:szCs w:val="24"/>
        </w:rPr>
        <w:t xml:space="preserve"> = 0 para ejecutar cada modelo. V</w:t>
      </w:r>
      <w:r w:rsidRPr="002F0A14">
        <w:rPr>
          <w:rFonts w:ascii="Times New Roman" w:hAnsi="Times New Roman" w:cs="Times New Roman"/>
          <w:sz w:val="24"/>
          <w:szCs w:val="24"/>
        </w:rPr>
        <w:t>amos a analizar los p-valores y los valores de Odd Ratio de cada modelo.</w:t>
      </w:r>
    </w:p>
    <w:p w:rsidR="00017A82" w:rsidRPr="002F0A14" w:rsidRDefault="00F9231A"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lastRenderedPageBreak/>
        <w:t>Los resultados del modelo para la variable dependiente “Otras Drogas”, incluida la tasa de eeror del modelo, tasa de sensibilidad y especificidad, y el test de McNemar’s están indicados en l</w:t>
      </w:r>
      <w:r w:rsidR="00DE7D1E" w:rsidRPr="002F0A14">
        <w:rPr>
          <w:rFonts w:ascii="Times New Roman" w:hAnsi="Times New Roman" w:cs="Times New Roman"/>
          <w:sz w:val="24"/>
          <w:szCs w:val="24"/>
        </w:rPr>
        <w:t>a Tabla 3</w:t>
      </w:r>
      <w:r w:rsidRPr="002F0A14">
        <w:rPr>
          <w:rFonts w:ascii="Times New Roman" w:hAnsi="Times New Roman" w:cs="Times New Roman"/>
          <w:sz w:val="24"/>
          <w:szCs w:val="24"/>
        </w:rPr>
        <w:t xml:space="preserve">. Aquí se muestran que los </w:t>
      </w:r>
      <w:r w:rsidR="00DE7D1E" w:rsidRPr="002F0A14">
        <w:rPr>
          <w:rFonts w:ascii="Times New Roman" w:hAnsi="Times New Roman" w:cs="Times New Roman"/>
          <w:sz w:val="24"/>
          <w:szCs w:val="24"/>
        </w:rPr>
        <w:t xml:space="preserve">p-valores </w:t>
      </w:r>
      <w:r w:rsidRPr="002F0A14">
        <w:rPr>
          <w:rFonts w:ascii="Times New Roman" w:hAnsi="Times New Roman" w:cs="Times New Roman"/>
          <w:sz w:val="24"/>
          <w:szCs w:val="24"/>
        </w:rPr>
        <w:t>tuvieron</w:t>
      </w:r>
      <w:r w:rsidR="00DE7D1E" w:rsidRPr="002F0A14">
        <w:rPr>
          <w:rFonts w:ascii="Times New Roman" w:hAnsi="Times New Roman" w:cs="Times New Roman"/>
          <w:sz w:val="24"/>
          <w:szCs w:val="24"/>
        </w:rPr>
        <w:t xml:space="preserve"> una diferencia estadística en los patrones </w:t>
      </w:r>
      <w:r w:rsidR="00C413FD" w:rsidRPr="002F0A14">
        <w:rPr>
          <w:rFonts w:ascii="Times New Roman" w:hAnsi="Times New Roman" w:cs="Times New Roman"/>
          <w:sz w:val="24"/>
          <w:szCs w:val="24"/>
        </w:rPr>
        <w:t>de los niveles de riesgo entre individuos con baja satisfacción y alta sati</w:t>
      </w:r>
      <w:r w:rsidR="00451CF0" w:rsidRPr="002F0A14">
        <w:rPr>
          <w:rFonts w:ascii="Times New Roman" w:hAnsi="Times New Roman" w:cs="Times New Roman"/>
          <w:sz w:val="24"/>
          <w:szCs w:val="24"/>
        </w:rPr>
        <w:t xml:space="preserve">sfacción de la función familiar </w:t>
      </w:r>
      <w:r w:rsidR="008662BE" w:rsidRPr="002F0A14">
        <w:rPr>
          <w:rFonts w:ascii="Times New Roman" w:hAnsi="Times New Roman" w:cs="Times New Roman"/>
          <w:sz w:val="24"/>
          <w:szCs w:val="24"/>
        </w:rPr>
        <w:t>(p&lt;.01)</w:t>
      </w:r>
      <w:r w:rsidR="00DE7D1E" w:rsidRPr="002F0A14">
        <w:rPr>
          <w:rFonts w:ascii="Times New Roman" w:hAnsi="Times New Roman" w:cs="Times New Roman"/>
          <w:sz w:val="24"/>
          <w:szCs w:val="24"/>
        </w:rPr>
        <w:t xml:space="preserve"> y </w:t>
      </w:r>
      <w:r w:rsidR="00936D55" w:rsidRPr="002F0A14">
        <w:rPr>
          <w:rFonts w:ascii="Times New Roman" w:hAnsi="Times New Roman" w:cs="Times New Roman"/>
          <w:sz w:val="24"/>
          <w:szCs w:val="24"/>
        </w:rPr>
        <w:t>entre media satisfacción y alta sati</w:t>
      </w:r>
      <w:r w:rsidR="00451CF0" w:rsidRPr="002F0A14">
        <w:rPr>
          <w:rFonts w:ascii="Times New Roman" w:hAnsi="Times New Roman" w:cs="Times New Roman"/>
          <w:sz w:val="24"/>
          <w:szCs w:val="24"/>
        </w:rPr>
        <w:t>sfacción de la función familiar</w:t>
      </w:r>
      <w:r w:rsidR="008662BE" w:rsidRPr="002F0A14">
        <w:rPr>
          <w:rFonts w:ascii="Times New Roman" w:hAnsi="Times New Roman" w:cs="Times New Roman"/>
          <w:sz w:val="24"/>
          <w:szCs w:val="24"/>
        </w:rPr>
        <w:t xml:space="preserve"> (p&lt;.05)</w:t>
      </w:r>
      <w:r w:rsidRPr="002F0A14">
        <w:rPr>
          <w:rFonts w:ascii="Times New Roman" w:hAnsi="Times New Roman" w:cs="Times New Roman"/>
          <w:sz w:val="24"/>
          <w:szCs w:val="24"/>
        </w:rPr>
        <w:t>. Los odd ratio determinaron</w:t>
      </w:r>
      <w:r w:rsidR="00DE7D1E" w:rsidRPr="002F0A14">
        <w:rPr>
          <w:rFonts w:ascii="Times New Roman" w:hAnsi="Times New Roman" w:cs="Times New Roman"/>
          <w:sz w:val="24"/>
          <w:szCs w:val="24"/>
        </w:rPr>
        <w:t xml:space="preserve"> que las</w:t>
      </w:r>
      <w:r w:rsidR="00451CF0" w:rsidRPr="002F0A14">
        <w:rPr>
          <w:rFonts w:ascii="Times New Roman" w:hAnsi="Times New Roman" w:cs="Times New Roman"/>
          <w:sz w:val="24"/>
          <w:szCs w:val="24"/>
        </w:rPr>
        <w:t xml:space="preserve"> </w:t>
      </w:r>
      <w:r w:rsidR="00936D55" w:rsidRPr="002F0A14">
        <w:rPr>
          <w:rFonts w:ascii="Times New Roman" w:hAnsi="Times New Roman" w:cs="Times New Roman"/>
          <w:sz w:val="24"/>
          <w:szCs w:val="24"/>
        </w:rPr>
        <w:t>posibilidades que presenta un adolescente de consumir “otras drogas” cuando tiene una baja satisfacción son 2</w:t>
      </w:r>
      <w:r w:rsidR="008151B2" w:rsidRPr="002F0A14">
        <w:rPr>
          <w:rFonts w:ascii="Times New Roman" w:hAnsi="Times New Roman" w:cs="Times New Roman"/>
          <w:sz w:val="24"/>
          <w:szCs w:val="24"/>
        </w:rPr>
        <w:t>.</w:t>
      </w:r>
      <w:r w:rsidR="00936D55" w:rsidRPr="002F0A14">
        <w:rPr>
          <w:rFonts w:ascii="Times New Roman" w:hAnsi="Times New Roman" w:cs="Times New Roman"/>
          <w:sz w:val="24"/>
          <w:szCs w:val="24"/>
        </w:rPr>
        <w:t>45 veces más alta que los adolescentes que tiene</w:t>
      </w:r>
      <w:r w:rsidRPr="002F0A14">
        <w:rPr>
          <w:rFonts w:ascii="Times New Roman" w:hAnsi="Times New Roman" w:cs="Times New Roman"/>
          <w:sz w:val="24"/>
          <w:szCs w:val="24"/>
        </w:rPr>
        <w:t>n</w:t>
      </w:r>
      <w:r w:rsidR="00936D55" w:rsidRPr="002F0A14">
        <w:rPr>
          <w:rFonts w:ascii="Times New Roman" w:hAnsi="Times New Roman" w:cs="Times New Roman"/>
          <w:sz w:val="24"/>
          <w:szCs w:val="24"/>
        </w:rPr>
        <w:t xml:space="preserve"> una alta satis</w:t>
      </w:r>
      <w:r w:rsidR="00451CF0" w:rsidRPr="002F0A14">
        <w:rPr>
          <w:rFonts w:ascii="Times New Roman" w:hAnsi="Times New Roman" w:cs="Times New Roman"/>
          <w:sz w:val="24"/>
          <w:szCs w:val="24"/>
        </w:rPr>
        <w:t>facción de la función familiar.</w:t>
      </w:r>
      <w:r w:rsidR="00DE7D1E" w:rsidRPr="002F0A14">
        <w:rPr>
          <w:rFonts w:ascii="Times New Roman" w:hAnsi="Times New Roman" w:cs="Times New Roman"/>
          <w:sz w:val="24"/>
          <w:szCs w:val="24"/>
        </w:rPr>
        <w:t xml:space="preserve"> Igualmente, las posibilidades </w:t>
      </w:r>
      <w:r w:rsidR="00936D55" w:rsidRPr="002F0A14">
        <w:rPr>
          <w:rFonts w:ascii="Times New Roman" w:hAnsi="Times New Roman" w:cs="Times New Roman"/>
          <w:sz w:val="24"/>
          <w:szCs w:val="24"/>
        </w:rPr>
        <w:t xml:space="preserve">que </w:t>
      </w:r>
      <w:r w:rsidRPr="002F0A14">
        <w:rPr>
          <w:rFonts w:ascii="Times New Roman" w:hAnsi="Times New Roman" w:cs="Times New Roman"/>
          <w:sz w:val="24"/>
          <w:szCs w:val="24"/>
        </w:rPr>
        <w:t xml:space="preserve">presentó </w:t>
      </w:r>
      <w:r w:rsidR="00936D55" w:rsidRPr="002F0A14">
        <w:rPr>
          <w:rFonts w:ascii="Times New Roman" w:hAnsi="Times New Roman" w:cs="Times New Roman"/>
          <w:sz w:val="24"/>
          <w:szCs w:val="24"/>
        </w:rPr>
        <w:t>un adolescente de consumir “otras drogas” cuando tie</w:t>
      </w:r>
      <w:r w:rsidR="008151B2" w:rsidRPr="002F0A14">
        <w:rPr>
          <w:rFonts w:ascii="Times New Roman" w:hAnsi="Times New Roman" w:cs="Times New Roman"/>
          <w:sz w:val="24"/>
          <w:szCs w:val="24"/>
        </w:rPr>
        <w:t>ne una media satisfacción 1.</w:t>
      </w:r>
      <w:r w:rsidR="00936D55" w:rsidRPr="002F0A14">
        <w:rPr>
          <w:rFonts w:ascii="Times New Roman" w:hAnsi="Times New Roman" w:cs="Times New Roman"/>
          <w:sz w:val="24"/>
          <w:szCs w:val="24"/>
        </w:rPr>
        <w:t xml:space="preserve">77 veces más altas que los individuos que </w:t>
      </w:r>
      <w:r w:rsidR="005D4F0A" w:rsidRPr="002F0A14">
        <w:rPr>
          <w:rFonts w:ascii="Times New Roman" w:hAnsi="Times New Roman" w:cs="Times New Roman"/>
          <w:sz w:val="24"/>
          <w:szCs w:val="24"/>
        </w:rPr>
        <w:t xml:space="preserve">tuvieron </w:t>
      </w:r>
      <w:r w:rsidR="00936D55" w:rsidRPr="002F0A14">
        <w:rPr>
          <w:rFonts w:ascii="Times New Roman" w:hAnsi="Times New Roman" w:cs="Times New Roman"/>
          <w:sz w:val="24"/>
          <w:szCs w:val="24"/>
        </w:rPr>
        <w:t>una alta satisfacción de la función familiar</w:t>
      </w:r>
      <w:r w:rsidR="00DE7D1E" w:rsidRPr="002F0A14">
        <w:rPr>
          <w:rFonts w:ascii="Times New Roman" w:hAnsi="Times New Roman" w:cs="Times New Roman"/>
          <w:sz w:val="24"/>
          <w:szCs w:val="24"/>
        </w:rPr>
        <w:t xml:space="preserve">. </w:t>
      </w:r>
      <w:r w:rsidR="005D4F0A" w:rsidRPr="002F0A14">
        <w:rPr>
          <w:rFonts w:ascii="Times New Roman" w:hAnsi="Times New Roman" w:cs="Times New Roman"/>
          <w:sz w:val="24"/>
          <w:szCs w:val="24"/>
        </w:rPr>
        <w:t xml:space="preserve">Se determinó </w:t>
      </w:r>
      <w:r w:rsidR="00DE7D1E" w:rsidRPr="002F0A14">
        <w:rPr>
          <w:rFonts w:ascii="Times New Roman" w:hAnsi="Times New Roman" w:cs="Times New Roman"/>
          <w:sz w:val="24"/>
          <w:szCs w:val="24"/>
        </w:rPr>
        <w:t xml:space="preserve">una clara relación entre el nivel de </w:t>
      </w:r>
      <w:r w:rsidR="009665A4" w:rsidRPr="002F0A14">
        <w:rPr>
          <w:rFonts w:ascii="Times New Roman" w:hAnsi="Times New Roman" w:cs="Times New Roman"/>
          <w:sz w:val="24"/>
          <w:szCs w:val="24"/>
        </w:rPr>
        <w:t xml:space="preserve">satisfacción de la función </w:t>
      </w:r>
      <w:r w:rsidR="00DE7D1E" w:rsidRPr="002F0A14">
        <w:rPr>
          <w:rFonts w:ascii="Times New Roman" w:hAnsi="Times New Roman" w:cs="Times New Roman"/>
          <w:sz w:val="24"/>
          <w:szCs w:val="24"/>
        </w:rPr>
        <w:t>familia</w:t>
      </w:r>
      <w:r w:rsidR="009665A4" w:rsidRPr="002F0A14">
        <w:rPr>
          <w:rFonts w:ascii="Times New Roman" w:hAnsi="Times New Roman" w:cs="Times New Roman"/>
          <w:sz w:val="24"/>
          <w:szCs w:val="24"/>
        </w:rPr>
        <w:t>r</w:t>
      </w:r>
      <w:r w:rsidR="00DE7D1E" w:rsidRPr="002F0A14">
        <w:rPr>
          <w:rFonts w:ascii="Times New Roman" w:hAnsi="Times New Roman" w:cs="Times New Roman"/>
          <w:sz w:val="24"/>
          <w:szCs w:val="24"/>
        </w:rPr>
        <w:t xml:space="preserve"> y el </w:t>
      </w:r>
      <w:r w:rsidR="009665A4" w:rsidRPr="002F0A14">
        <w:rPr>
          <w:rFonts w:ascii="Times New Roman" w:hAnsi="Times New Roman" w:cs="Times New Roman"/>
          <w:sz w:val="24"/>
          <w:szCs w:val="24"/>
        </w:rPr>
        <w:t xml:space="preserve">nivel de riesgo del </w:t>
      </w:r>
      <w:r w:rsidR="00DE7D1E" w:rsidRPr="002F0A14">
        <w:rPr>
          <w:rFonts w:ascii="Times New Roman" w:hAnsi="Times New Roman" w:cs="Times New Roman"/>
          <w:sz w:val="24"/>
          <w:szCs w:val="24"/>
        </w:rPr>
        <w:t xml:space="preserve">consumo de </w:t>
      </w:r>
      <w:r w:rsidR="009665A4" w:rsidRPr="002F0A14">
        <w:rPr>
          <w:rFonts w:ascii="Times New Roman" w:hAnsi="Times New Roman" w:cs="Times New Roman"/>
          <w:sz w:val="24"/>
          <w:szCs w:val="24"/>
        </w:rPr>
        <w:t xml:space="preserve">otras </w:t>
      </w:r>
      <w:r w:rsidR="005D4F0A" w:rsidRPr="002F0A14">
        <w:rPr>
          <w:rFonts w:ascii="Times New Roman" w:hAnsi="Times New Roman" w:cs="Times New Roman"/>
          <w:sz w:val="24"/>
          <w:szCs w:val="24"/>
        </w:rPr>
        <w:t>drogas. La edad también presentó un claro patrón de consumo, a mayor edad se dió</w:t>
      </w:r>
      <w:r w:rsidR="009665A4" w:rsidRPr="002F0A14">
        <w:rPr>
          <w:rFonts w:ascii="Times New Roman" w:hAnsi="Times New Roman" w:cs="Times New Roman"/>
          <w:sz w:val="24"/>
          <w:szCs w:val="24"/>
        </w:rPr>
        <w:t xml:space="preserve"> una posibilidad una posibilidad más alta de presentar un mayor nivel de rie</w:t>
      </w:r>
      <w:r w:rsidR="00451CF0" w:rsidRPr="002F0A14">
        <w:rPr>
          <w:rFonts w:ascii="Times New Roman" w:hAnsi="Times New Roman" w:cs="Times New Roman"/>
          <w:sz w:val="24"/>
          <w:szCs w:val="24"/>
        </w:rPr>
        <w:t>sgo del consumo de otras drogas</w:t>
      </w:r>
      <w:r w:rsidR="00DE7D1E" w:rsidRPr="002F0A14">
        <w:rPr>
          <w:rFonts w:ascii="Times New Roman" w:hAnsi="Times New Roman" w:cs="Times New Roman"/>
          <w:sz w:val="24"/>
          <w:szCs w:val="24"/>
        </w:rPr>
        <w:t xml:space="preserve">. A la edad entre 15 y 16 años </w:t>
      </w:r>
      <w:r w:rsidR="005D4F0A" w:rsidRPr="002F0A14">
        <w:rPr>
          <w:rFonts w:ascii="Times New Roman" w:hAnsi="Times New Roman" w:cs="Times New Roman"/>
          <w:sz w:val="24"/>
          <w:szCs w:val="24"/>
        </w:rPr>
        <w:t>existió</w:t>
      </w:r>
      <w:r w:rsidR="00DE7D1E" w:rsidRPr="002F0A14">
        <w:rPr>
          <w:rFonts w:ascii="Times New Roman" w:hAnsi="Times New Roman" w:cs="Times New Roman"/>
          <w:sz w:val="24"/>
          <w:szCs w:val="24"/>
        </w:rPr>
        <w:t xml:space="preserve"> </w:t>
      </w:r>
      <w:r w:rsidR="008151B2" w:rsidRPr="002F0A14">
        <w:rPr>
          <w:rFonts w:ascii="Times New Roman" w:hAnsi="Times New Roman" w:cs="Times New Roman"/>
          <w:sz w:val="24"/>
          <w:szCs w:val="24"/>
        </w:rPr>
        <w:t>3.</w:t>
      </w:r>
      <w:r w:rsidR="00F44E9D" w:rsidRPr="002F0A14">
        <w:rPr>
          <w:rFonts w:ascii="Times New Roman" w:hAnsi="Times New Roman" w:cs="Times New Roman"/>
          <w:sz w:val="24"/>
          <w:szCs w:val="24"/>
        </w:rPr>
        <w:t>26</w:t>
      </w:r>
      <w:r w:rsidR="00DE7D1E" w:rsidRPr="002F0A14">
        <w:rPr>
          <w:rFonts w:ascii="Times New Roman" w:hAnsi="Times New Roman" w:cs="Times New Roman"/>
          <w:sz w:val="24"/>
          <w:szCs w:val="24"/>
        </w:rPr>
        <w:t xml:space="preserve"> veces más posibilidades</w:t>
      </w:r>
      <w:r w:rsidR="00F44E9D" w:rsidRPr="002F0A14">
        <w:rPr>
          <w:rFonts w:ascii="Times New Roman" w:hAnsi="Times New Roman" w:cs="Times New Roman"/>
          <w:sz w:val="24"/>
          <w:szCs w:val="24"/>
        </w:rPr>
        <w:t xml:space="preserve"> de consumo que los más jóvenes</w:t>
      </w:r>
      <w:r w:rsidR="00DE7D1E" w:rsidRPr="002F0A14">
        <w:rPr>
          <w:rFonts w:ascii="Times New Roman" w:hAnsi="Times New Roman" w:cs="Times New Roman"/>
          <w:sz w:val="24"/>
          <w:szCs w:val="24"/>
        </w:rPr>
        <w:t xml:space="preserve"> y los individuos de más de 16 años tienen una posibilidad de</w:t>
      </w:r>
      <w:r w:rsidR="00451CF0" w:rsidRPr="002F0A14">
        <w:rPr>
          <w:rFonts w:ascii="Times New Roman" w:hAnsi="Times New Roman" w:cs="Times New Roman"/>
          <w:sz w:val="24"/>
          <w:szCs w:val="24"/>
        </w:rPr>
        <w:t xml:space="preserve"> </w:t>
      </w:r>
      <w:r w:rsidR="008151B2" w:rsidRPr="002F0A14">
        <w:rPr>
          <w:rFonts w:ascii="Times New Roman" w:hAnsi="Times New Roman" w:cs="Times New Roman"/>
          <w:sz w:val="24"/>
          <w:szCs w:val="24"/>
        </w:rPr>
        <w:t>4.</w:t>
      </w:r>
      <w:r w:rsidR="00F44E9D" w:rsidRPr="002F0A14">
        <w:rPr>
          <w:rFonts w:ascii="Times New Roman" w:hAnsi="Times New Roman" w:cs="Times New Roman"/>
          <w:sz w:val="24"/>
          <w:szCs w:val="24"/>
        </w:rPr>
        <w:t>75</w:t>
      </w:r>
      <w:r w:rsidR="00451CF0" w:rsidRPr="002F0A14">
        <w:rPr>
          <w:rFonts w:ascii="Times New Roman" w:hAnsi="Times New Roman" w:cs="Times New Roman"/>
          <w:sz w:val="24"/>
          <w:szCs w:val="24"/>
        </w:rPr>
        <w:t xml:space="preserve"> </w:t>
      </w:r>
      <w:r w:rsidR="005D4F0A" w:rsidRPr="002F0A14">
        <w:rPr>
          <w:rFonts w:ascii="Times New Roman" w:hAnsi="Times New Roman" w:cs="Times New Roman"/>
          <w:sz w:val="24"/>
          <w:szCs w:val="24"/>
        </w:rPr>
        <w:t xml:space="preserve">veces más alta </w:t>
      </w:r>
      <w:r w:rsidR="00DE7D1E" w:rsidRPr="002F0A14">
        <w:rPr>
          <w:rFonts w:ascii="Times New Roman" w:hAnsi="Times New Roman" w:cs="Times New Roman"/>
          <w:sz w:val="24"/>
          <w:szCs w:val="24"/>
        </w:rPr>
        <w:t xml:space="preserve">de consumir que los individuos entre 13 y 14 años. El p-valor </w:t>
      </w:r>
      <w:r w:rsidR="005D4F0A" w:rsidRPr="002F0A14">
        <w:rPr>
          <w:rFonts w:ascii="Times New Roman" w:hAnsi="Times New Roman" w:cs="Times New Roman"/>
          <w:sz w:val="24"/>
          <w:szCs w:val="24"/>
        </w:rPr>
        <w:t>mostró</w:t>
      </w:r>
      <w:r w:rsidR="00DE7D1E" w:rsidRPr="002F0A14">
        <w:rPr>
          <w:rFonts w:ascii="Times New Roman" w:hAnsi="Times New Roman" w:cs="Times New Roman"/>
          <w:sz w:val="24"/>
          <w:szCs w:val="24"/>
        </w:rPr>
        <w:t xml:space="preserve"> que no existe una diferencia estadística en el consumo de </w:t>
      </w:r>
      <w:r w:rsidR="00953614" w:rsidRPr="002F0A14">
        <w:rPr>
          <w:rFonts w:ascii="Times New Roman" w:hAnsi="Times New Roman" w:cs="Times New Roman"/>
          <w:sz w:val="24"/>
          <w:szCs w:val="24"/>
        </w:rPr>
        <w:t xml:space="preserve">otras </w:t>
      </w:r>
      <w:r w:rsidR="00DE7D1E" w:rsidRPr="002F0A14">
        <w:rPr>
          <w:rFonts w:ascii="Times New Roman" w:hAnsi="Times New Roman" w:cs="Times New Roman"/>
          <w:sz w:val="24"/>
          <w:szCs w:val="24"/>
        </w:rPr>
        <w:t>drogas entre hombres y muje</w:t>
      </w:r>
      <w:r w:rsidR="005D4F0A" w:rsidRPr="002F0A14">
        <w:rPr>
          <w:rFonts w:ascii="Times New Roman" w:hAnsi="Times New Roman" w:cs="Times New Roman"/>
          <w:sz w:val="24"/>
          <w:szCs w:val="24"/>
        </w:rPr>
        <w:t>res. El test de McNemar’s indicó</w:t>
      </w:r>
      <w:r w:rsidR="00DE7D1E" w:rsidRPr="002F0A14">
        <w:rPr>
          <w:rFonts w:ascii="Times New Roman" w:hAnsi="Times New Roman" w:cs="Times New Roman"/>
          <w:sz w:val="24"/>
          <w:szCs w:val="24"/>
        </w:rPr>
        <w:t xml:space="preserve"> que se tiene suficientes datos para interpretar la dirección del efecto de los Odd Ratio.</w:t>
      </w:r>
    </w:p>
    <w:tbl>
      <w:tblPr>
        <w:tblStyle w:val="Tablaconcuadrcu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90"/>
        <w:gridCol w:w="1275"/>
        <w:gridCol w:w="1560"/>
        <w:gridCol w:w="1417"/>
        <w:gridCol w:w="1418"/>
      </w:tblGrid>
      <w:tr w:rsidR="00017A82" w:rsidRPr="002F0A14" w:rsidTr="00AD484A">
        <w:trPr>
          <w:jc w:val="center"/>
        </w:trPr>
        <w:tc>
          <w:tcPr>
            <w:tcW w:w="8931" w:type="dxa"/>
            <w:gridSpan w:val="6"/>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Tabla 3.</w:t>
            </w:r>
          </w:p>
        </w:tc>
      </w:tr>
      <w:tr w:rsidR="00017A82" w:rsidRPr="002F0A14" w:rsidTr="00AD484A">
        <w:trPr>
          <w:jc w:val="center"/>
        </w:trPr>
        <w:tc>
          <w:tcPr>
            <w:tcW w:w="8931" w:type="dxa"/>
            <w:gridSpan w:val="6"/>
            <w:tcBorders>
              <w:bottom w:val="single" w:sz="4" w:space="0" w:color="auto"/>
            </w:tcBorders>
          </w:tcPr>
          <w:p w:rsidR="00017A82" w:rsidRPr="002F0A14" w:rsidRDefault="00017A82" w:rsidP="00D501E8">
            <w:pPr>
              <w:pStyle w:val="HTMLconformatoprevio"/>
              <w:tabs>
                <w:tab w:val="clear" w:pos="5496"/>
                <w:tab w:val="left" w:pos="2880"/>
                <w:tab w:val="center" w:pos="5504"/>
              </w:tabs>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Resultados de Regresión Logística para Otras drogas</w:t>
            </w:r>
          </w:p>
        </w:tc>
      </w:tr>
      <w:tr w:rsidR="00017A82" w:rsidRPr="002F0A14" w:rsidTr="00AD484A">
        <w:trPr>
          <w:jc w:val="center"/>
        </w:trPr>
        <w:tc>
          <w:tcPr>
            <w:tcW w:w="1271" w:type="dxa"/>
            <w:tcBorders>
              <w:top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p>
        </w:tc>
        <w:tc>
          <w:tcPr>
            <w:tcW w:w="1990" w:type="dxa"/>
            <w:tcBorders>
              <w:top w:val="single" w:sz="4" w:space="0" w:color="auto"/>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Variables</w:t>
            </w:r>
          </w:p>
        </w:tc>
        <w:tc>
          <w:tcPr>
            <w:tcW w:w="1275" w:type="dxa"/>
            <w:tcBorders>
              <w:top w:val="single" w:sz="4" w:space="0" w:color="auto"/>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Coeficientes</w:t>
            </w:r>
          </w:p>
        </w:tc>
        <w:tc>
          <w:tcPr>
            <w:tcW w:w="1560" w:type="dxa"/>
            <w:tcBorders>
              <w:top w:val="single" w:sz="4" w:space="0" w:color="auto"/>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 estándar</w:t>
            </w:r>
          </w:p>
        </w:tc>
        <w:tc>
          <w:tcPr>
            <w:tcW w:w="1417" w:type="dxa"/>
            <w:tcBorders>
              <w:top w:val="single" w:sz="4" w:space="0" w:color="auto"/>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p-valor</w:t>
            </w:r>
          </w:p>
        </w:tc>
        <w:tc>
          <w:tcPr>
            <w:tcW w:w="1418" w:type="dxa"/>
            <w:tcBorders>
              <w:top w:val="single" w:sz="4" w:space="0" w:color="auto"/>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Odd Ratio</w:t>
            </w:r>
          </w:p>
        </w:tc>
      </w:tr>
      <w:tr w:rsidR="00017A82" w:rsidRPr="002F0A14" w:rsidTr="00AD484A">
        <w:trPr>
          <w:jc w:val="center"/>
        </w:trPr>
        <w:tc>
          <w:tcPr>
            <w:tcW w:w="8931" w:type="dxa"/>
            <w:gridSpan w:val="6"/>
            <w:tcBorders>
              <w:top w:val="single" w:sz="4" w:space="0" w:color="auto"/>
            </w:tcBorders>
          </w:tcPr>
          <w:p w:rsidR="00017A82" w:rsidRPr="002F0A14" w:rsidRDefault="00017A82"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Satisfacción de la función familiar</w:t>
            </w:r>
          </w:p>
        </w:tc>
      </w:tr>
      <w:tr w:rsidR="00017A82" w:rsidRPr="002F0A14" w:rsidTr="00AD484A">
        <w:trPr>
          <w:jc w:val="center"/>
        </w:trPr>
        <w:tc>
          <w:tcPr>
            <w:tcW w:w="1271" w:type="dxa"/>
            <w:vMerge w:val="restart"/>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275"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0.896</w:t>
            </w:r>
          </w:p>
        </w:tc>
        <w:tc>
          <w:tcPr>
            <w:tcW w:w="156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0.286</w:t>
            </w:r>
          </w:p>
        </w:tc>
        <w:tc>
          <w:tcPr>
            <w:tcW w:w="1417"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0.001</w:t>
            </w:r>
          </w:p>
        </w:tc>
        <w:tc>
          <w:tcPr>
            <w:tcW w:w="1418"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2.450</w:t>
            </w:r>
          </w:p>
        </w:tc>
      </w:tr>
      <w:tr w:rsidR="00017A82" w:rsidRPr="002F0A14" w:rsidTr="00AD484A">
        <w:trPr>
          <w:jc w:val="center"/>
        </w:trPr>
        <w:tc>
          <w:tcPr>
            <w:tcW w:w="1271" w:type="dxa"/>
            <w:vMerge/>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275"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0.575</w:t>
            </w:r>
          </w:p>
        </w:tc>
        <w:tc>
          <w:tcPr>
            <w:tcW w:w="156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0.303</w:t>
            </w:r>
          </w:p>
        </w:tc>
        <w:tc>
          <w:tcPr>
            <w:tcW w:w="1417"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0.058</w:t>
            </w:r>
          </w:p>
        </w:tc>
        <w:tc>
          <w:tcPr>
            <w:tcW w:w="1418"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1.776</w:t>
            </w:r>
          </w:p>
        </w:tc>
      </w:tr>
      <w:tr w:rsidR="00017A82" w:rsidRPr="002F0A14" w:rsidTr="00AD484A">
        <w:trPr>
          <w:jc w:val="center"/>
        </w:trPr>
        <w:tc>
          <w:tcPr>
            <w:tcW w:w="8931" w:type="dxa"/>
            <w:gridSpan w:val="6"/>
          </w:tcPr>
          <w:p w:rsidR="00017A82" w:rsidRPr="002F0A14" w:rsidRDefault="00017A82"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Edad</w:t>
            </w:r>
          </w:p>
        </w:tc>
      </w:tr>
      <w:tr w:rsidR="00017A82" w:rsidRPr="002F0A14" w:rsidTr="00AD484A">
        <w:trPr>
          <w:jc w:val="center"/>
        </w:trPr>
        <w:tc>
          <w:tcPr>
            <w:tcW w:w="1271" w:type="dxa"/>
            <w:vMerge w:val="restart"/>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Mayor a 16</w:t>
            </w:r>
          </w:p>
        </w:tc>
        <w:tc>
          <w:tcPr>
            <w:tcW w:w="1275"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1.520</w:t>
            </w:r>
          </w:p>
        </w:tc>
        <w:tc>
          <w:tcPr>
            <w:tcW w:w="156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0.343</w:t>
            </w:r>
          </w:p>
        </w:tc>
        <w:tc>
          <w:tcPr>
            <w:tcW w:w="1417"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418"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4.575</w:t>
            </w:r>
          </w:p>
        </w:tc>
      </w:tr>
      <w:tr w:rsidR="00017A82" w:rsidRPr="002F0A14" w:rsidTr="00AD484A">
        <w:trPr>
          <w:jc w:val="center"/>
        </w:trPr>
        <w:tc>
          <w:tcPr>
            <w:tcW w:w="1271" w:type="dxa"/>
            <w:vMerge/>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Entre 15 y 16</w:t>
            </w:r>
          </w:p>
        </w:tc>
        <w:tc>
          <w:tcPr>
            <w:tcW w:w="1275"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1.184</w:t>
            </w:r>
          </w:p>
        </w:tc>
        <w:tc>
          <w:tcPr>
            <w:tcW w:w="156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0.332</w:t>
            </w:r>
          </w:p>
        </w:tc>
        <w:tc>
          <w:tcPr>
            <w:tcW w:w="1417"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418"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3.267</w:t>
            </w:r>
          </w:p>
        </w:tc>
      </w:tr>
      <w:tr w:rsidR="00017A82" w:rsidRPr="002F0A14" w:rsidTr="00AD484A">
        <w:trPr>
          <w:jc w:val="center"/>
        </w:trPr>
        <w:tc>
          <w:tcPr>
            <w:tcW w:w="8931" w:type="dxa"/>
            <w:gridSpan w:val="6"/>
          </w:tcPr>
          <w:p w:rsidR="00017A82" w:rsidRPr="002F0A14" w:rsidRDefault="00017A82"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Género</w:t>
            </w:r>
          </w:p>
        </w:tc>
      </w:tr>
      <w:tr w:rsidR="00017A82" w:rsidRPr="002F0A14" w:rsidTr="00AD484A">
        <w:trPr>
          <w:jc w:val="center"/>
        </w:trPr>
        <w:tc>
          <w:tcPr>
            <w:tcW w:w="1271" w:type="dxa"/>
            <w:vMerge w:val="restart"/>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Mujer</w:t>
            </w:r>
          </w:p>
        </w:tc>
        <w:tc>
          <w:tcPr>
            <w:tcW w:w="1275"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-0.224</w:t>
            </w:r>
          </w:p>
        </w:tc>
        <w:tc>
          <w:tcPr>
            <w:tcW w:w="156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0.240</w:t>
            </w:r>
          </w:p>
        </w:tc>
        <w:tc>
          <w:tcPr>
            <w:tcW w:w="1417"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0.349</w:t>
            </w:r>
          </w:p>
        </w:tc>
        <w:tc>
          <w:tcPr>
            <w:tcW w:w="1418"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0.800</w:t>
            </w:r>
          </w:p>
        </w:tc>
      </w:tr>
      <w:tr w:rsidR="00017A82" w:rsidRPr="002F0A14" w:rsidTr="00AD484A">
        <w:trPr>
          <w:trHeight w:val="77"/>
          <w:jc w:val="center"/>
        </w:trPr>
        <w:tc>
          <w:tcPr>
            <w:tcW w:w="1271" w:type="dxa"/>
            <w:vMerge/>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275" w:type="dxa"/>
            <w:tcBorders>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w:t>
            </w:r>
          </w:p>
        </w:tc>
        <w:tc>
          <w:tcPr>
            <w:tcW w:w="1560" w:type="dxa"/>
            <w:tcBorders>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Sensibilidad</w:t>
            </w:r>
          </w:p>
        </w:tc>
        <w:tc>
          <w:tcPr>
            <w:tcW w:w="1417" w:type="dxa"/>
            <w:tcBorders>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Especificidad</w:t>
            </w:r>
          </w:p>
        </w:tc>
        <w:tc>
          <w:tcPr>
            <w:tcW w:w="1418" w:type="dxa"/>
            <w:tcBorders>
              <w:bottom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McNemar's</w:t>
            </w:r>
          </w:p>
        </w:tc>
      </w:tr>
      <w:tr w:rsidR="00380C1C" w:rsidRPr="002F0A14" w:rsidTr="00AD484A">
        <w:trPr>
          <w:jc w:val="center"/>
        </w:trPr>
        <w:tc>
          <w:tcPr>
            <w:tcW w:w="1271" w:type="dxa"/>
          </w:tcPr>
          <w:p w:rsidR="00017A82" w:rsidRPr="002F0A14" w:rsidRDefault="00017A82"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lastRenderedPageBreak/>
              <w:t>Valores</w:t>
            </w:r>
          </w:p>
        </w:tc>
        <w:tc>
          <w:tcPr>
            <w:tcW w:w="1990" w:type="dxa"/>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275" w:type="dxa"/>
            <w:tcBorders>
              <w:top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0.14</w:t>
            </w:r>
          </w:p>
        </w:tc>
        <w:tc>
          <w:tcPr>
            <w:tcW w:w="1560" w:type="dxa"/>
            <w:tcBorders>
              <w:top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0.87</w:t>
            </w:r>
          </w:p>
        </w:tc>
        <w:tc>
          <w:tcPr>
            <w:tcW w:w="1417" w:type="dxa"/>
            <w:tcBorders>
              <w:top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0.38</w:t>
            </w:r>
          </w:p>
        </w:tc>
        <w:tc>
          <w:tcPr>
            <w:tcW w:w="1418" w:type="dxa"/>
            <w:tcBorders>
              <w:top w:val="single" w:sz="4" w:space="0" w:color="auto"/>
            </w:tcBorders>
          </w:tcPr>
          <w:p w:rsidR="00017A82" w:rsidRPr="002F0A14" w:rsidRDefault="00017A82"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r>
    </w:tbl>
    <w:p w:rsidR="00205197" w:rsidRPr="002F0A14" w:rsidRDefault="00205197" w:rsidP="00DE7D1E">
      <w:pPr>
        <w:autoSpaceDE w:val="0"/>
        <w:autoSpaceDN w:val="0"/>
        <w:adjustRightInd w:val="0"/>
        <w:spacing w:after="0" w:line="360" w:lineRule="auto"/>
        <w:jc w:val="both"/>
        <w:rPr>
          <w:rFonts w:ascii="Times New Roman" w:hAnsi="Times New Roman" w:cs="Times New Roman"/>
          <w:sz w:val="24"/>
          <w:szCs w:val="24"/>
        </w:rPr>
      </w:pPr>
    </w:p>
    <w:p w:rsidR="00DE7D1E" w:rsidRPr="002F0A14" w:rsidRDefault="00DE7D1E"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La Tabla 4 muestra los resultados del modelo para la variable dependiente Tabaco. Los p</w:t>
      </w:r>
      <w:r w:rsidR="00613289" w:rsidRPr="002F0A14">
        <w:rPr>
          <w:rFonts w:ascii="Times New Roman" w:hAnsi="Times New Roman" w:cs="Times New Roman"/>
          <w:sz w:val="24"/>
          <w:szCs w:val="24"/>
        </w:rPr>
        <w:t xml:space="preserve">-valores muestran </w:t>
      </w:r>
      <w:r w:rsidRPr="002F0A14">
        <w:rPr>
          <w:rFonts w:ascii="Times New Roman" w:hAnsi="Times New Roman" w:cs="Times New Roman"/>
          <w:sz w:val="24"/>
          <w:szCs w:val="24"/>
        </w:rPr>
        <w:t xml:space="preserve">que </w:t>
      </w:r>
      <w:r w:rsidR="00380C1C" w:rsidRPr="002F0A14">
        <w:rPr>
          <w:rFonts w:ascii="Times New Roman" w:hAnsi="Times New Roman" w:cs="Times New Roman"/>
          <w:sz w:val="24"/>
          <w:szCs w:val="24"/>
        </w:rPr>
        <w:t>únicamente existe una diferencia estadística en los niveles de riesgo del consumo de tabaco entre los adolescentes con media satisfacción y alta satisfacción de la función familiar</w:t>
      </w:r>
      <w:r w:rsidR="00451CF0" w:rsidRPr="002F0A14">
        <w:rPr>
          <w:rFonts w:ascii="Times New Roman" w:hAnsi="Times New Roman" w:cs="Times New Roman"/>
          <w:sz w:val="24"/>
          <w:szCs w:val="24"/>
        </w:rPr>
        <w:t xml:space="preserve"> </w:t>
      </w:r>
      <w:r w:rsidR="008662BE" w:rsidRPr="002F0A14">
        <w:rPr>
          <w:rFonts w:ascii="Times New Roman" w:hAnsi="Times New Roman" w:cs="Times New Roman"/>
          <w:sz w:val="24"/>
          <w:szCs w:val="24"/>
        </w:rPr>
        <w:t>(p&lt;.01)</w:t>
      </w:r>
      <w:r w:rsidRPr="002F0A14">
        <w:rPr>
          <w:rFonts w:ascii="Times New Roman" w:hAnsi="Times New Roman" w:cs="Times New Roman"/>
          <w:sz w:val="24"/>
          <w:szCs w:val="24"/>
        </w:rPr>
        <w:t>. No existe diferencia estadística en los patrones de consumo de tabaco entre los individuos de niveles de familia moderada y funcional</w:t>
      </w:r>
      <w:r w:rsidR="00451CF0" w:rsidRPr="002F0A14">
        <w:rPr>
          <w:rFonts w:ascii="Times New Roman" w:hAnsi="Times New Roman" w:cs="Times New Roman"/>
          <w:sz w:val="24"/>
          <w:szCs w:val="24"/>
        </w:rPr>
        <w:t xml:space="preserve">. </w:t>
      </w:r>
      <w:r w:rsidRPr="002F0A14">
        <w:rPr>
          <w:rFonts w:ascii="Times New Roman" w:hAnsi="Times New Roman" w:cs="Times New Roman"/>
          <w:sz w:val="24"/>
          <w:szCs w:val="24"/>
        </w:rPr>
        <w:t xml:space="preserve">El odd ratio para </w:t>
      </w:r>
      <w:r w:rsidR="00EF2FBE" w:rsidRPr="002F0A14">
        <w:rPr>
          <w:rFonts w:ascii="Times New Roman" w:hAnsi="Times New Roman" w:cs="Times New Roman"/>
          <w:i/>
          <w:sz w:val="24"/>
          <w:szCs w:val="24"/>
        </w:rPr>
        <w:t>baja sati</w:t>
      </w:r>
      <w:r w:rsidR="00383E3A" w:rsidRPr="002F0A14">
        <w:rPr>
          <w:rFonts w:ascii="Times New Roman" w:hAnsi="Times New Roman" w:cs="Times New Roman"/>
          <w:i/>
          <w:sz w:val="24"/>
          <w:szCs w:val="24"/>
        </w:rPr>
        <w:t>sfacción</w:t>
      </w:r>
      <w:r w:rsidR="00383E3A" w:rsidRPr="002F0A14">
        <w:rPr>
          <w:rFonts w:ascii="Times New Roman" w:hAnsi="Times New Roman" w:cs="Times New Roman"/>
          <w:sz w:val="24"/>
          <w:szCs w:val="24"/>
        </w:rPr>
        <w:t xml:space="preserve"> de la función familiar</w:t>
      </w:r>
      <w:r w:rsidR="00EF2FBE" w:rsidRPr="002F0A14">
        <w:rPr>
          <w:rFonts w:ascii="Times New Roman" w:hAnsi="Times New Roman" w:cs="Times New Roman"/>
          <w:sz w:val="24"/>
          <w:szCs w:val="24"/>
        </w:rPr>
        <w:t xml:space="preserve"> </w:t>
      </w:r>
      <w:r w:rsidRPr="002F0A14">
        <w:rPr>
          <w:rFonts w:ascii="Times New Roman" w:hAnsi="Times New Roman" w:cs="Times New Roman"/>
          <w:sz w:val="24"/>
          <w:szCs w:val="24"/>
        </w:rPr>
        <w:t xml:space="preserve">determina que las posibilidades de consumo de tabaco de individuos </w:t>
      </w:r>
      <w:r w:rsidR="00EF2FBE" w:rsidRPr="002F0A14">
        <w:rPr>
          <w:rFonts w:ascii="Times New Roman" w:hAnsi="Times New Roman" w:cs="Times New Roman"/>
          <w:sz w:val="24"/>
          <w:szCs w:val="24"/>
        </w:rPr>
        <w:t xml:space="preserve">con baja satisfacción </w:t>
      </w:r>
      <w:r w:rsidR="00613289" w:rsidRPr="002F0A14">
        <w:rPr>
          <w:rFonts w:ascii="Times New Roman" w:hAnsi="Times New Roman" w:cs="Times New Roman"/>
          <w:sz w:val="24"/>
          <w:szCs w:val="24"/>
        </w:rPr>
        <w:t>fue</w:t>
      </w:r>
      <w:r w:rsidR="00EF2FBE" w:rsidRPr="002F0A14">
        <w:rPr>
          <w:rFonts w:ascii="Times New Roman" w:hAnsi="Times New Roman" w:cs="Times New Roman"/>
          <w:sz w:val="24"/>
          <w:szCs w:val="24"/>
        </w:rPr>
        <w:t xml:space="preserve"> 2</w:t>
      </w:r>
      <w:r w:rsidR="008151B2" w:rsidRPr="002F0A14">
        <w:rPr>
          <w:rFonts w:ascii="Times New Roman" w:hAnsi="Times New Roman" w:cs="Times New Roman"/>
          <w:sz w:val="24"/>
          <w:szCs w:val="24"/>
        </w:rPr>
        <w:t>.</w:t>
      </w:r>
      <w:r w:rsidR="00EF2FBE" w:rsidRPr="002F0A14">
        <w:rPr>
          <w:rFonts w:ascii="Times New Roman" w:hAnsi="Times New Roman" w:cs="Times New Roman"/>
          <w:sz w:val="24"/>
          <w:szCs w:val="24"/>
        </w:rPr>
        <w:t>10 veces más altas que los individuos con alta sati</w:t>
      </w:r>
      <w:r w:rsidR="00383E3A" w:rsidRPr="002F0A14">
        <w:rPr>
          <w:rFonts w:ascii="Times New Roman" w:hAnsi="Times New Roman" w:cs="Times New Roman"/>
          <w:sz w:val="24"/>
          <w:szCs w:val="24"/>
        </w:rPr>
        <w:t xml:space="preserve">sfacción de la función familiar. </w:t>
      </w:r>
      <w:r w:rsidRPr="002F0A14">
        <w:rPr>
          <w:rFonts w:ascii="Times New Roman" w:hAnsi="Times New Roman" w:cs="Times New Roman"/>
          <w:sz w:val="24"/>
          <w:szCs w:val="24"/>
        </w:rPr>
        <w:t xml:space="preserve">Para la edad, igual que en el caso de las drogas, </w:t>
      </w:r>
      <w:r w:rsidR="00613289" w:rsidRPr="002F0A14">
        <w:rPr>
          <w:rFonts w:ascii="Times New Roman" w:hAnsi="Times New Roman" w:cs="Times New Roman"/>
          <w:sz w:val="24"/>
          <w:szCs w:val="24"/>
        </w:rPr>
        <w:t xml:space="preserve">existe un patrón diferenciado. </w:t>
      </w:r>
      <w:r w:rsidRPr="002F0A14">
        <w:rPr>
          <w:rFonts w:ascii="Times New Roman" w:hAnsi="Times New Roman" w:cs="Times New Roman"/>
          <w:sz w:val="24"/>
          <w:szCs w:val="24"/>
        </w:rPr>
        <w:t>Los individ</w:t>
      </w:r>
      <w:r w:rsidR="008151B2" w:rsidRPr="002F0A14">
        <w:rPr>
          <w:rFonts w:ascii="Times New Roman" w:hAnsi="Times New Roman" w:cs="Times New Roman"/>
          <w:sz w:val="24"/>
          <w:szCs w:val="24"/>
        </w:rPr>
        <w:t>uos entre 15 y 16 años tienen 3.</w:t>
      </w:r>
      <w:r w:rsidRPr="002F0A14">
        <w:rPr>
          <w:rFonts w:ascii="Times New Roman" w:hAnsi="Times New Roman" w:cs="Times New Roman"/>
          <w:sz w:val="24"/>
          <w:szCs w:val="24"/>
        </w:rPr>
        <w:t>38 veces más posibilidades de consumo que los individuos entre 13 y 14 años y los individuos de más de 16 a</w:t>
      </w:r>
      <w:r w:rsidR="008151B2" w:rsidRPr="002F0A14">
        <w:rPr>
          <w:rFonts w:ascii="Times New Roman" w:hAnsi="Times New Roman" w:cs="Times New Roman"/>
          <w:sz w:val="24"/>
          <w:szCs w:val="24"/>
        </w:rPr>
        <w:t>ños tienen una posibilidad de 5.</w:t>
      </w:r>
      <w:r w:rsidR="00613289" w:rsidRPr="002F0A14">
        <w:rPr>
          <w:rFonts w:ascii="Times New Roman" w:hAnsi="Times New Roman" w:cs="Times New Roman"/>
          <w:sz w:val="24"/>
          <w:szCs w:val="24"/>
        </w:rPr>
        <w:t xml:space="preserve">70 veces más alta </w:t>
      </w:r>
      <w:r w:rsidRPr="002F0A14">
        <w:rPr>
          <w:rFonts w:ascii="Times New Roman" w:hAnsi="Times New Roman" w:cs="Times New Roman"/>
          <w:sz w:val="24"/>
          <w:szCs w:val="24"/>
        </w:rPr>
        <w:t xml:space="preserve">de consumo de tabaco que los individuos entre 13 y 14 años. Similar que las drogas, no existe una diferencia estadística en el consumo de </w:t>
      </w:r>
      <w:r w:rsidR="008662BE" w:rsidRPr="002F0A14">
        <w:rPr>
          <w:rFonts w:ascii="Times New Roman" w:hAnsi="Times New Roman" w:cs="Times New Roman"/>
          <w:sz w:val="24"/>
          <w:szCs w:val="24"/>
        </w:rPr>
        <w:t>tabaco entre hombres y mujeres (p&gt;.10)</w:t>
      </w:r>
    </w:p>
    <w:tbl>
      <w:tblPr>
        <w:tblStyle w:val="Tablaconcuadrcula"/>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90"/>
        <w:gridCol w:w="1417"/>
        <w:gridCol w:w="1701"/>
        <w:gridCol w:w="1418"/>
        <w:gridCol w:w="1559"/>
      </w:tblGrid>
      <w:tr w:rsidR="00EF2FBE" w:rsidRPr="002F0A14" w:rsidTr="00484422">
        <w:trPr>
          <w:jc w:val="center"/>
        </w:trPr>
        <w:tc>
          <w:tcPr>
            <w:tcW w:w="9356" w:type="dxa"/>
            <w:gridSpan w:val="6"/>
          </w:tcPr>
          <w:p w:rsidR="00EF2FBE" w:rsidRPr="002F0A14" w:rsidRDefault="00EF2FBE"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Tabla 4.</w:t>
            </w:r>
          </w:p>
        </w:tc>
      </w:tr>
      <w:tr w:rsidR="00EF2FBE" w:rsidRPr="002F0A14" w:rsidTr="00484422">
        <w:trPr>
          <w:jc w:val="center"/>
        </w:trPr>
        <w:tc>
          <w:tcPr>
            <w:tcW w:w="9356" w:type="dxa"/>
            <w:gridSpan w:val="6"/>
            <w:tcBorders>
              <w:bottom w:val="single" w:sz="4" w:space="0" w:color="auto"/>
            </w:tcBorders>
          </w:tcPr>
          <w:p w:rsidR="00EF2FBE" w:rsidRPr="002F0A14" w:rsidRDefault="00EF2FBE" w:rsidP="00D501E8">
            <w:pPr>
              <w:pStyle w:val="HTMLconformatoprevio"/>
              <w:tabs>
                <w:tab w:val="clear" w:pos="5496"/>
                <w:tab w:val="left" w:pos="2880"/>
                <w:tab w:val="center" w:pos="5504"/>
              </w:tabs>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Resultados de Regresión Logística para Tabaco</w:t>
            </w:r>
          </w:p>
        </w:tc>
      </w:tr>
      <w:tr w:rsidR="00EF2FBE" w:rsidRPr="002F0A14" w:rsidTr="00484422">
        <w:trPr>
          <w:jc w:val="center"/>
        </w:trPr>
        <w:tc>
          <w:tcPr>
            <w:tcW w:w="1271" w:type="dxa"/>
            <w:tcBorders>
              <w:top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p>
        </w:tc>
        <w:tc>
          <w:tcPr>
            <w:tcW w:w="1990" w:type="dxa"/>
            <w:tcBorders>
              <w:top w:val="single" w:sz="4" w:space="0" w:color="auto"/>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Variables</w:t>
            </w:r>
          </w:p>
        </w:tc>
        <w:tc>
          <w:tcPr>
            <w:tcW w:w="1417" w:type="dxa"/>
            <w:tcBorders>
              <w:top w:val="single" w:sz="4" w:space="0" w:color="auto"/>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Coeficientes</w:t>
            </w:r>
          </w:p>
        </w:tc>
        <w:tc>
          <w:tcPr>
            <w:tcW w:w="1701" w:type="dxa"/>
            <w:tcBorders>
              <w:top w:val="single" w:sz="4" w:space="0" w:color="auto"/>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 estándar</w:t>
            </w:r>
          </w:p>
        </w:tc>
        <w:tc>
          <w:tcPr>
            <w:tcW w:w="1418" w:type="dxa"/>
            <w:tcBorders>
              <w:top w:val="single" w:sz="4" w:space="0" w:color="auto"/>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p-valor</w:t>
            </w:r>
          </w:p>
        </w:tc>
        <w:tc>
          <w:tcPr>
            <w:tcW w:w="1559" w:type="dxa"/>
            <w:tcBorders>
              <w:top w:val="single" w:sz="4" w:space="0" w:color="auto"/>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Odd Ratio</w:t>
            </w:r>
          </w:p>
        </w:tc>
      </w:tr>
      <w:tr w:rsidR="00EF2FBE" w:rsidRPr="002F0A14" w:rsidTr="00484422">
        <w:trPr>
          <w:jc w:val="center"/>
        </w:trPr>
        <w:tc>
          <w:tcPr>
            <w:tcW w:w="9356" w:type="dxa"/>
            <w:gridSpan w:val="6"/>
            <w:tcBorders>
              <w:top w:val="single" w:sz="4" w:space="0" w:color="auto"/>
            </w:tcBorders>
          </w:tcPr>
          <w:p w:rsidR="00EF2FBE" w:rsidRPr="002F0A14" w:rsidRDefault="00EF2FBE"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Satisfacción de la función familiar</w:t>
            </w:r>
          </w:p>
        </w:tc>
      </w:tr>
      <w:tr w:rsidR="00EF2FBE" w:rsidRPr="002F0A14" w:rsidTr="00484422">
        <w:trPr>
          <w:jc w:val="center"/>
        </w:trPr>
        <w:tc>
          <w:tcPr>
            <w:tcW w:w="1271" w:type="dxa"/>
            <w:vMerge w:val="restart"/>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417"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0.752</w:t>
            </w:r>
          </w:p>
        </w:tc>
        <w:tc>
          <w:tcPr>
            <w:tcW w:w="1701"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0.230</w:t>
            </w:r>
          </w:p>
        </w:tc>
        <w:tc>
          <w:tcPr>
            <w:tcW w:w="1418"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0.001</w:t>
            </w:r>
          </w:p>
        </w:tc>
        <w:tc>
          <w:tcPr>
            <w:tcW w:w="1559"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2.122</w:t>
            </w:r>
          </w:p>
        </w:tc>
      </w:tr>
      <w:tr w:rsidR="00EF2FBE" w:rsidRPr="002F0A14" w:rsidTr="00484422">
        <w:trPr>
          <w:jc w:val="center"/>
        </w:trPr>
        <w:tc>
          <w:tcPr>
            <w:tcW w:w="1271" w:type="dxa"/>
            <w:vMerge/>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417"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0.185</w:t>
            </w:r>
          </w:p>
        </w:tc>
        <w:tc>
          <w:tcPr>
            <w:tcW w:w="1701"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0.346</w:t>
            </w:r>
          </w:p>
        </w:tc>
        <w:tc>
          <w:tcPr>
            <w:tcW w:w="1418"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0.452</w:t>
            </w:r>
          </w:p>
        </w:tc>
        <w:tc>
          <w:tcPr>
            <w:tcW w:w="1559"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1.204</w:t>
            </w:r>
          </w:p>
        </w:tc>
      </w:tr>
      <w:tr w:rsidR="00EF2FBE" w:rsidRPr="002F0A14" w:rsidTr="00484422">
        <w:trPr>
          <w:jc w:val="center"/>
        </w:trPr>
        <w:tc>
          <w:tcPr>
            <w:tcW w:w="9356" w:type="dxa"/>
            <w:gridSpan w:val="6"/>
          </w:tcPr>
          <w:p w:rsidR="00EF2FBE" w:rsidRPr="002F0A14" w:rsidRDefault="00EF2FBE"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Edad</w:t>
            </w:r>
          </w:p>
        </w:tc>
      </w:tr>
      <w:tr w:rsidR="00EF2FBE" w:rsidRPr="002F0A14" w:rsidTr="00484422">
        <w:trPr>
          <w:jc w:val="center"/>
        </w:trPr>
        <w:tc>
          <w:tcPr>
            <w:tcW w:w="1271" w:type="dxa"/>
            <w:vMerge w:val="restart"/>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Mayor a 16</w:t>
            </w:r>
          </w:p>
        </w:tc>
        <w:tc>
          <w:tcPr>
            <w:tcW w:w="1417"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1.741</w:t>
            </w:r>
          </w:p>
        </w:tc>
        <w:tc>
          <w:tcPr>
            <w:tcW w:w="1701"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0.260</w:t>
            </w:r>
          </w:p>
        </w:tc>
        <w:tc>
          <w:tcPr>
            <w:tcW w:w="1418"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559"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5.707</w:t>
            </w:r>
          </w:p>
        </w:tc>
      </w:tr>
      <w:tr w:rsidR="00EF2FBE" w:rsidRPr="002F0A14" w:rsidTr="00484422">
        <w:trPr>
          <w:jc w:val="center"/>
        </w:trPr>
        <w:tc>
          <w:tcPr>
            <w:tcW w:w="1271" w:type="dxa"/>
            <w:vMerge/>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Entre 15 y 16</w:t>
            </w:r>
          </w:p>
        </w:tc>
        <w:tc>
          <w:tcPr>
            <w:tcW w:w="1417"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1.218</w:t>
            </w:r>
          </w:p>
        </w:tc>
        <w:tc>
          <w:tcPr>
            <w:tcW w:w="1701"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0.244</w:t>
            </w:r>
          </w:p>
        </w:tc>
        <w:tc>
          <w:tcPr>
            <w:tcW w:w="1418"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559"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3.381</w:t>
            </w:r>
          </w:p>
        </w:tc>
      </w:tr>
      <w:tr w:rsidR="00EF2FBE" w:rsidRPr="002F0A14" w:rsidTr="00484422">
        <w:trPr>
          <w:jc w:val="center"/>
        </w:trPr>
        <w:tc>
          <w:tcPr>
            <w:tcW w:w="9356" w:type="dxa"/>
            <w:gridSpan w:val="6"/>
          </w:tcPr>
          <w:p w:rsidR="00EF2FBE" w:rsidRPr="002F0A14" w:rsidRDefault="00EF2FBE"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Género</w:t>
            </w:r>
          </w:p>
        </w:tc>
      </w:tr>
      <w:tr w:rsidR="00EF2FBE" w:rsidRPr="002F0A14" w:rsidTr="00484422">
        <w:trPr>
          <w:jc w:val="center"/>
        </w:trPr>
        <w:tc>
          <w:tcPr>
            <w:tcW w:w="1271" w:type="dxa"/>
            <w:vMerge w:val="restart"/>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Mujer</w:t>
            </w:r>
          </w:p>
        </w:tc>
        <w:tc>
          <w:tcPr>
            <w:tcW w:w="1417"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-0.160</w:t>
            </w:r>
          </w:p>
        </w:tc>
        <w:tc>
          <w:tcPr>
            <w:tcW w:w="1701"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0.186</w:t>
            </w:r>
          </w:p>
        </w:tc>
        <w:tc>
          <w:tcPr>
            <w:tcW w:w="1418"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0.391</w:t>
            </w:r>
          </w:p>
        </w:tc>
        <w:tc>
          <w:tcPr>
            <w:tcW w:w="1559"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0.852</w:t>
            </w:r>
          </w:p>
        </w:tc>
      </w:tr>
      <w:tr w:rsidR="00EF2FBE" w:rsidRPr="002F0A14" w:rsidTr="00484422">
        <w:trPr>
          <w:trHeight w:val="77"/>
          <w:jc w:val="center"/>
        </w:trPr>
        <w:tc>
          <w:tcPr>
            <w:tcW w:w="1271" w:type="dxa"/>
            <w:vMerge/>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417" w:type="dxa"/>
            <w:tcBorders>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w:t>
            </w:r>
          </w:p>
        </w:tc>
        <w:tc>
          <w:tcPr>
            <w:tcW w:w="1701" w:type="dxa"/>
            <w:tcBorders>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Sensibilidad</w:t>
            </w:r>
          </w:p>
        </w:tc>
        <w:tc>
          <w:tcPr>
            <w:tcW w:w="1418" w:type="dxa"/>
            <w:tcBorders>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Especificidad</w:t>
            </w:r>
          </w:p>
        </w:tc>
        <w:tc>
          <w:tcPr>
            <w:tcW w:w="1559" w:type="dxa"/>
            <w:tcBorders>
              <w:bottom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McNemar's</w:t>
            </w:r>
          </w:p>
        </w:tc>
      </w:tr>
      <w:tr w:rsidR="00EF2FBE" w:rsidRPr="002F0A14" w:rsidTr="00484422">
        <w:trPr>
          <w:jc w:val="center"/>
        </w:trPr>
        <w:tc>
          <w:tcPr>
            <w:tcW w:w="1271" w:type="dxa"/>
          </w:tcPr>
          <w:p w:rsidR="00EF2FBE" w:rsidRPr="002F0A14" w:rsidRDefault="00EF2FBE"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Valores</w:t>
            </w:r>
          </w:p>
        </w:tc>
        <w:tc>
          <w:tcPr>
            <w:tcW w:w="1990" w:type="dxa"/>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417" w:type="dxa"/>
            <w:tcBorders>
              <w:top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0.24</w:t>
            </w:r>
          </w:p>
        </w:tc>
        <w:tc>
          <w:tcPr>
            <w:tcW w:w="1701" w:type="dxa"/>
            <w:tcBorders>
              <w:top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0.76</w:t>
            </w:r>
          </w:p>
        </w:tc>
        <w:tc>
          <w:tcPr>
            <w:tcW w:w="1418" w:type="dxa"/>
            <w:tcBorders>
              <w:top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0.69</w:t>
            </w:r>
          </w:p>
        </w:tc>
        <w:tc>
          <w:tcPr>
            <w:tcW w:w="1559" w:type="dxa"/>
            <w:tcBorders>
              <w:top w:val="single" w:sz="4" w:space="0" w:color="auto"/>
            </w:tcBorders>
          </w:tcPr>
          <w:p w:rsidR="00EF2FBE" w:rsidRPr="002F0A14" w:rsidRDefault="00EF2FBE"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r>
    </w:tbl>
    <w:p w:rsidR="00205197" w:rsidRPr="002F0A14" w:rsidRDefault="00205197" w:rsidP="00484422">
      <w:pPr>
        <w:autoSpaceDE w:val="0"/>
        <w:autoSpaceDN w:val="0"/>
        <w:adjustRightInd w:val="0"/>
        <w:spacing w:after="0" w:line="360" w:lineRule="auto"/>
        <w:jc w:val="both"/>
        <w:rPr>
          <w:rFonts w:ascii="Times New Roman" w:hAnsi="Times New Roman" w:cs="Times New Roman"/>
          <w:sz w:val="24"/>
          <w:szCs w:val="24"/>
        </w:rPr>
      </w:pPr>
    </w:p>
    <w:p w:rsidR="00DE7D1E" w:rsidRPr="002F0A14" w:rsidRDefault="00613289"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Finalmente </w:t>
      </w:r>
      <w:r w:rsidR="00DE7D1E" w:rsidRPr="002F0A14">
        <w:rPr>
          <w:rFonts w:ascii="Times New Roman" w:hAnsi="Times New Roman" w:cs="Times New Roman"/>
          <w:sz w:val="24"/>
          <w:szCs w:val="24"/>
        </w:rPr>
        <w:t>los resultados del modelo para la variable dependiente Alcohol</w:t>
      </w:r>
      <w:r w:rsidRPr="002F0A14">
        <w:rPr>
          <w:rFonts w:ascii="Times New Roman" w:hAnsi="Times New Roman" w:cs="Times New Roman"/>
          <w:sz w:val="24"/>
          <w:szCs w:val="24"/>
        </w:rPr>
        <w:t xml:space="preserve"> (Tabla 5), l</w:t>
      </w:r>
      <w:r w:rsidR="00DE7D1E" w:rsidRPr="002F0A14">
        <w:rPr>
          <w:rFonts w:ascii="Times New Roman" w:hAnsi="Times New Roman" w:cs="Times New Roman"/>
          <w:sz w:val="24"/>
          <w:szCs w:val="24"/>
        </w:rPr>
        <w:t xml:space="preserve">os p-valores </w:t>
      </w:r>
      <w:r w:rsidRPr="002F0A14">
        <w:rPr>
          <w:rFonts w:ascii="Times New Roman" w:hAnsi="Times New Roman" w:cs="Times New Roman"/>
          <w:sz w:val="24"/>
          <w:szCs w:val="24"/>
        </w:rPr>
        <w:t>mostraron</w:t>
      </w:r>
      <w:r w:rsidR="00DE7D1E" w:rsidRPr="002F0A14">
        <w:rPr>
          <w:rFonts w:ascii="Times New Roman" w:hAnsi="Times New Roman" w:cs="Times New Roman"/>
          <w:sz w:val="24"/>
          <w:szCs w:val="24"/>
        </w:rPr>
        <w:t xml:space="preserve"> una diferencia estadística en los patrones de consumo de alcohol entre los </w:t>
      </w:r>
      <w:r w:rsidR="00DE7D1E" w:rsidRPr="002F0A14">
        <w:rPr>
          <w:rFonts w:ascii="Times New Roman" w:hAnsi="Times New Roman" w:cs="Times New Roman"/>
          <w:sz w:val="24"/>
          <w:szCs w:val="24"/>
        </w:rPr>
        <w:lastRenderedPageBreak/>
        <w:t xml:space="preserve">individuos </w:t>
      </w:r>
      <w:r w:rsidR="002D39D2" w:rsidRPr="002F0A14">
        <w:rPr>
          <w:rFonts w:ascii="Times New Roman" w:hAnsi="Times New Roman" w:cs="Times New Roman"/>
          <w:sz w:val="24"/>
          <w:szCs w:val="24"/>
        </w:rPr>
        <w:t>con baja satisfacción y alta sati</w:t>
      </w:r>
      <w:r w:rsidR="00383E3A" w:rsidRPr="002F0A14">
        <w:rPr>
          <w:rFonts w:ascii="Times New Roman" w:hAnsi="Times New Roman" w:cs="Times New Roman"/>
          <w:sz w:val="24"/>
          <w:szCs w:val="24"/>
        </w:rPr>
        <w:t>sfacción de la función familiar</w:t>
      </w:r>
      <w:r w:rsidR="002D39D2" w:rsidRPr="002F0A14">
        <w:rPr>
          <w:rFonts w:ascii="Times New Roman" w:hAnsi="Times New Roman" w:cs="Times New Roman"/>
          <w:sz w:val="24"/>
          <w:szCs w:val="24"/>
        </w:rPr>
        <w:t xml:space="preserve"> </w:t>
      </w:r>
      <w:r w:rsidR="008662BE" w:rsidRPr="002F0A14">
        <w:rPr>
          <w:rFonts w:ascii="Times New Roman" w:hAnsi="Times New Roman" w:cs="Times New Roman"/>
          <w:sz w:val="24"/>
          <w:szCs w:val="24"/>
        </w:rPr>
        <w:t>(p&lt;.01)</w:t>
      </w:r>
      <w:r w:rsidR="00DE7D1E" w:rsidRPr="002F0A14">
        <w:rPr>
          <w:rFonts w:ascii="Times New Roman" w:hAnsi="Times New Roman" w:cs="Times New Roman"/>
          <w:sz w:val="24"/>
          <w:szCs w:val="24"/>
        </w:rPr>
        <w:t xml:space="preserve"> y entre</w:t>
      </w:r>
      <w:r w:rsidR="00383E3A" w:rsidRPr="002F0A14">
        <w:rPr>
          <w:rFonts w:ascii="Times New Roman" w:hAnsi="Times New Roman" w:cs="Times New Roman"/>
          <w:sz w:val="24"/>
          <w:szCs w:val="24"/>
        </w:rPr>
        <w:t xml:space="preserve"> </w:t>
      </w:r>
      <w:r w:rsidR="002D39D2" w:rsidRPr="002F0A14">
        <w:rPr>
          <w:rFonts w:ascii="Times New Roman" w:hAnsi="Times New Roman" w:cs="Times New Roman"/>
          <w:sz w:val="24"/>
          <w:szCs w:val="24"/>
        </w:rPr>
        <w:t>media satisfacción y alta sati</w:t>
      </w:r>
      <w:r w:rsidR="00383E3A" w:rsidRPr="002F0A14">
        <w:rPr>
          <w:rFonts w:ascii="Times New Roman" w:hAnsi="Times New Roman" w:cs="Times New Roman"/>
          <w:sz w:val="24"/>
          <w:szCs w:val="24"/>
        </w:rPr>
        <w:t>sfacción de la función familiar</w:t>
      </w:r>
      <w:r w:rsidR="008662BE" w:rsidRPr="002F0A14">
        <w:rPr>
          <w:rFonts w:ascii="Times New Roman" w:hAnsi="Times New Roman" w:cs="Times New Roman"/>
          <w:sz w:val="24"/>
          <w:szCs w:val="24"/>
        </w:rPr>
        <w:t xml:space="preserve"> (p&lt;.05)</w:t>
      </w:r>
      <w:r w:rsidR="00DE7D1E" w:rsidRPr="002F0A14">
        <w:rPr>
          <w:rFonts w:ascii="Times New Roman" w:hAnsi="Times New Roman" w:cs="Times New Roman"/>
          <w:sz w:val="24"/>
          <w:szCs w:val="24"/>
        </w:rPr>
        <w:t xml:space="preserve">. Las posibilidades de consumo de alcohol de individuos </w:t>
      </w:r>
      <w:r w:rsidR="008151B2" w:rsidRPr="002F0A14">
        <w:rPr>
          <w:rFonts w:ascii="Times New Roman" w:hAnsi="Times New Roman" w:cs="Times New Roman"/>
          <w:sz w:val="24"/>
          <w:szCs w:val="24"/>
        </w:rPr>
        <w:t>con baja satisfacción son 2.</w:t>
      </w:r>
      <w:r w:rsidR="002D39D2" w:rsidRPr="002F0A14">
        <w:rPr>
          <w:rFonts w:ascii="Times New Roman" w:hAnsi="Times New Roman" w:cs="Times New Roman"/>
          <w:sz w:val="24"/>
          <w:szCs w:val="24"/>
        </w:rPr>
        <w:t>58 veces más altas que los individuos con alta satisfacción de</w:t>
      </w:r>
      <w:r w:rsidR="00383E3A" w:rsidRPr="002F0A14">
        <w:rPr>
          <w:rFonts w:ascii="Times New Roman" w:hAnsi="Times New Roman" w:cs="Times New Roman"/>
          <w:sz w:val="24"/>
          <w:szCs w:val="24"/>
        </w:rPr>
        <w:t xml:space="preserve"> la función familiar. </w:t>
      </w:r>
      <w:r w:rsidR="00DE7D1E" w:rsidRPr="002F0A14">
        <w:rPr>
          <w:rFonts w:ascii="Times New Roman" w:hAnsi="Times New Roman" w:cs="Times New Roman"/>
          <w:sz w:val="24"/>
          <w:szCs w:val="24"/>
        </w:rPr>
        <w:t>Mientras que las posibilidades de consumo de alcohol</w:t>
      </w:r>
      <w:r w:rsidR="00383E3A" w:rsidRPr="002F0A14">
        <w:rPr>
          <w:rFonts w:ascii="Times New Roman" w:hAnsi="Times New Roman" w:cs="Times New Roman"/>
          <w:sz w:val="24"/>
          <w:szCs w:val="24"/>
        </w:rPr>
        <w:t xml:space="preserve"> </w:t>
      </w:r>
      <w:r w:rsidR="002D39D2" w:rsidRPr="002F0A14">
        <w:rPr>
          <w:rFonts w:ascii="Times New Roman" w:hAnsi="Times New Roman" w:cs="Times New Roman"/>
          <w:sz w:val="24"/>
          <w:szCs w:val="24"/>
        </w:rPr>
        <w:t>en individuos con media satisfacción son 1</w:t>
      </w:r>
      <w:r w:rsidR="008151B2" w:rsidRPr="002F0A14">
        <w:rPr>
          <w:rFonts w:ascii="Times New Roman" w:hAnsi="Times New Roman" w:cs="Times New Roman"/>
          <w:sz w:val="24"/>
          <w:szCs w:val="24"/>
        </w:rPr>
        <w:t>.</w:t>
      </w:r>
      <w:r w:rsidR="002D39D2" w:rsidRPr="002F0A14">
        <w:rPr>
          <w:rFonts w:ascii="Times New Roman" w:hAnsi="Times New Roman" w:cs="Times New Roman"/>
          <w:sz w:val="24"/>
          <w:szCs w:val="24"/>
        </w:rPr>
        <w:t>69 veces más alta que los individuos con alta satisfac</w:t>
      </w:r>
      <w:r w:rsidR="00383E3A" w:rsidRPr="002F0A14">
        <w:rPr>
          <w:rFonts w:ascii="Times New Roman" w:hAnsi="Times New Roman" w:cs="Times New Roman"/>
          <w:sz w:val="24"/>
          <w:szCs w:val="24"/>
        </w:rPr>
        <w:t>ción de la función familiar.</w:t>
      </w:r>
      <w:r w:rsidR="00DE7D1E" w:rsidRPr="002F0A14">
        <w:rPr>
          <w:rFonts w:ascii="Times New Roman" w:hAnsi="Times New Roman" w:cs="Times New Roman"/>
          <w:sz w:val="24"/>
          <w:szCs w:val="24"/>
        </w:rPr>
        <w:t xml:space="preserve"> Al igual que en los caso anteriores, a mayor edad existe una posibilidad más alta de consumo de alcohol. Individuos</w:t>
      </w:r>
      <w:r w:rsidR="001F024D" w:rsidRPr="002F0A14">
        <w:rPr>
          <w:rFonts w:ascii="Times New Roman" w:hAnsi="Times New Roman" w:cs="Times New Roman"/>
          <w:sz w:val="24"/>
          <w:szCs w:val="24"/>
        </w:rPr>
        <w:t xml:space="preserve"> entre 15 y 16 años presentan 3.</w:t>
      </w:r>
      <w:r w:rsidR="00DE7D1E" w:rsidRPr="002F0A14">
        <w:rPr>
          <w:rFonts w:ascii="Times New Roman" w:hAnsi="Times New Roman" w:cs="Times New Roman"/>
          <w:sz w:val="24"/>
          <w:szCs w:val="24"/>
        </w:rPr>
        <w:t>14 veces más posibilidades de consumo que los individuos entre 13 y 14 años y el grupo de más de 16 años tienen una pos</w:t>
      </w:r>
      <w:r w:rsidRPr="002F0A14">
        <w:rPr>
          <w:rFonts w:ascii="Times New Roman" w:hAnsi="Times New Roman" w:cs="Times New Roman"/>
          <w:sz w:val="24"/>
          <w:szCs w:val="24"/>
        </w:rPr>
        <w:t>ibilidad de 5</w:t>
      </w:r>
      <w:r w:rsidR="008151B2" w:rsidRPr="002F0A14">
        <w:rPr>
          <w:rFonts w:ascii="Times New Roman" w:hAnsi="Times New Roman" w:cs="Times New Roman"/>
          <w:sz w:val="24"/>
          <w:szCs w:val="24"/>
        </w:rPr>
        <w:t>.</w:t>
      </w:r>
      <w:r w:rsidR="0001042B" w:rsidRPr="002F0A14">
        <w:rPr>
          <w:rFonts w:ascii="Times New Roman" w:hAnsi="Times New Roman" w:cs="Times New Roman"/>
          <w:sz w:val="24"/>
          <w:szCs w:val="24"/>
        </w:rPr>
        <w:t xml:space="preserve">88 veces más alta </w:t>
      </w:r>
      <w:r w:rsidR="00DE7D1E" w:rsidRPr="002F0A14">
        <w:rPr>
          <w:rFonts w:ascii="Times New Roman" w:hAnsi="Times New Roman" w:cs="Times New Roman"/>
          <w:sz w:val="24"/>
          <w:szCs w:val="24"/>
        </w:rPr>
        <w:t xml:space="preserve">de consumir que el grupo entre 13 y 14 años. </w:t>
      </w:r>
      <w:r w:rsidRPr="002F0A14">
        <w:rPr>
          <w:rFonts w:ascii="Times New Roman" w:hAnsi="Times New Roman" w:cs="Times New Roman"/>
          <w:sz w:val="24"/>
          <w:szCs w:val="24"/>
        </w:rPr>
        <w:t>Se observó</w:t>
      </w:r>
      <w:r w:rsidR="00DE7D1E" w:rsidRPr="002F0A14">
        <w:rPr>
          <w:rFonts w:ascii="Times New Roman" w:hAnsi="Times New Roman" w:cs="Times New Roman"/>
          <w:sz w:val="24"/>
          <w:szCs w:val="24"/>
        </w:rPr>
        <w:t xml:space="preserve"> una diferencia significativa </w:t>
      </w:r>
      <w:r w:rsidR="008662BE" w:rsidRPr="002F0A14">
        <w:rPr>
          <w:rFonts w:ascii="Times New Roman" w:hAnsi="Times New Roman" w:cs="Times New Roman"/>
          <w:sz w:val="24"/>
          <w:szCs w:val="24"/>
        </w:rPr>
        <w:t>(p&lt;.10</w:t>
      </w:r>
      <w:r w:rsidRPr="002F0A14">
        <w:rPr>
          <w:rFonts w:ascii="Times New Roman" w:hAnsi="Times New Roman" w:cs="Times New Roman"/>
          <w:sz w:val="24"/>
          <w:szCs w:val="24"/>
        </w:rPr>
        <w:t>)</w:t>
      </w:r>
      <w:r w:rsidR="00DE7D1E" w:rsidRPr="002F0A14">
        <w:rPr>
          <w:rFonts w:ascii="Times New Roman" w:hAnsi="Times New Roman" w:cs="Times New Roman"/>
          <w:sz w:val="24"/>
          <w:szCs w:val="24"/>
        </w:rPr>
        <w:t xml:space="preserve"> en el consumo de alcohol entre hombres y mujeres. El valor de Odd Ra</w:t>
      </w:r>
      <w:r w:rsidRPr="002F0A14">
        <w:rPr>
          <w:rFonts w:ascii="Times New Roman" w:hAnsi="Times New Roman" w:cs="Times New Roman"/>
          <w:sz w:val="24"/>
          <w:szCs w:val="24"/>
        </w:rPr>
        <w:t>tio indicó</w:t>
      </w:r>
      <w:r w:rsidR="00383E3A" w:rsidRPr="002F0A14">
        <w:rPr>
          <w:rFonts w:ascii="Times New Roman" w:hAnsi="Times New Roman" w:cs="Times New Roman"/>
          <w:sz w:val="24"/>
          <w:szCs w:val="24"/>
        </w:rPr>
        <w:t xml:space="preserve"> una posibilidad de 1.</w:t>
      </w:r>
      <w:r w:rsidR="00DE7D1E" w:rsidRPr="002F0A14">
        <w:rPr>
          <w:rFonts w:ascii="Times New Roman" w:hAnsi="Times New Roman" w:cs="Times New Roman"/>
          <w:sz w:val="24"/>
          <w:szCs w:val="24"/>
        </w:rPr>
        <w:t xml:space="preserve">33 veces alta de consumo de alcohol por parte de las mujeres sobre los hombres. Los resultados </w:t>
      </w:r>
      <w:r w:rsidRPr="002F0A14">
        <w:rPr>
          <w:rFonts w:ascii="Times New Roman" w:hAnsi="Times New Roman" w:cs="Times New Roman"/>
          <w:sz w:val="24"/>
          <w:szCs w:val="24"/>
        </w:rPr>
        <w:t xml:space="preserve">dieron </w:t>
      </w:r>
      <w:r w:rsidR="00DE7D1E" w:rsidRPr="002F0A14">
        <w:rPr>
          <w:rFonts w:ascii="Times New Roman" w:hAnsi="Times New Roman" w:cs="Times New Roman"/>
          <w:sz w:val="24"/>
          <w:szCs w:val="24"/>
        </w:rPr>
        <w:t xml:space="preserve">cuenta de una clara relación entre individuos </w:t>
      </w:r>
      <w:r w:rsidR="0001042B" w:rsidRPr="002F0A14">
        <w:rPr>
          <w:rFonts w:ascii="Times New Roman" w:hAnsi="Times New Roman" w:cs="Times New Roman"/>
          <w:sz w:val="24"/>
          <w:szCs w:val="24"/>
        </w:rPr>
        <w:t>con baja sati</w:t>
      </w:r>
      <w:r w:rsidR="00383E3A" w:rsidRPr="002F0A14">
        <w:rPr>
          <w:rFonts w:ascii="Times New Roman" w:hAnsi="Times New Roman" w:cs="Times New Roman"/>
          <w:sz w:val="24"/>
          <w:szCs w:val="24"/>
        </w:rPr>
        <w:t xml:space="preserve">sfacción de la función familiar </w:t>
      </w:r>
      <w:r w:rsidR="00DE7D1E" w:rsidRPr="002F0A14">
        <w:rPr>
          <w:rFonts w:ascii="Times New Roman" w:hAnsi="Times New Roman" w:cs="Times New Roman"/>
          <w:sz w:val="24"/>
          <w:szCs w:val="24"/>
        </w:rPr>
        <w:t>y</w:t>
      </w:r>
      <w:r w:rsidR="0001042B" w:rsidRPr="002F0A14">
        <w:rPr>
          <w:rFonts w:ascii="Times New Roman" w:hAnsi="Times New Roman" w:cs="Times New Roman"/>
          <w:sz w:val="24"/>
          <w:szCs w:val="24"/>
        </w:rPr>
        <w:t xml:space="preserve"> una mayor probabilidad de c</w:t>
      </w:r>
      <w:r w:rsidR="00383E3A" w:rsidRPr="002F0A14">
        <w:rPr>
          <w:rFonts w:ascii="Times New Roman" w:hAnsi="Times New Roman" w:cs="Times New Roman"/>
          <w:sz w:val="24"/>
          <w:szCs w:val="24"/>
        </w:rPr>
        <w:t>onsumir sustancias psicoactivas.</w:t>
      </w:r>
    </w:p>
    <w:tbl>
      <w:tblPr>
        <w:tblStyle w:val="Tablaconcuadrcul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90"/>
        <w:gridCol w:w="1275"/>
        <w:gridCol w:w="1985"/>
        <w:gridCol w:w="1417"/>
        <w:gridCol w:w="1701"/>
      </w:tblGrid>
      <w:tr w:rsidR="0001042B" w:rsidRPr="002F0A14" w:rsidTr="00484422">
        <w:trPr>
          <w:jc w:val="center"/>
        </w:trPr>
        <w:tc>
          <w:tcPr>
            <w:tcW w:w="9639" w:type="dxa"/>
            <w:gridSpan w:val="6"/>
          </w:tcPr>
          <w:p w:rsidR="0001042B" w:rsidRPr="002F0A14" w:rsidRDefault="0001042B"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Tabla 5.</w:t>
            </w:r>
          </w:p>
        </w:tc>
      </w:tr>
      <w:tr w:rsidR="0001042B" w:rsidRPr="002F0A14" w:rsidTr="00484422">
        <w:trPr>
          <w:jc w:val="center"/>
        </w:trPr>
        <w:tc>
          <w:tcPr>
            <w:tcW w:w="9639" w:type="dxa"/>
            <w:gridSpan w:val="6"/>
            <w:tcBorders>
              <w:bottom w:val="single" w:sz="4" w:space="0" w:color="auto"/>
            </w:tcBorders>
          </w:tcPr>
          <w:p w:rsidR="0001042B" w:rsidRPr="002F0A14" w:rsidRDefault="0001042B" w:rsidP="00D501E8">
            <w:pPr>
              <w:pStyle w:val="HTMLconformatoprevio"/>
              <w:tabs>
                <w:tab w:val="clear" w:pos="5496"/>
                <w:tab w:val="left" w:pos="2880"/>
                <w:tab w:val="center" w:pos="5504"/>
              </w:tabs>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Resultados de Regresión Logística para Alcohol</w:t>
            </w:r>
          </w:p>
        </w:tc>
      </w:tr>
      <w:tr w:rsidR="0001042B" w:rsidRPr="002F0A14" w:rsidTr="00484422">
        <w:trPr>
          <w:jc w:val="center"/>
        </w:trPr>
        <w:tc>
          <w:tcPr>
            <w:tcW w:w="1271" w:type="dxa"/>
            <w:tcBorders>
              <w:top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p>
        </w:tc>
        <w:tc>
          <w:tcPr>
            <w:tcW w:w="1990" w:type="dxa"/>
            <w:tcBorders>
              <w:top w:val="single" w:sz="4" w:space="0" w:color="auto"/>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Variables</w:t>
            </w:r>
          </w:p>
        </w:tc>
        <w:tc>
          <w:tcPr>
            <w:tcW w:w="1275" w:type="dxa"/>
            <w:tcBorders>
              <w:top w:val="single" w:sz="4" w:space="0" w:color="auto"/>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Coeficientes</w:t>
            </w:r>
          </w:p>
        </w:tc>
        <w:tc>
          <w:tcPr>
            <w:tcW w:w="1985" w:type="dxa"/>
            <w:tcBorders>
              <w:top w:val="single" w:sz="4" w:space="0" w:color="auto"/>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 estándar</w:t>
            </w:r>
          </w:p>
        </w:tc>
        <w:tc>
          <w:tcPr>
            <w:tcW w:w="1417" w:type="dxa"/>
            <w:tcBorders>
              <w:top w:val="single" w:sz="4" w:space="0" w:color="auto"/>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p-valor</w:t>
            </w:r>
          </w:p>
        </w:tc>
        <w:tc>
          <w:tcPr>
            <w:tcW w:w="1701" w:type="dxa"/>
            <w:tcBorders>
              <w:top w:val="single" w:sz="4" w:space="0" w:color="auto"/>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Odd Ratio</w:t>
            </w:r>
          </w:p>
        </w:tc>
      </w:tr>
      <w:tr w:rsidR="0001042B" w:rsidRPr="002F0A14" w:rsidTr="00484422">
        <w:trPr>
          <w:jc w:val="center"/>
        </w:trPr>
        <w:tc>
          <w:tcPr>
            <w:tcW w:w="9639" w:type="dxa"/>
            <w:gridSpan w:val="6"/>
            <w:tcBorders>
              <w:top w:val="single" w:sz="4" w:space="0" w:color="auto"/>
            </w:tcBorders>
          </w:tcPr>
          <w:p w:rsidR="0001042B" w:rsidRPr="002F0A14" w:rsidRDefault="0001042B"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Satisfacción de la función familiar</w:t>
            </w:r>
          </w:p>
        </w:tc>
      </w:tr>
      <w:tr w:rsidR="0001042B" w:rsidRPr="002F0A14" w:rsidTr="00484422">
        <w:trPr>
          <w:jc w:val="center"/>
        </w:trPr>
        <w:tc>
          <w:tcPr>
            <w:tcW w:w="1271" w:type="dxa"/>
            <w:vMerge w:val="restart"/>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Baja</w:t>
            </w:r>
          </w:p>
        </w:tc>
        <w:tc>
          <w:tcPr>
            <w:tcW w:w="127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0.948</w:t>
            </w:r>
          </w:p>
        </w:tc>
        <w:tc>
          <w:tcPr>
            <w:tcW w:w="198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0.217</w:t>
            </w:r>
          </w:p>
        </w:tc>
        <w:tc>
          <w:tcPr>
            <w:tcW w:w="1417"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701"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2.581</w:t>
            </w:r>
          </w:p>
        </w:tc>
      </w:tr>
      <w:tr w:rsidR="0001042B" w:rsidRPr="002F0A14" w:rsidTr="00484422">
        <w:trPr>
          <w:jc w:val="center"/>
        </w:trPr>
        <w:tc>
          <w:tcPr>
            <w:tcW w:w="1271" w:type="dxa"/>
            <w:vMerge/>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Media</w:t>
            </w:r>
          </w:p>
        </w:tc>
        <w:tc>
          <w:tcPr>
            <w:tcW w:w="127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0.528</w:t>
            </w:r>
          </w:p>
        </w:tc>
        <w:tc>
          <w:tcPr>
            <w:tcW w:w="198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0.223</w:t>
            </w:r>
          </w:p>
        </w:tc>
        <w:tc>
          <w:tcPr>
            <w:tcW w:w="1417"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0.018</w:t>
            </w:r>
          </w:p>
        </w:tc>
        <w:tc>
          <w:tcPr>
            <w:tcW w:w="1701"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1.697</w:t>
            </w:r>
          </w:p>
        </w:tc>
      </w:tr>
      <w:tr w:rsidR="0001042B" w:rsidRPr="002F0A14" w:rsidTr="00484422">
        <w:trPr>
          <w:jc w:val="center"/>
        </w:trPr>
        <w:tc>
          <w:tcPr>
            <w:tcW w:w="9639" w:type="dxa"/>
            <w:gridSpan w:val="6"/>
          </w:tcPr>
          <w:p w:rsidR="0001042B" w:rsidRPr="002F0A14" w:rsidRDefault="0001042B"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Edad</w:t>
            </w:r>
          </w:p>
        </w:tc>
      </w:tr>
      <w:tr w:rsidR="0001042B" w:rsidRPr="002F0A14" w:rsidTr="00484422">
        <w:trPr>
          <w:jc w:val="center"/>
        </w:trPr>
        <w:tc>
          <w:tcPr>
            <w:tcW w:w="1271" w:type="dxa"/>
            <w:vMerge w:val="restart"/>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Mayor a 16</w:t>
            </w:r>
          </w:p>
        </w:tc>
        <w:tc>
          <w:tcPr>
            <w:tcW w:w="127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1.771</w:t>
            </w:r>
          </w:p>
        </w:tc>
        <w:tc>
          <w:tcPr>
            <w:tcW w:w="198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0.234</w:t>
            </w:r>
          </w:p>
        </w:tc>
        <w:tc>
          <w:tcPr>
            <w:tcW w:w="1417"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701"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5.880</w:t>
            </w:r>
          </w:p>
        </w:tc>
      </w:tr>
      <w:tr w:rsidR="0001042B" w:rsidRPr="002F0A14" w:rsidTr="00484422">
        <w:trPr>
          <w:jc w:val="center"/>
        </w:trPr>
        <w:tc>
          <w:tcPr>
            <w:tcW w:w="1271" w:type="dxa"/>
            <w:vMerge/>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Entre 15 y 16</w:t>
            </w:r>
          </w:p>
        </w:tc>
        <w:tc>
          <w:tcPr>
            <w:tcW w:w="127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1.146</w:t>
            </w:r>
          </w:p>
        </w:tc>
        <w:tc>
          <w:tcPr>
            <w:tcW w:w="198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0.200</w:t>
            </w:r>
          </w:p>
        </w:tc>
        <w:tc>
          <w:tcPr>
            <w:tcW w:w="1417"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c>
          <w:tcPr>
            <w:tcW w:w="1701"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3.144</w:t>
            </w:r>
          </w:p>
        </w:tc>
      </w:tr>
      <w:tr w:rsidR="0001042B" w:rsidRPr="002F0A14" w:rsidTr="00484422">
        <w:trPr>
          <w:jc w:val="center"/>
        </w:trPr>
        <w:tc>
          <w:tcPr>
            <w:tcW w:w="9639" w:type="dxa"/>
            <w:gridSpan w:val="6"/>
          </w:tcPr>
          <w:p w:rsidR="0001042B" w:rsidRPr="002F0A14" w:rsidRDefault="0001042B"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Género</w:t>
            </w:r>
          </w:p>
        </w:tc>
      </w:tr>
      <w:tr w:rsidR="0001042B" w:rsidRPr="002F0A14" w:rsidTr="00484422">
        <w:trPr>
          <w:jc w:val="center"/>
        </w:trPr>
        <w:tc>
          <w:tcPr>
            <w:tcW w:w="1271" w:type="dxa"/>
            <w:vMerge w:val="restart"/>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Mujer</w:t>
            </w:r>
          </w:p>
        </w:tc>
        <w:tc>
          <w:tcPr>
            <w:tcW w:w="127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0.291</w:t>
            </w:r>
          </w:p>
        </w:tc>
        <w:tc>
          <w:tcPr>
            <w:tcW w:w="1985"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0.1687</w:t>
            </w:r>
          </w:p>
        </w:tc>
        <w:tc>
          <w:tcPr>
            <w:tcW w:w="1417"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0.084</w:t>
            </w:r>
          </w:p>
        </w:tc>
        <w:tc>
          <w:tcPr>
            <w:tcW w:w="1701"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1.339</w:t>
            </w:r>
          </w:p>
        </w:tc>
      </w:tr>
      <w:tr w:rsidR="0001042B" w:rsidRPr="002F0A14" w:rsidTr="00484422">
        <w:trPr>
          <w:trHeight w:val="77"/>
          <w:jc w:val="center"/>
        </w:trPr>
        <w:tc>
          <w:tcPr>
            <w:tcW w:w="1271" w:type="dxa"/>
            <w:vMerge/>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990"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275" w:type="dxa"/>
            <w:tcBorders>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Error</w:t>
            </w:r>
          </w:p>
        </w:tc>
        <w:tc>
          <w:tcPr>
            <w:tcW w:w="1985" w:type="dxa"/>
            <w:tcBorders>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Sensibilidad</w:t>
            </w:r>
          </w:p>
        </w:tc>
        <w:tc>
          <w:tcPr>
            <w:tcW w:w="1417" w:type="dxa"/>
            <w:tcBorders>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Especificidad</w:t>
            </w:r>
          </w:p>
        </w:tc>
        <w:tc>
          <w:tcPr>
            <w:tcW w:w="1701" w:type="dxa"/>
            <w:tcBorders>
              <w:bottom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McNemar's</w:t>
            </w:r>
          </w:p>
        </w:tc>
      </w:tr>
      <w:tr w:rsidR="0001042B" w:rsidRPr="002F0A14" w:rsidTr="00484422">
        <w:trPr>
          <w:jc w:val="center"/>
        </w:trPr>
        <w:tc>
          <w:tcPr>
            <w:tcW w:w="1271" w:type="dxa"/>
          </w:tcPr>
          <w:p w:rsidR="0001042B" w:rsidRPr="002F0A14" w:rsidRDefault="0001042B" w:rsidP="00D501E8">
            <w:pPr>
              <w:pStyle w:val="HTMLconformatoprevio"/>
              <w:wordWrap w:val="0"/>
              <w:spacing w:before="20" w:line="360" w:lineRule="auto"/>
              <w:rPr>
                <w:rFonts w:ascii="Times New Roman" w:eastAsiaTheme="minorHAnsi" w:hAnsi="Times New Roman" w:cs="Times New Roman"/>
                <w:b/>
                <w:sz w:val="24"/>
                <w:szCs w:val="24"/>
                <w:lang w:val="es-EC"/>
              </w:rPr>
            </w:pPr>
            <w:r w:rsidRPr="002F0A14">
              <w:rPr>
                <w:rFonts w:ascii="Times New Roman" w:eastAsiaTheme="minorHAnsi" w:hAnsi="Times New Roman" w:cs="Times New Roman"/>
                <w:b/>
                <w:sz w:val="24"/>
                <w:szCs w:val="24"/>
                <w:lang w:val="es-EC"/>
              </w:rPr>
              <w:t>Valores</w:t>
            </w:r>
          </w:p>
        </w:tc>
        <w:tc>
          <w:tcPr>
            <w:tcW w:w="1990" w:type="dxa"/>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p>
        </w:tc>
        <w:tc>
          <w:tcPr>
            <w:tcW w:w="1275" w:type="dxa"/>
            <w:tcBorders>
              <w:top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0.36</w:t>
            </w:r>
          </w:p>
        </w:tc>
        <w:tc>
          <w:tcPr>
            <w:tcW w:w="1985" w:type="dxa"/>
            <w:tcBorders>
              <w:top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0.66</w:t>
            </w:r>
          </w:p>
        </w:tc>
        <w:tc>
          <w:tcPr>
            <w:tcW w:w="1417" w:type="dxa"/>
            <w:tcBorders>
              <w:top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0.61</w:t>
            </w:r>
          </w:p>
        </w:tc>
        <w:tc>
          <w:tcPr>
            <w:tcW w:w="1701" w:type="dxa"/>
            <w:tcBorders>
              <w:top w:val="single" w:sz="4" w:space="0" w:color="auto"/>
            </w:tcBorders>
          </w:tcPr>
          <w:p w:rsidR="0001042B" w:rsidRPr="002F0A14" w:rsidRDefault="0001042B" w:rsidP="00D501E8">
            <w:pPr>
              <w:pStyle w:val="HTMLconformatoprevio"/>
              <w:wordWrap w:val="0"/>
              <w:spacing w:before="20" w:line="360" w:lineRule="auto"/>
              <w:jc w:val="center"/>
              <w:rPr>
                <w:rFonts w:ascii="Times New Roman" w:eastAsiaTheme="minorHAnsi" w:hAnsi="Times New Roman" w:cs="Times New Roman"/>
                <w:sz w:val="24"/>
                <w:szCs w:val="24"/>
                <w:lang w:val="es-EC"/>
              </w:rPr>
            </w:pPr>
            <w:r w:rsidRPr="002F0A14">
              <w:rPr>
                <w:rFonts w:ascii="Times New Roman" w:eastAsiaTheme="minorHAnsi" w:hAnsi="Times New Roman" w:cs="Times New Roman"/>
                <w:sz w:val="24"/>
                <w:szCs w:val="24"/>
                <w:lang w:val="es-EC"/>
              </w:rPr>
              <w:t>0.000</w:t>
            </w:r>
          </w:p>
        </w:tc>
      </w:tr>
    </w:tbl>
    <w:p w:rsidR="0001042B" w:rsidRPr="002F0A14" w:rsidRDefault="0001042B" w:rsidP="00DE7D1E">
      <w:pPr>
        <w:pStyle w:val="HTMLconformatoprevio"/>
        <w:shd w:val="clear" w:color="auto" w:fill="FFFFFF"/>
        <w:wordWrap w:val="0"/>
        <w:spacing w:line="360" w:lineRule="auto"/>
        <w:jc w:val="both"/>
        <w:rPr>
          <w:rFonts w:ascii="Times New Roman" w:eastAsiaTheme="minorHAnsi" w:hAnsi="Times New Roman" w:cs="Times New Roman"/>
          <w:sz w:val="24"/>
          <w:szCs w:val="24"/>
          <w:lang w:val="es-EC"/>
        </w:rPr>
      </w:pPr>
    </w:p>
    <w:p w:rsidR="007A2281" w:rsidRPr="002F0A14" w:rsidRDefault="007A2281" w:rsidP="00D501E8">
      <w:pPr>
        <w:spacing w:line="360" w:lineRule="auto"/>
        <w:jc w:val="both"/>
        <w:rPr>
          <w:rFonts w:ascii="Times New Roman" w:hAnsi="Times New Roman" w:cs="Times New Roman"/>
          <w:b/>
          <w:sz w:val="24"/>
          <w:szCs w:val="24"/>
        </w:rPr>
      </w:pPr>
      <w:r w:rsidRPr="002F0A14">
        <w:rPr>
          <w:rFonts w:ascii="Times New Roman" w:hAnsi="Times New Roman" w:cs="Times New Roman"/>
          <w:b/>
          <w:sz w:val="24"/>
          <w:szCs w:val="24"/>
        </w:rPr>
        <w:t>Discusión</w:t>
      </w:r>
    </w:p>
    <w:p w:rsidR="002D0F62" w:rsidRPr="002F0A14" w:rsidRDefault="00613289"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Está investigación </w:t>
      </w:r>
      <w:r w:rsidR="008357C5" w:rsidRPr="002F0A14">
        <w:rPr>
          <w:rFonts w:ascii="Times New Roman" w:hAnsi="Times New Roman" w:cs="Times New Roman"/>
          <w:sz w:val="24"/>
          <w:szCs w:val="24"/>
        </w:rPr>
        <w:t>muestra</w:t>
      </w:r>
      <w:r w:rsidR="002D0F62" w:rsidRPr="002F0A14">
        <w:rPr>
          <w:rFonts w:ascii="Times New Roman" w:hAnsi="Times New Roman" w:cs="Times New Roman"/>
          <w:sz w:val="24"/>
          <w:szCs w:val="24"/>
        </w:rPr>
        <w:t xml:space="preserve"> variables de asociación </w:t>
      </w:r>
      <w:r w:rsidR="008357C5" w:rsidRPr="002F0A14">
        <w:rPr>
          <w:rFonts w:ascii="Times New Roman" w:hAnsi="Times New Roman" w:cs="Times New Roman"/>
          <w:sz w:val="24"/>
          <w:szCs w:val="24"/>
        </w:rPr>
        <w:t xml:space="preserve">que inciden en las posibilidades de </w:t>
      </w:r>
      <w:r w:rsidR="002D0F62" w:rsidRPr="002F0A14">
        <w:rPr>
          <w:rFonts w:ascii="Times New Roman" w:hAnsi="Times New Roman" w:cs="Times New Roman"/>
          <w:sz w:val="24"/>
          <w:szCs w:val="24"/>
        </w:rPr>
        <w:t>consumo de alcohol, tabaco y otras drogas</w:t>
      </w:r>
      <w:r w:rsidR="008357C5" w:rsidRPr="002F0A14">
        <w:rPr>
          <w:rFonts w:ascii="Times New Roman" w:hAnsi="Times New Roman" w:cs="Times New Roman"/>
          <w:sz w:val="24"/>
          <w:szCs w:val="24"/>
        </w:rPr>
        <w:t xml:space="preserve"> en la población adolescente</w:t>
      </w:r>
      <w:r w:rsidR="00365614" w:rsidRPr="002F0A14">
        <w:rPr>
          <w:rFonts w:ascii="Times New Roman" w:hAnsi="Times New Roman" w:cs="Times New Roman"/>
          <w:sz w:val="24"/>
          <w:szCs w:val="24"/>
        </w:rPr>
        <w:t xml:space="preserve">. Los resultados </w:t>
      </w:r>
      <w:r w:rsidRPr="002F0A14">
        <w:rPr>
          <w:rFonts w:ascii="Times New Roman" w:hAnsi="Times New Roman" w:cs="Times New Roman"/>
          <w:sz w:val="24"/>
          <w:szCs w:val="24"/>
        </w:rPr>
        <w:t xml:space="preserve">indicaron que las </w:t>
      </w:r>
      <w:r w:rsidRPr="002F0A14">
        <w:rPr>
          <w:rFonts w:ascii="Times New Roman" w:hAnsi="Times New Roman" w:cs="Times New Roman"/>
          <w:sz w:val="24"/>
          <w:szCs w:val="24"/>
        </w:rPr>
        <w:lastRenderedPageBreak/>
        <w:t xml:space="preserve">mayores </w:t>
      </w:r>
      <w:r w:rsidR="00365614" w:rsidRPr="002F0A14">
        <w:rPr>
          <w:rFonts w:ascii="Times New Roman" w:hAnsi="Times New Roman" w:cs="Times New Roman"/>
          <w:sz w:val="24"/>
          <w:szCs w:val="24"/>
        </w:rPr>
        <w:t xml:space="preserve">de </w:t>
      </w:r>
      <w:r w:rsidR="002D0F62" w:rsidRPr="002F0A14">
        <w:rPr>
          <w:rFonts w:ascii="Times New Roman" w:hAnsi="Times New Roman" w:cs="Times New Roman"/>
          <w:sz w:val="24"/>
          <w:szCs w:val="24"/>
        </w:rPr>
        <w:t>consumo</w:t>
      </w:r>
      <w:r w:rsidR="00365614" w:rsidRPr="002F0A14">
        <w:rPr>
          <w:rFonts w:ascii="Times New Roman" w:hAnsi="Times New Roman" w:cs="Times New Roman"/>
          <w:sz w:val="24"/>
          <w:szCs w:val="24"/>
        </w:rPr>
        <w:t xml:space="preserve"> y riesgo de consumo de estas sustancias </w:t>
      </w:r>
      <w:r w:rsidRPr="002F0A14">
        <w:rPr>
          <w:rFonts w:ascii="Times New Roman" w:hAnsi="Times New Roman" w:cs="Times New Roman"/>
          <w:sz w:val="24"/>
          <w:szCs w:val="24"/>
        </w:rPr>
        <w:t xml:space="preserve">están </w:t>
      </w:r>
      <w:r w:rsidR="00365614" w:rsidRPr="002F0A14">
        <w:rPr>
          <w:rFonts w:ascii="Times New Roman" w:hAnsi="Times New Roman" w:cs="Times New Roman"/>
          <w:sz w:val="24"/>
          <w:szCs w:val="24"/>
        </w:rPr>
        <w:t>directamente relacionadas con los niveles de satisfacción familiar del individuo. Además, las posibilidades de inicio de consumo incrementan a</w:t>
      </w:r>
      <w:r w:rsidR="002D0F62" w:rsidRPr="002F0A14">
        <w:rPr>
          <w:rFonts w:ascii="Times New Roman" w:hAnsi="Times New Roman" w:cs="Times New Roman"/>
          <w:sz w:val="24"/>
          <w:szCs w:val="24"/>
        </w:rPr>
        <w:t xml:space="preserve"> mayor edad</w:t>
      </w:r>
      <w:r w:rsidR="00365614" w:rsidRPr="002F0A14">
        <w:rPr>
          <w:rFonts w:ascii="Times New Roman" w:hAnsi="Times New Roman" w:cs="Times New Roman"/>
          <w:sz w:val="24"/>
          <w:szCs w:val="24"/>
        </w:rPr>
        <w:t xml:space="preserve"> de los individuos y se muestra una tendencia levemente superior</w:t>
      </w:r>
      <w:r w:rsidR="002D0F62" w:rsidRPr="002F0A14">
        <w:rPr>
          <w:rFonts w:ascii="Times New Roman" w:hAnsi="Times New Roman" w:cs="Times New Roman"/>
          <w:sz w:val="24"/>
          <w:szCs w:val="24"/>
        </w:rPr>
        <w:t xml:space="preserve"> </w:t>
      </w:r>
      <w:r w:rsidR="00365614" w:rsidRPr="002F0A14">
        <w:rPr>
          <w:rFonts w:ascii="Times New Roman" w:hAnsi="Times New Roman" w:cs="Times New Roman"/>
          <w:sz w:val="24"/>
          <w:szCs w:val="24"/>
        </w:rPr>
        <w:t>de</w:t>
      </w:r>
      <w:r w:rsidR="002D0F62" w:rsidRPr="002F0A14">
        <w:rPr>
          <w:rFonts w:ascii="Times New Roman" w:hAnsi="Times New Roman" w:cs="Times New Roman"/>
          <w:sz w:val="24"/>
          <w:szCs w:val="24"/>
        </w:rPr>
        <w:t xml:space="preserve"> consumo de alcohol</w:t>
      </w:r>
      <w:r w:rsidR="00365614" w:rsidRPr="002F0A14">
        <w:rPr>
          <w:rFonts w:ascii="Times New Roman" w:hAnsi="Times New Roman" w:cs="Times New Roman"/>
          <w:sz w:val="24"/>
          <w:szCs w:val="24"/>
        </w:rPr>
        <w:t xml:space="preserve"> en las mujeres. </w:t>
      </w:r>
    </w:p>
    <w:p w:rsidR="006D55F6" w:rsidRPr="002F0A14" w:rsidRDefault="002069F1"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La relación entre la familia y el consumo de drogas </w:t>
      </w:r>
      <w:r w:rsidR="006D55F6" w:rsidRPr="002F0A14">
        <w:rPr>
          <w:rFonts w:ascii="Times New Roman" w:hAnsi="Times New Roman" w:cs="Times New Roman"/>
          <w:sz w:val="24"/>
          <w:szCs w:val="24"/>
        </w:rPr>
        <w:t xml:space="preserve">ha permito establecer la importancia del núcleo familiar como factor </w:t>
      </w:r>
      <w:r w:rsidR="00C26698" w:rsidRPr="002F0A14">
        <w:rPr>
          <w:rFonts w:ascii="Times New Roman" w:hAnsi="Times New Roman" w:cs="Times New Roman"/>
          <w:sz w:val="24"/>
          <w:szCs w:val="24"/>
        </w:rPr>
        <w:t>de</w:t>
      </w:r>
      <w:r w:rsidR="00885E87" w:rsidRPr="002F0A14">
        <w:rPr>
          <w:rFonts w:ascii="Times New Roman" w:hAnsi="Times New Roman" w:cs="Times New Roman"/>
          <w:sz w:val="24"/>
          <w:szCs w:val="24"/>
        </w:rPr>
        <w:t xml:space="preserve"> riesgo que predispone</w:t>
      </w:r>
      <w:r w:rsidR="00C26698" w:rsidRPr="002F0A14">
        <w:rPr>
          <w:rFonts w:ascii="Times New Roman" w:hAnsi="Times New Roman" w:cs="Times New Roman"/>
          <w:sz w:val="24"/>
          <w:szCs w:val="24"/>
        </w:rPr>
        <w:t xml:space="preserve">, precipita, desencadena y mantiene </w:t>
      </w:r>
      <w:r w:rsidR="006D55F6" w:rsidRPr="002F0A14">
        <w:rPr>
          <w:rFonts w:ascii="Times New Roman" w:hAnsi="Times New Roman" w:cs="Times New Roman"/>
          <w:sz w:val="24"/>
          <w:szCs w:val="24"/>
        </w:rPr>
        <w:t xml:space="preserve">el consumo de distintas sustancias psicotrópicas. El adolescente que no percibe comprensión, apoyo y cariño por sus padres son más vulnerables a experimentar hábitos poco saludables como es el consumo de alcohol y tabaco </w:t>
      </w:r>
      <w:r w:rsidR="006D55F6"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{"citationItems":[{"id":"ITEM-1","itemData":{"DOI":"10.1016/j.af.2016.07.003","ISSN":"14058871","abstract":"OBJETIVO\\nidentificar la percepción que tienen los adolescentes y sus padres sobre su funcionalidad familiar y su asociación con el consumo de alcohol. \\n\\nMÉTODOS\\nestudio descriptivo y transversal. Se aplicó una encuesta en la que se recogieron datos sociodemográficos, tipo de familia, Test Apgar Familiar y Test audit, tanto a los adolescentes como a sus padres. Se asociaron las variables del estudio con los estadísticos D de Somers y Gamma; para su significancia se utilizó U de Mann-Whitney y χ2 de Pearson. \\n\\nRESULTADOS\\nparticiparon 236 adolescentes, la edad media fue de 14.6 ±2.38 años de desviación estándar; 54.7% (129) fue del sexo femenino, 66.1% había cursado el nivel educativo básico, 92.8% era estudiante. La familia nuclear fue predominante con 57.2% (135). La percepción de los adolescentes fue: familias funcionales 86.86%; disfunción leve en 12.71%; y disfunción grave en 0.42%. El consumo de alcohol en adolescentes fue de 27.9%. Se correlacionó la percepción de la funcionalidad familiar de los padres con el consumo de alcohol por parte de los adolescentes, obteniendo de acuerdo con la prueba estadística D de Somers, un valor de 0.094 y una p=0.072. \\n\\nCONCLUSIONES\\nel consumo de alcohol en los adolescentes no dependió de su percepción de la funcionalidad familiar. \\n\\nOBJECTIVE\\nto identify the perception of adolescents and their parents about family functionality and its relation with the use of alcohol in adolescents. \\n\\nMETHODS\\ndescriptive, and cross-sectional study. A survey was applied where sociodemographic data, type of family, Family Apgar Test and Test audit, were collected from both adolescents and their parents. Variables of this study were associated with the D of Somers and Gamma statistical analysis. For its significance, it was used the U Mann-Whitney and the Pearson χ2. \\n\\nRESULTS\\n236 parents participated, the average age was 14.6 ±2.38 years of standard deviation; 54.7% (129) female; 66.1% completed their basic education level; 92.8% were students. The nuclear family structure was predominantly with 57.2% (135). The adolescent perception was: functional in 86.86%; mild dysfunction in 12.71%; and serious dysfunction in 0.42%. Alcohol consumption was in 27.9%. There was a correlation between family functionality perception from parents with the use of alcohol by the adolescents, obtaining a value of 0.094 and a p=0.072, according to the D of Sommer statistical analysis. \\n\\nCONCLUSIONS\\nuse of alcohol by adolescents did…","author":[{"dropping-particle":"","family":"Trujillo-Guerrero","given":"Tania Judith","non-dropping-particle":"","parse-names":false,"suffix":""},{"dropping-particle":"","family":"Vázquez-Cruz","given":"Eduardo","non-dropping-particle":"","parse-names":false,"suffix":""},{"dropping-particle":"","family":"Córdova-Soriano","given":"José Arturo","non-dropping-particle":"","parse-names":false,"suffix":""}],"container-title":"Atención Familiar","id":"ITEM-1","issue":"3","issued":{"date-parts":[["2016"]]},"page":"100-103","publisher":"Universidad Nacional Autónoma de México","title":"Percepción de la funcionalidad familiar y el consumo de alcohol en adolescentes","type":"article-journal","volume":"23"},"uris":["http://www.mendeley.com/documents/?uuid=4d1a1066-ac37-4440-9ff0-8062ccdfd4e1"]}],"mendeley":{"formattedCitation":"(Trujillo-Guerrero et al., 2016)","manualFormatting":"(Trujillo et al., 2016)","plainTextFormattedCitation":"(Trujillo-Guerrero et al., 2016)","previouslyFormattedCitation":"(Trujillo-Guerrero et al., 2016)"},"properties":{"noteIndex":0},"schema":"https://github.com/citation-style-language/schema/raw/master/csl-citation.json"}</w:instrText>
      </w:r>
      <w:r w:rsidR="006D55F6"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(Trujillo</w:t>
      </w:r>
      <w:r w:rsidR="006D55F6" w:rsidRPr="002F0A14">
        <w:rPr>
          <w:rFonts w:ascii="Times New Roman" w:hAnsi="Times New Roman" w:cs="Times New Roman"/>
          <w:noProof/>
          <w:sz w:val="24"/>
          <w:szCs w:val="24"/>
        </w:rPr>
        <w:t xml:space="preserve"> et al., 2016)</w:t>
      </w:r>
      <w:r w:rsidR="006D55F6" w:rsidRPr="002F0A14">
        <w:rPr>
          <w:rFonts w:ascii="Times New Roman" w:hAnsi="Times New Roman" w:cs="Times New Roman"/>
          <w:sz w:val="24"/>
          <w:szCs w:val="24"/>
        </w:rPr>
        <w:fldChar w:fldCharType="end"/>
      </w:r>
      <w:r w:rsidR="006D55F6" w:rsidRPr="002F0A14">
        <w:rPr>
          <w:rFonts w:ascii="Times New Roman" w:hAnsi="Times New Roman" w:cs="Times New Roman"/>
          <w:sz w:val="24"/>
          <w:szCs w:val="24"/>
        </w:rPr>
        <w:t xml:space="preserve">. </w:t>
      </w:r>
    </w:p>
    <w:p w:rsidR="002A7811" w:rsidRPr="002F0A14" w:rsidRDefault="002069F1"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En </w:t>
      </w:r>
      <w:r w:rsidR="008151B2" w:rsidRPr="002F0A14">
        <w:rPr>
          <w:rFonts w:ascii="Times New Roman" w:hAnsi="Times New Roman" w:cs="Times New Roman"/>
          <w:sz w:val="24"/>
          <w:szCs w:val="24"/>
        </w:rPr>
        <w:t>esta</w:t>
      </w:r>
      <w:r w:rsidR="009C7D24" w:rsidRPr="002F0A14">
        <w:rPr>
          <w:rFonts w:ascii="Times New Roman" w:hAnsi="Times New Roman" w:cs="Times New Roman"/>
          <w:sz w:val="24"/>
          <w:szCs w:val="24"/>
        </w:rPr>
        <w:t xml:space="preserve"> investigación se encontró que a medida que disminuye la satisfacción de la función familiar aumenta el nivel de riesgo del consumo de alcohol, tabaco y otras drogas. En el caso del nivel de riesgo del </w:t>
      </w:r>
      <w:r w:rsidR="003547D6" w:rsidRPr="002F0A14">
        <w:rPr>
          <w:rFonts w:ascii="Times New Roman" w:hAnsi="Times New Roman" w:cs="Times New Roman"/>
          <w:sz w:val="24"/>
          <w:szCs w:val="24"/>
        </w:rPr>
        <w:t xml:space="preserve">consumo de </w:t>
      </w:r>
      <w:r w:rsidR="009C7D24" w:rsidRPr="002F0A14">
        <w:rPr>
          <w:rFonts w:ascii="Times New Roman" w:hAnsi="Times New Roman" w:cs="Times New Roman"/>
          <w:sz w:val="24"/>
          <w:szCs w:val="24"/>
        </w:rPr>
        <w:t xml:space="preserve">alcohol </w:t>
      </w:r>
      <w:r w:rsidR="003547D6" w:rsidRPr="002F0A14">
        <w:rPr>
          <w:rFonts w:ascii="Times New Roman" w:hAnsi="Times New Roman" w:cs="Times New Roman"/>
          <w:sz w:val="24"/>
          <w:szCs w:val="24"/>
        </w:rPr>
        <w:t>relacionado con la baja satisfacción de la función</w:t>
      </w:r>
      <w:r w:rsidR="00FB7B3C" w:rsidRPr="002F0A14">
        <w:rPr>
          <w:rFonts w:ascii="Times New Roman" w:hAnsi="Times New Roman" w:cs="Times New Roman"/>
          <w:sz w:val="24"/>
          <w:szCs w:val="24"/>
        </w:rPr>
        <w:t xml:space="preserve"> familiar parecen mostrar simili</w:t>
      </w:r>
      <w:r w:rsidR="003547D6" w:rsidRPr="002F0A14">
        <w:rPr>
          <w:rFonts w:ascii="Times New Roman" w:hAnsi="Times New Roman" w:cs="Times New Roman"/>
          <w:sz w:val="24"/>
          <w:szCs w:val="24"/>
        </w:rPr>
        <w:t xml:space="preserve">tud con los datos expuestos por </w:t>
      </w:r>
      <w:r w:rsidR="001F024D"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{"citationItems":[{"id":"ITEM-1","itemData":{"ISSN":"1578-5319","abstract":"Resumen The problem of alcohol consumption is considered multifactorial where micro enviromental factors like family, contribute in the onset and maintenance of this behavior. This study is descriptive correlational with the objective to identify the relationship and effect of family functionality with alcohol use in High School teenagers in a 362 teenagers sample with a random stratified sampling with proportional allocation to the stratum size. Results show a negative and significant relationship between family functioning and alcohol dependent use (rs=204, p=.021). The variables with effect on the consumption of alcohol among adolescents are the occupation, age at onset of alcohol use and family functionality with 13.8% of explained variance. It is concluded that family functionality is important as affect significantly teenagers behavior, so professional nursing is a key element for the development and implementation of focused interventions to the family in order to give family strategies that impact on the holistic well-being. El problema del consumo de alcohol se considera multifactorial en el cual factores micro ambientales como la familia, contribuye en el inicio y mantenimiento de esta conducta. El presente estudio es descriptivo correlacional con el objetivo de identificar la relación y el efecto de la funcionalidad familiar con el consumo de alcohol de adolescentes que estudian secundaria en una muestra de 362 adolescentes, con un muestreo aleatorio estratificado con asignación proporcional al tamaño del estrato. Los resultados muestran una relación negativa significativa de la funcionalidad familiar con el consumo dependiente de alcohol (rs=-.204, p=.021). Las variables con efecto en el consumo de alcohol en los adolescentes de secundaria son la ocupación, edad de inicio del consumo de alcohol y la funcionalidad familiar con un 13.8% de la varianza explicada. Se concluye que la funcionalidad familiar es muy importante ya que afecta significativamente las conductas de los adolescentes, por lo cual el profesional de enfermería es un elemento clave para el desarrollo e implementación de intervenciones enfocadas a la familia con el objetivo brindar estrategias familiares que impacten en el bienestar holístico de estas.","author":[{"dropping-particle":"","family":"Alonso-Castillo","given":"María Magdalena","non-dropping-particle":"","parse-names":false,"suffix":""},{"dropping-particle":"","family":"Yañez-Lozano","given":"Ángeles","non-dropping-particle":"","parse-names":false,"suffix":""},{"dropping-particle":"","family":"Armendáriz-García","given":"Nora Angélica","non-dropping-particle":"","parse-names":false,"suffix":""}],"container-title":"Health and Addictions/Salud y Drogas","id":"ITEM-1","issue":"1","issued":{"date-parts":[["2017"]]},"page":"87-96","title":"Funcionalidad familiar y consumo de alcohol en adolescentes de secundaria","type":"article-journal","volume":"17"},"uris":["http://www.mendeley.com/documents/?uuid=2e0ef013-f731-42cb-8b5f-8012d27f1382"]}],"mendeley":{"formattedCitation":"(Alonso-Castillo et al., 2017)","manualFormatting":"Alonso et al. (2017)","plainTextFormattedCitation":"(Alonso-Castillo et al., 2017)","previouslyFormattedCitation":"(Alonso-Castillo et al., 2017)"},"properties":{"noteIndex":0},"schema":"https://github.com/citation-style-language/schema/raw/master/csl-citation.json"}</w:instrText>
      </w:r>
      <w:r w:rsidR="001F024D"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Alonso et al. (2017)</w:t>
      </w:r>
      <w:r w:rsidR="001F024D" w:rsidRPr="002F0A14">
        <w:rPr>
          <w:rFonts w:ascii="Times New Roman" w:hAnsi="Times New Roman" w:cs="Times New Roman"/>
          <w:sz w:val="24"/>
          <w:szCs w:val="24"/>
        </w:rPr>
        <w:fldChar w:fldCharType="end"/>
      </w:r>
      <w:r w:rsidR="008F1AA9" w:rsidRPr="002F0A14">
        <w:rPr>
          <w:rFonts w:ascii="Times New Roman" w:hAnsi="Times New Roman" w:cs="Times New Roman"/>
          <w:sz w:val="24"/>
          <w:szCs w:val="24"/>
        </w:rPr>
        <w:t xml:space="preserve"> en donde indican un </w:t>
      </w:r>
      <w:r w:rsidR="008151B2" w:rsidRPr="002F0A14">
        <w:rPr>
          <w:rFonts w:ascii="Times New Roman" w:hAnsi="Times New Roman" w:cs="Times New Roman"/>
          <w:sz w:val="24"/>
          <w:szCs w:val="24"/>
        </w:rPr>
        <w:t>19.</w:t>
      </w:r>
      <w:r w:rsidR="00DA5AFE" w:rsidRPr="002F0A14">
        <w:rPr>
          <w:rFonts w:ascii="Times New Roman" w:hAnsi="Times New Roman" w:cs="Times New Roman"/>
          <w:sz w:val="24"/>
          <w:szCs w:val="24"/>
        </w:rPr>
        <w:t>4</w:t>
      </w:r>
      <w:r w:rsidR="00FB7B3C" w:rsidRPr="002F0A14">
        <w:rPr>
          <w:rFonts w:ascii="Times New Roman" w:hAnsi="Times New Roman" w:cs="Times New Roman"/>
          <w:sz w:val="24"/>
          <w:szCs w:val="24"/>
        </w:rPr>
        <w:t xml:space="preserve"> % de consumo </w:t>
      </w:r>
      <w:r w:rsidR="00DA5AFE" w:rsidRPr="002F0A14">
        <w:rPr>
          <w:rFonts w:ascii="Times New Roman" w:hAnsi="Times New Roman" w:cs="Times New Roman"/>
          <w:sz w:val="24"/>
          <w:szCs w:val="24"/>
        </w:rPr>
        <w:t>dependiente relacionado con funcionalidad fami</w:t>
      </w:r>
      <w:r w:rsidR="00885E87" w:rsidRPr="002F0A14">
        <w:rPr>
          <w:rFonts w:ascii="Times New Roman" w:hAnsi="Times New Roman" w:cs="Times New Roman"/>
          <w:sz w:val="24"/>
          <w:szCs w:val="24"/>
        </w:rPr>
        <w:t xml:space="preserve">liar en comparación con el </w:t>
      </w:r>
      <w:r w:rsidR="00DA5AFE" w:rsidRPr="002F0A14">
        <w:rPr>
          <w:rFonts w:ascii="Times New Roman" w:hAnsi="Times New Roman" w:cs="Times New Roman"/>
          <w:sz w:val="24"/>
          <w:szCs w:val="24"/>
        </w:rPr>
        <w:t>22 %</w:t>
      </w:r>
      <w:r w:rsidR="00885E87" w:rsidRPr="002F0A14">
        <w:rPr>
          <w:rFonts w:ascii="Times New Roman" w:hAnsi="Times New Roman" w:cs="Times New Roman"/>
          <w:sz w:val="24"/>
          <w:szCs w:val="24"/>
        </w:rPr>
        <w:t xml:space="preserve"> presentado en este estudio</w:t>
      </w:r>
      <w:r w:rsidR="00DA5AFE" w:rsidRPr="002F0A14">
        <w:rPr>
          <w:rFonts w:ascii="Times New Roman" w:hAnsi="Times New Roman" w:cs="Times New Roman"/>
          <w:sz w:val="24"/>
          <w:szCs w:val="24"/>
        </w:rPr>
        <w:t>, y 32 % de consumo dañino de alcohol relacionado co</w:t>
      </w:r>
      <w:r w:rsidR="00FB7B3C" w:rsidRPr="002F0A14">
        <w:rPr>
          <w:rFonts w:ascii="Times New Roman" w:hAnsi="Times New Roman" w:cs="Times New Roman"/>
          <w:sz w:val="24"/>
          <w:szCs w:val="24"/>
        </w:rPr>
        <w:t xml:space="preserve">n disfunción familiar moderada </w:t>
      </w:r>
      <w:r w:rsidR="00DA5AFE" w:rsidRPr="002F0A14">
        <w:rPr>
          <w:rFonts w:ascii="Times New Roman" w:hAnsi="Times New Roman" w:cs="Times New Roman"/>
          <w:sz w:val="24"/>
          <w:szCs w:val="24"/>
        </w:rPr>
        <w:t xml:space="preserve">en comparación con </w:t>
      </w:r>
      <w:r w:rsidR="00885E87" w:rsidRPr="002F0A14">
        <w:rPr>
          <w:rFonts w:ascii="Times New Roman" w:hAnsi="Times New Roman" w:cs="Times New Roman"/>
          <w:sz w:val="24"/>
          <w:szCs w:val="24"/>
        </w:rPr>
        <w:t xml:space="preserve">el </w:t>
      </w:r>
      <w:r w:rsidR="00DA5AFE" w:rsidRPr="002F0A14">
        <w:rPr>
          <w:rFonts w:ascii="Times New Roman" w:hAnsi="Times New Roman" w:cs="Times New Roman"/>
          <w:sz w:val="24"/>
          <w:szCs w:val="24"/>
        </w:rPr>
        <w:t>29 %</w:t>
      </w:r>
      <w:r w:rsidR="00885E87" w:rsidRPr="002F0A14">
        <w:rPr>
          <w:rFonts w:ascii="Times New Roman" w:hAnsi="Times New Roman" w:cs="Times New Roman"/>
          <w:sz w:val="24"/>
          <w:szCs w:val="24"/>
        </w:rPr>
        <w:t xml:space="preserve"> obtenido</w:t>
      </w:r>
      <w:r w:rsidR="00582274" w:rsidRPr="002F0A14">
        <w:rPr>
          <w:rFonts w:ascii="Times New Roman" w:hAnsi="Times New Roman" w:cs="Times New Roman"/>
          <w:sz w:val="24"/>
          <w:szCs w:val="24"/>
        </w:rPr>
        <w:t xml:space="preserve">. </w:t>
      </w:r>
      <w:r w:rsidR="00F96B9D" w:rsidRPr="002F0A14">
        <w:rPr>
          <w:rFonts w:ascii="Times New Roman" w:hAnsi="Times New Roman" w:cs="Times New Roman"/>
          <w:sz w:val="24"/>
          <w:szCs w:val="24"/>
        </w:rPr>
        <w:t xml:space="preserve">Mientas que </w:t>
      </w:r>
      <w:r w:rsidR="00F96B9D" w:rsidRPr="002F0A14">
        <w:rPr>
          <w:rFonts w:ascii="Times New Roman" w:hAnsi="Times New Roman" w:cs="Times New Roman"/>
          <w:sz w:val="24"/>
          <w:szCs w:val="24"/>
        </w:rPr>
        <w:fldChar w:fldCharType="begin" w:fldLock="1"/>
      </w:r>
      <w:r w:rsidR="003F7E7F" w:rsidRPr="002F0A14">
        <w:rPr>
          <w:rFonts w:ascii="Times New Roman" w:hAnsi="Times New Roman" w:cs="Times New Roman"/>
          <w:sz w:val="24"/>
          <w:szCs w:val="24"/>
        </w:rPr>
        <w:instrText>ADDIN CSL_CITATION {"citationItems":[{"id":"ITEM-1","itemData":{"DOI":"10.24314/rcae. 2018.v3n1.07","ISSN":"2519-7584","abstract":"Objectives: To determine the relationship between family functionality and level of alcohol consumption in adolescents of senior high school in a state educational institution of the district San Juan de Lurigancho–Lima, Peru 2017. Methodology: Correlational descriptive study of non-experimental design and cross-section, whose population and sample was made up of 90 adolescents. The technique used was the survey and as instruments two validated questionnaires. Results: 48.9 %(44) have families with mild dysfunction and 66.7%(60) adolescents have low risk of alcohol. Regarding the relationship of variables has a sig, 018 &lt; 0.05, asserting the relationship. Conclusions: There is a significant relationship between family functionalityunctionality and teen alcohol consumption.","author":[{"dropping-particle":"","family":"Romero","given":"Aracely","non-dropping-particle":"","parse-names":false,"suffix":""}],"container-title":"Revista Ciencia y Arte de Enfermería","id":"ITEM-1","issue":"1-2","issued":{"date-parts":[["2018","12","16"]]},"page":"32-37","title":"Funcionalidad familiar y consumo de alcohol en adolescentes","type":"article-journal","volume":"3"},"uris":["http://www.mendeley.com/documents/?uuid=59d493f5-d7fa-4bd8-b9e6-752e91ae5b50"]}],"mendeley":{"formattedCitation":"(Romero, 2018)","manualFormatting":"Romero (2018)","plainTextFormattedCitation":"(Romero, 2018)","previouslyFormattedCitation":"(Romero, 2018)"},"properties":{"noteIndex":0},"schema":"https://github.com/citation-style-language/schema/raw/master/csl-citation.json"}</w:instrText>
      </w:r>
      <w:r w:rsidR="00F96B9D" w:rsidRPr="002F0A14">
        <w:rPr>
          <w:rFonts w:ascii="Times New Roman" w:hAnsi="Times New Roman" w:cs="Times New Roman"/>
          <w:sz w:val="24"/>
          <w:szCs w:val="24"/>
        </w:rPr>
        <w:fldChar w:fldCharType="separate"/>
      </w:r>
      <w:r w:rsidR="003F7E7F" w:rsidRPr="002F0A14">
        <w:rPr>
          <w:rFonts w:ascii="Times New Roman" w:hAnsi="Times New Roman" w:cs="Times New Roman"/>
          <w:noProof/>
          <w:sz w:val="24"/>
          <w:szCs w:val="24"/>
        </w:rPr>
        <w:t>Romero</w:t>
      </w:r>
      <w:r w:rsidR="00F96B9D" w:rsidRPr="002F0A14">
        <w:rPr>
          <w:rFonts w:ascii="Times New Roman" w:hAnsi="Times New Roman" w:cs="Times New Roman"/>
          <w:noProof/>
          <w:sz w:val="24"/>
          <w:szCs w:val="24"/>
        </w:rPr>
        <w:t xml:space="preserve"> (2018)</w:t>
      </w:r>
      <w:r w:rsidR="00F96B9D" w:rsidRPr="002F0A14">
        <w:rPr>
          <w:rFonts w:ascii="Times New Roman" w:hAnsi="Times New Roman" w:cs="Times New Roman"/>
          <w:sz w:val="24"/>
          <w:szCs w:val="24"/>
        </w:rPr>
        <w:fldChar w:fldCharType="end"/>
      </w:r>
      <w:r w:rsidR="00F96B9D" w:rsidRPr="002F0A14">
        <w:rPr>
          <w:rFonts w:ascii="Times New Roman" w:hAnsi="Times New Roman" w:cs="Times New Roman"/>
          <w:sz w:val="24"/>
          <w:szCs w:val="24"/>
        </w:rPr>
        <w:t xml:space="preserve"> encontró </w:t>
      </w:r>
      <w:r w:rsidR="008151B2" w:rsidRPr="002F0A14">
        <w:rPr>
          <w:rFonts w:ascii="Times New Roman" w:hAnsi="Times New Roman" w:cs="Times New Roman"/>
          <w:sz w:val="24"/>
          <w:szCs w:val="24"/>
        </w:rPr>
        <w:t>que el 15.</w:t>
      </w:r>
      <w:r w:rsidR="008C51A5" w:rsidRPr="002F0A14">
        <w:rPr>
          <w:rFonts w:ascii="Times New Roman" w:hAnsi="Times New Roman" w:cs="Times New Roman"/>
          <w:sz w:val="24"/>
          <w:szCs w:val="24"/>
        </w:rPr>
        <w:t xml:space="preserve">6 % de adolescentes que provenía de familias con disfunción moderada presentan un consumo de riesgo. </w:t>
      </w:r>
      <w:r w:rsidR="00BB4A7F" w:rsidRPr="002F0A14">
        <w:rPr>
          <w:rFonts w:ascii="Times New Roman" w:hAnsi="Times New Roman" w:cs="Times New Roman"/>
          <w:sz w:val="24"/>
          <w:szCs w:val="24"/>
        </w:rPr>
        <w:t xml:space="preserve">Además, se ha demostrado que en hogares compresivos las puntuaciones de consumo de alcohol,  tabaco y cannabis son más bajas que en hogares autoritarios y negligentes </w:t>
      </w:r>
      <w:r w:rsidR="00BB4A7F"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{"citationItems":[{"id":"ITEM-1","itemData":{"DOI":"10.6018/analesps.31.3.183491","ISSN":"16952294","abstract":"The aim of this study was to analyze the protective or risk factors of parental educational styles for the consumption of alcohol, tobacco, cannabis and other drugs, considering the interaction of parenting styles with the dangerousness of the neighborhood. Based on the responses of 628 adolescents, 369 females (58.8%) and 259 males (41.2%) between 15 and 17 years old (M = 16.03 years old, SD = 0.79 years old), families were classified according to their educational style (authoritative, indulgent, authoritarian or neglectful) and their level of perceived neighborhood risk (high or low). Results showed no interaction effect; however, main effects of educational styles and perceived neighborhood risk were obtained. Adolescents from indulgent families showed the lowest consumption in the substances evaluated, while those from authoritative, authoritarian and neglectful families showed the highest consumption. Moreover, adolescents from high-risk neighborhoods obtained the highest consumption. Indulgent educational style, acting primarily through affection and not imposition, works as a protective factor regardless of the danger in the neighbor-hood. The importance of encouraging this parental performance in prevention and intervention programs is highlighted, promoting specific educational strategies to improve affection, communication and parental involvement.","author":[{"dropping-particle":"","family":"Fuentes","given":"María C.","non-dropping-particle":"","parse-names":false,"suffix":""},{"dropping-particle":"","family":"Alarcón","given":"Antonio","non-dropping-particle":"","parse-names":false,"suffix":""},{"dropping-particle":"","family":"García","given":"Fernando","non-dropping-particle":"","parse-names":false,"suffix":""},{"dropping-particle":"","family":"Gracia","given":"Enrique","non-dropping-particle":"","parse-names":false,"suffix":""}],"container-title":"Anales de Psicología","id":"ITEM-1","issue":"3","issued":{"date-parts":[["2015"]]},"page":"1000-1007","title":"Consumo de alcohol, tabaco, cannabis y otras drogas en la adolescencia: Efectos de la familia y peligro del barrio","type":"article-journal","volume":"31"},"uris":["http://www.mendeley.com/documents/?uuid=4643052a-fbe6-4442-940a-d11eeba1e9d4"]}],"mendeley":{"formattedCitation":"(Fuentes et al., 2015)","plainTextFormattedCitation":"(Fuentes et al., 2015)","previouslyFormattedCitation":"(Fuentes et al., 2015)"},"properties":{"noteIndex":0},"schema":"https://github.com/citation-style-language/schema/raw/master/csl-citation.json"}</w:instrText>
      </w:r>
      <w:r w:rsidR="00BB4A7F"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(Fuentes et al., 2015)</w:t>
      </w:r>
      <w:r w:rsidR="00BB4A7F" w:rsidRPr="002F0A14">
        <w:rPr>
          <w:rFonts w:ascii="Times New Roman" w:hAnsi="Times New Roman" w:cs="Times New Roman"/>
          <w:sz w:val="24"/>
          <w:szCs w:val="24"/>
        </w:rPr>
        <w:fldChar w:fldCharType="end"/>
      </w:r>
    </w:p>
    <w:p w:rsidR="005D39C9" w:rsidRPr="002F0A14" w:rsidRDefault="002069F1"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L</w:t>
      </w:r>
      <w:r w:rsidR="00BB4A7F" w:rsidRPr="002F0A14">
        <w:rPr>
          <w:rFonts w:ascii="Times New Roman" w:hAnsi="Times New Roman" w:cs="Times New Roman"/>
          <w:sz w:val="24"/>
          <w:szCs w:val="24"/>
        </w:rPr>
        <w:t>a asociación entre el consumo de alcohol y percepció</w:t>
      </w:r>
      <w:r w:rsidR="008151B2" w:rsidRPr="002F0A14">
        <w:rPr>
          <w:rFonts w:ascii="Times New Roman" w:hAnsi="Times New Roman" w:cs="Times New Roman"/>
          <w:sz w:val="24"/>
          <w:szCs w:val="24"/>
        </w:rPr>
        <w:t>n de la función familiar (p &lt; 0.</w:t>
      </w:r>
      <w:r w:rsidR="00BB4A7F" w:rsidRPr="002F0A14">
        <w:rPr>
          <w:rFonts w:ascii="Times New Roman" w:hAnsi="Times New Roman" w:cs="Times New Roman"/>
          <w:sz w:val="24"/>
          <w:szCs w:val="24"/>
        </w:rPr>
        <w:t xml:space="preserve">05) se relaciona con </w:t>
      </w:r>
      <w:r w:rsidRPr="002F0A14">
        <w:rPr>
          <w:rFonts w:ascii="Times New Roman" w:hAnsi="Times New Roman" w:cs="Times New Roman"/>
          <w:sz w:val="24"/>
          <w:szCs w:val="24"/>
        </w:rPr>
        <w:t>los</w:t>
      </w:r>
      <w:r w:rsidR="00BB4A7F" w:rsidRPr="002F0A14">
        <w:rPr>
          <w:rFonts w:ascii="Times New Roman" w:hAnsi="Times New Roman" w:cs="Times New Roman"/>
          <w:sz w:val="24"/>
          <w:szCs w:val="24"/>
        </w:rPr>
        <w:t xml:space="preserve"> estudios </w:t>
      </w:r>
      <w:r w:rsidRPr="002F0A14">
        <w:rPr>
          <w:rFonts w:ascii="Times New Roman" w:hAnsi="Times New Roman" w:cs="Times New Roman"/>
          <w:sz w:val="24"/>
          <w:szCs w:val="24"/>
        </w:rPr>
        <w:t>de</w:t>
      </w:r>
      <w:r w:rsidR="00BB4A7F" w:rsidRPr="002F0A14">
        <w:rPr>
          <w:rFonts w:ascii="Times New Roman" w:hAnsi="Times New Roman" w:cs="Times New Roman"/>
          <w:sz w:val="24"/>
          <w:szCs w:val="24"/>
        </w:rPr>
        <w:t xml:space="preserve"> </w:t>
      </w:r>
      <w:r w:rsidR="00BB4A7F"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{"citationItems":[{"id":"ITEM-1","itemData":{"DOI":"10.5538/2385-703X.2018.11.13","author":[{"dropping-particle":"","family":"Medina-Fernández","given":"Isaí Arturo","non-dropping-particle":"","parse-names":false,"suffix":""},{"dropping-particle":"","family":"Medina-Fernández","given":"Josué Arturo","non-dropping-particle":"","parse-names":false,"suffix":""},{"dropping-particle":"","family":"Cervera-Baas","given":"María Eugenia","non-dropping-particle":"","parse-names":false,"suffix":""},{"dropping-particle":"","family":"Candila-Celis","given":"Julia","non-dropping-particle":"","parse-names":false,"suffix":""},{"dropping-particle":"","family":"Cimé-Canul","given":"Natalia de Jesús","non-dropping-particle":"","parse-names":false,"suffix":""},{"dropping-particle":"","family":"Yam-Sosa","given":"Antonio Vicente","non-dropping-particle":"","parse-names":false,"suffix":""}],"container-title":"Revista de Enfermería y Salud Mental","id":"ITEM-1","issued":{"date-parts":[["2018"]]},"page":"13-21","title":"Asociación entre el consumo de alcohol y tabaco y la percepción de la funcionalidad familiar en adolescentes de una zona suburbana de México","type":"article-journal","volume":"11"},"uris":["http://www.mendeley.com/documents/?uuid=b9d9d0cb-10da-4e20-8bcc-f2fdd3eb13ed"]}],"mendeley":{"formattedCitation":"(Medina-Fernández et al., 2018)","manualFormatting":"(Medina et al., 2018)","plainTextFormattedCitation":"(Medina-Fernández et al., 2018)","previouslyFormattedCitation":"(Medina-Fernández et al., 2018)"},"properties":{"noteIndex":0},"schema":"https://github.com/citation-style-language/schema/raw/master/csl-citation.json"}</w:instrText>
      </w:r>
      <w:r w:rsidR="00BB4A7F"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(Medina</w:t>
      </w:r>
      <w:r w:rsidR="00BB4A7F" w:rsidRPr="002F0A14">
        <w:rPr>
          <w:rFonts w:ascii="Times New Roman" w:hAnsi="Times New Roman" w:cs="Times New Roman"/>
          <w:noProof/>
          <w:sz w:val="24"/>
          <w:szCs w:val="24"/>
        </w:rPr>
        <w:t xml:space="preserve"> et al., 2018)</w:t>
      </w:r>
      <w:r w:rsidR="00BB4A7F" w:rsidRPr="002F0A14">
        <w:rPr>
          <w:rFonts w:ascii="Times New Roman" w:hAnsi="Times New Roman" w:cs="Times New Roman"/>
          <w:sz w:val="24"/>
          <w:szCs w:val="24"/>
        </w:rPr>
        <w:fldChar w:fldCharType="end"/>
      </w:r>
      <w:r w:rsidRPr="002F0A14">
        <w:rPr>
          <w:rFonts w:ascii="Times New Roman" w:hAnsi="Times New Roman" w:cs="Times New Roman"/>
          <w:sz w:val="24"/>
          <w:szCs w:val="24"/>
        </w:rPr>
        <w:t xml:space="preserve"> realizados en la población adolescente</w:t>
      </w:r>
      <w:r w:rsidR="00BB4A7F" w:rsidRPr="002F0A14">
        <w:rPr>
          <w:rFonts w:ascii="Times New Roman" w:hAnsi="Times New Roman" w:cs="Times New Roman"/>
          <w:sz w:val="24"/>
          <w:szCs w:val="24"/>
        </w:rPr>
        <w:t xml:space="preserve">. En cambio, los resultados encontrados por </w:t>
      </w:r>
      <w:r w:rsidR="00BB4A7F"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{"citationItems":[{"id":"ITEM-1","itemData":{"ISSN":"1578-5319","abstract":"Resumen The problem of alcohol consumption is considered multifactorial where micro enviromental factors like family, contribute in the onset and maintenance of this behavior. This study is descriptive correlational with the objective to identify the relationship and effect of family functionality with alcohol use in High School teenagers in a 362 teenagers sample with a random stratified sampling with proportional allocation to the stratum size. Results show a negative and significant relationship between family functioning and alcohol dependent use (rs=204, p=.021). The variables with effect on the consumption of alcohol among adolescents are the occupation, age at onset of alcohol use and family functionality with 13.8% of explained variance. It is concluded that family functionality is important as affect significantly teenagers behavior, so professional nursing is a key element for the development and implementation of focused interventions to the family in order to give family strategies that impact on the holistic well-being. El problema del consumo de alcohol se considera multifactorial en el cual factores micro ambientales como la familia, contribuye en el inicio y mantenimiento de esta conducta. El presente estudio es descriptivo correlacional con el objetivo de identificar la relación y el efecto de la funcionalidad familiar con el consumo de alcohol de adolescentes que estudian secundaria en una muestra de 362 adolescentes, con un muestreo aleatorio estratificado con asignación proporcional al tamaño del estrato. Los resultados muestran una relación negativa significativa de la funcionalidad familiar con el consumo dependiente de alcohol (rs=-.204, p=.021). Las variables con efecto en el consumo de alcohol en los adolescentes de secundaria son la ocupación, edad de inicio del consumo de alcohol y la funcionalidad familiar con un 13.8% de la varianza explicada. Se concluye que la funcionalidad familiar es muy importante ya que afecta significativamente las conductas de los adolescentes, por lo cual el profesional de enfermería es un elemento clave para el desarrollo e implementación de intervenciones enfocadas a la familia con el objetivo brindar estrategias familiares que impacten en el bienestar holístico de estas.","author":[{"dropping-particle":"","family":"Alonso-Castillo","given":"María Magdalena","non-dropping-particle":"","parse-names":false,"suffix":""},{"dropping-particle":"","family":"Yañez-Lozano","given":"Ángeles","non-dropping-particle":"","parse-names":false,"suffix":""},{"dropping-particle":"","family":"Armendáriz-García","given":"Nora Angélica","non-dropping-particle":"","parse-names":false,"suffix":""}],"container-title":"Health and Addictions/Salud y Drogas","id":"ITEM-1","issue":"1","issued":{"date-parts":[["2017"]]},"page":"87-96","title":"Funcionalidad familiar y consumo de alcohol en adolescentes de secundaria","type":"article-journal","volume":"17"},"uris":["http://www.mendeley.com/documents/?uuid=2e0ef013-f731-42cb-8b5f-8012d27f1382"]}],"mendeley":{"formattedCitation":"(Alonso-Castillo et al., 2017)","manualFormatting":"Alonso et al. (2017)","plainTextFormattedCitation":"(Alonso-Castillo et al., 2017)","previouslyFormattedCitation":"(Alonso-Castillo et al., 2017)"},"properties":{"noteIndex":0},"schema":"https://github.com/citation-style-language/schema/raw/master/csl-citation.json"}</w:instrText>
      </w:r>
      <w:r w:rsidR="00BB4A7F"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Alonso</w:t>
      </w:r>
      <w:r w:rsidR="00BB4A7F" w:rsidRPr="002F0A14">
        <w:rPr>
          <w:rFonts w:ascii="Times New Roman" w:hAnsi="Times New Roman" w:cs="Times New Roman"/>
          <w:noProof/>
          <w:sz w:val="24"/>
          <w:szCs w:val="24"/>
        </w:rPr>
        <w:t xml:space="preserve"> et al. (2017)</w:t>
      </w:r>
      <w:r w:rsidR="00BB4A7F" w:rsidRPr="002F0A14">
        <w:rPr>
          <w:rFonts w:ascii="Times New Roman" w:hAnsi="Times New Roman" w:cs="Times New Roman"/>
          <w:sz w:val="24"/>
          <w:szCs w:val="24"/>
        </w:rPr>
        <w:fldChar w:fldCharType="end"/>
      </w:r>
      <w:r w:rsidR="00BB4A7F" w:rsidRPr="002F0A14">
        <w:rPr>
          <w:rFonts w:ascii="Times New Roman" w:hAnsi="Times New Roman" w:cs="Times New Roman"/>
          <w:sz w:val="24"/>
          <w:szCs w:val="24"/>
        </w:rPr>
        <w:t xml:space="preserve"> no encontraron asociación entre ambas variables pero si se encontraron una relación negativa y significativa de la funcionalidad familiar con el consumo dependiente de alcohol mostrando coherencia con los resultados antes expuestos, que a mayor consumo de alcohol menor será la percepción de la función familiar del adolescente. </w:t>
      </w:r>
      <w:r w:rsidR="00F816F0" w:rsidRPr="002F0A14">
        <w:rPr>
          <w:rFonts w:ascii="Times New Roman" w:hAnsi="Times New Roman" w:cs="Times New Roman"/>
          <w:sz w:val="24"/>
          <w:szCs w:val="24"/>
        </w:rPr>
        <w:t xml:space="preserve">El sexo femenino presento mayor probabilidad de consumir alcohol cuando existe una disminución de la percepción de la función familiar, guardando relación con respecto a la comunicación deficiente que predijo negativamente más consumo de alcohol para las mujeres </w:t>
      </w:r>
      <w:r w:rsidR="00F816F0"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{"citationItems":[{"id":"ITEM-1","itemData":{"DOI":"10.1016/j.adolescence.2016.02.009","ISSN":"01401971","abstract":"The primary goals of this longitudinal study were to examine the relationship between family functioning and adolescent alcohol use and to examine whether depressed mood mediates this relationship. An additional goal was to explore whether these relations were moderated by gender. The sample included 1031 high school students from the Mid-Atlantic United States. Participants completed surveys in school during the spring of 2007, 2008, and 2009. Path analysis results indicated that family functioning predicted alcohol use for girls. Moreover, depressed mood mediated this relationship. None of the direct paths between family functioning and adolescent alcohol use were significant for boys. However, similar to girls, depressed mood negatively predicted alcohol use for boys. Taken together, the findings highlight the need for prevention programs targeting adolescent substance use to consider gender-specific trajectories.","author":[{"dropping-particle":"","family":"Ohannessian","given":"Christine McCauley","non-dropping-particle":"","parse-names":false,"suffix":""},{"dropping-particle":"","family":"Flannery","given":"Kaitlin M.","non-dropping-particle":"","parse-names":false,"suffix":""},{"dropping-particle":"","family":"Simpson","given":"Emily","non-dropping-particle":"","parse-names":false,"suffix":""},{"dropping-particle":"","family":"Russell","given":"Beth S.","non-dropping-particle":"","parse-names":false,"suffix":""}],"container-title":"Journal of Adolescence","id":"ITEM-1","issued":{"date-parts":[["2016","6"]]},"page":"19-27","publisher":"Elsevier Ltd","title":"Family functioning and adolescent alcohol use: A moderated mediation analysis","type":"article-journal","volume":"49"},"uris":["http://www.mendeley.com/documents/?uuid=eb56e91b-9662-4bee-986f-553b2419ab12"]}],"mendeley":{"formattedCitation":"(Ohannessian et al., 2016)","plainTextFormattedCitation":"(Ohannessian et al., 2016)","previouslyFormattedCitation":"(Ohannessian et al., 2016)"},"properties":{"noteIndex":0},"schema":"https://github.com/citation-style-language/schema/raw/master/csl-citation.json"}</w:instrText>
      </w:r>
      <w:r w:rsidR="00F816F0"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(Ohannessian et al., 2016)</w:t>
      </w:r>
      <w:r w:rsidR="00F816F0" w:rsidRPr="002F0A14">
        <w:rPr>
          <w:rFonts w:ascii="Times New Roman" w:hAnsi="Times New Roman" w:cs="Times New Roman"/>
          <w:sz w:val="24"/>
          <w:szCs w:val="24"/>
        </w:rPr>
        <w:fldChar w:fldCharType="end"/>
      </w:r>
      <w:r w:rsidR="00F816F0" w:rsidRPr="002F0A14">
        <w:rPr>
          <w:rFonts w:ascii="Times New Roman" w:hAnsi="Times New Roman" w:cs="Times New Roman"/>
          <w:sz w:val="24"/>
          <w:szCs w:val="24"/>
        </w:rPr>
        <w:t xml:space="preserve">. </w:t>
      </w:r>
      <w:r w:rsidR="0011352C" w:rsidRPr="002F0A14">
        <w:rPr>
          <w:rFonts w:ascii="Times New Roman" w:hAnsi="Times New Roman" w:cs="Times New Roman"/>
          <w:sz w:val="24"/>
          <w:szCs w:val="24"/>
        </w:rPr>
        <w:t xml:space="preserve">En estudio realizado por </w:t>
      </w:r>
      <w:r w:rsidR="001F024D"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{"citationItems":[{"id":"ITEM-1","itemData":{"DOI":"10.1016/j.enfcli.2016.09.004","ISSN":"11308621","abstract":"Objective Risk behaviors in adolescents can lead to serious disorders, therefore the objectives of this work are to characterize the lifestyles of teenagers about substance use, sex, and road safety, and to meet socio-demographic factors associated with these. Method A cross-sectional, descriptive and correlational study was conducted with 204 school-age-children from 12 to 17 years, in 2013. They were given a validated questionnaire about sociodemographic, family functioning, and lifestyles such as substance abuse, sexual intercourse and road safety. A descriptive and multivariate analysis was performed by using multiple linear regression in the case of quantitative dependent variables, and binary logistic regression models in the case of binary categories. Data analysis was based on SPSS 20.0, with a significance level of p &lt; 0.05. Results 32.4% of students had smoked, and 61.3% had drunk alcohol. 26% of adolescent between 14-17 years had sexual intercourse; the average age of the first sexual intercourse was 14.9 years. 85.2% used condoms. 94.6% respected traffic signs, 77.5% used to wear a seat belt and 81.9% a helmet. Family functioning, as protective factor, was the variable more frequently associated to risk behaviour: smoking (OR = 7.06, p=.000), alcohol drinking (OR = 3.97, p=.008), sexual intercourse (OR = 3.67, p=.041), and road safety (β=1.82, p=.000). Conclusions According the results, age, gender and family functioning are the main factors associated with the adoption of risk behaviors. This information is important for the development of public health policies, for instance health promotion at schools.","author":[{"dropping-particle":"","family":"Lima-Serrano","given":"Marta","non-dropping-particle":"","parse-names":false,"suffix":""},{"dropping-particle":"","family":"Guerra-Martín","given":"María Dolores","non-dropping-particle":"","parse-names":false,"suffix":""},{"dropping-particle":"","family":"Lima-Rodríguez","given":"Joaquín Salvador","non-dropping-particle":"","parse-names":false,"suffix":""}],"container-title":"Enfermería Clínica","id":"ITEM-1","issue":"1","issued":{"date-parts":[["2017","1"]]},"page":"3-10","publisher":"Elsevier España, S.L.U.","title":"Relación entre el funcionamiento familiar y los estilos de vida de los adolescentes en edad escolar","type":"article-journal","volume":"27"},"uris":["http://www.mendeley.com/documents/?uuid=1b7289bf-09b7-41eb-aa93-2e1352d0b179"]}],"mendeley":{"formattedCitation":"(Lima-Serrano et al., 2017)","manualFormatting":"Lima et al. (2017)","plainTextFormattedCitation":"(Lima-Serrano et al., 2017)","previouslyFormattedCitation":"(Lima-Serrano et al., 2017)"},"properties":{"noteIndex":0},"schema":"https://github.com/citation-style-language/schema/raw/master/csl-citation.json"}</w:instrText>
      </w:r>
      <w:r w:rsidR="001F024D"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Lima et al. (2017)</w:t>
      </w:r>
      <w:r w:rsidR="001F024D" w:rsidRPr="002F0A14">
        <w:rPr>
          <w:rFonts w:ascii="Times New Roman" w:hAnsi="Times New Roman" w:cs="Times New Roman"/>
          <w:sz w:val="24"/>
          <w:szCs w:val="24"/>
        </w:rPr>
        <w:fldChar w:fldCharType="end"/>
      </w:r>
      <w:r w:rsidR="001F024D" w:rsidRPr="002F0A14">
        <w:rPr>
          <w:rFonts w:ascii="Times New Roman" w:hAnsi="Times New Roman" w:cs="Times New Roman"/>
          <w:sz w:val="24"/>
          <w:szCs w:val="24"/>
        </w:rPr>
        <w:t xml:space="preserve"> </w:t>
      </w:r>
      <w:r w:rsidR="000E6C22" w:rsidRPr="002F0A14">
        <w:rPr>
          <w:rFonts w:ascii="Times New Roman" w:hAnsi="Times New Roman" w:cs="Times New Roman"/>
          <w:sz w:val="24"/>
          <w:szCs w:val="24"/>
        </w:rPr>
        <w:t>l</w:t>
      </w:r>
      <w:r w:rsidR="0011352C" w:rsidRPr="002F0A14">
        <w:rPr>
          <w:rFonts w:ascii="Times New Roman" w:hAnsi="Times New Roman" w:cs="Times New Roman"/>
          <w:sz w:val="24"/>
          <w:szCs w:val="24"/>
        </w:rPr>
        <w:t xml:space="preserve">os adolescentes presentaron 10.97 veces más probabilidad de consumir alcohol cuando presentaban disfunción familiar </w:t>
      </w:r>
      <w:r w:rsidR="000E6C22" w:rsidRPr="002F0A14">
        <w:rPr>
          <w:rFonts w:ascii="Times New Roman" w:hAnsi="Times New Roman" w:cs="Times New Roman"/>
          <w:sz w:val="24"/>
          <w:szCs w:val="24"/>
        </w:rPr>
        <w:t>en comparación con el 2.58 de nuestra investigación.</w:t>
      </w:r>
      <w:r w:rsidR="0073142B" w:rsidRPr="002F0A14">
        <w:rPr>
          <w:rFonts w:ascii="Times New Roman" w:hAnsi="Times New Roman" w:cs="Times New Roman"/>
          <w:sz w:val="24"/>
          <w:szCs w:val="24"/>
        </w:rPr>
        <w:t xml:space="preserve"> Mientras que, en un estudio con adolescentes de 13 a 15 años en Lituania se encontró que los estudiantes que tienen una baja </w:t>
      </w:r>
      <w:r w:rsidR="0073142B" w:rsidRPr="002F0A14">
        <w:rPr>
          <w:rFonts w:ascii="Times New Roman" w:hAnsi="Times New Roman" w:cs="Times New Roman"/>
          <w:sz w:val="24"/>
          <w:szCs w:val="24"/>
        </w:rPr>
        <w:lastRenderedPageBreak/>
        <w:t xml:space="preserve">satisfacción con las relaciones familiares tienen 1.51 posibilidades más de consumir alcohol semanalmente que los que tienen alta satisfacción </w:t>
      </w:r>
      <w:r w:rsidR="0073142B" w:rsidRPr="002F0A14">
        <w:rPr>
          <w:rFonts w:ascii="Times New Roman" w:hAnsi="Times New Roman" w:cs="Times New Roman"/>
          <w:sz w:val="24"/>
          <w:szCs w:val="24"/>
        </w:rPr>
        <w:fldChar w:fldCharType="begin" w:fldLock="1"/>
      </w:r>
      <w:r w:rsidR="0073142B" w:rsidRPr="002F0A14">
        <w:rPr>
          <w:rFonts w:ascii="Times New Roman" w:hAnsi="Times New Roman" w:cs="Times New Roman"/>
          <w:sz w:val="24"/>
          <w:szCs w:val="24"/>
        </w:rPr>
        <w:instrText>ADDIN CSL_CITATION {"citationItems":[{"id":"ITEM-1","itemData":{"DOI":"10.3390/ijerph14091037","ISSN":"1660-4601","PMID":"28885599","abstract":"The role of the family as the social environment in shaping adolescent lifestyle has recently received substantial attention. This study was focused on investigating the association between familial and parenting predictors and alcohol use in school-aged children. Adolescents aged 13- and 15-year from a representative sample (N = 3715) of schools in Lithuania were surveyed during the spring of 2014. The methodology of the cross-national Health Behaviour in School-aged Children (HBSC) study was applied. HBSC international questionnaires were completed in the classroom anonymously for obtaining information about drinking of alcoholic beverages and family characteristics-family's affluence and structure, style of communication in the family, parenting style, parental monitoring, family time together, etc. Univariate and multivariate logistic regression analysis was applied for assessment of the association between familial variables and weekly alcohol use. Analysis has demonstrated that adolescents from non-intact families tended to show significantly higher risk of being weekly drinkers (OR = 1.69; 95% CI: 1.30-2.19). The following parenting factors were associated with weekly use of alcohol: father's and mother's low monitoring, father's authoritarian-repressive and mother's permissive-neglectful parenting style. Frequent family time together and frequent electronic media communication with parents showed an inverse negative effect than was predicted. The study suggests that alcohol misuse among adolescents could be associated with a non-intact family structure as well as with complex family and parenting determinants which should be investigated more thoroughly by further studies.","author":[{"dropping-particle":"","family":"Šumskas","given":"Linas","non-dropping-particle":"","parse-names":false,"suffix":""},{"dropping-particle":"","family":"Zaborskis","given":"Apolinaras","non-dropping-particle":"","parse-names":false,"suffix":""}],"container-title":"International Journal of Environmental Research and Public Health","id":"ITEM-1","issue":"9","issued":{"date-parts":[["2017","9","8"]]},"page":"1037","title":"Family Social Environment and Parenting Predictors of Alcohol Use among Adolescents in Lithuania","type":"article-journal","volume":"14"},"uris":["http://www.mendeley.com/documents/?uuid=c2effc69-c96c-4c23-825c-03d3cd8c8306"]}],"mendeley":{"formattedCitation":"(Šumskas &amp; Zaborskis, 2017)","plainTextFormattedCitation":"(Šumskas &amp; Zaborskis, 2017)","previouslyFormattedCitation":"(Šumskas &amp; Zaborskis, 2017)"},"properties":{"noteIndex":0},"schema":"https://github.com/citation-style-language/schema/raw/master/csl-citation.json"}</w:instrText>
      </w:r>
      <w:r w:rsidR="0073142B" w:rsidRPr="002F0A14">
        <w:rPr>
          <w:rFonts w:ascii="Times New Roman" w:hAnsi="Times New Roman" w:cs="Times New Roman"/>
          <w:sz w:val="24"/>
          <w:szCs w:val="24"/>
        </w:rPr>
        <w:fldChar w:fldCharType="separate"/>
      </w:r>
      <w:r w:rsidR="0073142B" w:rsidRPr="002F0A14">
        <w:rPr>
          <w:rFonts w:ascii="Times New Roman" w:hAnsi="Times New Roman" w:cs="Times New Roman"/>
          <w:noProof/>
          <w:sz w:val="24"/>
          <w:szCs w:val="24"/>
        </w:rPr>
        <w:t>(Šumskas &amp; Zaborskis, 2017)</w:t>
      </w:r>
      <w:r w:rsidR="0073142B" w:rsidRPr="002F0A14">
        <w:rPr>
          <w:rFonts w:ascii="Times New Roman" w:hAnsi="Times New Roman" w:cs="Times New Roman"/>
          <w:sz w:val="24"/>
          <w:szCs w:val="24"/>
        </w:rPr>
        <w:fldChar w:fldCharType="end"/>
      </w:r>
      <w:r w:rsidR="00EC278A" w:rsidRPr="002F0A14">
        <w:rPr>
          <w:rFonts w:ascii="Times New Roman" w:hAnsi="Times New Roman" w:cs="Times New Roman"/>
          <w:sz w:val="24"/>
          <w:szCs w:val="24"/>
        </w:rPr>
        <w:t>.</w:t>
      </w:r>
    </w:p>
    <w:p w:rsidR="008A7940" w:rsidRPr="002F0A14" w:rsidRDefault="00855ACD" w:rsidP="00D501E8">
      <w:pPr>
        <w:spacing w:line="360" w:lineRule="auto"/>
        <w:jc w:val="both"/>
        <w:rPr>
          <w:rFonts w:ascii="Times New Roman" w:hAnsi="Times New Roman" w:cs="Times New Roman"/>
          <w:sz w:val="24"/>
          <w:szCs w:val="24"/>
          <w:u w:val="single"/>
        </w:rPr>
      </w:pPr>
      <w:r w:rsidRPr="002F0A14">
        <w:rPr>
          <w:rFonts w:ascii="Times New Roman" w:hAnsi="Times New Roman" w:cs="Times New Roman"/>
          <w:sz w:val="24"/>
          <w:szCs w:val="24"/>
        </w:rPr>
        <w:t xml:space="preserve">Los altos niveles de riesgo del consumo de </w:t>
      </w:r>
      <w:r w:rsidR="00885E87" w:rsidRPr="002F0A14">
        <w:rPr>
          <w:rFonts w:ascii="Times New Roman" w:hAnsi="Times New Roman" w:cs="Times New Roman"/>
          <w:sz w:val="24"/>
          <w:szCs w:val="24"/>
        </w:rPr>
        <w:t>tabaco se pueden dar por</w:t>
      </w:r>
      <w:r w:rsidRPr="002F0A14">
        <w:rPr>
          <w:rFonts w:ascii="Times New Roman" w:hAnsi="Times New Roman" w:cs="Times New Roman"/>
          <w:sz w:val="24"/>
          <w:szCs w:val="24"/>
        </w:rPr>
        <w:t xml:space="preserve"> la presencia de factores psicosociales </w:t>
      </w:r>
      <w:r w:rsidR="004063C2" w:rsidRPr="002F0A14">
        <w:rPr>
          <w:rFonts w:ascii="Times New Roman" w:hAnsi="Times New Roman" w:cs="Times New Roman"/>
          <w:sz w:val="24"/>
          <w:szCs w:val="24"/>
        </w:rPr>
        <w:t xml:space="preserve">como es la familia disfuncional, lo cual coincide con nuestros resultados que a medida que disminuye la percepción de la función familiar aumenta el nivel de riesgo del consumo de tabaco </w:t>
      </w:r>
      <w:r w:rsidR="004063C2" w:rsidRPr="002F0A14">
        <w:rPr>
          <w:rFonts w:ascii="Times New Roman" w:hAnsi="Times New Roman" w:cs="Times New Roman"/>
          <w:sz w:val="24"/>
          <w:szCs w:val="24"/>
        </w:rPr>
        <w:fldChar w:fldCharType="begin" w:fldLock="1"/>
      </w:r>
      <w:r w:rsidR="002D0F62" w:rsidRPr="002F0A14">
        <w:rPr>
          <w:rFonts w:ascii="Times New Roman" w:hAnsi="Times New Roman" w:cs="Times New Roman"/>
          <w:sz w:val="24"/>
          <w:szCs w:val="24"/>
        </w:rPr>
        <w:instrText>ADDIN CSL_CITATION {"citationItems":[{"id":"ITEM-1","itemData":{"author":[{"dropping-particle":"","family":"Ferrel","given":"Fernando","non-dropping-particle":"","parse-names":false,"suffix":""},{"dropping-particle":"","family":"Ferrel","given":"Lucía","non-dropping-particle":"","parse-names":false,"suffix":""},{"dropping-particle":"","family":"Alarcón","given":"Alana","non-dropping-particle":"","parse-names":false,"suffix":""},{"dropping-particle":"","family":"Delgado","given":"Karen","non-dropping-particle":"","parse-names":false,"suffix":""}],"container-title":"Psychologia","id":"ITEM-1","issue":"2","issued":{"date-parts":[["2016"]]},"page":"43-54","title":"El consumo de sustancias psicoactivas como indicador de deterioro de la salud mental en jóvenes escolarizados","type":"article-journal","volume":"10"},"uris":["http://www.mendeley.com/documents/?uuid=bc8e8be2-c2f9-440c-b30c-b99032b41344"]}],"mendeley":{"formattedCitation":"(Ferrel et al., 2016)","plainTextFormattedCitation":"(Ferrel et al., 2016)","previouslyFormattedCitation":"(Ferrel et al., 2016)"},"properties":{"noteIndex":0},"schema":"https://github.com/citation-style-language/schema/raw/master/csl-citation.json"}</w:instrText>
      </w:r>
      <w:r w:rsidR="004063C2" w:rsidRPr="002F0A14">
        <w:rPr>
          <w:rFonts w:ascii="Times New Roman" w:hAnsi="Times New Roman" w:cs="Times New Roman"/>
          <w:sz w:val="24"/>
          <w:szCs w:val="24"/>
        </w:rPr>
        <w:fldChar w:fldCharType="separate"/>
      </w:r>
      <w:r w:rsidR="004063C2" w:rsidRPr="002F0A14">
        <w:rPr>
          <w:rFonts w:ascii="Times New Roman" w:hAnsi="Times New Roman" w:cs="Times New Roman"/>
          <w:noProof/>
          <w:sz w:val="24"/>
          <w:szCs w:val="24"/>
        </w:rPr>
        <w:t>(Ferrel et al., 2016)</w:t>
      </w:r>
      <w:r w:rsidR="004063C2" w:rsidRPr="002F0A14">
        <w:rPr>
          <w:rFonts w:ascii="Times New Roman" w:hAnsi="Times New Roman" w:cs="Times New Roman"/>
          <w:sz w:val="24"/>
          <w:szCs w:val="24"/>
        </w:rPr>
        <w:fldChar w:fldCharType="end"/>
      </w:r>
      <w:r w:rsidR="004063C2" w:rsidRPr="002F0A14">
        <w:rPr>
          <w:rFonts w:ascii="Times New Roman" w:hAnsi="Times New Roman" w:cs="Times New Roman"/>
          <w:sz w:val="24"/>
          <w:szCs w:val="24"/>
        </w:rPr>
        <w:t>.</w:t>
      </w:r>
      <w:r w:rsidR="00CC4D0E" w:rsidRPr="002F0A14">
        <w:rPr>
          <w:rFonts w:ascii="Times New Roman" w:hAnsi="Times New Roman" w:cs="Times New Roman"/>
          <w:sz w:val="24"/>
          <w:szCs w:val="24"/>
        </w:rPr>
        <w:t xml:space="preserve"> Por tanto, la falta de apoyo familiar, como la relación inadecuada con los padres, se asocian con el consumo de tabaco entre los adolescentes </w:t>
      </w:r>
      <w:r w:rsidR="00CC4D0E"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{"citationItems":[{"id":"ITEM-1","itemData":{"DOI":"10.1016/j.af.2017.02.001","ISSN":"14058871","abstract":"OBJETIVO analizar diferentes patrones de consumo de drogas (esporádico o habitual) en adolescentes e identificar perfiles de su consumo; y comprobar las relaciones que se establecen respecto a variables asociadas con la toma de decisiones de consumo (apoyo familiar y valoración de consecuencias). MÉTODOS la muestra estuvo integrada por 822 alumnos de secundaria de 13 a 18 años. Se utilizó un cuestionario elaborado ad hoc para conocer los datos sociodemográficos y de consumo, y para la medida del apoyo familiar percibido se utilizó la subescala con el mismo nombre, incluida en la Multidimensional Scale of Perceived Social Support. RESULTADOS se produjo correlación positiva entre la valoración que los adolescentes hicieron de la relación actual con sus padres/tutores y el apoyo familiar percibido. Además, tanto el apoyo familiar, como la relación con los padres, se correlacionaron negativamente con la frecuencia en el consumo de tabaco. Los consumidores habituales de cannabis presentaron diferencias significativas en apoyo familiar respecto a los que no la consumían de forma habitual. CONCLUSIÓN es necesario establecer diferentes perfiles de consumo en adolescentes, de cara al diseño de intervenciones y la implementación de programas de hábitos saludables desde la atención primaria. OBJECTIVE to analyze different patterns (regular or occasional) of drug use in adolescents and identify profiles of their consumption; verify the relationships established with respect to variables associated with decision-making of consumption (family support and evaluation of consequences). METHODS the sample was composed by 822 junior high school students from 13 to 18 years. The questionnaire was made ad hoc to know the socio-demographic and consumption data, and to evaluate the perceived family support. The subscale, of the same name, included in the Multidimensional Scale of Perceived Social Support was used. RESULTS there was a positive correlation between the assessment that adolescents made to the current relationship with their parents/guardians and the family support perceived. In addition, family support as well as the relationship with parents, negatively correlated with the frequency of tobacco use. Regular cannabis consumers showed significant differences in family support with respect to those who do not consume it on a regular basis. CONCLUSION it is necessary to establish different profiles of consumption in adolescents, to design interventions and to impleme…","author":[{"dropping-particle":"","family":"Molero-Jurado","given":"María del Mar","non-dropping-particle":"","parse-names":false,"suffix":""},{"dropping-particle":"","family":"Pérez-Fuentes","given":"María del Carmen","non-dropping-particle":"","parse-names":false,"suffix":""},{"dropping-particle":"","family":"Gázquez-Linares","given":"José Jesús","non-dropping-particle":"","parse-names":false,"suffix":""},{"dropping-particle":"","family":"Barragán-Martín","given":"Ana Belén","non-dropping-particle":"","parse-names":false,"suffix":""}],"container-title":"Atención Familiar","id":"ITEM-1","issue":"2","issued":{"date-parts":[["2017","4"]]},"page":"56-61","publisher":"Universidad Nacional Autónoma de México","title":"Análisis y perfiles del consumo de drogas en adolescentes: percepción del apoyo familiar y valoración de consecuencias","type":"article-journal","volume":"24"},"uris":["http://www.mendeley.com/documents/?uuid=890f22ab-f0b8-4c54-b5ca-6e4b64041616"]}],"mendeley":{"formattedCitation":"(Molero-Jurado et al., 2017)","manualFormatting":"(Molero et al., 2017)","plainTextFormattedCitation":"(Molero-Jurado et al., 2017)","previouslyFormattedCitation":"(Molero-Jurado et al., 2017)"},"properties":{"noteIndex":0},"schema":"https://github.com/citation-style-language/schema/raw/master/csl-citation.json"}</w:instrText>
      </w:r>
      <w:r w:rsidR="00CC4D0E"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(Molero et al., 2017)</w:t>
      </w:r>
      <w:r w:rsidR="00CC4D0E" w:rsidRPr="002F0A14">
        <w:rPr>
          <w:rFonts w:ascii="Times New Roman" w:hAnsi="Times New Roman" w:cs="Times New Roman"/>
          <w:sz w:val="24"/>
          <w:szCs w:val="24"/>
        </w:rPr>
        <w:fldChar w:fldCharType="end"/>
      </w:r>
      <w:r w:rsidR="00CC4D0E" w:rsidRPr="002F0A14">
        <w:rPr>
          <w:rFonts w:ascii="Times New Roman" w:hAnsi="Times New Roman" w:cs="Times New Roman"/>
          <w:sz w:val="24"/>
          <w:szCs w:val="24"/>
        </w:rPr>
        <w:t xml:space="preserve">. </w:t>
      </w:r>
      <w:r w:rsidR="0073374F" w:rsidRPr="002F0A14">
        <w:rPr>
          <w:rFonts w:ascii="Times New Roman" w:hAnsi="Times New Roman" w:cs="Times New Roman"/>
          <w:sz w:val="24"/>
          <w:szCs w:val="24"/>
        </w:rPr>
        <w:t xml:space="preserve">Así mismo, los adolescentes que piensan no recibir suficiente afecto y cariño por los padres tienen con mayor frecuencia consumo de alcohol y tabaco </w:t>
      </w:r>
      <w:r w:rsidR="0073374F"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{"citationItems":[{"id":"ITEM-1","itemData":{"DOI":"10.1989/ejpad.v4i1.34","abstract":"El consumo de sustancias es considerado un problema de salud pública, con implicaciones sociales y personales en la etapa adolescente. En este sentido, las relaciones familiares ejercen un papel fundamental en el desarrollo psicosocial del adolescente. El objetivo que se plantea es analizar la relación entre la frecuencia del consumo de sustancias con diferentes cuestiones sobre las relaciones familiares. La muestra se compone de un total de 822 alumnos de educación secundaria. Se elaboró un cuestionario ad hoc para conocer la frecuencia de consumo de alcohol y tabaco, y diversas preguntas sobre las relaciones familiares de los adolescentes. Los resultados mostraron que el grupo de los consumidores de cannabis no necesariamente convivían con un familiar fumador. Asimismo, la frecuencia de consumo de tabaco y alcohol en los estudiantes cuyos padres se muestran permisivos, son significativamente mayores respecto al grupo de alumnos con padres que no se lo permiten. Con estos resultados, podemos destacar la prematuridad del consumo de sustancias en la etapa adolescente y la importancia de las relaciones familiares en la prevención del consumo. Palabras clave: Consumo, tabaco, alcohol, relaciones familiares. Tobacco and alcohol consumption in adolescents and family relationships. The substance is considered a public health problem, with social and personal implications in the adolescent stage. In this respect, family relationships play a key role in the psychosocial development of the adolescent. The objective set is to analyze the relationship between the frequency of substance with different questions about family relationships. The sample consists of a total of 822 secondary school students. An ad hoc questionnaire to determine the frequency of alcohol consumption and tobacco, and questions about family relationships of adolescents was developed. The results showed that the group of cannabis users not necessarily living with a smoker family. Also, the frequency of consumption of tobacco and alcohol in students whose parents are permissive, are significantly higher compared to the group of students with parents who are not allowed. With these results, we can highlight the prematurity of substance in the adolescent stage and the importance of family relationships in preventing consumption.","author":[{"dropping-particle":"","family":"Barragán. M","given":"Ana Belén","non-dropping-particle":"","parse-names":false,"suffix":""},{"dropping-particle":"","family":"Martínez","given":"África M","non-dropping-particle":"","parse-names":false,"suffix":""},{"dropping-particle":"","family":"Simón. M","given":"María del Mar","non-dropping-particle":"","parse-names":false,"suffix":""},{"dropping-particle":"","family":"Pérez-Fuentes","given":"María del Carmen","non-dropping-particle":"","parse-names":false,"suffix":""},{"dropping-particle":"","family":"Molero. J","given":"María del Mar","non-dropping-particle":"","parse-names":false,"suffix":""},{"dropping-particle":"","family":"Gázquez. L","given":"José Jesús","non-dropping-particle":"","parse-names":false,"suffix":""}],"container-title":"European Journal of Child Development, Education and Psychopathology","id":"ITEM-1","issue":"1","issued":{"date-parts":[["2016"]]},"page":"49-61","title":"Consumo de tabaco y alcohol en adolescentes y relación con la familia","type":"article-journal","volume":"4"},"uris":["http://www.mendeley.com/documents/?uuid=7fa77823-7761-4b58-ab84-cd72755bf177"]}],"mendeley":{"formattedCitation":"(Barragán. M et al., 2016)","manualFormatting":"(Barragán et al., 2016)","plainTextFormattedCitation":"(Barragán. M et al., 2016)","previouslyFormattedCitation":"(Barragán. M et al., 2016)"},"properties":{"noteIndex":0},"schema":"https://github.com/citation-style-language/schema/raw/master/csl-citation.json"}</w:instrText>
      </w:r>
      <w:r w:rsidR="0073374F"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(Barragán</w:t>
      </w:r>
      <w:r w:rsidR="0073374F" w:rsidRPr="002F0A14">
        <w:rPr>
          <w:rFonts w:ascii="Times New Roman" w:hAnsi="Times New Roman" w:cs="Times New Roman"/>
          <w:noProof/>
          <w:sz w:val="24"/>
          <w:szCs w:val="24"/>
        </w:rPr>
        <w:t xml:space="preserve"> et al., 2016)</w:t>
      </w:r>
      <w:r w:rsidR="0073374F" w:rsidRPr="002F0A14">
        <w:rPr>
          <w:rFonts w:ascii="Times New Roman" w:hAnsi="Times New Roman" w:cs="Times New Roman"/>
          <w:sz w:val="24"/>
          <w:szCs w:val="24"/>
        </w:rPr>
        <w:fldChar w:fldCharType="end"/>
      </w:r>
      <w:r w:rsidR="0073374F" w:rsidRPr="002F0A14">
        <w:rPr>
          <w:rFonts w:ascii="Times New Roman" w:hAnsi="Times New Roman" w:cs="Times New Roman"/>
          <w:sz w:val="24"/>
          <w:szCs w:val="24"/>
        </w:rPr>
        <w:t xml:space="preserve">. </w:t>
      </w:r>
      <w:r w:rsidR="000E6C22" w:rsidRPr="002F0A14">
        <w:rPr>
          <w:rFonts w:ascii="Times New Roman" w:hAnsi="Times New Roman" w:cs="Times New Roman"/>
          <w:sz w:val="24"/>
          <w:szCs w:val="24"/>
        </w:rPr>
        <w:t xml:space="preserve">En relación con el género y la probabilidad del consumo de tabaco no existió asociación estadística significativa como en el estudio presentado por </w:t>
      </w:r>
      <w:r w:rsidR="000E6C22" w:rsidRPr="002F0A14">
        <w:rPr>
          <w:rFonts w:ascii="Times New Roman" w:hAnsi="Times New Roman" w:cs="Times New Roman"/>
          <w:sz w:val="24"/>
          <w:szCs w:val="24"/>
        </w:rPr>
        <w:fldChar w:fldCharType="begin" w:fldLock="1"/>
      </w:r>
      <w:r w:rsidR="003F7E7F" w:rsidRPr="002F0A14">
        <w:rPr>
          <w:rFonts w:ascii="Times New Roman" w:hAnsi="Times New Roman" w:cs="Times New Roman"/>
          <w:sz w:val="24"/>
          <w:szCs w:val="24"/>
        </w:rPr>
        <w:instrText>ADDIN CSL_CITATION {"citationItems":[{"id":"ITEM-1","itemData":{"DOI":"10.1016/j.enfcli.2016.09.004","ISSN":"11308621","abstract":"Objective Risk behaviors in adolescents can lead to serious disorders, therefore the objectives of this work are to characterize the lifestyles of teenagers about substance use, sex, and road safety, and to meet socio-demographic factors associated with these. Method A cross-sectional, descriptive and correlational study was conducted with 204 school-age-children from 12 to 17 years, in 2013. They were given a validated questionnaire about sociodemographic, family functioning, and lifestyles such as substance abuse, sexual intercourse and road safety. A descriptive and multivariate analysis was performed by using multiple linear regression in the case of quantitative dependent variables, and binary logistic regression models in the case of binary categories. Data analysis was based on SPSS 20.0, with a significance level of p &lt; 0.05. Results 32.4% of students had smoked, and 61.3% had drunk alcohol. 26% of adolescent between 14-17 years had sexual intercourse; the average age of the first sexual intercourse was 14.9 years. 85.2% used condoms. 94.6% respected traffic signs, 77.5% used to wear a seat belt and 81.9% a helmet. Family functioning, as protective factor, was the variable more frequently associated to risk behaviour: smoking (OR = 7.06, p=.000), alcohol drinking (OR = 3.97, p=.008), sexual intercourse (OR = 3.67, p=.041), and road safety (β=1.82, p=.000). Conclusions According the results, age, gender and family functioning are the main factors associated with the adoption of risk behaviors. This information is important for the development of public health policies, for instance health promotion at schools.","author":[{"dropping-particle":"","family":"Lima-Serrano","given":"Marta","non-dropping-particle":"","parse-names":false,"suffix":""},{"dropping-particle":"","family":"Guerra-Martín","given":"María Dolores","non-dropping-particle":"","parse-names":false,"suffix":""},{"dropping-particle":"","family":"Lima-Rodríguez","given":"Joaquín Salvador","non-dropping-particle":"","parse-names":false,"suffix":""}],"container-title":"Enfermería Clínica","id":"ITEM-1","issue":"1","issued":{"date-parts":[["2017","1"]]},"page":"3-10","publisher":"Elsevier España, S.L.U.","title":"Relación entre el funcionamiento familiar y los estilos de vida de los adolescentes en edad escolar","type":"article-journal","volume":"27"},"uris":["http://www.mendeley.com/documents/?uuid=1b7289bf-09b7-41eb-aa93-2e1352d0b179"]}],"mendeley":{"formattedCitation":"(Lima-Serrano et al., 2017)","manualFormatting":"Lima-Serrano et al. (2017)","plainTextFormattedCitation":"(Lima-Serrano et al., 2017)","previouslyFormattedCitation":"(Lima-Serrano et al., 2017)"},"properties":{"noteIndex":0},"schema":"https://github.com/citation-style-language/schema/raw/master/csl-citation.json"}</w:instrText>
      </w:r>
      <w:r w:rsidR="000E6C22" w:rsidRPr="002F0A14">
        <w:rPr>
          <w:rFonts w:ascii="Times New Roman" w:hAnsi="Times New Roman" w:cs="Times New Roman"/>
          <w:sz w:val="24"/>
          <w:szCs w:val="24"/>
        </w:rPr>
        <w:fldChar w:fldCharType="separate"/>
      </w:r>
      <w:r w:rsidR="000E6C22" w:rsidRPr="002F0A14">
        <w:rPr>
          <w:rFonts w:ascii="Times New Roman" w:hAnsi="Times New Roman" w:cs="Times New Roman"/>
          <w:noProof/>
          <w:sz w:val="24"/>
          <w:szCs w:val="24"/>
        </w:rPr>
        <w:t>Lima-Serrano et al. (2017)</w:t>
      </w:r>
      <w:r w:rsidR="000E6C22" w:rsidRPr="002F0A14">
        <w:rPr>
          <w:rFonts w:ascii="Times New Roman" w:hAnsi="Times New Roman" w:cs="Times New Roman"/>
          <w:sz w:val="24"/>
          <w:szCs w:val="24"/>
        </w:rPr>
        <w:fldChar w:fldCharType="end"/>
      </w:r>
      <w:r w:rsidR="000E6C22" w:rsidRPr="002F0A14">
        <w:rPr>
          <w:rFonts w:ascii="Times New Roman" w:hAnsi="Times New Roman" w:cs="Times New Roman"/>
          <w:sz w:val="24"/>
          <w:szCs w:val="24"/>
        </w:rPr>
        <w:t xml:space="preserve"> en donde las mujeres presentaban 7.06 más probabilidad de fumar cuando presentan disfu</w:t>
      </w:r>
      <w:r w:rsidR="008A7940" w:rsidRPr="002F0A14">
        <w:rPr>
          <w:rFonts w:ascii="Times New Roman" w:hAnsi="Times New Roman" w:cs="Times New Roman"/>
          <w:sz w:val="24"/>
          <w:szCs w:val="24"/>
        </w:rPr>
        <w:t xml:space="preserve">nción familiar; y las mujeres presentan mayor probabilidad de consumo de tabaco cuando no viven con ambos padres </w:t>
      </w:r>
      <w:r w:rsidR="008A7940" w:rsidRPr="002F0A14">
        <w:rPr>
          <w:rFonts w:ascii="Times New Roman" w:hAnsi="Times New Roman" w:cs="Times New Roman"/>
          <w:sz w:val="24"/>
          <w:szCs w:val="24"/>
          <w:u w:val="single"/>
          <w:lang w:val="fr-BE"/>
        </w:rPr>
        <w:fldChar w:fldCharType="begin" w:fldLock="1"/>
      </w:r>
      <w:r w:rsidR="001F024D" w:rsidRPr="002F0A14">
        <w:rPr>
          <w:rFonts w:ascii="Times New Roman" w:hAnsi="Times New Roman" w:cs="Times New Roman"/>
          <w:sz w:val="24"/>
          <w:szCs w:val="24"/>
          <w:u w:val="single"/>
        </w:rPr>
        <w:instrText>ADDIN CSL_CITATION {"citationItems":[{"id":"ITEM-1","itemData":{"DOI":"10.1186/s13034-019-0281-4","ISSN":"1753-2000","abstract":"Background: Adolescence is a critical period of vulnerability to substance use. Recent research has shown that gender differences in adolescence substance use are complex and in constant flux. The present study aims to investigate gender differences in substance use and initiation patterns in male and female adolescents, and to assess individual, family, peer, and school associated factors of these patterns. Methods: We applied latent class regression analysis to a Portuguese representative population sample of 1551 15-year-old adolescents, drawn from the 2010 'Health Behavior in School-Aged Children' survey, to characterise different profiles of substance use and initiation for boys and girls, and to identify factors associated with latent class membership, stratifying the associations analysis by gender. Results: Three common classes were found for both genders, specifically, Non-Users (boys [B] 34.42%, girls [G] 26.79%), Alcohol Experimenters (B 38.79%, G 43.98%) and Alcohol and Tobacco Frequent Users (B 21.31%, G 10.36%), with two additional unique classes: Alcohol Experimenters and Tobacco Users in girls (18.87%), and Early Initiation and Poly-Substance Users in boys (5.48%). Poor school satisfaction, bullying, fighting and higher family affluence scale score formed a common core of associated factors of substance use, although we found gender differences in these associations. In girls, but not in boys, family factors were associated with more problematic substance use. Not living with both parents was associated with girl's Alcohol and Tobacco Frequent Users (gATFU) class (OR 3.78 CI 1.18-12.11) and Alcohol Experimenters and Tobacco Users (AETU) class (OR 3.22 CI 1.4-7.44). Poor communication with mother was also associated with gATFU class membership (OR 3.82 CI 1.26-11.53) and AETU class (OR 3.66 CI 1.99-6.75). Additionally, a higher psychological symptoms score was associated with gATFU class membership (OR 1.16 CI 1.02-1.31). Conclusion: Although we found common patterns and associated factors between boys and girls, we report two unique patterns of substance use in boys and girls and specific associations between family, school and peers, and individual factors with these patterns. These findings underscore the need for substance use prevention and health promotion programmes that address potential differences in substance use patterns and associated factors.","author":[{"dropping-particle":"","family":"Picoito","given":"João","non-dropping-particle":"","parse-names":false,"suffix":""},{"dropping-particle":"","family":"Santos","given":"Constança","non-dropping-particle":"","parse-names":false,"suffix":""},{"dropping-particle":"","family":"Loureiro","given":"Isabel","non-dropping-particle":"","parse-names":false,"suffix":""},{"dropping-particle":"","family":"Aguiar","given":"Pedro","non-dropping-particle":"","parse-names":false,"suffix":""},{"dropping-particle":"","family":"Nunes","given":"Carla","non-dropping-particle":"","parse-names":false,"suffix":""}],"container-title":"Child and Adolescent Psychiatry and Mental Health","id":"ITEM-1","issue":"1","issued":{"date-parts":[["2019","12","10"]]},"page":"21","publisher":"BioMed Central","title":"Gender-specific substance use patterns and associations with individual, family, peer, and school factors in 15-year-old Portuguese adolescents: a latent class regression analysis","type":"article-journal","volume":"13"},"uris":["http://www.mendeley.com/documents/?uuid=dfffacde-8c8a-4fcd-9ff3-f3cccc70542f"]}],"mendeley":{"formattedCitation":"(Picoito et al., 2019)","plainTextFormattedCitation":"(Picoito et al., 2019)","previouslyFormattedCitation":"(Picoito et al., 2019)"},"properties":{"noteIndex":0},"schema":"https://github.com/citation-style-language/schema/raw/master/csl-citation.json"}</w:instrText>
      </w:r>
      <w:r w:rsidR="008A7940" w:rsidRPr="002F0A14">
        <w:rPr>
          <w:rFonts w:ascii="Times New Roman" w:hAnsi="Times New Roman" w:cs="Times New Roman"/>
          <w:sz w:val="24"/>
          <w:szCs w:val="24"/>
          <w:u w:val="single"/>
          <w:lang w:val="fr-BE"/>
        </w:rPr>
        <w:fldChar w:fldCharType="separate"/>
      </w:r>
      <w:r w:rsidR="001F024D" w:rsidRPr="002F0A14">
        <w:rPr>
          <w:rFonts w:ascii="Times New Roman" w:hAnsi="Times New Roman" w:cs="Times New Roman"/>
          <w:noProof/>
          <w:sz w:val="24"/>
          <w:szCs w:val="24"/>
        </w:rPr>
        <w:t>(Picoito et al., 2019)</w:t>
      </w:r>
      <w:r w:rsidR="008A7940" w:rsidRPr="002F0A14">
        <w:rPr>
          <w:rFonts w:ascii="Times New Roman" w:hAnsi="Times New Roman" w:cs="Times New Roman"/>
          <w:sz w:val="24"/>
          <w:szCs w:val="24"/>
          <w:u w:val="single"/>
          <w:lang w:val="fr-BE"/>
        </w:rPr>
        <w:fldChar w:fldCharType="end"/>
      </w:r>
      <w:r w:rsidR="008A7940" w:rsidRPr="002F0A14">
        <w:rPr>
          <w:rFonts w:ascii="Times New Roman" w:hAnsi="Times New Roman" w:cs="Times New Roman"/>
          <w:sz w:val="24"/>
          <w:szCs w:val="24"/>
        </w:rPr>
        <w:t>.</w:t>
      </w:r>
    </w:p>
    <w:p w:rsidR="0073374F" w:rsidRPr="002F0A14" w:rsidRDefault="003B2624"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En el consumo de otras drogas continúa el mismo patrón del nivel de riesgo del consumo, a medida que disminuye la satisfacción de la función familiar se incrementa el nivel de riesgo a moderado-grave, </w:t>
      </w:r>
      <w:r w:rsidR="006F6AA9" w:rsidRPr="002F0A14">
        <w:rPr>
          <w:rFonts w:ascii="Times New Roman" w:hAnsi="Times New Roman" w:cs="Times New Roman"/>
          <w:sz w:val="24"/>
          <w:szCs w:val="24"/>
        </w:rPr>
        <w:t xml:space="preserve">estos datos concuerdan </w:t>
      </w:r>
      <w:r w:rsidR="00AA7B4E" w:rsidRPr="002F0A14">
        <w:rPr>
          <w:rFonts w:ascii="Times New Roman" w:hAnsi="Times New Roman" w:cs="Times New Roman"/>
          <w:sz w:val="24"/>
          <w:szCs w:val="24"/>
        </w:rPr>
        <w:t xml:space="preserve">con lo propuesto por </w:t>
      </w:r>
      <w:r w:rsidR="00AA7B4E"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{"citationItems":[{"id":"ITEM-1","itemData":{"DOI":"10.21134/haaj.v18i1.363","ISSN":"1988205X","abstract":"Introduction. An association between affective and anxiety disorders has been proposed in adolescents with substance use. Objective. To determine the prevalence of psychoactive substance use and the most frequent mental disorders associated with this consumption, in Colombian adolescents. Methods. This is a cross-sectional study that uses data from the National Mental Health Survey 2015. With adolescents between 12 and 17 years old, in whom CIDI-CAPI (version 21.1.3) was applied by computer and modified ASSIST. Results. A total of 408 adolescents between 12 and 17 years old who reported psychoactive substance use at least once in their lives were described , this group was a representative sample of national population. The most frequent consumed substance was alcohol with a prevalence of 16.6% (95% CI, 14.2-19.2), Bogotá is the region with the highest consumption of substances with a prevalence of 33.8% (IC95 % 24.7-44.2). Otherwise, being a man between 16 and 17 years old represents a risk factor for substance use. Likewise, presenting affective disorders increases by 2.28 times the risk of psychoactive substance use. Conclusions. Adolescents with affective or anxiety disorders are at higher risk of psychoactive substances use, making difficult the treatment and desmonstrating the vulnerability of this population.","author":[{"dropping-particle":"","family":"Cruz-Ramírez","given":"Viviana","non-dropping-particle":"","parse-names":false,"suffix":""},{"dropping-particle":"","family":"Gómez-Restrepo","given":"Carlos","non-dropping-particle":"","parse-names":false,"suffix":""},{"dropping-particle":"","family":"Rincón","given":"Carlos J.","non-dropping-particle":"","parse-names":false,"suffix":""}],"container-title":"Health and Addictions / Salud y Drogas","id":"ITEM-1","issue":"1","issued":{"date-parts":[["2018"]]},"page":"97-106","title":"Salud mental y consumo de sustancias psicoactivas en adolescentes colombianos","type":"article-journal","volume":"18"},"uris":["http://www.mendeley.com/documents/?uuid=552296dd-bd62-49ec-ba2e-9ec69e0feb36"]}],"mendeley":{"formattedCitation":"(Cruz-Ramírez et al., 2018)","manualFormatting":"Cruz et al. (2018)","plainTextFormattedCitation":"(Cruz-Ramírez et al., 2018)","previouslyFormattedCitation":"(Cruz-Ramírez et al., 2018)"},"properties":{"noteIndex":0},"schema":"https://github.com/citation-style-language/schema/raw/master/csl-citation.json"}</w:instrText>
      </w:r>
      <w:r w:rsidR="00AA7B4E" w:rsidRPr="002F0A14">
        <w:rPr>
          <w:rFonts w:ascii="Times New Roman" w:hAnsi="Times New Roman" w:cs="Times New Roman"/>
          <w:sz w:val="24"/>
          <w:szCs w:val="24"/>
        </w:rPr>
        <w:fldChar w:fldCharType="separate"/>
      </w:r>
      <w:r w:rsidR="00EC278A" w:rsidRPr="002F0A14">
        <w:rPr>
          <w:rFonts w:ascii="Times New Roman" w:hAnsi="Times New Roman" w:cs="Times New Roman"/>
          <w:noProof/>
          <w:sz w:val="24"/>
          <w:szCs w:val="24"/>
        </w:rPr>
        <w:t xml:space="preserve">Cruz </w:t>
      </w:r>
      <w:r w:rsidR="00AA7B4E" w:rsidRPr="002F0A14">
        <w:rPr>
          <w:rFonts w:ascii="Times New Roman" w:hAnsi="Times New Roman" w:cs="Times New Roman"/>
          <w:noProof/>
          <w:sz w:val="24"/>
          <w:szCs w:val="24"/>
        </w:rPr>
        <w:t>et al. (2018)</w:t>
      </w:r>
      <w:r w:rsidR="00AA7B4E" w:rsidRPr="002F0A14">
        <w:rPr>
          <w:rFonts w:ascii="Times New Roman" w:hAnsi="Times New Roman" w:cs="Times New Roman"/>
          <w:sz w:val="24"/>
          <w:szCs w:val="24"/>
        </w:rPr>
        <w:fldChar w:fldCharType="end"/>
      </w:r>
      <w:r w:rsidR="00AA7B4E" w:rsidRPr="002F0A14">
        <w:rPr>
          <w:rFonts w:ascii="Times New Roman" w:hAnsi="Times New Roman" w:cs="Times New Roman"/>
          <w:sz w:val="24"/>
          <w:szCs w:val="24"/>
        </w:rPr>
        <w:t xml:space="preserve"> cuando mencionan que la disfunción familiar moderada o severa incrementa el riesgo del consumo de sustancias en los adolescentes.</w:t>
      </w:r>
      <w:r w:rsidR="000E6C22" w:rsidRPr="002F0A14">
        <w:rPr>
          <w:rFonts w:ascii="Times New Roman" w:hAnsi="Times New Roman" w:cs="Times New Roman"/>
          <w:sz w:val="24"/>
          <w:szCs w:val="24"/>
        </w:rPr>
        <w:t xml:space="preserve"> Existe</w:t>
      </w:r>
      <w:r w:rsidR="0073374F" w:rsidRPr="002F0A14">
        <w:rPr>
          <w:rFonts w:ascii="Times New Roman" w:hAnsi="Times New Roman" w:cs="Times New Roman"/>
          <w:sz w:val="24"/>
          <w:szCs w:val="24"/>
        </w:rPr>
        <w:t xml:space="preserve"> otros factores q</w:t>
      </w:r>
      <w:r w:rsidR="002069F1" w:rsidRPr="002F0A14">
        <w:rPr>
          <w:rFonts w:ascii="Times New Roman" w:hAnsi="Times New Roman" w:cs="Times New Roman"/>
          <w:sz w:val="24"/>
          <w:szCs w:val="24"/>
        </w:rPr>
        <w:t>ue incrementan el riesgo hasta siete</w:t>
      </w:r>
      <w:r w:rsidR="0073374F" w:rsidRPr="002F0A14">
        <w:rPr>
          <w:rFonts w:ascii="Times New Roman" w:hAnsi="Times New Roman" w:cs="Times New Roman"/>
          <w:sz w:val="24"/>
          <w:szCs w:val="24"/>
        </w:rPr>
        <w:t xml:space="preserve"> veces más de consumir drogas en presencia de violencia intrafamiliar</w:t>
      </w:r>
      <w:r w:rsidR="000E6C22" w:rsidRPr="002F0A14">
        <w:rPr>
          <w:rFonts w:ascii="Times New Roman" w:hAnsi="Times New Roman" w:cs="Times New Roman"/>
          <w:sz w:val="24"/>
          <w:szCs w:val="24"/>
        </w:rPr>
        <w:t xml:space="preserve"> </w:t>
      </w:r>
      <w:r w:rsidR="000E6C22" w:rsidRPr="002F0A14">
        <w:rPr>
          <w:rFonts w:ascii="Times New Roman" w:hAnsi="Times New Roman" w:cs="Times New Roman"/>
          <w:sz w:val="24"/>
          <w:szCs w:val="24"/>
        </w:rPr>
        <w:fldChar w:fldCharType="begin" w:fldLock="1"/>
      </w:r>
      <w:r w:rsidR="000E6C22" w:rsidRPr="002F0A14">
        <w:rPr>
          <w:rFonts w:ascii="Times New Roman" w:hAnsi="Times New Roman" w:cs="Times New Roman"/>
          <w:sz w:val="24"/>
          <w:szCs w:val="24"/>
        </w:rPr>
        <w:instrText>ADDIN CSL_CITATION {"citationItems":[{"id":"ITEM-1","itemData":{"ISSN":"22155201","author":[{"dropping-particle":"","family":"Uribe","given":"Lilia","non-dropping-particle":"","parse-names":false,"suffix":""},{"dropping-particle":"","family":"Mazariegos","given":"José","non-dropping-particle":"","parse-names":false,"suffix":""}],"container-title":"Revista Auspiciada por el Hospital Dr. Rafael Ángel Calderón Guardia","id":"ITEM-1","issue":"625","issued":{"date-parts":[["2018"]]},"page":"15-22","title":"Factores asociados al consumo de drogas en niños, niñas y adolescentes","type":"article-journal","volume":"84"},"uris":["http://www.mendeley.com/documents/?uuid=c37f6998-3302-40df-8070-091e7a1224b4"]}],"mendeley":{"formattedCitation":"(Uribe &amp; Mazariegos, 2018)","plainTextFormattedCitation":"(Uribe &amp; Mazariegos, 2018)","previouslyFormattedCitation":"(Uribe &amp; Mazariegos, 2018)"},"properties":{"noteIndex":0},"schema":"https://github.com/citation-style-language/schema/raw/master/csl-citation.json"}</w:instrText>
      </w:r>
      <w:r w:rsidR="000E6C22" w:rsidRPr="002F0A14">
        <w:rPr>
          <w:rFonts w:ascii="Times New Roman" w:hAnsi="Times New Roman" w:cs="Times New Roman"/>
          <w:sz w:val="24"/>
          <w:szCs w:val="24"/>
        </w:rPr>
        <w:fldChar w:fldCharType="separate"/>
      </w:r>
      <w:r w:rsidR="000E6C22" w:rsidRPr="002F0A14">
        <w:rPr>
          <w:rFonts w:ascii="Times New Roman" w:hAnsi="Times New Roman" w:cs="Times New Roman"/>
          <w:noProof/>
          <w:sz w:val="24"/>
          <w:szCs w:val="24"/>
        </w:rPr>
        <w:t>(Uribe &amp; Mazariegos, 2018)</w:t>
      </w:r>
      <w:r w:rsidR="000E6C22" w:rsidRPr="002F0A14">
        <w:rPr>
          <w:rFonts w:ascii="Times New Roman" w:hAnsi="Times New Roman" w:cs="Times New Roman"/>
          <w:sz w:val="24"/>
          <w:szCs w:val="24"/>
        </w:rPr>
        <w:fldChar w:fldCharType="end"/>
      </w:r>
      <w:r w:rsidR="0073374F" w:rsidRPr="002F0A14">
        <w:rPr>
          <w:rFonts w:ascii="Times New Roman" w:hAnsi="Times New Roman" w:cs="Times New Roman"/>
          <w:sz w:val="24"/>
          <w:szCs w:val="24"/>
        </w:rPr>
        <w:t xml:space="preserve">. </w:t>
      </w:r>
    </w:p>
    <w:p w:rsidR="0073374F" w:rsidRPr="002F0A14" w:rsidRDefault="0073374F"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En </w:t>
      </w:r>
      <w:r w:rsidR="002069F1" w:rsidRPr="002F0A14">
        <w:rPr>
          <w:rFonts w:ascii="Times New Roman" w:hAnsi="Times New Roman" w:cs="Times New Roman"/>
          <w:sz w:val="24"/>
          <w:szCs w:val="24"/>
        </w:rPr>
        <w:t>Sudáfrica</w:t>
      </w:r>
      <w:r w:rsidRPr="002F0A14">
        <w:rPr>
          <w:rFonts w:ascii="Times New Roman" w:hAnsi="Times New Roman" w:cs="Times New Roman"/>
          <w:sz w:val="24"/>
          <w:szCs w:val="24"/>
        </w:rPr>
        <w:t xml:space="preserve"> con una muestra clínica de adolescentes de 14 a 20 años </w:t>
      </w:r>
      <w:r w:rsidR="002069F1" w:rsidRPr="002F0A14">
        <w:rPr>
          <w:rFonts w:ascii="Times New Roman" w:hAnsi="Times New Roman" w:cs="Times New Roman"/>
          <w:sz w:val="24"/>
          <w:szCs w:val="24"/>
        </w:rPr>
        <w:t xml:space="preserve">se </w:t>
      </w:r>
      <w:r w:rsidRPr="002F0A14">
        <w:rPr>
          <w:rFonts w:ascii="Times New Roman" w:hAnsi="Times New Roman" w:cs="Times New Roman"/>
          <w:sz w:val="24"/>
          <w:szCs w:val="24"/>
        </w:rPr>
        <w:t>mostr</w:t>
      </w:r>
      <w:r w:rsidR="002069F1" w:rsidRPr="002F0A14">
        <w:rPr>
          <w:rFonts w:ascii="Times New Roman" w:hAnsi="Times New Roman" w:cs="Times New Roman"/>
          <w:sz w:val="24"/>
          <w:szCs w:val="24"/>
        </w:rPr>
        <w:t>ó</w:t>
      </w:r>
      <w:r w:rsidRPr="002F0A14">
        <w:rPr>
          <w:rFonts w:ascii="Times New Roman" w:hAnsi="Times New Roman" w:cs="Times New Roman"/>
          <w:sz w:val="24"/>
          <w:szCs w:val="24"/>
        </w:rPr>
        <w:t xml:space="preserve"> que mientras aumenta </w:t>
      </w:r>
      <w:r w:rsidR="002069F1" w:rsidRPr="002F0A14">
        <w:rPr>
          <w:rFonts w:ascii="Times New Roman" w:hAnsi="Times New Roman" w:cs="Times New Roman"/>
          <w:sz w:val="24"/>
          <w:szCs w:val="24"/>
        </w:rPr>
        <w:t xml:space="preserve">la </w:t>
      </w:r>
      <w:r w:rsidRPr="002F0A14">
        <w:rPr>
          <w:rFonts w:ascii="Times New Roman" w:hAnsi="Times New Roman" w:cs="Times New Roman"/>
          <w:sz w:val="24"/>
          <w:szCs w:val="24"/>
        </w:rPr>
        <w:t>edad disminuirá en 1.4 veces las probabilidades de un mayor consumo de cannabis. Existen factores de riesgo para</w:t>
      </w:r>
      <w:r w:rsidR="00AF6F56" w:rsidRPr="002F0A14">
        <w:rPr>
          <w:rFonts w:ascii="Times New Roman" w:hAnsi="Times New Roman" w:cs="Times New Roman"/>
          <w:sz w:val="24"/>
          <w:szCs w:val="24"/>
        </w:rPr>
        <w:t xml:space="preserve"> el uso de drogas </w:t>
      </w:r>
      <w:r w:rsidRPr="002F0A14">
        <w:rPr>
          <w:rFonts w:ascii="Times New Roman" w:hAnsi="Times New Roman" w:cs="Times New Roman"/>
          <w:sz w:val="24"/>
          <w:szCs w:val="24"/>
        </w:rPr>
        <w:t xml:space="preserve">como: ser hombre, menor </w:t>
      </w:r>
      <w:r w:rsidR="002069F1" w:rsidRPr="002F0A14">
        <w:rPr>
          <w:rFonts w:ascii="Times New Roman" w:hAnsi="Times New Roman" w:cs="Times New Roman"/>
          <w:sz w:val="24"/>
          <w:szCs w:val="24"/>
        </w:rPr>
        <w:t xml:space="preserve">de </w:t>
      </w:r>
      <w:r w:rsidRPr="002F0A14">
        <w:rPr>
          <w:rFonts w:ascii="Times New Roman" w:hAnsi="Times New Roman" w:cs="Times New Roman"/>
          <w:sz w:val="24"/>
          <w:szCs w:val="24"/>
        </w:rPr>
        <w:t xml:space="preserve">edad adolescentes de padres divorciados </w:t>
      </w:r>
      <w:r w:rsidRPr="002F0A14">
        <w:rPr>
          <w:rFonts w:ascii="Times New Roman" w:hAnsi="Times New Roman" w:cs="Times New Roman"/>
          <w:sz w:val="24"/>
          <w:szCs w:val="24"/>
        </w:rPr>
        <w:fldChar w:fldCharType="begin" w:fldLock="1"/>
      </w:r>
      <w:r w:rsidRPr="002F0A14">
        <w:rPr>
          <w:rFonts w:ascii="Times New Roman" w:hAnsi="Times New Roman" w:cs="Times New Roman"/>
          <w:sz w:val="24"/>
          <w:szCs w:val="24"/>
        </w:rPr>
        <w:instrText>ADDIN CSL_CITATION {"citationItems":[{"id":"ITEM-1","itemData":{"DOI":"10.1186/s13011-018-0163-4","ISSN":"1747-597X","PMID":"29914541","abstract":"Background: An increasingly recognised prevention approach for substance use entails a reduction in risk factors, and the enhancement of promotive, or protective factors in individuals and the environment surrounding them during their growth and development. Methods: This exploratory study evaluated the effect of potential risk and protective factors associated with family management relating to adolescent substance use in South Africa. Exploratory analysis and cumulative odds ordinal logistic regression modelling was performed on the data, while controlling for the influence of demographic and socio-economic characteristics on adolescent substance use. Results: The most frequently used substances were cannabis, followed by other illicit substances and alcohol in decreasing order of use intensity. The specific protective, or risk effect of family management factors, varied according to substance. Risk factors associated with demographic and socio-economic factors included being male, of a younger age, lower education grades, of a coloured ethnicity, adolescents from divorced parents, and unemployed or fully employed mothers. Several family management factors, categorised as parental monitoring, discipline, behavioural control and rewards, demonstrated either risk or protective effects on adolescent substance use. Conclusions: This exploratory study demonstrated that various risk and protective factors associated with family management may affect adolescent substance use. Interaction amongst risk or protective factors, as well as the type of substance, should be considered when further considering interventions based on these risk or protective factors.","author":[{"dropping-particle":"","family":"Muchiri","given":"Beatrice Wamuyu","non-dropping-particle":"","parse-names":false,"suffix":""},{"dropping-particle":"","family":"Santos","given":"Monika M. L.","non-dropping-particle":"dos","parse-names":false,"suffix":""}],"container-title":"Substance Abuse Treatment, Prevention, and Policy","id":"ITEM-1","issue":"1","issued":{"date-parts":[["2018","12","19"]]},"page":"24","publisher":"Substance Abuse Treatment, Prevention, and Policy","title":"Family management risk and protective factors for adolescent substance use in South Africa","type":"article-journal","volume":"13"},"uris":["http://www.mendeley.com/documents/?uuid=dbd89476-454e-4c05-a093-cf07a103298b"]}],"mendeley":{"formattedCitation":"(Muchiri &amp; dos Santos, 2018)","plainTextFormattedCitation":"(Muchiri &amp; dos Santos, 2018)","previouslyFormattedCitation":"(Muchiri &amp; dos Santos, 2018)"},"properties":{"noteIndex":0},"schema":"https://github.com/citation-style-language/schema/raw/master/csl-citation.json"}</w:instrText>
      </w:r>
      <w:r w:rsidRPr="002F0A14">
        <w:rPr>
          <w:rFonts w:ascii="Times New Roman" w:hAnsi="Times New Roman" w:cs="Times New Roman"/>
          <w:sz w:val="24"/>
          <w:szCs w:val="24"/>
        </w:rPr>
        <w:fldChar w:fldCharType="separate"/>
      </w:r>
      <w:r w:rsidRPr="002F0A14">
        <w:rPr>
          <w:rFonts w:ascii="Times New Roman" w:hAnsi="Times New Roman" w:cs="Times New Roman"/>
          <w:noProof/>
          <w:sz w:val="24"/>
          <w:szCs w:val="24"/>
        </w:rPr>
        <w:t>(Muchiri &amp; dos Santos, 2018)</w:t>
      </w:r>
      <w:r w:rsidRPr="002F0A14">
        <w:rPr>
          <w:rFonts w:ascii="Times New Roman" w:hAnsi="Times New Roman" w:cs="Times New Roman"/>
          <w:sz w:val="24"/>
          <w:szCs w:val="24"/>
        </w:rPr>
        <w:fldChar w:fldCharType="end"/>
      </w:r>
      <w:r w:rsidR="00AF6F56" w:rsidRPr="002F0A14">
        <w:rPr>
          <w:rFonts w:ascii="Times New Roman" w:hAnsi="Times New Roman" w:cs="Times New Roman"/>
          <w:sz w:val="24"/>
          <w:szCs w:val="24"/>
        </w:rPr>
        <w:t>.</w:t>
      </w:r>
    </w:p>
    <w:p w:rsidR="002D0F62" w:rsidRPr="002F0A14" w:rsidRDefault="002D0F62" w:rsidP="00D501E8">
      <w:pPr>
        <w:autoSpaceDE w:val="0"/>
        <w:autoSpaceDN w:val="0"/>
        <w:adjustRightInd w:val="0"/>
        <w:spacing w:after="0"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Como es de esperarse, a mayor edad existe mayor riesgo de empezar el consumo de las sustancias objeto de estudio como son: el alcohol, tabaco y otras drogas. Por lo tanto, la edad constituye un factor de riesgo y así mismo un predictor del consumo de alcohol </w:t>
      </w:r>
      <w:r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{"citationItems":[{"id":"ITEM-1","itemData":{"DOI":"10.1016/j.semerg.2019.06.001","ISSN":"11383593","abstract":"Objective: To determine the patterns of drug use in an adolescent population and to analyse the role of personal and social protective factors in alcohol consumption. Material and methods: A descriptive cross-sectional study was carried out in five secondary schools in the city of Cuenca (Spain) in the period 2015-2016. The groups were randomly selected (3 rd - 4 th GCSE and 1 st - 2 nd GCE), with a total of 844 students giving their consent. A self-administered questionnaire was used, which included sociodemographic variables, consumption data, CD-RISC 10 scale to evaluate resilience, and KIDSCREEN-52 questionnaire to measure individual and social aspects associated with health-related quality of life in adolescents. Descriptive bivariate and multivariate analyses were performed. Results: Just over half (55.7%) of the pupils selected were girls, and the mean age was 16.3 ± 1.01 years. The pupils began consumption when they became 13-14 years old. The percentages of habitual consumption were 70.9% for alcohol, 26.4% for tobacco, and 14.2% for cannabis. Multiple drug use was also found in 35%. The regression model for alcohol showed that non-consumers showed better values in emotional moods, self-perception, relationships with their parents, and their school environment. Conclusions: Adolescents start using drugs, especially cannabis, at an earlier age. Availability and the perception of low-risk make alcohol the most widespread drug. Actions aimed at fostering emotional well-being and family support provides security for adolescents, as well as the resources that help them overcome the pressures of the group.","author":[{"dropping-particle":"","family":"Simón","given":"M.J.","non-dropping-particle":"","parse-names":false,"suffix":""},{"dropping-particle":"","family":"Fuentes","given":"R.M.","non-dropping-particle":"","parse-names":false,"suffix":""},{"dropping-particle":"","family":"Garrido","given":"M.","non-dropping-particle":"","parse-names":false,"suffix":""},{"dropping-particle":"","family":"Serrano","given":"M.D.","non-dropping-particle":"","parse-names":false,"suffix":""},{"dropping-particle":"","family":"Díaz","given":"M.J.","non-dropping-particle":"","parse-names":false,"suffix":""},{"dropping-particle":"","family":"Yubero","given":"S.","non-dropping-particle":"","parse-names":false,"suffix":""}],"container-title":"Medicina de Familia. SEMERGEN","id":"ITEM-1","issue":"1","issued":{"date-parts":[["2020","1"]]},"page":"33-40","publisher":"Asociación Española de Pediatría","title":"Perfil de consumo de drogas en adolescentes. Factores protectores","type":"article-journal","volume":"46"},"uris":["http://www.mendeley.com/documents/?uuid=067f205e-b80c-4612-a761-b9a8e744aeee"]},{"id":"ITEM-2","itemData":{"DOI":"10.15446/rsap.v19n1.41785","ISSN":"01240064","abstract":"Objective To determine household risk factors that have an impact on the use of psychoactive substances (SPA, by its acronym in Spanish) by students of the technical educational institution San Luis Gonzaga in Chicoral, Tolima (Colombia). Methodology This is a quantitative, descriptive and cross-sectional study. Data were collected by applying the International survey for middle school students - standardized questionnaire, 2009, Argentinian version. The processing of the information was done through the statistical data base package SPSS version 19. Results The most common psychoactive substances consumed by students are alcohol, cigarettes, marijuana, stimulants, energizing pills or drinks, tranquilizers and others. The list of legal substances is led by alcohol, followed by cigarettes, while the most used illegal substance is marijuana. The age of initiation ranges between 8 and 13, with the highest prevalence between 15 and 17. There are no significant differences between males and females. The family, friends and school environments are the most common places for SPA consumption. Conclusions The family plays an important role in the teenager’s life and in the prevention against the use of SPA, by playing an active role in the knowledge of children’s activities, the places they frequent and their friends, in order to establish control mechanism to build a strong relationship.","author":[{"dropping-particle":"","family":"Aguirre-Guiza","given":"Norma C.","non-dropping-particle":"","parse-names":false,"suffix":""},{"dropping-particle":"","family":"Aldana-Pinzón","given":"Olga B.","non-dropping-particle":"","parse-names":false,"suffix":""},{"dropping-particle":"","family":"Bonilla-Ibáñez","given":"Claudia P.","non-dropping-particle":"","parse-names":false,"suffix":""}],"container-title":"Revista de Salud Publica","id":"ITEM-2","issue":"1","issued":{"date-parts":[["2017"]]},"page":"3-9","title":"Factores familiares de riesgo de consumo de sustancias psicoactivas en estudiantes de una institución de educación media técnica de Colombia","type":"article-journal","volume":"19"},"uris":["http://www.mendeley.com/documents/?uuid=4d12dd95-8dee-4f1b-9ced-19ad7a194841"]}],"mendeley":{"formattedCitation":"(Aguirre-Guiza et al., 2017; Simón et al., 2020)","manualFormatting":"(Aguirre et al., 2017; Simón et al., 2020)","plainTextFormattedCitation":"(Aguirre-Guiza et al., 2017; Simón et al., 2020)","previouslyFormattedCitation":"(Aguirre-Guiza et al., 2017; Simón et al., 2020)"},"properties":{"noteIndex":0},"schema":"https://github.com/citation-style-language/schema/raw/master/csl-citation.json"}</w:instrText>
      </w:r>
      <w:r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(Aguirre</w:t>
      </w:r>
      <w:r w:rsidR="007A1C38" w:rsidRPr="002F0A14">
        <w:rPr>
          <w:rFonts w:ascii="Times New Roman" w:hAnsi="Times New Roman" w:cs="Times New Roman"/>
          <w:noProof/>
          <w:sz w:val="24"/>
          <w:szCs w:val="24"/>
        </w:rPr>
        <w:t xml:space="preserve"> et al., 2017; Simón et al., 2020)</w:t>
      </w:r>
      <w:r w:rsidRPr="002F0A14">
        <w:rPr>
          <w:rFonts w:ascii="Times New Roman" w:hAnsi="Times New Roman" w:cs="Times New Roman"/>
          <w:sz w:val="24"/>
          <w:szCs w:val="24"/>
        </w:rPr>
        <w:fldChar w:fldCharType="end"/>
      </w:r>
      <w:r w:rsidR="007A1C38" w:rsidRPr="002F0A14">
        <w:rPr>
          <w:rFonts w:ascii="Times New Roman" w:hAnsi="Times New Roman" w:cs="Times New Roman"/>
          <w:sz w:val="24"/>
          <w:szCs w:val="24"/>
        </w:rPr>
        <w:t xml:space="preserve">. </w:t>
      </w:r>
      <w:r w:rsidR="00AF6F56" w:rsidRPr="002F0A14">
        <w:rPr>
          <w:rFonts w:ascii="Times New Roman" w:hAnsi="Times New Roman" w:cs="Times New Roman"/>
          <w:sz w:val="24"/>
          <w:szCs w:val="24"/>
        </w:rPr>
        <w:t xml:space="preserve">En contraparte la investigación realizada por </w:t>
      </w:r>
      <w:r w:rsidR="00AF6F56"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{"citationItems":[{"id":"ITEM-1","itemData":{"DOI":"10.1186/s13011-018-0163-4","ISSN":"1747-597X","PMID":"29914541","abstract":"Background: An increasingly recognised prevention approach for substance use entails a reduction in risk factors, and the enhancement of promotive, or protective factors in individuals and the environment surrounding them during their growth and development. Methods: This exploratory study evaluated the effect of potential risk and protective factors associated with family management relating to adolescent substance use in South Africa. Exploratory analysis and cumulative odds ordinal logistic regression modelling was performed on the data, while controlling for the influence of demographic and socio-economic characteristics on adolescent substance use. Results: The most frequently used substances were cannabis, followed by other illicit substances and alcohol in decreasing order of use intensity. The specific protective, or risk effect of family management factors, varied according to substance. Risk factors associated with demographic and socio-economic factors included being male, of a younger age, lower education grades, of a coloured ethnicity, adolescents from divorced parents, and unemployed or fully employed mothers. Several family management factors, categorised as parental monitoring, discipline, behavioural control and rewards, demonstrated either risk or protective effects on adolescent substance use. Conclusions: This exploratory study demonstrated that various risk and protective factors associated with family management may affect adolescent substance use. Interaction amongst risk or protective factors, as well as the type of substance, should be considered when further considering interventions based on these risk or protective factors.","author":[{"dropping-particle":"","family":"Muchiri","given":"Beatrice Wamuyu","non-dropping-particle":"","parse-names":false,"suffix":""},{"dropping-particle":"","family":"Santos","given":"Monika M. L.","non-dropping-particle":"dos","parse-names":false,"suffix":""}],"container-title":"Substance Abuse Treatment, Prevention, and Policy","id":"ITEM-1","issue":"1","issued":{"date-parts":[["2018","12","19"]]},"page":"24","publisher":"Substance Abuse Treatment, Prevention, and Policy","title":"Family management risk and protective factors for adolescent substance use in South Africa","type":"article-journal","volume":"13"},"uris":["http://www.mendeley.com/documents/?uuid=dbd89476-454e-4c05-a093-cf07a103298b"]}],"mendeley":{"formattedCitation":"(Muchiri &amp; dos Santos, 2018)","manualFormatting":"Muchiri y dos Santos (2018)","plainTextFormattedCitation":"(Muchiri &amp; dos Santos, 2018)","previouslyFormattedCitation":"(Muchiri &amp; dos Santos, 2018)"},"properties":{"noteIndex":0},"schema":"https://github.com/citation-style-language/schema/raw/master/csl-citation.json"}</w:instrText>
      </w:r>
      <w:r w:rsidR="00AF6F56" w:rsidRPr="002F0A14">
        <w:rPr>
          <w:rFonts w:ascii="Times New Roman" w:hAnsi="Times New Roman" w:cs="Times New Roman"/>
          <w:sz w:val="24"/>
          <w:szCs w:val="24"/>
        </w:rPr>
        <w:fldChar w:fldCharType="separate"/>
      </w:r>
      <w:r w:rsidR="00AF6F56" w:rsidRPr="002F0A14">
        <w:rPr>
          <w:rFonts w:ascii="Times New Roman" w:hAnsi="Times New Roman" w:cs="Times New Roman"/>
          <w:noProof/>
          <w:sz w:val="24"/>
          <w:szCs w:val="24"/>
        </w:rPr>
        <w:t xml:space="preserve">Muchiri </w:t>
      </w:r>
      <w:r w:rsidR="00EC278A" w:rsidRPr="002F0A14">
        <w:rPr>
          <w:rFonts w:ascii="Times New Roman" w:hAnsi="Times New Roman" w:cs="Times New Roman"/>
          <w:noProof/>
          <w:sz w:val="24"/>
          <w:szCs w:val="24"/>
        </w:rPr>
        <w:t>y</w:t>
      </w:r>
      <w:r w:rsidR="003F7E7F" w:rsidRPr="002F0A14">
        <w:rPr>
          <w:rFonts w:ascii="Times New Roman" w:hAnsi="Times New Roman" w:cs="Times New Roman"/>
          <w:noProof/>
          <w:sz w:val="24"/>
          <w:szCs w:val="24"/>
        </w:rPr>
        <w:t xml:space="preserve"> dos Santos</w:t>
      </w:r>
      <w:r w:rsidR="00AF6F56" w:rsidRPr="002F0A14">
        <w:rPr>
          <w:rFonts w:ascii="Times New Roman" w:hAnsi="Times New Roman" w:cs="Times New Roman"/>
          <w:noProof/>
          <w:sz w:val="24"/>
          <w:szCs w:val="24"/>
        </w:rPr>
        <w:t xml:space="preserve"> (2018)</w:t>
      </w:r>
      <w:r w:rsidR="00AF6F56" w:rsidRPr="002F0A14">
        <w:rPr>
          <w:rFonts w:ascii="Times New Roman" w:hAnsi="Times New Roman" w:cs="Times New Roman"/>
          <w:sz w:val="24"/>
          <w:szCs w:val="24"/>
        </w:rPr>
        <w:fldChar w:fldCharType="end"/>
      </w:r>
      <w:r w:rsidR="00AF6F56" w:rsidRPr="002F0A14">
        <w:rPr>
          <w:rFonts w:ascii="Times New Roman" w:hAnsi="Times New Roman" w:cs="Times New Roman"/>
          <w:sz w:val="24"/>
          <w:szCs w:val="24"/>
        </w:rPr>
        <w:t xml:space="preserve"> identificó como factor de riesgo para el uso de drogas como: ser hombre, ser menor de edad y tener padres divorciados. </w:t>
      </w:r>
      <w:r w:rsidR="007A1C38" w:rsidRPr="002F0A14">
        <w:rPr>
          <w:rFonts w:ascii="Times New Roman" w:hAnsi="Times New Roman" w:cs="Times New Roman"/>
          <w:sz w:val="24"/>
          <w:szCs w:val="24"/>
        </w:rPr>
        <w:t xml:space="preserve">Y no solo se debe tener en cuenta el funcionamiento familiar como factor de riesgo para el consumo de sustancias psicotrópicas sino también la estructura, familiares con antecedentes de consumo </w:t>
      </w:r>
      <w:r w:rsidR="007A1C38" w:rsidRPr="002F0A14">
        <w:rPr>
          <w:rFonts w:ascii="Times New Roman" w:hAnsi="Times New Roman" w:cs="Times New Roman"/>
          <w:sz w:val="24"/>
          <w:szCs w:val="24"/>
        </w:rPr>
        <w:fldChar w:fldCharType="begin" w:fldLock="1"/>
      </w:r>
      <w:r w:rsidR="001F024D" w:rsidRPr="002F0A14">
        <w:rPr>
          <w:rFonts w:ascii="Times New Roman" w:hAnsi="Times New Roman" w:cs="Times New Roman"/>
          <w:sz w:val="24"/>
          <w:szCs w:val="24"/>
        </w:rPr>
        <w:instrText>ADDIN CSL_CITATION {"citationItems":[{"id":"ITEM-1","itemData":{"ISBN":"2891220110","abstract":"Objetivo: Establecer la relación entre factores demográficos, escolares, familiares y sociales, y el inicio de consumo de drogas ilegales en escolares peruanos. Métodos: Se realizó un análisis secundario de la III Encuesta Nacional sobre prevención y consumo de drogas en escolares de zonas urbanas del Perú (DEVIDA 2009). Se analizaron 54 675 registros ya que solo se tomó en cuenta estudiantes que no consumieron o que iniciaron el consumo de drogas ilegales (marihuana, pasta básica de cocaína, cocaína y éxtasis) en el último año. Se analizaron factores demográficos, escolares, sociales y familiares. Se estimó como medida de asociación la odds ratio ajustada mediante modelo de regresión logística (IC 95%). Resultados: Existen diversos factores que aumentan la probabilidad para el inicio de consumo de drogas ilegales en los adolescentes. Entre ellos, están los factores demográficos, escolares, familiares y sociales. Adicionalmente, antecedentes de consumo de drogas, violencia intrafamiliar familiar, percepción de vulnerabilidad social y facilidad para adquirir drogas ilegales también incrementan la probabilidad de consumo. Conclusión: Se hallaron las relaciones esperadas entre los determinantes de riesgo con el inicio de consumo de drogas ilegales. Las relaciones halladas con facilidad para conseguir drogas ilegales, antecedentes de consumo de drogas, violencia e historia delictiva familiar con inicio de consumo de drogas son acorde con las investigaciones. De acuerdo a los resultados, el entorno social y familiar juega un rol importante en el consumo de drogas ilegales. En ese sentido, sería importante diseñar políticas públicas que puntualicen la promoción de vecindarios y entornos familiares saludables.","author":[{"dropping-particle":"","family":"Saravia","given":"Juan Carlos","non-dropping-particle":"","parse-names":false,"suffix":""},{"dropping-particle":"","family":"Gutiérrez","given":"César","non-dropping-particle":"","parse-names":false,"suffix":""},{"dropping-particle":"","family":"Frech","given":"Hans","non-dropping-particle":"","parse-names":false,"suffix":""}],"container-title":"Revista Peruana de Epidemiología","id":"ITEM-1","issue":"1","issued":{"date-parts":[["2014"]]},"page":"1-7","title":"Factores asociados al inicio de consumo de drogas ilícitas en adolescentes de educación secundaria","type":"article-journal","volume":"18"},"uris":["http://www.mendeley.com/documents/?uuid=4741a575-2690-4aac-b3d3-d9521055e101"]}],"mendeley":{"formattedCitation":"(Saravia et al., 2014)","plainTextFormattedCitation":"(Saravia et al., 2014)","previouslyFormattedCitation":"(Saravia et al., 2014)"},"properties":{"noteIndex":0},"schema":"https://github.com/citation-style-language/schema/raw/master/csl-citation.json"}</w:instrText>
      </w:r>
      <w:r w:rsidR="007A1C38" w:rsidRPr="002F0A14">
        <w:rPr>
          <w:rFonts w:ascii="Times New Roman" w:hAnsi="Times New Roman" w:cs="Times New Roman"/>
          <w:sz w:val="24"/>
          <w:szCs w:val="24"/>
        </w:rPr>
        <w:fldChar w:fldCharType="separate"/>
      </w:r>
      <w:r w:rsidR="001F024D" w:rsidRPr="002F0A14">
        <w:rPr>
          <w:rFonts w:ascii="Times New Roman" w:hAnsi="Times New Roman" w:cs="Times New Roman"/>
          <w:noProof/>
          <w:sz w:val="24"/>
          <w:szCs w:val="24"/>
        </w:rPr>
        <w:t>(Saravia et al., 2014)</w:t>
      </w:r>
      <w:r w:rsidR="007A1C38" w:rsidRPr="002F0A14">
        <w:rPr>
          <w:rFonts w:ascii="Times New Roman" w:hAnsi="Times New Roman" w:cs="Times New Roman"/>
          <w:sz w:val="24"/>
          <w:szCs w:val="24"/>
        </w:rPr>
        <w:fldChar w:fldCharType="end"/>
      </w:r>
      <w:r w:rsidR="007A1C38" w:rsidRPr="002F0A14">
        <w:rPr>
          <w:rFonts w:ascii="Times New Roman" w:hAnsi="Times New Roman" w:cs="Times New Roman"/>
          <w:sz w:val="24"/>
          <w:szCs w:val="24"/>
        </w:rPr>
        <w:t xml:space="preserve">, amigos y familiares </w:t>
      </w:r>
      <w:r w:rsidR="007A1C38" w:rsidRPr="002F0A14">
        <w:rPr>
          <w:rFonts w:ascii="Times New Roman" w:hAnsi="Times New Roman" w:cs="Times New Roman"/>
          <w:sz w:val="24"/>
          <w:szCs w:val="24"/>
        </w:rPr>
        <w:lastRenderedPageBreak/>
        <w:t xml:space="preserve">consumidores activos de sustancia psicotrópicas </w:t>
      </w:r>
      <w:r w:rsidR="007A1C38" w:rsidRPr="002F0A14">
        <w:rPr>
          <w:rFonts w:ascii="Times New Roman" w:hAnsi="Times New Roman" w:cs="Times New Roman"/>
          <w:sz w:val="24"/>
          <w:szCs w:val="24"/>
        </w:rPr>
        <w:fldChar w:fldCharType="begin" w:fldLock="1"/>
      </w:r>
      <w:r w:rsidR="00D36AC5" w:rsidRPr="002F0A14">
        <w:rPr>
          <w:rFonts w:ascii="Times New Roman" w:hAnsi="Times New Roman" w:cs="Times New Roman"/>
          <w:sz w:val="24"/>
          <w:szCs w:val="24"/>
        </w:rPr>
        <w:instrText>ADDIN CSL_CITATION {"citationItems":[{"id":"ITEM-1","itemData":{"ISSN":"01200534","abstract":"The study searches for the drug use and the associated factors, in the school population of Guatemala City. A questionnaire was constructed and it was evaluated with four pilot studies. The questionnaire was administrated to a sample of 400 students of three socioeconomic classes, in a range of 11 to 18 years. The data was processed with the EPI-INFO, a statistical program; it was used the Chi-Squared, the Fisher proof and the Odd Ratio, an association measure for the risk estimation. It was founded that in the last 30 days, 12% of the adolescents smoked cigarettes; 21.5% drunk alcoholic beverages; 1.6% smoked marijuana; 0.5% used inhalants, 3.2% take tranquilizer pills; 0.5% used cocaine and 0,3% used heroine. It was indicated as a risk group the male of high or medium class of the east and west region of the city and all adolescents that have neighbors, friends or relatives that use drugs.","author":[{"dropping-particle":"","family":"Ortiz","given":"Julieta","non-dropping-particle":"","parse-names":false,"suffix":""}],"container-title":"Revista Latinoamericana de Psicología","id":"ITEM-1","issue":"2","issued":{"date-parts":[["1996"]]},"page":"367-392","title":"Uso de drogas en adolescentes guatemaltecos: Factores de riesgo","type":"article-journal","volume":"28"},"uris":["http://www.mendeley.com/documents/?uuid=1e0f032e-2708-4d27-b6fe-b85dbc71a214"]}],"mendeley":{"formattedCitation":"(Ortiz, 1996)","plainTextFormattedCitation":"(Ortiz, 1996)","previouslyFormattedCitation":"(Ortiz, 1996)"},"properties":{"noteIndex":0},"schema":"https://github.com/citation-style-language/schema/raw/master/csl-citation.json"}</w:instrText>
      </w:r>
      <w:r w:rsidR="007A1C38" w:rsidRPr="002F0A14">
        <w:rPr>
          <w:rFonts w:ascii="Times New Roman" w:hAnsi="Times New Roman" w:cs="Times New Roman"/>
          <w:sz w:val="24"/>
          <w:szCs w:val="24"/>
        </w:rPr>
        <w:fldChar w:fldCharType="separate"/>
      </w:r>
      <w:r w:rsidR="007A1C38" w:rsidRPr="002F0A14">
        <w:rPr>
          <w:rFonts w:ascii="Times New Roman" w:hAnsi="Times New Roman" w:cs="Times New Roman"/>
          <w:noProof/>
          <w:sz w:val="24"/>
          <w:szCs w:val="24"/>
        </w:rPr>
        <w:t>(Ortiz, 1996)</w:t>
      </w:r>
      <w:r w:rsidR="007A1C38" w:rsidRPr="002F0A14">
        <w:rPr>
          <w:rFonts w:ascii="Times New Roman" w:hAnsi="Times New Roman" w:cs="Times New Roman"/>
          <w:sz w:val="24"/>
          <w:szCs w:val="24"/>
        </w:rPr>
        <w:fldChar w:fldCharType="end"/>
      </w:r>
      <w:r w:rsidR="007A1C38" w:rsidRPr="002F0A14">
        <w:rPr>
          <w:rFonts w:ascii="Times New Roman" w:hAnsi="Times New Roman" w:cs="Times New Roman"/>
          <w:sz w:val="24"/>
          <w:szCs w:val="24"/>
        </w:rPr>
        <w:t>.</w:t>
      </w:r>
      <w:r w:rsidR="002069F1" w:rsidRPr="002F0A14">
        <w:rPr>
          <w:rFonts w:ascii="Times New Roman" w:hAnsi="Times New Roman" w:cs="Times New Roman"/>
          <w:sz w:val="24"/>
          <w:szCs w:val="24"/>
        </w:rPr>
        <w:t xml:space="preserve"> Por ello, los resultados de este estudio permiten identificar elementos que pueden servir para la elaboración de programas preventivos como son la mejora de la función familiar, la edad de inicio y el género con la finalidad de mejorar las relaciones dentro del núcleo y así mismo permitir la disminución del riesgo del consumo de sustancias y retrasar el inicio del consumo.</w:t>
      </w:r>
    </w:p>
    <w:p w:rsidR="007A2281" w:rsidRPr="002F0A14" w:rsidRDefault="007A2281" w:rsidP="00D501E8">
      <w:pPr>
        <w:spacing w:line="360" w:lineRule="auto"/>
        <w:jc w:val="both"/>
        <w:rPr>
          <w:rFonts w:ascii="Times New Roman" w:hAnsi="Times New Roman" w:cs="Times New Roman"/>
          <w:sz w:val="24"/>
          <w:szCs w:val="24"/>
        </w:rPr>
      </w:pPr>
      <w:r w:rsidRPr="002F0A14">
        <w:rPr>
          <w:rFonts w:ascii="Times New Roman" w:hAnsi="Times New Roman" w:cs="Times New Roman"/>
          <w:b/>
          <w:sz w:val="24"/>
          <w:szCs w:val="24"/>
        </w:rPr>
        <w:t>Conclusiones</w:t>
      </w:r>
      <w:r w:rsidRPr="002F0A14">
        <w:rPr>
          <w:rFonts w:ascii="Times New Roman" w:hAnsi="Times New Roman" w:cs="Times New Roman"/>
          <w:sz w:val="24"/>
          <w:szCs w:val="24"/>
        </w:rPr>
        <w:t xml:space="preserve"> </w:t>
      </w:r>
    </w:p>
    <w:p w:rsidR="00435DFC" w:rsidRPr="002F0A14" w:rsidRDefault="002069F1" w:rsidP="00D501E8">
      <w:pPr>
        <w:spacing w:line="360" w:lineRule="auto"/>
        <w:jc w:val="both"/>
        <w:rPr>
          <w:rFonts w:ascii="Times New Roman" w:hAnsi="Times New Roman" w:cs="Times New Roman"/>
          <w:sz w:val="24"/>
          <w:szCs w:val="24"/>
        </w:rPr>
      </w:pPr>
      <w:r w:rsidRPr="002F0A14">
        <w:rPr>
          <w:rFonts w:ascii="Times New Roman" w:hAnsi="Times New Roman" w:cs="Times New Roman"/>
          <w:sz w:val="24"/>
          <w:szCs w:val="24"/>
        </w:rPr>
        <w:t xml:space="preserve">La satisfacción de la función familiar está directamente relacionada con el nivel de riego del consumo de alcohol, tabaco y otras drogas. A medida que disminuye la percepción de la función familiar aumenta el </w:t>
      </w:r>
      <w:r w:rsidR="00435DFC" w:rsidRPr="002F0A14">
        <w:rPr>
          <w:rFonts w:ascii="Times New Roman" w:hAnsi="Times New Roman" w:cs="Times New Roman"/>
          <w:sz w:val="24"/>
          <w:szCs w:val="24"/>
        </w:rPr>
        <w:t xml:space="preserve">nivel de riesgo en el consumo. </w:t>
      </w:r>
      <w:r w:rsidRPr="002F0A14">
        <w:rPr>
          <w:rFonts w:ascii="Times New Roman" w:hAnsi="Times New Roman" w:cs="Times New Roman"/>
          <w:sz w:val="24"/>
          <w:szCs w:val="24"/>
        </w:rPr>
        <w:t>Un adolescente tiene posibilidades de 2,45 veces más alta de consumir “otras drogas” cuando tiene una baja satisfacción respecto a los adolescentes que tienen una alta satis</w:t>
      </w:r>
      <w:r w:rsidR="00435DFC" w:rsidRPr="002F0A14">
        <w:rPr>
          <w:rFonts w:ascii="Times New Roman" w:hAnsi="Times New Roman" w:cs="Times New Roman"/>
          <w:sz w:val="24"/>
          <w:szCs w:val="24"/>
        </w:rPr>
        <w:t>facción de la función familiar.</w:t>
      </w:r>
    </w:p>
    <w:p w:rsidR="007A2281" w:rsidRPr="002F0A14" w:rsidRDefault="003F7E7F" w:rsidP="00D501E8">
      <w:pPr>
        <w:spacing w:line="360" w:lineRule="auto"/>
        <w:rPr>
          <w:rFonts w:ascii="Times New Roman" w:hAnsi="Times New Roman" w:cs="Times New Roman"/>
          <w:b/>
          <w:sz w:val="24"/>
          <w:szCs w:val="24"/>
        </w:rPr>
      </w:pPr>
      <w:r w:rsidRPr="002F0A14">
        <w:rPr>
          <w:rFonts w:ascii="Times New Roman" w:hAnsi="Times New Roman" w:cs="Times New Roman"/>
          <w:b/>
          <w:sz w:val="24"/>
          <w:szCs w:val="24"/>
        </w:rPr>
        <w:t>Referencias bibliográficas</w:t>
      </w:r>
    </w:p>
    <w:p w:rsidR="008C28CF" w:rsidRPr="002F0A14" w:rsidRDefault="007A2281"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sz w:val="24"/>
          <w:szCs w:val="24"/>
        </w:rPr>
        <w:fldChar w:fldCharType="begin" w:fldLock="1"/>
      </w:r>
      <w:r w:rsidRPr="002F0A14">
        <w:rPr>
          <w:rFonts w:ascii="Times New Roman" w:hAnsi="Times New Roman" w:cs="Times New Roman"/>
          <w:sz w:val="24"/>
          <w:szCs w:val="24"/>
        </w:rPr>
        <w:instrText xml:space="preserve">ADDIN Mendeley Bibliography CSL_BIBLIOGRAPHY </w:instrText>
      </w:r>
      <w:r w:rsidRPr="002F0A14">
        <w:rPr>
          <w:rFonts w:ascii="Times New Roman" w:hAnsi="Times New Roman" w:cs="Times New Roman"/>
          <w:sz w:val="24"/>
          <w:szCs w:val="24"/>
        </w:rPr>
        <w:fldChar w:fldCharType="separate"/>
      </w:r>
      <w:r w:rsidR="008C28CF" w:rsidRPr="002F0A14">
        <w:rPr>
          <w:rFonts w:ascii="Times New Roman" w:hAnsi="Times New Roman" w:cs="Times New Roman"/>
          <w:noProof/>
          <w:sz w:val="24"/>
          <w:szCs w:val="24"/>
        </w:rPr>
        <w:t xml:space="preserve">Aguirre-Guiza, N. C., Aldana-Pinzón, O. B., &amp; Bonilla-Ibáñez, C. P. (2017). Factores familiares de riesgo de consumo de sustancias psicoactivas en estudiantes de una institución de educación media técnica de Colombia. </w:t>
      </w:r>
      <w:r w:rsidR="008C28CF" w:rsidRPr="002F0A14">
        <w:rPr>
          <w:rFonts w:ascii="Times New Roman" w:hAnsi="Times New Roman" w:cs="Times New Roman"/>
          <w:i/>
          <w:iCs/>
          <w:noProof/>
          <w:sz w:val="24"/>
          <w:szCs w:val="24"/>
        </w:rPr>
        <w:t>Revista de Salud Publica</w:t>
      </w:r>
      <w:r w:rsidR="008C28CF" w:rsidRPr="002F0A14">
        <w:rPr>
          <w:rFonts w:ascii="Times New Roman" w:hAnsi="Times New Roman" w:cs="Times New Roman"/>
          <w:noProof/>
          <w:sz w:val="24"/>
          <w:szCs w:val="24"/>
        </w:rPr>
        <w:t xml:space="preserve">, </w:t>
      </w:r>
      <w:r w:rsidR="008C28CF" w:rsidRPr="002F0A14">
        <w:rPr>
          <w:rFonts w:ascii="Times New Roman" w:hAnsi="Times New Roman" w:cs="Times New Roman"/>
          <w:i/>
          <w:iCs/>
          <w:noProof/>
          <w:sz w:val="24"/>
          <w:szCs w:val="24"/>
        </w:rPr>
        <w:t>19</w:t>
      </w:r>
      <w:r w:rsidR="008C28CF" w:rsidRPr="002F0A14">
        <w:rPr>
          <w:rFonts w:ascii="Times New Roman" w:hAnsi="Times New Roman" w:cs="Times New Roman"/>
          <w:noProof/>
          <w:sz w:val="24"/>
          <w:szCs w:val="24"/>
        </w:rPr>
        <w:t>(1), 3–9. https://doi.org/10.15446/rsap.v19n1.41785</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Alonso-Castillo, M. M., Yañez-Lozano, Á., &amp; Armendáriz-García, N. A. (2017). Funcionalidad familiar y consumo de alcohol en adolescentes de secundaria. </w:t>
      </w:r>
      <w:r w:rsidRPr="002F0A14">
        <w:rPr>
          <w:rFonts w:ascii="Times New Roman" w:hAnsi="Times New Roman" w:cs="Times New Roman"/>
          <w:i/>
          <w:iCs/>
          <w:noProof/>
          <w:sz w:val="24"/>
          <w:szCs w:val="24"/>
          <w:lang w:val="en-US"/>
        </w:rPr>
        <w:t>Health and Addictions/Salud y Drogas</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17</w:t>
      </w:r>
      <w:r w:rsidRPr="002F0A14">
        <w:rPr>
          <w:rFonts w:ascii="Times New Roman" w:hAnsi="Times New Roman" w:cs="Times New Roman"/>
          <w:noProof/>
          <w:sz w:val="24"/>
          <w:szCs w:val="24"/>
          <w:lang w:val="en-US"/>
        </w:rPr>
        <w:t>(1), 87–96.</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lang w:val="en-US"/>
        </w:rPr>
        <w:t xml:space="preserve">Barragán. M, A. B., Martínez, Á. M., Simón. </w:t>
      </w:r>
      <w:r w:rsidRPr="002F0A14">
        <w:rPr>
          <w:rFonts w:ascii="Times New Roman" w:hAnsi="Times New Roman" w:cs="Times New Roman"/>
          <w:noProof/>
          <w:sz w:val="24"/>
          <w:szCs w:val="24"/>
        </w:rPr>
        <w:t xml:space="preserve">M, M. del M., Pérez-Fuentes, M. del C., Molero. J, M. del M., &amp; Gázquez. L, J. J. (2016). Consumo de tabaco y alcohol en adolescentes y relación con la familia. </w:t>
      </w:r>
      <w:r w:rsidRPr="002F0A14">
        <w:rPr>
          <w:rFonts w:ascii="Times New Roman" w:hAnsi="Times New Roman" w:cs="Times New Roman"/>
          <w:i/>
          <w:iCs/>
          <w:noProof/>
          <w:sz w:val="24"/>
          <w:szCs w:val="24"/>
          <w:lang w:val="en-US"/>
        </w:rPr>
        <w:t>European Journal of Child Development, Education and Psychopathology</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4</w:t>
      </w:r>
      <w:r w:rsidRPr="002F0A14">
        <w:rPr>
          <w:rFonts w:ascii="Times New Roman" w:hAnsi="Times New Roman" w:cs="Times New Roman"/>
          <w:noProof/>
          <w:sz w:val="24"/>
          <w:szCs w:val="24"/>
          <w:lang w:val="en-US"/>
        </w:rPr>
        <w:t>(1), 49–61. https://doi.org/10.1989/ejpad.v4i1.34</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Bellón, J. A., Luna del Castillo, J. D., Lardelli, P., Delgado, J., Luna, J. D., &amp; Lardelli-Claret, P. (1996). Validez y fiabilidad del cuestionario de función familiar Apgar-Familiar. </w:t>
      </w:r>
      <w:r w:rsidRPr="002F0A14">
        <w:rPr>
          <w:rFonts w:ascii="Times New Roman" w:hAnsi="Times New Roman" w:cs="Times New Roman"/>
          <w:i/>
          <w:iCs/>
          <w:noProof/>
          <w:sz w:val="24"/>
          <w:szCs w:val="24"/>
        </w:rPr>
        <w:t>Atención Primaria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18</w:t>
      </w:r>
      <w:r w:rsidRPr="002F0A14">
        <w:rPr>
          <w:rFonts w:ascii="Times New Roman" w:hAnsi="Times New Roman" w:cs="Times New Roman"/>
          <w:noProof/>
          <w:sz w:val="24"/>
          <w:szCs w:val="24"/>
        </w:rPr>
        <w:t>(6), 289–296.</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Castilla, H., Caycho, T., Shimabukuro, M., &amp; Valdivia, A. (2014). Percepción del funcionamiento familiar: Análisis psicométrico de la Escala APGAR-familiar en adolescentes de Lima. </w:t>
      </w:r>
      <w:r w:rsidRPr="002F0A14">
        <w:rPr>
          <w:rFonts w:ascii="Times New Roman" w:hAnsi="Times New Roman" w:cs="Times New Roman"/>
          <w:i/>
          <w:iCs/>
          <w:noProof/>
          <w:sz w:val="24"/>
          <w:szCs w:val="24"/>
        </w:rPr>
        <w:t>Propósitos y Representaciones</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2</w:t>
      </w:r>
      <w:r w:rsidRPr="002F0A14">
        <w:rPr>
          <w:rFonts w:ascii="Times New Roman" w:hAnsi="Times New Roman" w:cs="Times New Roman"/>
          <w:noProof/>
          <w:sz w:val="24"/>
          <w:szCs w:val="24"/>
        </w:rPr>
        <w:t>(1), 49–78.</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Cruz-Ramírez, V., Gómez-Restrepo, C., &amp; Rincón, C. J. (2018). Salud mental y consumo de sustancias psicoactivas en adolescentes colombianos. </w:t>
      </w:r>
      <w:r w:rsidRPr="002F0A14">
        <w:rPr>
          <w:rFonts w:ascii="Times New Roman" w:hAnsi="Times New Roman" w:cs="Times New Roman"/>
          <w:i/>
          <w:iCs/>
          <w:noProof/>
          <w:sz w:val="24"/>
          <w:szCs w:val="24"/>
          <w:lang w:val="en-US"/>
        </w:rPr>
        <w:t xml:space="preserve">Health and Addictions / Salud y </w:t>
      </w:r>
      <w:r w:rsidRPr="002F0A14">
        <w:rPr>
          <w:rFonts w:ascii="Times New Roman" w:hAnsi="Times New Roman" w:cs="Times New Roman"/>
          <w:i/>
          <w:iCs/>
          <w:noProof/>
          <w:sz w:val="24"/>
          <w:szCs w:val="24"/>
          <w:lang w:val="en-US"/>
        </w:rPr>
        <w:lastRenderedPageBreak/>
        <w:t>Drogas</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18</w:t>
      </w:r>
      <w:r w:rsidRPr="002F0A14">
        <w:rPr>
          <w:rFonts w:ascii="Times New Roman" w:hAnsi="Times New Roman" w:cs="Times New Roman"/>
          <w:noProof/>
          <w:sz w:val="24"/>
          <w:szCs w:val="24"/>
          <w:lang w:val="en-US"/>
        </w:rPr>
        <w:t>(1), 97–106. https://doi.org/10.21134/haaj.v18i1.363</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Ferrel, F., Ferrel, L., Alarcón, A., &amp; Delgado, K. (2016). El consumo de sustancias psicoactivas como indicador de deterioro de la salud mental en jóvenes escolarizados. </w:t>
      </w:r>
      <w:r w:rsidRPr="002F0A14">
        <w:rPr>
          <w:rFonts w:ascii="Times New Roman" w:hAnsi="Times New Roman" w:cs="Times New Roman"/>
          <w:i/>
          <w:iCs/>
          <w:noProof/>
          <w:sz w:val="24"/>
          <w:szCs w:val="24"/>
        </w:rPr>
        <w:t>Psychologia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10</w:t>
      </w:r>
      <w:r w:rsidRPr="002F0A14">
        <w:rPr>
          <w:rFonts w:ascii="Times New Roman" w:hAnsi="Times New Roman" w:cs="Times New Roman"/>
          <w:noProof/>
          <w:sz w:val="24"/>
          <w:szCs w:val="24"/>
        </w:rPr>
        <w:t>(2), 43–54.</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Fuentes, M. C., Alarcón, A., García, F., &amp; Gracia, E. (2015). Consumo de alcohol, tabaco, cannabis y otras drogas en la adolescencia: Efectos de la familia y peligro del barrio. </w:t>
      </w:r>
      <w:r w:rsidRPr="002F0A14">
        <w:rPr>
          <w:rFonts w:ascii="Times New Roman" w:hAnsi="Times New Roman" w:cs="Times New Roman"/>
          <w:i/>
          <w:iCs/>
          <w:noProof/>
          <w:sz w:val="24"/>
          <w:szCs w:val="24"/>
        </w:rPr>
        <w:t>Anales de Psicología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31</w:t>
      </w:r>
      <w:r w:rsidRPr="002F0A14">
        <w:rPr>
          <w:rFonts w:ascii="Times New Roman" w:hAnsi="Times New Roman" w:cs="Times New Roman"/>
          <w:noProof/>
          <w:sz w:val="24"/>
          <w:szCs w:val="24"/>
        </w:rPr>
        <w:t>(3), 1000–1007. https://doi.org/10.6018/analesps.31.3.183491</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Gómez, F. J., &amp; Ponce, E. R. (2010). Una nueva propuesta para la interpretación de Family apgar. </w:t>
      </w:r>
      <w:r w:rsidRPr="002F0A14">
        <w:rPr>
          <w:rFonts w:ascii="Times New Roman" w:hAnsi="Times New Roman" w:cs="Times New Roman"/>
          <w:i/>
          <w:iCs/>
          <w:noProof/>
          <w:sz w:val="24"/>
          <w:szCs w:val="24"/>
        </w:rPr>
        <w:t>Atención Familiar</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17</w:t>
      </w:r>
      <w:r w:rsidRPr="002F0A14">
        <w:rPr>
          <w:rFonts w:ascii="Times New Roman" w:hAnsi="Times New Roman" w:cs="Times New Roman"/>
          <w:noProof/>
          <w:sz w:val="24"/>
          <w:szCs w:val="24"/>
        </w:rPr>
        <w:t>(4), 102–106. https://doi.org/10.22201/facmed.14058871p.2010.4.21348</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fr-BE"/>
        </w:rPr>
      </w:pPr>
      <w:r w:rsidRPr="002F0A14">
        <w:rPr>
          <w:rFonts w:ascii="Times New Roman" w:hAnsi="Times New Roman" w:cs="Times New Roman"/>
          <w:noProof/>
          <w:sz w:val="24"/>
          <w:szCs w:val="24"/>
        </w:rPr>
        <w:t xml:space="preserve">Hernández, T., Roldán, J., Jiménez, A., Mora, C., Sánchez-Garnica, D., &amp; Pérez, M. (2009). La edad de inicio en el consumo de drogas, un indicador de consumo problemático. </w:t>
      </w:r>
      <w:r w:rsidRPr="002F0A14">
        <w:rPr>
          <w:rFonts w:ascii="Times New Roman" w:hAnsi="Times New Roman" w:cs="Times New Roman"/>
          <w:i/>
          <w:iCs/>
          <w:noProof/>
          <w:sz w:val="24"/>
          <w:szCs w:val="24"/>
          <w:lang w:val="fr-BE"/>
        </w:rPr>
        <w:t>Psychosocial Intervention</w:t>
      </w:r>
      <w:r w:rsidRPr="002F0A14">
        <w:rPr>
          <w:rFonts w:ascii="Times New Roman" w:hAnsi="Times New Roman" w:cs="Times New Roman"/>
          <w:noProof/>
          <w:sz w:val="24"/>
          <w:szCs w:val="24"/>
          <w:lang w:val="fr-BE"/>
        </w:rPr>
        <w:t xml:space="preserve">, </w:t>
      </w:r>
      <w:r w:rsidRPr="002F0A14">
        <w:rPr>
          <w:rFonts w:ascii="Times New Roman" w:hAnsi="Times New Roman" w:cs="Times New Roman"/>
          <w:i/>
          <w:iCs/>
          <w:noProof/>
          <w:sz w:val="24"/>
          <w:szCs w:val="24"/>
          <w:lang w:val="fr-BE"/>
        </w:rPr>
        <w:t>18</w:t>
      </w:r>
      <w:r w:rsidRPr="002F0A14">
        <w:rPr>
          <w:rFonts w:ascii="Times New Roman" w:hAnsi="Times New Roman" w:cs="Times New Roman"/>
          <w:noProof/>
          <w:sz w:val="24"/>
          <w:szCs w:val="24"/>
          <w:lang w:val="fr-BE"/>
        </w:rPr>
        <w:t>(3), 199–212. https://doi.org/10.5093/in2009v18n3a2</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lang w:val="fr-BE"/>
        </w:rPr>
        <w:t xml:space="preserve">Jordán Jinez, L., Molina, J., &amp; Pillon, S. (2009). </w:t>
      </w:r>
      <w:r w:rsidRPr="002F0A14">
        <w:rPr>
          <w:rFonts w:ascii="Times New Roman" w:hAnsi="Times New Roman" w:cs="Times New Roman"/>
          <w:noProof/>
          <w:sz w:val="24"/>
          <w:szCs w:val="24"/>
        </w:rPr>
        <w:t xml:space="preserve">Uso de drogas y factores de riesgo entre estudiantes de enseñanza media. </w:t>
      </w:r>
      <w:r w:rsidRPr="002F0A14">
        <w:rPr>
          <w:rFonts w:ascii="Times New Roman" w:hAnsi="Times New Roman" w:cs="Times New Roman"/>
          <w:i/>
          <w:iCs/>
          <w:noProof/>
          <w:sz w:val="24"/>
          <w:szCs w:val="24"/>
        </w:rPr>
        <w:t>Revista Latino-Americana de Enfermagem</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17</w:t>
      </w:r>
      <w:r w:rsidRPr="002F0A14">
        <w:rPr>
          <w:rFonts w:ascii="Times New Roman" w:hAnsi="Times New Roman" w:cs="Times New Roman"/>
          <w:noProof/>
          <w:sz w:val="24"/>
          <w:szCs w:val="24"/>
        </w:rPr>
        <w:t>(2), 246–252. https://doi.org/10.1590/S0104-11692009000200017</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Lima-Serrano, M., Guerra-Martín, M. D., &amp; Lima-Rodríguez, J. S. (2017). Relación entre el funcionamiento familiar y los estilos de vida de los adolescentes en edad escolar. </w:t>
      </w:r>
      <w:r w:rsidRPr="002F0A14">
        <w:rPr>
          <w:rFonts w:ascii="Times New Roman" w:hAnsi="Times New Roman" w:cs="Times New Roman"/>
          <w:i/>
          <w:iCs/>
          <w:noProof/>
          <w:sz w:val="24"/>
          <w:szCs w:val="24"/>
        </w:rPr>
        <w:t>Enfermería Clínica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27</w:t>
      </w:r>
      <w:r w:rsidRPr="002F0A14">
        <w:rPr>
          <w:rFonts w:ascii="Times New Roman" w:hAnsi="Times New Roman" w:cs="Times New Roman"/>
          <w:noProof/>
          <w:sz w:val="24"/>
          <w:szCs w:val="24"/>
        </w:rPr>
        <w:t>(1), 3–10. https://doi.org/10.1016/j.enfcli.2016.09.004</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Linares, L., Linares, L., Alfonso, Y., &amp; Linares, A. (2017). Caracterización del consumo de alcohol y cigarros en adolescentes de la escuela Ormani Arenado. </w:t>
      </w:r>
      <w:r w:rsidRPr="002F0A14">
        <w:rPr>
          <w:rFonts w:ascii="Times New Roman" w:hAnsi="Times New Roman" w:cs="Times New Roman"/>
          <w:i/>
          <w:iCs/>
          <w:noProof/>
          <w:sz w:val="24"/>
          <w:szCs w:val="24"/>
        </w:rPr>
        <w:t>Revista Universidad Médica Pinareña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13</w:t>
      </w:r>
      <w:r w:rsidRPr="002F0A14">
        <w:rPr>
          <w:rFonts w:ascii="Times New Roman" w:hAnsi="Times New Roman" w:cs="Times New Roman"/>
          <w:noProof/>
          <w:sz w:val="24"/>
          <w:szCs w:val="24"/>
        </w:rPr>
        <w:t>(1), 4–14. http://repositorio.unan.edu.ni/2986/1/5624.pdf</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Luengo, Á., Villar, P., Sobral, J., Romero, E., &amp; Gómez-Fraguela, J. (2009). El consumo de drogas en los adolescentes inmigrantes: implicaciones para la prevención. </w:t>
      </w:r>
      <w:r w:rsidRPr="002F0A14">
        <w:rPr>
          <w:rFonts w:ascii="Times New Roman" w:hAnsi="Times New Roman" w:cs="Times New Roman"/>
          <w:i/>
          <w:iCs/>
          <w:noProof/>
          <w:sz w:val="24"/>
          <w:szCs w:val="24"/>
        </w:rPr>
        <w:t>Revista Española de Drogodependencias</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34</w:t>
      </w:r>
      <w:r w:rsidRPr="002F0A14">
        <w:rPr>
          <w:rFonts w:ascii="Times New Roman" w:hAnsi="Times New Roman" w:cs="Times New Roman"/>
          <w:noProof/>
          <w:sz w:val="24"/>
          <w:szCs w:val="24"/>
        </w:rPr>
        <w:t>(4), 448–479.</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Medina-Fernández, I. A., Medina-Fernández, J. A., Cervera-Baas, M. E., Candila-Celis, J., Cimé-Canul, N. de J., &amp; Yam-Sosa, A. V. (2018). Asociación entre el consumo de alcohol y tabaco y la percepción de la funcionalidad familiar en adolescentes de una zona suburbana de México. </w:t>
      </w:r>
      <w:r w:rsidRPr="002F0A14">
        <w:rPr>
          <w:rFonts w:ascii="Times New Roman" w:hAnsi="Times New Roman" w:cs="Times New Roman"/>
          <w:i/>
          <w:iCs/>
          <w:noProof/>
          <w:sz w:val="24"/>
          <w:szCs w:val="24"/>
        </w:rPr>
        <w:t>Revista de Enfermería y Salud Mental</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11</w:t>
      </w:r>
      <w:r w:rsidRPr="002F0A14">
        <w:rPr>
          <w:rFonts w:ascii="Times New Roman" w:hAnsi="Times New Roman" w:cs="Times New Roman"/>
          <w:noProof/>
          <w:sz w:val="24"/>
          <w:szCs w:val="24"/>
        </w:rPr>
        <w:t>, 13–21. https://doi.org/10.5538/2385-703X.2018.11.13</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lastRenderedPageBreak/>
        <w:t xml:space="preserve">Molero-Jurado, M. del M., Pérez-Fuentes, M. del C., Gázquez-Linares, J. J., &amp; Barragán-Martín, A. B. (2017). Análisis y perfiles del consumo de drogas en adolescentes: percepción del apoyo familiar y valoración de consecuencias. </w:t>
      </w:r>
      <w:r w:rsidRPr="002F0A14">
        <w:rPr>
          <w:rFonts w:ascii="Times New Roman" w:hAnsi="Times New Roman" w:cs="Times New Roman"/>
          <w:i/>
          <w:iCs/>
          <w:noProof/>
          <w:sz w:val="24"/>
          <w:szCs w:val="24"/>
        </w:rPr>
        <w:t>Atención Familiar</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24</w:t>
      </w:r>
      <w:r w:rsidRPr="002F0A14">
        <w:rPr>
          <w:rFonts w:ascii="Times New Roman" w:hAnsi="Times New Roman" w:cs="Times New Roman"/>
          <w:noProof/>
          <w:sz w:val="24"/>
          <w:szCs w:val="24"/>
        </w:rPr>
        <w:t>(2), 56–61. https://doi.org/10.1016/j.af.2017.02.001</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Moreno, N., &amp; Palomar, J. (2017). Factores familiares y psicosociales asociados al consumo de drogas en adolescentes. </w:t>
      </w:r>
      <w:r w:rsidRPr="002F0A14">
        <w:rPr>
          <w:rFonts w:ascii="Times New Roman" w:hAnsi="Times New Roman" w:cs="Times New Roman"/>
          <w:i/>
          <w:iCs/>
          <w:noProof/>
          <w:sz w:val="24"/>
          <w:szCs w:val="24"/>
          <w:lang w:val="en-US"/>
        </w:rPr>
        <w:t>Interamerican Journal of Psychology</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51</w:t>
      </w:r>
      <w:r w:rsidRPr="002F0A14">
        <w:rPr>
          <w:rFonts w:ascii="Times New Roman" w:hAnsi="Times New Roman" w:cs="Times New Roman"/>
          <w:noProof/>
          <w:sz w:val="24"/>
          <w:szCs w:val="24"/>
          <w:lang w:val="en-US"/>
        </w:rPr>
        <w:t>(2), 141–151. https://doi.org/10.30849/rip/ijp.v51i2.31</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Muchiri, B. W., &amp; dos Santos, M. M. L. (2018). </w:t>
      </w:r>
      <w:r w:rsidRPr="002F0A14">
        <w:rPr>
          <w:rFonts w:ascii="Times New Roman" w:hAnsi="Times New Roman" w:cs="Times New Roman"/>
          <w:noProof/>
          <w:sz w:val="24"/>
          <w:szCs w:val="24"/>
          <w:lang w:val="en-US"/>
        </w:rPr>
        <w:t xml:space="preserve">Family management risk and protective factors for adolescent substance use in South Africa. </w:t>
      </w:r>
      <w:r w:rsidRPr="002F0A14">
        <w:rPr>
          <w:rFonts w:ascii="Times New Roman" w:hAnsi="Times New Roman" w:cs="Times New Roman"/>
          <w:i/>
          <w:iCs/>
          <w:noProof/>
          <w:sz w:val="24"/>
          <w:szCs w:val="24"/>
          <w:lang w:val="en-US"/>
        </w:rPr>
        <w:t>Substance Abuse Treatment, Prevention, and Policy</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13</w:t>
      </w:r>
      <w:r w:rsidRPr="002F0A14">
        <w:rPr>
          <w:rFonts w:ascii="Times New Roman" w:hAnsi="Times New Roman" w:cs="Times New Roman"/>
          <w:noProof/>
          <w:sz w:val="24"/>
          <w:szCs w:val="24"/>
          <w:lang w:val="en-US"/>
        </w:rPr>
        <w:t>(1), 24. https://doi.org/10.1186/s13011-018-0163-4</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fr-BE"/>
        </w:rPr>
      </w:pPr>
      <w:r w:rsidRPr="002F0A14">
        <w:rPr>
          <w:rFonts w:ascii="Times New Roman" w:hAnsi="Times New Roman" w:cs="Times New Roman"/>
          <w:noProof/>
          <w:sz w:val="24"/>
          <w:szCs w:val="24"/>
          <w:lang w:val="en-US"/>
        </w:rPr>
        <w:t xml:space="preserve">Ohannessian, C. M., Flannery, K. M., Simpson, E., &amp; Russell, B. S. (2016). Family functioning and adolescent alcohol use: A moderated mediation analysis. </w:t>
      </w:r>
      <w:r w:rsidRPr="002F0A14">
        <w:rPr>
          <w:rFonts w:ascii="Times New Roman" w:hAnsi="Times New Roman" w:cs="Times New Roman"/>
          <w:i/>
          <w:iCs/>
          <w:noProof/>
          <w:sz w:val="24"/>
          <w:szCs w:val="24"/>
          <w:lang w:val="fr-BE"/>
        </w:rPr>
        <w:t>Journal of Adolescence</w:t>
      </w:r>
      <w:r w:rsidRPr="002F0A14">
        <w:rPr>
          <w:rFonts w:ascii="Times New Roman" w:hAnsi="Times New Roman" w:cs="Times New Roman"/>
          <w:noProof/>
          <w:sz w:val="24"/>
          <w:szCs w:val="24"/>
          <w:lang w:val="fr-BE"/>
        </w:rPr>
        <w:t xml:space="preserve">, </w:t>
      </w:r>
      <w:r w:rsidRPr="002F0A14">
        <w:rPr>
          <w:rFonts w:ascii="Times New Roman" w:hAnsi="Times New Roman" w:cs="Times New Roman"/>
          <w:i/>
          <w:iCs/>
          <w:noProof/>
          <w:sz w:val="24"/>
          <w:szCs w:val="24"/>
          <w:lang w:val="fr-BE"/>
        </w:rPr>
        <w:t>49</w:t>
      </w:r>
      <w:r w:rsidRPr="002F0A14">
        <w:rPr>
          <w:rFonts w:ascii="Times New Roman" w:hAnsi="Times New Roman" w:cs="Times New Roman"/>
          <w:noProof/>
          <w:sz w:val="24"/>
          <w:szCs w:val="24"/>
          <w:lang w:val="fr-BE"/>
        </w:rPr>
        <w:t>, 19–27. https://doi.org/10.1016/j.adolescence.2016.02.009</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Organización Mundial de la Salud (OMS). (2011). ASSIST, la prueba de detección de consumo de alcohol, tabaco y sustancias. </w:t>
      </w:r>
      <w:r w:rsidRPr="002F0A14">
        <w:rPr>
          <w:rFonts w:ascii="Times New Roman" w:hAnsi="Times New Roman" w:cs="Times New Roman"/>
          <w:noProof/>
          <w:sz w:val="24"/>
          <w:szCs w:val="24"/>
          <w:lang w:val="en-US"/>
        </w:rPr>
        <w:t xml:space="preserve">In </w:t>
      </w:r>
      <w:r w:rsidRPr="002F0A14">
        <w:rPr>
          <w:rFonts w:ascii="Times New Roman" w:hAnsi="Times New Roman" w:cs="Times New Roman"/>
          <w:i/>
          <w:iCs/>
          <w:noProof/>
          <w:sz w:val="24"/>
          <w:szCs w:val="24"/>
          <w:lang w:val="en-US"/>
        </w:rPr>
        <w:t>OMS</w:t>
      </w:r>
      <w:r w:rsidRPr="002F0A14">
        <w:rPr>
          <w:rFonts w:ascii="Times New Roman" w:hAnsi="Times New Roman" w:cs="Times New Roman"/>
          <w:noProof/>
          <w:sz w:val="24"/>
          <w:szCs w:val="24"/>
          <w:lang w:val="en-US"/>
        </w:rPr>
        <w:t>. https://www.who.int/substance_abuse/activities/assist_screening_spanish.pdf</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Ortiz, J. (1996). Uso de drogas en adolescentes guatemaltecos: Factores de riesgo. </w:t>
      </w:r>
      <w:r w:rsidRPr="002F0A14">
        <w:rPr>
          <w:rFonts w:ascii="Times New Roman" w:hAnsi="Times New Roman" w:cs="Times New Roman"/>
          <w:i/>
          <w:iCs/>
          <w:noProof/>
          <w:sz w:val="24"/>
          <w:szCs w:val="24"/>
        </w:rPr>
        <w:t>Revista Latinoamericana de Psicología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28</w:t>
      </w:r>
      <w:r w:rsidRPr="002F0A14">
        <w:rPr>
          <w:rFonts w:ascii="Times New Roman" w:hAnsi="Times New Roman" w:cs="Times New Roman"/>
          <w:noProof/>
          <w:sz w:val="24"/>
          <w:szCs w:val="24"/>
        </w:rPr>
        <w:t>(2), 367–392. https://www.redalyc.org/articulo.oa?id=80528210</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Picoito, J., Santos, C., Loureiro, I., Aguiar, P., &amp; Nunes, C. (2019). </w:t>
      </w:r>
      <w:r w:rsidRPr="002F0A14">
        <w:rPr>
          <w:rFonts w:ascii="Times New Roman" w:hAnsi="Times New Roman" w:cs="Times New Roman"/>
          <w:noProof/>
          <w:sz w:val="24"/>
          <w:szCs w:val="24"/>
          <w:lang w:val="en-US"/>
        </w:rPr>
        <w:t xml:space="preserve">Gender-specific substance use patterns and associations with individual, family, peer, and school factors in 15-year-old Portuguese adolescents: a latent class regression analysis. </w:t>
      </w:r>
      <w:r w:rsidRPr="002F0A14">
        <w:rPr>
          <w:rFonts w:ascii="Times New Roman" w:hAnsi="Times New Roman" w:cs="Times New Roman"/>
          <w:i/>
          <w:iCs/>
          <w:noProof/>
          <w:sz w:val="24"/>
          <w:szCs w:val="24"/>
          <w:lang w:val="en-US"/>
        </w:rPr>
        <w:t>Child and Adolescent Psychiatry and Mental Health</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13</w:t>
      </w:r>
      <w:r w:rsidRPr="002F0A14">
        <w:rPr>
          <w:rFonts w:ascii="Times New Roman" w:hAnsi="Times New Roman" w:cs="Times New Roman"/>
          <w:noProof/>
          <w:sz w:val="24"/>
          <w:szCs w:val="24"/>
          <w:lang w:val="en-US"/>
        </w:rPr>
        <w:t>(1), 21. https://doi.org/10.1186/s13034-019-0281-4</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lang w:val="fr-BE"/>
        </w:rPr>
        <w:t xml:space="preserve">Ramírez Ruiz, M., &amp; Andrade, D. (2005). </w:t>
      </w:r>
      <w:r w:rsidRPr="002F0A14">
        <w:rPr>
          <w:rFonts w:ascii="Times New Roman" w:hAnsi="Times New Roman" w:cs="Times New Roman"/>
          <w:noProof/>
          <w:sz w:val="24"/>
          <w:szCs w:val="24"/>
        </w:rPr>
        <w:t xml:space="preserve">La familia y los factores de riesgo relacionados con el consumo de alcohol y tabaco en los niños y adolescentes (Guayaquil-Equador). </w:t>
      </w:r>
      <w:r w:rsidRPr="002F0A14">
        <w:rPr>
          <w:rFonts w:ascii="Times New Roman" w:hAnsi="Times New Roman" w:cs="Times New Roman"/>
          <w:i/>
          <w:iCs/>
          <w:noProof/>
          <w:sz w:val="24"/>
          <w:szCs w:val="24"/>
        </w:rPr>
        <w:t>Revista Latino-Americana de Enfermagem.</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13</w:t>
      </w:r>
      <w:r w:rsidRPr="002F0A14">
        <w:rPr>
          <w:rFonts w:ascii="Times New Roman" w:hAnsi="Times New Roman" w:cs="Times New Roman"/>
          <w:noProof/>
          <w:sz w:val="24"/>
          <w:szCs w:val="24"/>
        </w:rPr>
        <w:t>(1), 813–818. https://doi.org/10.1590/s0104-11692005000700008</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Riofrío G, R., &amp; Nascimento, L. (2010). Consumo de drogas en los jóvenes de la ciudad de Guayaquil, Ecuador. </w:t>
      </w:r>
      <w:r w:rsidRPr="002F0A14">
        <w:rPr>
          <w:rFonts w:ascii="Times New Roman" w:hAnsi="Times New Roman" w:cs="Times New Roman"/>
          <w:i/>
          <w:iCs/>
          <w:noProof/>
          <w:sz w:val="24"/>
          <w:szCs w:val="24"/>
        </w:rPr>
        <w:t>Revista Latino-Americana de Enfermagem</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18</w:t>
      </w:r>
      <w:r w:rsidRPr="002F0A14">
        <w:rPr>
          <w:rFonts w:ascii="Times New Roman" w:hAnsi="Times New Roman" w:cs="Times New Roman"/>
          <w:noProof/>
          <w:sz w:val="24"/>
          <w:szCs w:val="24"/>
        </w:rPr>
        <w:t>(SPEC. ISSUE), 598–605. https://doi.org/10.1590/s0104-11692010000700016</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lastRenderedPageBreak/>
        <w:t xml:space="preserve">Romero, A. (2018). Funcionalidad familiar y consumo de alcohol en adolescentes. </w:t>
      </w:r>
      <w:r w:rsidRPr="002F0A14">
        <w:rPr>
          <w:rFonts w:ascii="Times New Roman" w:hAnsi="Times New Roman" w:cs="Times New Roman"/>
          <w:i/>
          <w:iCs/>
          <w:noProof/>
          <w:sz w:val="24"/>
          <w:szCs w:val="24"/>
        </w:rPr>
        <w:t>Revista Ciencia y Arte de Enfermería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3</w:t>
      </w:r>
      <w:r w:rsidRPr="002F0A14">
        <w:rPr>
          <w:rFonts w:ascii="Times New Roman" w:hAnsi="Times New Roman" w:cs="Times New Roman"/>
          <w:noProof/>
          <w:sz w:val="24"/>
          <w:szCs w:val="24"/>
        </w:rPr>
        <w:t>(1–2), 32–37. https://doi.org/10.24314/rcae. 2018.v3n1.07</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Saravia, J. C., Gutiérrez, C., &amp; Frech, H. (2014). Factores asociados al inicio de consumo de drogas ilícitas en adolescentes de educación secundaria. </w:t>
      </w:r>
      <w:r w:rsidRPr="002F0A14">
        <w:rPr>
          <w:rFonts w:ascii="Times New Roman" w:hAnsi="Times New Roman" w:cs="Times New Roman"/>
          <w:i/>
          <w:iCs/>
          <w:noProof/>
          <w:sz w:val="24"/>
          <w:szCs w:val="24"/>
        </w:rPr>
        <w:t>Revista Peruana de Epidemiología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18</w:t>
      </w:r>
      <w:r w:rsidRPr="002F0A14">
        <w:rPr>
          <w:rFonts w:ascii="Times New Roman" w:hAnsi="Times New Roman" w:cs="Times New Roman"/>
          <w:noProof/>
          <w:sz w:val="24"/>
          <w:szCs w:val="24"/>
        </w:rPr>
        <w:t>(1), 1–7. http://www.redalyc.org/articulo.oa?id=203131355003</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rPr>
        <w:t xml:space="preserve">Simón, M. J., Fuentes, R. M., Garrido, M., Serrano, M. D., Díaz, M. J., &amp; Yubero, S. (2020). Perfil de consumo de drogas en adolescentes. Factores protectores. </w:t>
      </w:r>
      <w:r w:rsidRPr="002F0A14">
        <w:rPr>
          <w:rFonts w:ascii="Times New Roman" w:hAnsi="Times New Roman" w:cs="Times New Roman"/>
          <w:i/>
          <w:iCs/>
          <w:noProof/>
          <w:sz w:val="24"/>
          <w:szCs w:val="24"/>
        </w:rPr>
        <w:t xml:space="preserve">Medicina de Familia. </w:t>
      </w:r>
      <w:r w:rsidRPr="002F0A14">
        <w:rPr>
          <w:rFonts w:ascii="Times New Roman" w:hAnsi="Times New Roman" w:cs="Times New Roman"/>
          <w:i/>
          <w:iCs/>
          <w:noProof/>
          <w:sz w:val="24"/>
          <w:szCs w:val="24"/>
          <w:lang w:val="en-US"/>
        </w:rPr>
        <w:t>SEMERGEN</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46</w:t>
      </w:r>
      <w:r w:rsidRPr="002F0A14">
        <w:rPr>
          <w:rFonts w:ascii="Times New Roman" w:hAnsi="Times New Roman" w:cs="Times New Roman"/>
          <w:noProof/>
          <w:sz w:val="24"/>
          <w:szCs w:val="24"/>
          <w:lang w:val="en-US"/>
        </w:rPr>
        <w:t>(1), 33–40. https://doi.org/10.1016/j.semerg.2019.06.001</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F0A14">
        <w:rPr>
          <w:rFonts w:ascii="Times New Roman" w:hAnsi="Times New Roman" w:cs="Times New Roman"/>
          <w:noProof/>
          <w:sz w:val="24"/>
          <w:szCs w:val="24"/>
          <w:lang w:val="en-US"/>
        </w:rPr>
        <w:t xml:space="preserve">Šumskas, L., &amp; Zaborskis, A. (2017). Family Social Environment and Parenting Predictors of Alcohol Use among Adolescents in Lithuania. </w:t>
      </w:r>
      <w:r w:rsidRPr="002F0A14">
        <w:rPr>
          <w:rFonts w:ascii="Times New Roman" w:hAnsi="Times New Roman" w:cs="Times New Roman"/>
          <w:i/>
          <w:iCs/>
          <w:noProof/>
          <w:sz w:val="24"/>
          <w:szCs w:val="24"/>
          <w:lang w:val="en-US"/>
        </w:rPr>
        <w:t>International Journal of Environmental Research and Public Health</w:t>
      </w:r>
      <w:r w:rsidRPr="002F0A14">
        <w:rPr>
          <w:rFonts w:ascii="Times New Roman" w:hAnsi="Times New Roman" w:cs="Times New Roman"/>
          <w:noProof/>
          <w:sz w:val="24"/>
          <w:szCs w:val="24"/>
          <w:lang w:val="en-US"/>
        </w:rPr>
        <w:t xml:space="preserve">, </w:t>
      </w:r>
      <w:r w:rsidRPr="002F0A14">
        <w:rPr>
          <w:rFonts w:ascii="Times New Roman" w:hAnsi="Times New Roman" w:cs="Times New Roman"/>
          <w:i/>
          <w:iCs/>
          <w:noProof/>
          <w:sz w:val="24"/>
          <w:szCs w:val="24"/>
          <w:lang w:val="en-US"/>
        </w:rPr>
        <w:t>14</w:t>
      </w:r>
      <w:r w:rsidRPr="002F0A14">
        <w:rPr>
          <w:rFonts w:ascii="Times New Roman" w:hAnsi="Times New Roman" w:cs="Times New Roman"/>
          <w:noProof/>
          <w:sz w:val="24"/>
          <w:szCs w:val="24"/>
          <w:lang w:val="en-US"/>
        </w:rPr>
        <w:t>(9), 1037. https://doi.org/10.3390/ijerph14091037</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Tena-Suck, A., Castro-Martínez, G., Marín-Navarrete, R., Gómez-Romero, P., de la Fuente-Martín, A., &amp; Gómez-Martínez, R. (2018). Consumo de sustancias en adolescentes: consideraciones para la práctica médica. </w:t>
      </w:r>
      <w:r w:rsidRPr="002F0A14">
        <w:rPr>
          <w:rFonts w:ascii="Times New Roman" w:hAnsi="Times New Roman" w:cs="Times New Roman"/>
          <w:i/>
          <w:iCs/>
          <w:noProof/>
          <w:sz w:val="24"/>
          <w:szCs w:val="24"/>
        </w:rPr>
        <w:t>Medicina Interna de Mexico</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34</w:t>
      </w:r>
      <w:r w:rsidRPr="002F0A14">
        <w:rPr>
          <w:rFonts w:ascii="Times New Roman" w:hAnsi="Times New Roman" w:cs="Times New Roman"/>
          <w:noProof/>
          <w:sz w:val="24"/>
          <w:szCs w:val="24"/>
        </w:rPr>
        <w:t>(2), 264–277. https://doi.org/10.24245/mim.v34i2.1595</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Trujillo-Guerrero, T. J., Vázquez-Cruz, E., &amp; Córdova-Soriano, J. A. (2016). Percepción de la funcionalidad familiar y el consumo de alcohol en adolescentes. </w:t>
      </w:r>
      <w:r w:rsidRPr="002F0A14">
        <w:rPr>
          <w:rFonts w:ascii="Times New Roman" w:hAnsi="Times New Roman" w:cs="Times New Roman"/>
          <w:i/>
          <w:iCs/>
          <w:noProof/>
          <w:sz w:val="24"/>
          <w:szCs w:val="24"/>
        </w:rPr>
        <w:t>Atención Familiar</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23</w:t>
      </w:r>
      <w:r w:rsidRPr="002F0A14">
        <w:rPr>
          <w:rFonts w:ascii="Times New Roman" w:hAnsi="Times New Roman" w:cs="Times New Roman"/>
          <w:noProof/>
          <w:sz w:val="24"/>
          <w:szCs w:val="24"/>
        </w:rPr>
        <w:t>(3), 100–103. https://doi.org/10.1016/j.af.2016.07.003</w:t>
      </w:r>
    </w:p>
    <w:p w:rsidR="008C28CF" w:rsidRPr="002F0A14" w:rsidRDefault="008C28CF" w:rsidP="00D501E8">
      <w:pPr>
        <w:widowControl w:val="0"/>
        <w:autoSpaceDE w:val="0"/>
        <w:autoSpaceDN w:val="0"/>
        <w:adjustRightInd w:val="0"/>
        <w:spacing w:line="360" w:lineRule="auto"/>
        <w:ind w:left="480" w:hanging="480"/>
        <w:rPr>
          <w:rFonts w:ascii="Times New Roman" w:hAnsi="Times New Roman" w:cs="Times New Roman"/>
          <w:noProof/>
          <w:sz w:val="24"/>
          <w:szCs w:val="24"/>
        </w:rPr>
      </w:pPr>
      <w:r w:rsidRPr="002F0A14">
        <w:rPr>
          <w:rFonts w:ascii="Times New Roman" w:hAnsi="Times New Roman" w:cs="Times New Roman"/>
          <w:noProof/>
          <w:sz w:val="24"/>
          <w:szCs w:val="24"/>
        </w:rPr>
        <w:t xml:space="preserve">Uribe, L., &amp; Mazariegos, J. (2018). Factores asociados al consumo de drogas en niños, niñas y adolescentes. </w:t>
      </w:r>
      <w:r w:rsidRPr="002F0A14">
        <w:rPr>
          <w:rFonts w:ascii="Times New Roman" w:hAnsi="Times New Roman" w:cs="Times New Roman"/>
          <w:i/>
          <w:iCs/>
          <w:noProof/>
          <w:sz w:val="24"/>
          <w:szCs w:val="24"/>
        </w:rPr>
        <w:t>Revista Auspiciada Por El Hospital Dr. Rafael Ángel Calderón Guardia</w:t>
      </w:r>
      <w:r w:rsidRPr="002F0A14">
        <w:rPr>
          <w:rFonts w:ascii="Times New Roman" w:hAnsi="Times New Roman" w:cs="Times New Roman"/>
          <w:noProof/>
          <w:sz w:val="24"/>
          <w:szCs w:val="24"/>
        </w:rPr>
        <w:t xml:space="preserve">, </w:t>
      </w:r>
      <w:r w:rsidRPr="002F0A14">
        <w:rPr>
          <w:rFonts w:ascii="Times New Roman" w:hAnsi="Times New Roman" w:cs="Times New Roman"/>
          <w:i/>
          <w:iCs/>
          <w:noProof/>
          <w:sz w:val="24"/>
          <w:szCs w:val="24"/>
        </w:rPr>
        <w:t>84</w:t>
      </w:r>
      <w:r w:rsidRPr="002F0A14">
        <w:rPr>
          <w:rFonts w:ascii="Times New Roman" w:hAnsi="Times New Roman" w:cs="Times New Roman"/>
          <w:noProof/>
          <w:sz w:val="24"/>
          <w:szCs w:val="24"/>
        </w:rPr>
        <w:t>(625), 15–22.</w:t>
      </w:r>
    </w:p>
    <w:p w:rsidR="007A2281" w:rsidRPr="002F0A14" w:rsidRDefault="007A2281" w:rsidP="00D501E8">
      <w:pPr>
        <w:spacing w:line="360" w:lineRule="auto"/>
        <w:rPr>
          <w:rFonts w:ascii="Times New Roman" w:hAnsi="Times New Roman" w:cs="Times New Roman"/>
          <w:sz w:val="24"/>
          <w:szCs w:val="24"/>
        </w:rPr>
      </w:pPr>
      <w:r w:rsidRPr="002F0A14">
        <w:rPr>
          <w:rFonts w:ascii="Times New Roman" w:hAnsi="Times New Roman" w:cs="Times New Roman"/>
          <w:sz w:val="24"/>
          <w:szCs w:val="24"/>
        </w:rPr>
        <w:fldChar w:fldCharType="end"/>
      </w:r>
    </w:p>
    <w:sectPr w:rsidR="007A2281" w:rsidRPr="002F0A14" w:rsidSect="00D501E8">
      <w:headerReference w:type="default" r:id="rId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01" w:rsidRDefault="00715E01" w:rsidP="00017A82">
      <w:pPr>
        <w:spacing w:after="0" w:line="240" w:lineRule="auto"/>
      </w:pPr>
      <w:r>
        <w:separator/>
      </w:r>
    </w:p>
  </w:endnote>
  <w:endnote w:type="continuationSeparator" w:id="0">
    <w:p w:rsidR="00715E01" w:rsidRDefault="00715E01" w:rsidP="0001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01" w:rsidRDefault="00715E01" w:rsidP="00017A82">
      <w:pPr>
        <w:spacing w:after="0" w:line="240" w:lineRule="auto"/>
      </w:pPr>
      <w:r>
        <w:separator/>
      </w:r>
    </w:p>
  </w:footnote>
  <w:footnote w:type="continuationSeparator" w:id="0">
    <w:p w:rsidR="00715E01" w:rsidRDefault="00715E01" w:rsidP="00017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305695"/>
      <w:docPartObj>
        <w:docPartGallery w:val="Page Numbers (Top of Page)"/>
        <w:docPartUnique/>
      </w:docPartObj>
    </w:sdtPr>
    <w:sdtContent>
      <w:p w:rsidR="00D501E8" w:rsidRDefault="00D501E8">
        <w:pPr>
          <w:pStyle w:val="Encabezado"/>
          <w:jc w:val="right"/>
        </w:pPr>
        <w:r>
          <w:fldChar w:fldCharType="begin"/>
        </w:r>
        <w:r>
          <w:instrText>PAGE   \* MERGEFORMAT</w:instrText>
        </w:r>
        <w:r>
          <w:fldChar w:fldCharType="separate"/>
        </w:r>
        <w:r w:rsidR="0087523B" w:rsidRPr="0087523B">
          <w:rPr>
            <w:noProof/>
            <w:lang w:val="es-ES"/>
          </w:rPr>
          <w:t>8</w:t>
        </w:r>
        <w:r>
          <w:fldChar w:fldCharType="end"/>
        </w:r>
      </w:p>
    </w:sdtContent>
  </w:sdt>
  <w:p w:rsidR="00D501E8" w:rsidRDefault="00D501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55B1D"/>
    <w:multiLevelType w:val="hybridMultilevel"/>
    <w:tmpl w:val="B7A8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254D57"/>
    <w:multiLevelType w:val="hybridMultilevel"/>
    <w:tmpl w:val="B7A8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81"/>
    <w:rsid w:val="0001042B"/>
    <w:rsid w:val="00013664"/>
    <w:rsid w:val="00017A82"/>
    <w:rsid w:val="00031CC9"/>
    <w:rsid w:val="000363D9"/>
    <w:rsid w:val="00051595"/>
    <w:rsid w:val="0005237C"/>
    <w:rsid w:val="00072166"/>
    <w:rsid w:val="000A4243"/>
    <w:rsid w:val="000A78F5"/>
    <w:rsid w:val="000C2F0E"/>
    <w:rsid w:val="000D42C7"/>
    <w:rsid w:val="000E6C22"/>
    <w:rsid w:val="000F01EA"/>
    <w:rsid w:val="000F70E7"/>
    <w:rsid w:val="0011137A"/>
    <w:rsid w:val="0011352C"/>
    <w:rsid w:val="00123938"/>
    <w:rsid w:val="001241FB"/>
    <w:rsid w:val="00125036"/>
    <w:rsid w:val="001257F4"/>
    <w:rsid w:val="001652A4"/>
    <w:rsid w:val="00171D41"/>
    <w:rsid w:val="00172919"/>
    <w:rsid w:val="0017438F"/>
    <w:rsid w:val="00184FBB"/>
    <w:rsid w:val="00187E3A"/>
    <w:rsid w:val="00190EB7"/>
    <w:rsid w:val="001A022F"/>
    <w:rsid w:val="001A2D82"/>
    <w:rsid w:val="001E225D"/>
    <w:rsid w:val="001E347F"/>
    <w:rsid w:val="001F024D"/>
    <w:rsid w:val="001F7B35"/>
    <w:rsid w:val="00205197"/>
    <w:rsid w:val="002069F1"/>
    <w:rsid w:val="002079FE"/>
    <w:rsid w:val="00210976"/>
    <w:rsid w:val="0021157E"/>
    <w:rsid w:val="0021792D"/>
    <w:rsid w:val="00224BD2"/>
    <w:rsid w:val="0024209C"/>
    <w:rsid w:val="002442EB"/>
    <w:rsid w:val="00292FDE"/>
    <w:rsid w:val="00294967"/>
    <w:rsid w:val="002A2BB4"/>
    <w:rsid w:val="002A7811"/>
    <w:rsid w:val="002B4613"/>
    <w:rsid w:val="002D0F62"/>
    <w:rsid w:val="002D39D2"/>
    <w:rsid w:val="002D7126"/>
    <w:rsid w:val="002E2652"/>
    <w:rsid w:val="002E27FE"/>
    <w:rsid w:val="002E4C5A"/>
    <w:rsid w:val="002F0A14"/>
    <w:rsid w:val="002F65A7"/>
    <w:rsid w:val="00300993"/>
    <w:rsid w:val="0032237E"/>
    <w:rsid w:val="00323686"/>
    <w:rsid w:val="00324F4D"/>
    <w:rsid w:val="003267C8"/>
    <w:rsid w:val="00334BE2"/>
    <w:rsid w:val="00347E6D"/>
    <w:rsid w:val="00351952"/>
    <w:rsid w:val="00353BDC"/>
    <w:rsid w:val="003547D6"/>
    <w:rsid w:val="00354EAE"/>
    <w:rsid w:val="00355AE3"/>
    <w:rsid w:val="0036360F"/>
    <w:rsid w:val="00365614"/>
    <w:rsid w:val="00376594"/>
    <w:rsid w:val="00380C1C"/>
    <w:rsid w:val="00381CE7"/>
    <w:rsid w:val="00383E3A"/>
    <w:rsid w:val="00385BF9"/>
    <w:rsid w:val="00387A00"/>
    <w:rsid w:val="003A1309"/>
    <w:rsid w:val="003A27BB"/>
    <w:rsid w:val="003A6715"/>
    <w:rsid w:val="003B2624"/>
    <w:rsid w:val="003B6467"/>
    <w:rsid w:val="003C20B1"/>
    <w:rsid w:val="003D4C06"/>
    <w:rsid w:val="003F03D2"/>
    <w:rsid w:val="003F04E8"/>
    <w:rsid w:val="003F7783"/>
    <w:rsid w:val="003F77DB"/>
    <w:rsid w:val="003F7E7F"/>
    <w:rsid w:val="00404C57"/>
    <w:rsid w:val="004063C2"/>
    <w:rsid w:val="00407267"/>
    <w:rsid w:val="004132C6"/>
    <w:rsid w:val="00413E35"/>
    <w:rsid w:val="00426DC9"/>
    <w:rsid w:val="00435DFC"/>
    <w:rsid w:val="00447B88"/>
    <w:rsid w:val="00451CF0"/>
    <w:rsid w:val="00451E28"/>
    <w:rsid w:val="004544F8"/>
    <w:rsid w:val="004562B7"/>
    <w:rsid w:val="0047586E"/>
    <w:rsid w:val="00484422"/>
    <w:rsid w:val="004936F5"/>
    <w:rsid w:val="004A3B7C"/>
    <w:rsid w:val="004A5B9A"/>
    <w:rsid w:val="004E2E72"/>
    <w:rsid w:val="005039A9"/>
    <w:rsid w:val="0051614F"/>
    <w:rsid w:val="00524C23"/>
    <w:rsid w:val="00541298"/>
    <w:rsid w:val="005525B0"/>
    <w:rsid w:val="0055584B"/>
    <w:rsid w:val="005719DA"/>
    <w:rsid w:val="00571F43"/>
    <w:rsid w:val="00582274"/>
    <w:rsid w:val="005B2F3A"/>
    <w:rsid w:val="005D39C9"/>
    <w:rsid w:val="005D4F0A"/>
    <w:rsid w:val="005E02BA"/>
    <w:rsid w:val="005E790B"/>
    <w:rsid w:val="0060077B"/>
    <w:rsid w:val="00605CB4"/>
    <w:rsid w:val="00607349"/>
    <w:rsid w:val="00613289"/>
    <w:rsid w:val="00641BAA"/>
    <w:rsid w:val="00652364"/>
    <w:rsid w:val="00652DEE"/>
    <w:rsid w:val="00661B22"/>
    <w:rsid w:val="00663466"/>
    <w:rsid w:val="00664137"/>
    <w:rsid w:val="00681F57"/>
    <w:rsid w:val="006A05B0"/>
    <w:rsid w:val="006C7630"/>
    <w:rsid w:val="006D2FEC"/>
    <w:rsid w:val="006D55F6"/>
    <w:rsid w:val="006F5181"/>
    <w:rsid w:val="006F6AA9"/>
    <w:rsid w:val="00703438"/>
    <w:rsid w:val="00715E01"/>
    <w:rsid w:val="0073142B"/>
    <w:rsid w:val="00731CD1"/>
    <w:rsid w:val="0073374F"/>
    <w:rsid w:val="0073545D"/>
    <w:rsid w:val="00740F0F"/>
    <w:rsid w:val="00752698"/>
    <w:rsid w:val="00754C64"/>
    <w:rsid w:val="00756897"/>
    <w:rsid w:val="0076650B"/>
    <w:rsid w:val="00771EF1"/>
    <w:rsid w:val="00783745"/>
    <w:rsid w:val="00790BAA"/>
    <w:rsid w:val="007A1C38"/>
    <w:rsid w:val="007A2281"/>
    <w:rsid w:val="007A3D8D"/>
    <w:rsid w:val="007E703B"/>
    <w:rsid w:val="00800FA7"/>
    <w:rsid w:val="008151B2"/>
    <w:rsid w:val="00820923"/>
    <w:rsid w:val="008357C5"/>
    <w:rsid w:val="0084170D"/>
    <w:rsid w:val="00855ACD"/>
    <w:rsid w:val="008662BE"/>
    <w:rsid w:val="00870595"/>
    <w:rsid w:val="00870DF4"/>
    <w:rsid w:val="0087523B"/>
    <w:rsid w:val="00885E87"/>
    <w:rsid w:val="00893E24"/>
    <w:rsid w:val="00895D91"/>
    <w:rsid w:val="008A7940"/>
    <w:rsid w:val="008C28CF"/>
    <w:rsid w:val="008C392C"/>
    <w:rsid w:val="008C51A5"/>
    <w:rsid w:val="008E4829"/>
    <w:rsid w:val="008E7323"/>
    <w:rsid w:val="008F1AA9"/>
    <w:rsid w:val="00901D4C"/>
    <w:rsid w:val="00903D87"/>
    <w:rsid w:val="00910AF0"/>
    <w:rsid w:val="00917742"/>
    <w:rsid w:val="00922EEB"/>
    <w:rsid w:val="0092659B"/>
    <w:rsid w:val="00927CC7"/>
    <w:rsid w:val="009351A5"/>
    <w:rsid w:val="00936D55"/>
    <w:rsid w:val="00953614"/>
    <w:rsid w:val="00964BE7"/>
    <w:rsid w:val="009665A4"/>
    <w:rsid w:val="00996BCD"/>
    <w:rsid w:val="009A31D1"/>
    <w:rsid w:val="009A33C6"/>
    <w:rsid w:val="009C7D24"/>
    <w:rsid w:val="009E3D66"/>
    <w:rsid w:val="009F11C2"/>
    <w:rsid w:val="009F2AA6"/>
    <w:rsid w:val="009F2ED9"/>
    <w:rsid w:val="009F6D44"/>
    <w:rsid w:val="00A21658"/>
    <w:rsid w:val="00A75B27"/>
    <w:rsid w:val="00A9197D"/>
    <w:rsid w:val="00A96D9D"/>
    <w:rsid w:val="00AA7B4E"/>
    <w:rsid w:val="00AB1AFF"/>
    <w:rsid w:val="00AB441B"/>
    <w:rsid w:val="00AD27BB"/>
    <w:rsid w:val="00AD484A"/>
    <w:rsid w:val="00AD6599"/>
    <w:rsid w:val="00AD65FA"/>
    <w:rsid w:val="00AE13ED"/>
    <w:rsid w:val="00AF3DC8"/>
    <w:rsid w:val="00AF6F56"/>
    <w:rsid w:val="00B01521"/>
    <w:rsid w:val="00B17F40"/>
    <w:rsid w:val="00B25A53"/>
    <w:rsid w:val="00B4117C"/>
    <w:rsid w:val="00B5398E"/>
    <w:rsid w:val="00B54836"/>
    <w:rsid w:val="00B81E00"/>
    <w:rsid w:val="00B96688"/>
    <w:rsid w:val="00BB375E"/>
    <w:rsid w:val="00BB3893"/>
    <w:rsid w:val="00BB4A7F"/>
    <w:rsid w:val="00BB737B"/>
    <w:rsid w:val="00BC07E5"/>
    <w:rsid w:val="00BC0B2D"/>
    <w:rsid w:val="00BC7C9F"/>
    <w:rsid w:val="00BF20CA"/>
    <w:rsid w:val="00C029F0"/>
    <w:rsid w:val="00C2314E"/>
    <w:rsid w:val="00C243D0"/>
    <w:rsid w:val="00C25908"/>
    <w:rsid w:val="00C26698"/>
    <w:rsid w:val="00C312FD"/>
    <w:rsid w:val="00C413FD"/>
    <w:rsid w:val="00C71D7B"/>
    <w:rsid w:val="00C74034"/>
    <w:rsid w:val="00C80C96"/>
    <w:rsid w:val="00C9288E"/>
    <w:rsid w:val="00C95E04"/>
    <w:rsid w:val="00C9609E"/>
    <w:rsid w:val="00CB6627"/>
    <w:rsid w:val="00CC4D0E"/>
    <w:rsid w:val="00CD0B0F"/>
    <w:rsid w:val="00CD3408"/>
    <w:rsid w:val="00CE3552"/>
    <w:rsid w:val="00CE425F"/>
    <w:rsid w:val="00CF2304"/>
    <w:rsid w:val="00D11FB7"/>
    <w:rsid w:val="00D179AA"/>
    <w:rsid w:val="00D36AC5"/>
    <w:rsid w:val="00D501E8"/>
    <w:rsid w:val="00D50837"/>
    <w:rsid w:val="00D55772"/>
    <w:rsid w:val="00D61E46"/>
    <w:rsid w:val="00D70741"/>
    <w:rsid w:val="00D74A3F"/>
    <w:rsid w:val="00D7578C"/>
    <w:rsid w:val="00D76354"/>
    <w:rsid w:val="00D774CE"/>
    <w:rsid w:val="00DA0669"/>
    <w:rsid w:val="00DA4C3C"/>
    <w:rsid w:val="00DA5AFE"/>
    <w:rsid w:val="00DA7DE5"/>
    <w:rsid w:val="00DB64F6"/>
    <w:rsid w:val="00DD7CDA"/>
    <w:rsid w:val="00DE36C2"/>
    <w:rsid w:val="00DE6D5C"/>
    <w:rsid w:val="00DE7D1E"/>
    <w:rsid w:val="00E02903"/>
    <w:rsid w:val="00E066F8"/>
    <w:rsid w:val="00E0766B"/>
    <w:rsid w:val="00E16FB9"/>
    <w:rsid w:val="00E20D99"/>
    <w:rsid w:val="00E24C9F"/>
    <w:rsid w:val="00E25553"/>
    <w:rsid w:val="00E26903"/>
    <w:rsid w:val="00E41F9D"/>
    <w:rsid w:val="00E509E7"/>
    <w:rsid w:val="00E616AA"/>
    <w:rsid w:val="00E71256"/>
    <w:rsid w:val="00E90917"/>
    <w:rsid w:val="00EA2720"/>
    <w:rsid w:val="00EA726F"/>
    <w:rsid w:val="00EC278A"/>
    <w:rsid w:val="00ED397A"/>
    <w:rsid w:val="00EF2FBE"/>
    <w:rsid w:val="00F05174"/>
    <w:rsid w:val="00F34D2B"/>
    <w:rsid w:val="00F36C4D"/>
    <w:rsid w:val="00F44E9D"/>
    <w:rsid w:val="00F56997"/>
    <w:rsid w:val="00F665ED"/>
    <w:rsid w:val="00F7511B"/>
    <w:rsid w:val="00F77183"/>
    <w:rsid w:val="00F816F0"/>
    <w:rsid w:val="00F9157B"/>
    <w:rsid w:val="00F9231A"/>
    <w:rsid w:val="00F96B9D"/>
    <w:rsid w:val="00FB6A43"/>
    <w:rsid w:val="00FB7B3C"/>
    <w:rsid w:val="00FD191C"/>
    <w:rsid w:val="00FD50A8"/>
    <w:rsid w:val="00FE15D4"/>
    <w:rsid w:val="00FE5638"/>
    <w:rsid w:val="00FF22F8"/>
    <w:rsid w:val="00FF324F"/>
    <w:rsid w:val="00FF34B9"/>
    <w:rsid w:val="00FF4E09"/>
    <w:rsid w:val="00FF56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CA3AC2-3F74-41D8-A2B5-A0594C1A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2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link w:val="Textocomentario"/>
    <w:uiPriority w:val="99"/>
    <w:semiHidden/>
    <w:rsid w:val="007A2281"/>
    <w:rPr>
      <w:sz w:val="20"/>
      <w:szCs w:val="20"/>
    </w:rPr>
  </w:style>
  <w:style w:type="paragraph" w:styleId="Textocomentario">
    <w:name w:val="annotation text"/>
    <w:basedOn w:val="Normal"/>
    <w:link w:val="TextocomentarioCar"/>
    <w:uiPriority w:val="99"/>
    <w:semiHidden/>
    <w:unhideWhenUsed/>
    <w:rsid w:val="007A2281"/>
    <w:pPr>
      <w:spacing w:line="240" w:lineRule="auto"/>
    </w:pPr>
    <w:rPr>
      <w:sz w:val="20"/>
      <w:szCs w:val="20"/>
    </w:rPr>
  </w:style>
  <w:style w:type="character" w:customStyle="1" w:styleId="TextodegloboCar">
    <w:name w:val="Texto de globo Car"/>
    <w:basedOn w:val="Fuentedeprrafopredeter"/>
    <w:link w:val="Textodeglobo"/>
    <w:uiPriority w:val="99"/>
    <w:semiHidden/>
    <w:rsid w:val="007A2281"/>
    <w:rPr>
      <w:rFonts w:ascii="Segoe UI" w:hAnsi="Segoe UI" w:cs="Segoe UI"/>
      <w:sz w:val="18"/>
      <w:szCs w:val="18"/>
    </w:rPr>
  </w:style>
  <w:style w:type="paragraph" w:styleId="Textodeglobo">
    <w:name w:val="Balloon Text"/>
    <w:basedOn w:val="Normal"/>
    <w:link w:val="TextodegloboCar"/>
    <w:uiPriority w:val="99"/>
    <w:semiHidden/>
    <w:unhideWhenUsed/>
    <w:rsid w:val="007A2281"/>
    <w:pPr>
      <w:spacing w:after="0" w:line="240" w:lineRule="auto"/>
    </w:pPr>
    <w:rPr>
      <w:rFonts w:ascii="Segoe UI" w:hAnsi="Segoe UI" w:cs="Segoe UI"/>
      <w:sz w:val="18"/>
      <w:szCs w:val="18"/>
    </w:rPr>
  </w:style>
  <w:style w:type="table" w:styleId="Tablaconcuadrcula">
    <w:name w:val="Table Grid"/>
    <w:basedOn w:val="Tablanormal"/>
    <w:uiPriority w:val="39"/>
    <w:rsid w:val="007A228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7A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7A2281"/>
    <w:rPr>
      <w:rFonts w:ascii="Courier New" w:eastAsia="Times New Roman" w:hAnsi="Courier New" w:cs="Courier New"/>
      <w:sz w:val="20"/>
      <w:szCs w:val="20"/>
      <w:lang w:val="en-US"/>
    </w:rPr>
  </w:style>
  <w:style w:type="character" w:customStyle="1" w:styleId="gnkrckgcgsb">
    <w:name w:val="gnkrckgcgsb"/>
    <w:basedOn w:val="Fuentedeprrafopredeter"/>
    <w:rsid w:val="007A2281"/>
  </w:style>
  <w:style w:type="paragraph" w:styleId="Sinespaciado">
    <w:name w:val="No Spacing"/>
    <w:uiPriority w:val="1"/>
    <w:qFormat/>
    <w:rsid w:val="007A2281"/>
    <w:pPr>
      <w:spacing w:after="0" w:line="240" w:lineRule="auto"/>
    </w:pPr>
  </w:style>
  <w:style w:type="character" w:styleId="Hipervnculo">
    <w:name w:val="Hyperlink"/>
    <w:basedOn w:val="Fuentedeprrafopredeter"/>
    <w:uiPriority w:val="99"/>
    <w:unhideWhenUsed/>
    <w:rsid w:val="007A2281"/>
    <w:rPr>
      <w:color w:val="0563C1" w:themeColor="hyperlink"/>
      <w:u w:val="single"/>
    </w:rPr>
  </w:style>
  <w:style w:type="paragraph" w:styleId="Prrafodelista">
    <w:name w:val="List Paragraph"/>
    <w:basedOn w:val="Normal"/>
    <w:uiPriority w:val="34"/>
    <w:qFormat/>
    <w:rsid w:val="007A2281"/>
    <w:pPr>
      <w:ind w:left="720"/>
      <w:contextualSpacing/>
    </w:pPr>
    <w:rPr>
      <w:lang w:val="en-US"/>
    </w:rPr>
  </w:style>
  <w:style w:type="character" w:customStyle="1" w:styleId="orcid-id-https">
    <w:name w:val="orcid-id-https"/>
    <w:basedOn w:val="Fuentedeprrafopredeter"/>
    <w:rsid w:val="007A2281"/>
  </w:style>
  <w:style w:type="paragraph" w:styleId="Descripcin">
    <w:name w:val="caption"/>
    <w:basedOn w:val="Normal"/>
    <w:next w:val="Normal"/>
    <w:uiPriority w:val="35"/>
    <w:unhideWhenUsed/>
    <w:qFormat/>
    <w:rsid w:val="007A2281"/>
    <w:pPr>
      <w:spacing w:after="200" w:line="240" w:lineRule="auto"/>
    </w:pPr>
    <w:rPr>
      <w:i/>
      <w:iCs/>
      <w:color w:val="44546A" w:themeColor="text2"/>
      <w:sz w:val="18"/>
      <w:szCs w:val="18"/>
    </w:rPr>
  </w:style>
  <w:style w:type="paragraph" w:customStyle="1" w:styleId="Default">
    <w:name w:val="Default"/>
    <w:rsid w:val="00820923"/>
    <w:pPr>
      <w:autoSpaceDE w:val="0"/>
      <w:autoSpaceDN w:val="0"/>
      <w:adjustRightInd w:val="0"/>
      <w:spacing w:after="0" w:line="240" w:lineRule="auto"/>
    </w:pPr>
    <w:rPr>
      <w:rFonts w:ascii="Times New Roman" w:hAnsi="Times New Roman" w:cs="Times New Roman"/>
      <w:color w:val="000000"/>
      <w:sz w:val="24"/>
      <w:szCs w:val="24"/>
    </w:rPr>
  </w:style>
  <w:style w:type="table" w:styleId="Tablanormal3">
    <w:name w:val="Plain Table 3"/>
    <w:basedOn w:val="Tablanormal"/>
    <w:uiPriority w:val="43"/>
    <w:rsid w:val="00870D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017A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7A82"/>
  </w:style>
  <w:style w:type="paragraph" w:styleId="Piedepgina">
    <w:name w:val="footer"/>
    <w:basedOn w:val="Normal"/>
    <w:link w:val="PiedepginaCar"/>
    <w:uiPriority w:val="99"/>
    <w:unhideWhenUsed/>
    <w:rsid w:val="00017A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4466">
      <w:bodyDiv w:val="1"/>
      <w:marLeft w:val="0"/>
      <w:marRight w:val="0"/>
      <w:marTop w:val="0"/>
      <w:marBottom w:val="0"/>
      <w:divBdr>
        <w:top w:val="none" w:sz="0" w:space="0" w:color="auto"/>
        <w:left w:val="none" w:sz="0" w:space="0" w:color="auto"/>
        <w:bottom w:val="none" w:sz="0" w:space="0" w:color="auto"/>
        <w:right w:val="none" w:sz="0" w:space="0" w:color="auto"/>
      </w:divBdr>
    </w:div>
    <w:div w:id="102963059">
      <w:bodyDiv w:val="1"/>
      <w:marLeft w:val="0"/>
      <w:marRight w:val="0"/>
      <w:marTop w:val="0"/>
      <w:marBottom w:val="0"/>
      <w:divBdr>
        <w:top w:val="none" w:sz="0" w:space="0" w:color="auto"/>
        <w:left w:val="none" w:sz="0" w:space="0" w:color="auto"/>
        <w:bottom w:val="none" w:sz="0" w:space="0" w:color="auto"/>
        <w:right w:val="none" w:sz="0" w:space="0" w:color="auto"/>
      </w:divBdr>
    </w:div>
    <w:div w:id="230039504">
      <w:bodyDiv w:val="1"/>
      <w:marLeft w:val="0"/>
      <w:marRight w:val="0"/>
      <w:marTop w:val="0"/>
      <w:marBottom w:val="0"/>
      <w:divBdr>
        <w:top w:val="none" w:sz="0" w:space="0" w:color="auto"/>
        <w:left w:val="none" w:sz="0" w:space="0" w:color="auto"/>
        <w:bottom w:val="none" w:sz="0" w:space="0" w:color="auto"/>
        <w:right w:val="none" w:sz="0" w:space="0" w:color="auto"/>
      </w:divBdr>
    </w:div>
    <w:div w:id="675570044">
      <w:bodyDiv w:val="1"/>
      <w:marLeft w:val="0"/>
      <w:marRight w:val="0"/>
      <w:marTop w:val="0"/>
      <w:marBottom w:val="0"/>
      <w:divBdr>
        <w:top w:val="none" w:sz="0" w:space="0" w:color="auto"/>
        <w:left w:val="none" w:sz="0" w:space="0" w:color="auto"/>
        <w:bottom w:val="none" w:sz="0" w:space="0" w:color="auto"/>
        <w:right w:val="none" w:sz="0" w:space="0" w:color="auto"/>
      </w:divBdr>
    </w:div>
    <w:div w:id="684596358">
      <w:bodyDiv w:val="1"/>
      <w:marLeft w:val="0"/>
      <w:marRight w:val="0"/>
      <w:marTop w:val="0"/>
      <w:marBottom w:val="0"/>
      <w:divBdr>
        <w:top w:val="none" w:sz="0" w:space="0" w:color="auto"/>
        <w:left w:val="none" w:sz="0" w:space="0" w:color="auto"/>
        <w:bottom w:val="none" w:sz="0" w:space="0" w:color="auto"/>
        <w:right w:val="none" w:sz="0" w:space="0" w:color="auto"/>
      </w:divBdr>
    </w:div>
    <w:div w:id="894462827">
      <w:bodyDiv w:val="1"/>
      <w:marLeft w:val="0"/>
      <w:marRight w:val="0"/>
      <w:marTop w:val="0"/>
      <w:marBottom w:val="0"/>
      <w:divBdr>
        <w:top w:val="none" w:sz="0" w:space="0" w:color="auto"/>
        <w:left w:val="none" w:sz="0" w:space="0" w:color="auto"/>
        <w:bottom w:val="none" w:sz="0" w:space="0" w:color="auto"/>
        <w:right w:val="none" w:sz="0" w:space="0" w:color="auto"/>
      </w:divBdr>
      <w:divsChild>
        <w:div w:id="926694065">
          <w:marLeft w:val="-240"/>
          <w:marRight w:val="-240"/>
          <w:marTop w:val="0"/>
          <w:marBottom w:val="0"/>
          <w:divBdr>
            <w:top w:val="none" w:sz="0" w:space="0" w:color="auto"/>
            <w:left w:val="none" w:sz="0" w:space="0" w:color="auto"/>
            <w:bottom w:val="none" w:sz="0" w:space="0" w:color="auto"/>
            <w:right w:val="none" w:sz="0" w:space="0" w:color="auto"/>
          </w:divBdr>
          <w:divsChild>
            <w:div w:id="1653945426">
              <w:marLeft w:val="0"/>
              <w:marRight w:val="0"/>
              <w:marTop w:val="0"/>
              <w:marBottom w:val="0"/>
              <w:divBdr>
                <w:top w:val="none" w:sz="0" w:space="0" w:color="auto"/>
                <w:left w:val="none" w:sz="0" w:space="0" w:color="auto"/>
                <w:bottom w:val="none" w:sz="0" w:space="0" w:color="auto"/>
                <w:right w:val="none" w:sz="0" w:space="0" w:color="auto"/>
              </w:divBdr>
              <w:divsChild>
                <w:div w:id="14122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51797">
      <w:bodyDiv w:val="1"/>
      <w:marLeft w:val="0"/>
      <w:marRight w:val="0"/>
      <w:marTop w:val="0"/>
      <w:marBottom w:val="0"/>
      <w:divBdr>
        <w:top w:val="none" w:sz="0" w:space="0" w:color="auto"/>
        <w:left w:val="none" w:sz="0" w:space="0" w:color="auto"/>
        <w:bottom w:val="none" w:sz="0" w:space="0" w:color="auto"/>
        <w:right w:val="none" w:sz="0" w:space="0" w:color="auto"/>
      </w:divBdr>
    </w:div>
    <w:div w:id="1154681607">
      <w:bodyDiv w:val="1"/>
      <w:marLeft w:val="0"/>
      <w:marRight w:val="0"/>
      <w:marTop w:val="0"/>
      <w:marBottom w:val="0"/>
      <w:divBdr>
        <w:top w:val="none" w:sz="0" w:space="0" w:color="auto"/>
        <w:left w:val="none" w:sz="0" w:space="0" w:color="auto"/>
        <w:bottom w:val="none" w:sz="0" w:space="0" w:color="auto"/>
        <w:right w:val="none" w:sz="0" w:space="0" w:color="auto"/>
      </w:divBdr>
    </w:div>
    <w:div w:id="1168405463">
      <w:bodyDiv w:val="1"/>
      <w:marLeft w:val="0"/>
      <w:marRight w:val="0"/>
      <w:marTop w:val="0"/>
      <w:marBottom w:val="0"/>
      <w:divBdr>
        <w:top w:val="none" w:sz="0" w:space="0" w:color="auto"/>
        <w:left w:val="none" w:sz="0" w:space="0" w:color="auto"/>
        <w:bottom w:val="none" w:sz="0" w:space="0" w:color="auto"/>
        <w:right w:val="none" w:sz="0" w:space="0" w:color="auto"/>
      </w:divBdr>
    </w:div>
    <w:div w:id="1171947323">
      <w:bodyDiv w:val="1"/>
      <w:marLeft w:val="0"/>
      <w:marRight w:val="0"/>
      <w:marTop w:val="0"/>
      <w:marBottom w:val="0"/>
      <w:divBdr>
        <w:top w:val="none" w:sz="0" w:space="0" w:color="auto"/>
        <w:left w:val="none" w:sz="0" w:space="0" w:color="auto"/>
        <w:bottom w:val="none" w:sz="0" w:space="0" w:color="auto"/>
        <w:right w:val="none" w:sz="0" w:space="0" w:color="auto"/>
      </w:divBdr>
    </w:div>
    <w:div w:id="1269461174">
      <w:bodyDiv w:val="1"/>
      <w:marLeft w:val="0"/>
      <w:marRight w:val="0"/>
      <w:marTop w:val="0"/>
      <w:marBottom w:val="0"/>
      <w:divBdr>
        <w:top w:val="none" w:sz="0" w:space="0" w:color="auto"/>
        <w:left w:val="none" w:sz="0" w:space="0" w:color="auto"/>
        <w:bottom w:val="none" w:sz="0" w:space="0" w:color="auto"/>
        <w:right w:val="none" w:sz="0" w:space="0" w:color="auto"/>
      </w:divBdr>
    </w:div>
    <w:div w:id="1303340332">
      <w:bodyDiv w:val="1"/>
      <w:marLeft w:val="0"/>
      <w:marRight w:val="0"/>
      <w:marTop w:val="0"/>
      <w:marBottom w:val="0"/>
      <w:divBdr>
        <w:top w:val="none" w:sz="0" w:space="0" w:color="auto"/>
        <w:left w:val="none" w:sz="0" w:space="0" w:color="auto"/>
        <w:bottom w:val="none" w:sz="0" w:space="0" w:color="auto"/>
        <w:right w:val="none" w:sz="0" w:space="0" w:color="auto"/>
      </w:divBdr>
    </w:div>
    <w:div w:id="1344630026">
      <w:bodyDiv w:val="1"/>
      <w:marLeft w:val="0"/>
      <w:marRight w:val="0"/>
      <w:marTop w:val="0"/>
      <w:marBottom w:val="0"/>
      <w:divBdr>
        <w:top w:val="none" w:sz="0" w:space="0" w:color="auto"/>
        <w:left w:val="none" w:sz="0" w:space="0" w:color="auto"/>
        <w:bottom w:val="none" w:sz="0" w:space="0" w:color="auto"/>
        <w:right w:val="none" w:sz="0" w:space="0" w:color="auto"/>
      </w:divBdr>
    </w:div>
    <w:div w:id="1354726989">
      <w:bodyDiv w:val="1"/>
      <w:marLeft w:val="0"/>
      <w:marRight w:val="0"/>
      <w:marTop w:val="0"/>
      <w:marBottom w:val="0"/>
      <w:divBdr>
        <w:top w:val="none" w:sz="0" w:space="0" w:color="auto"/>
        <w:left w:val="none" w:sz="0" w:space="0" w:color="auto"/>
        <w:bottom w:val="none" w:sz="0" w:space="0" w:color="auto"/>
        <w:right w:val="none" w:sz="0" w:space="0" w:color="auto"/>
      </w:divBdr>
    </w:div>
    <w:div w:id="1373310330">
      <w:bodyDiv w:val="1"/>
      <w:marLeft w:val="0"/>
      <w:marRight w:val="0"/>
      <w:marTop w:val="0"/>
      <w:marBottom w:val="0"/>
      <w:divBdr>
        <w:top w:val="none" w:sz="0" w:space="0" w:color="auto"/>
        <w:left w:val="none" w:sz="0" w:space="0" w:color="auto"/>
        <w:bottom w:val="none" w:sz="0" w:space="0" w:color="auto"/>
        <w:right w:val="none" w:sz="0" w:space="0" w:color="auto"/>
      </w:divBdr>
    </w:div>
    <w:div w:id="1503155277">
      <w:bodyDiv w:val="1"/>
      <w:marLeft w:val="0"/>
      <w:marRight w:val="0"/>
      <w:marTop w:val="0"/>
      <w:marBottom w:val="0"/>
      <w:divBdr>
        <w:top w:val="none" w:sz="0" w:space="0" w:color="auto"/>
        <w:left w:val="none" w:sz="0" w:space="0" w:color="auto"/>
        <w:bottom w:val="none" w:sz="0" w:space="0" w:color="auto"/>
        <w:right w:val="none" w:sz="0" w:space="0" w:color="auto"/>
      </w:divBdr>
    </w:div>
    <w:div w:id="1739280567">
      <w:bodyDiv w:val="1"/>
      <w:marLeft w:val="0"/>
      <w:marRight w:val="0"/>
      <w:marTop w:val="0"/>
      <w:marBottom w:val="0"/>
      <w:divBdr>
        <w:top w:val="none" w:sz="0" w:space="0" w:color="auto"/>
        <w:left w:val="none" w:sz="0" w:space="0" w:color="auto"/>
        <w:bottom w:val="none" w:sz="0" w:space="0" w:color="auto"/>
        <w:right w:val="none" w:sz="0" w:space="0" w:color="auto"/>
      </w:divBdr>
    </w:div>
    <w:div w:id="1776905645">
      <w:bodyDiv w:val="1"/>
      <w:marLeft w:val="0"/>
      <w:marRight w:val="0"/>
      <w:marTop w:val="0"/>
      <w:marBottom w:val="0"/>
      <w:divBdr>
        <w:top w:val="none" w:sz="0" w:space="0" w:color="auto"/>
        <w:left w:val="none" w:sz="0" w:space="0" w:color="auto"/>
        <w:bottom w:val="none" w:sz="0" w:space="0" w:color="auto"/>
        <w:right w:val="none" w:sz="0" w:space="0" w:color="auto"/>
      </w:divBdr>
    </w:div>
    <w:div w:id="1898934041">
      <w:bodyDiv w:val="1"/>
      <w:marLeft w:val="0"/>
      <w:marRight w:val="0"/>
      <w:marTop w:val="0"/>
      <w:marBottom w:val="0"/>
      <w:divBdr>
        <w:top w:val="none" w:sz="0" w:space="0" w:color="auto"/>
        <w:left w:val="none" w:sz="0" w:space="0" w:color="auto"/>
        <w:bottom w:val="none" w:sz="0" w:space="0" w:color="auto"/>
        <w:right w:val="none" w:sz="0" w:space="0" w:color="auto"/>
      </w:divBdr>
    </w:div>
    <w:div w:id="1975982594">
      <w:bodyDiv w:val="1"/>
      <w:marLeft w:val="0"/>
      <w:marRight w:val="0"/>
      <w:marTop w:val="0"/>
      <w:marBottom w:val="0"/>
      <w:divBdr>
        <w:top w:val="none" w:sz="0" w:space="0" w:color="auto"/>
        <w:left w:val="none" w:sz="0" w:space="0" w:color="auto"/>
        <w:bottom w:val="none" w:sz="0" w:space="0" w:color="auto"/>
        <w:right w:val="none" w:sz="0" w:space="0" w:color="auto"/>
      </w:divBdr>
    </w:div>
    <w:div w:id="2009752421">
      <w:bodyDiv w:val="1"/>
      <w:marLeft w:val="0"/>
      <w:marRight w:val="0"/>
      <w:marTop w:val="0"/>
      <w:marBottom w:val="0"/>
      <w:divBdr>
        <w:top w:val="none" w:sz="0" w:space="0" w:color="auto"/>
        <w:left w:val="none" w:sz="0" w:space="0" w:color="auto"/>
        <w:bottom w:val="none" w:sz="0" w:space="0" w:color="auto"/>
        <w:right w:val="none" w:sz="0" w:space="0" w:color="auto"/>
      </w:divBdr>
    </w:div>
    <w:div w:id="2029747144">
      <w:bodyDiv w:val="1"/>
      <w:marLeft w:val="0"/>
      <w:marRight w:val="0"/>
      <w:marTop w:val="0"/>
      <w:marBottom w:val="0"/>
      <w:divBdr>
        <w:top w:val="none" w:sz="0" w:space="0" w:color="auto"/>
        <w:left w:val="none" w:sz="0" w:space="0" w:color="auto"/>
        <w:bottom w:val="none" w:sz="0" w:space="0" w:color="auto"/>
        <w:right w:val="none" w:sz="0" w:space="0" w:color="auto"/>
      </w:divBdr>
    </w:div>
    <w:div w:id="2061053747">
      <w:bodyDiv w:val="1"/>
      <w:marLeft w:val="0"/>
      <w:marRight w:val="0"/>
      <w:marTop w:val="0"/>
      <w:marBottom w:val="0"/>
      <w:divBdr>
        <w:top w:val="none" w:sz="0" w:space="0" w:color="auto"/>
        <w:left w:val="none" w:sz="0" w:space="0" w:color="auto"/>
        <w:bottom w:val="none" w:sz="0" w:space="0" w:color="auto"/>
        <w:right w:val="none" w:sz="0" w:space="0" w:color="auto"/>
      </w:divBdr>
    </w:div>
    <w:div w:id="2066023304">
      <w:bodyDiv w:val="1"/>
      <w:marLeft w:val="0"/>
      <w:marRight w:val="0"/>
      <w:marTop w:val="0"/>
      <w:marBottom w:val="0"/>
      <w:divBdr>
        <w:top w:val="none" w:sz="0" w:space="0" w:color="auto"/>
        <w:left w:val="none" w:sz="0" w:space="0" w:color="auto"/>
        <w:bottom w:val="none" w:sz="0" w:space="0" w:color="auto"/>
        <w:right w:val="none" w:sz="0" w:space="0" w:color="auto"/>
      </w:divBdr>
    </w:div>
    <w:div w:id="2089569172">
      <w:bodyDiv w:val="1"/>
      <w:marLeft w:val="0"/>
      <w:marRight w:val="0"/>
      <w:marTop w:val="0"/>
      <w:marBottom w:val="0"/>
      <w:divBdr>
        <w:top w:val="none" w:sz="0" w:space="0" w:color="auto"/>
        <w:left w:val="none" w:sz="0" w:space="0" w:color="auto"/>
        <w:bottom w:val="none" w:sz="0" w:space="0" w:color="auto"/>
        <w:right w:val="none" w:sz="0" w:space="0" w:color="auto"/>
      </w:divBdr>
    </w:div>
    <w:div w:id="2130320388">
      <w:bodyDiv w:val="1"/>
      <w:marLeft w:val="0"/>
      <w:marRight w:val="0"/>
      <w:marTop w:val="0"/>
      <w:marBottom w:val="0"/>
      <w:divBdr>
        <w:top w:val="none" w:sz="0" w:space="0" w:color="auto"/>
        <w:left w:val="none" w:sz="0" w:space="0" w:color="auto"/>
        <w:bottom w:val="none" w:sz="0" w:space="0" w:color="auto"/>
        <w:right w:val="none" w:sz="0" w:space="0" w:color="auto"/>
      </w:divBdr>
    </w:div>
    <w:div w:id="2130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Bel96</b:Tag>
    <b:SourceType>JournalArticle</b:SourceType>
    <b:Guid>{5B404221-61F2-4903-8E03-F7F2351771BD}</b:Guid>
    <b:Author>
      <b:Author>
        <b:NameList>
          <b:Person>
            <b:Last>Bellón</b:Last>
            <b:Middle>A</b:Middle>
            <b:First>J</b:First>
          </b:Person>
          <b:Person>
            <b:Last>Luna del Castillo</b:Last>
            <b:First>A</b:First>
          </b:Person>
          <b:Person>
            <b:Last>Lardelli P</b:Last>
            <b:Middle>D</b:Middle>
            <b:First>J</b:First>
          </b:Person>
          <b:Person>
            <b:Last>Luna </b:Last>
            <b:Middle>D</b:Middle>
            <b:First>J</b:First>
          </b:Person>
          <b:Person>
            <b:Last>Delgado</b:Last>
            <b:First>J</b:First>
          </b:Person>
          <b:Person>
            <b:Last>Lardelli-Claret</b:Last>
            <b:First>P</b:First>
          </b:Person>
        </b:NameList>
      </b:Author>
    </b:Author>
    <b:Title>Validez y fiabilidad del cuestionario de función familiar Apgar-familiar</b:Title>
    <b:JournalName>Atención Primaria</b:JournalName>
    <b:Year>1996</b:Year>
    <b:Pages>289-296</b:Pages>
    <b:Volume>18</b:Volume>
    <b:Issue>6</b:Issue>
    <b:RefOrder>1</b:RefOrder>
  </b:Source>
  <b:Source>
    <b:Tag>Smi88</b:Tag>
    <b:SourceType>JournalArticle</b:SourceType>
    <b:Guid>{6B881C6F-DB39-40A4-8C78-410209C7B0D0}</b:Guid>
    <b:Title>The Apgar Questionnaires. Screening for social support: family, friends and work associates</b:Title>
    <b:Year>1988</b:Year>
    <b:Author>
      <b:Author>
        <b:NameList>
          <b:Person>
            <b:Last>Smilkstein</b:Last>
            <b:First>G</b:First>
          </b:Person>
          <b:Person>
            <b:Last>Moore </b:Last>
            <b:Middle>R</b:Middle>
            <b:First>W</b:First>
          </b:Person>
        </b:NameList>
      </b:Author>
    </b:Author>
    <b:RefOrder>2</b:RefOrder>
  </b:Source>
  <b:Source>
    <b:Tag>Smi78</b:Tag>
    <b:SourceType>JournalArticle</b:SourceType>
    <b:Guid>{E32C37B4-B921-44CD-BEA9-8ECF9B51920B}</b:Guid>
    <b:Title>The family APGAR: a proposal for a family fuction test and its use by physicians</b:Title>
    <b:JournalName>J fam pract</b:JournalName>
    <b:Year>1978</b:Year>
    <b:Pages>1231-1239</b:Pages>
    <b:Author>
      <b:Author>
        <b:NameList>
          <b:Person>
            <b:Last>Smilkstein</b:Last>
            <b:First>G</b:First>
          </b:Person>
        </b:NameList>
      </b:Author>
    </b:Author>
    <b:Volume>6</b:Volume>
    <b:Issue>6</b:Issue>
    <b:RefOrder>3</b:RefOrder>
  </b:Source>
</b:Sources>
</file>

<file path=customXml/itemProps1.xml><?xml version="1.0" encoding="utf-8"?>
<ds:datastoreItem xmlns:ds="http://schemas.openxmlformats.org/officeDocument/2006/customXml" ds:itemID="{0A94CB79-0959-4F92-A449-BACAEE0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7334</TotalTime>
  <Pages>19</Pages>
  <Words>22471</Words>
  <Characters>123593</Characters>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2020-06-10T15:44:00Z</dcterms:created>
  <dcterms:modified xsi:type="dcterms:W3CDTF">2020-10-19T18:54:00Z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194b588d-884a-3ca8-b233-79aecfbf1ba2</vt:lpwstr>
  </property>
  <property fmtid="{D5CDD505-2E9C-101B-9397-08002B2CF9AE}" pid="24" name="Mendeley Citation Style_1">
    <vt:lpwstr>http://www.zotero.org/styles/apa</vt:lpwstr>
  </property>
</Properties>
</file>