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CFA" w:rsidRDefault="00153DC5" w:rsidP="00906CFA">
      <w:pPr>
        <w:rPr>
          <w:lang w:val="en-US"/>
        </w:rPr>
      </w:pPr>
      <w:r w:rsidRPr="002B2297">
        <w:rPr>
          <w:lang w:val="en-US"/>
        </w:rPr>
        <w:t xml:space="preserve"> </w:t>
      </w:r>
    </w:p>
    <w:p w:rsidR="00906CFA" w:rsidRPr="00906CFA" w:rsidRDefault="00906CFA" w:rsidP="00906CFA">
      <w:pPr>
        <w:jc w:val="center"/>
        <w:rPr>
          <w:sz w:val="36"/>
          <w:szCs w:val="36"/>
          <w:lang w:val="en-US"/>
        </w:rPr>
      </w:pPr>
      <w:r w:rsidRPr="00906CFA">
        <w:rPr>
          <w:b/>
          <w:sz w:val="36"/>
          <w:szCs w:val="36"/>
          <w:lang w:val="en-US"/>
        </w:rPr>
        <w:t>COVID-19 risk perception among a population with higher education in Mexico</w:t>
      </w:r>
    </w:p>
    <w:p w:rsidR="00742E4A" w:rsidRPr="00E25900" w:rsidRDefault="00742E4A" w:rsidP="00977250">
      <w:pPr>
        <w:pStyle w:val="Titulodeartculo"/>
        <w:rPr>
          <w:lang w:val="en-US" w:eastAsia="pt-BR"/>
        </w:rPr>
      </w:pPr>
    </w:p>
    <w:p w:rsidR="00B845A1" w:rsidRPr="00107993" w:rsidRDefault="00B845A1" w:rsidP="00C413D4">
      <w:pPr>
        <w:rPr>
          <w:i/>
          <w:sz w:val="28"/>
          <w:szCs w:val="28"/>
          <w:lang w:val="en-US"/>
        </w:rPr>
      </w:pPr>
    </w:p>
    <w:p w:rsidR="00C413D4" w:rsidRPr="00107993" w:rsidRDefault="00A22008" w:rsidP="00C413D4">
      <w:pPr>
        <w:rPr>
          <w:rFonts w:ascii="Times" w:hAnsi="Times"/>
          <w:i/>
          <w:sz w:val="28"/>
          <w:szCs w:val="28"/>
          <w:lang w:val="en-US"/>
        </w:rPr>
      </w:pPr>
      <w:r w:rsidRPr="00A22008">
        <w:rPr>
          <w:noProof/>
          <w:lang w:val="es-ES" w:eastAsia="es-ES"/>
        </w:rPr>
        <w:pict>
          <v:line id="Straight Connector 8" o:spid="_x0000_s1026" style="position:absolute;z-index:251659264;visibility:visible" from="0,5.25pt" to="486pt,5.25pt" strokecolor="windowText" strokeweight="2pt">
            <o:lock v:ext="edit" shapetype="f"/>
          </v:line>
        </w:pict>
      </w:r>
    </w:p>
    <w:p w:rsidR="00C413D4" w:rsidRPr="00107993" w:rsidRDefault="00C413D4" w:rsidP="00C413D4">
      <w:pPr>
        <w:rPr>
          <w:b/>
          <w:sz w:val="20"/>
          <w:szCs w:val="20"/>
          <w:lang w:val="en-US"/>
        </w:rPr>
      </w:pPr>
    </w:p>
    <w:p w:rsidR="00C43335" w:rsidRPr="009B449C" w:rsidRDefault="00C413D4" w:rsidP="00C43335">
      <w:pPr>
        <w:pStyle w:val="TtuloResumen"/>
        <w:rPr>
          <w:lang w:val="en-US"/>
        </w:rPr>
      </w:pPr>
      <w:r w:rsidRPr="009B449C">
        <w:rPr>
          <w:lang w:val="en-US"/>
        </w:rPr>
        <w:t>Abstract</w:t>
      </w:r>
    </w:p>
    <w:p w:rsidR="00906CFA" w:rsidRPr="00906CFA" w:rsidRDefault="00906CFA" w:rsidP="00906CFA">
      <w:pPr>
        <w:jc w:val="both"/>
        <w:rPr>
          <w:color w:val="000000"/>
          <w:sz w:val="20"/>
          <w:szCs w:val="20"/>
          <w:lang w:val="en-US" w:eastAsia="es-MX"/>
        </w:rPr>
      </w:pPr>
      <w:r w:rsidRPr="00906CFA">
        <w:rPr>
          <w:color w:val="000000"/>
          <w:sz w:val="20"/>
          <w:szCs w:val="20"/>
          <w:lang w:val="en-US" w:eastAsia="es-MX"/>
        </w:rPr>
        <w:t>Given the characteristics of the transmission of the COVID-19 virus, the need to implement personal prevention measures to control the spread of the disease has increased. The perception of personal risk of contracting the disease is one of the factors that contribute to the increase in public participation in preventive measures. In this study, we conducted a self-access survey on the Internet, targeted towards people with a higher education level in México, with the aim of showing the causal factors that contribute to the high / low perception of personal risk during the COVID-19 pandemic.</w:t>
      </w:r>
    </w:p>
    <w:p w:rsidR="00906CFA" w:rsidRPr="00906CFA" w:rsidRDefault="00906CFA" w:rsidP="00906CFA">
      <w:pPr>
        <w:jc w:val="both"/>
        <w:rPr>
          <w:color w:val="000000"/>
          <w:sz w:val="20"/>
          <w:szCs w:val="20"/>
          <w:lang w:val="en-US" w:eastAsia="es-MX"/>
        </w:rPr>
      </w:pPr>
      <w:r w:rsidRPr="00906CFA">
        <w:rPr>
          <w:color w:val="000000"/>
          <w:sz w:val="20"/>
          <w:szCs w:val="20"/>
          <w:lang w:val="en-US" w:eastAsia="es-MX"/>
        </w:rPr>
        <w:t>A quantitative, analytical and explanatory study was carried out with a cross-sectional design. For the statistical analysis and the interpretation of the data, the classification trees technique was used. Out of the probabilistic rules found in the model, it was found that the independent variables that contributed directly to the overall perception of risk were: the severity of the pandemic, vulnerability to disease, and catastrophic power. It can be concluded that a greater perception of the severity and the susceptibility of contracting the virus has positive effect on social norms for taking preventive measures.</w:t>
      </w:r>
    </w:p>
    <w:p w:rsidR="00C413D4" w:rsidRPr="009B449C" w:rsidRDefault="00C413D4" w:rsidP="00C413D4">
      <w:pPr>
        <w:rPr>
          <w:sz w:val="20"/>
          <w:szCs w:val="20"/>
          <w:lang w:val="en-US"/>
        </w:rPr>
      </w:pPr>
    </w:p>
    <w:p w:rsidR="00C413D4" w:rsidRPr="00E25900" w:rsidRDefault="00C413D4" w:rsidP="00C413D4">
      <w:pPr>
        <w:rPr>
          <w:b/>
          <w:sz w:val="20"/>
          <w:szCs w:val="20"/>
          <w:lang w:val="en-US"/>
        </w:rPr>
      </w:pPr>
      <w:r w:rsidRPr="00E25900">
        <w:rPr>
          <w:b/>
          <w:sz w:val="20"/>
          <w:szCs w:val="20"/>
          <w:lang w:val="en-US"/>
        </w:rPr>
        <w:t>Keywords</w:t>
      </w:r>
    </w:p>
    <w:p w:rsidR="00906CFA" w:rsidRPr="00533085" w:rsidRDefault="00906CFA" w:rsidP="00906CFA">
      <w:pPr>
        <w:pStyle w:val="Ttulo1"/>
        <w:shd w:val="clear" w:color="auto" w:fill="FFFFFF"/>
        <w:spacing w:before="0" w:line="480" w:lineRule="auto"/>
        <w:rPr>
          <w:rFonts w:ascii="Times New Roman" w:eastAsiaTheme="minorHAnsi" w:hAnsi="Times New Roman" w:cs="Times New Roman"/>
          <w:b w:val="0"/>
          <w:bCs w:val="0"/>
          <w:color w:val="auto"/>
          <w:sz w:val="20"/>
          <w:szCs w:val="20"/>
          <w:lang w:val="en-US"/>
        </w:rPr>
      </w:pPr>
      <w:r w:rsidRPr="00906CFA">
        <w:rPr>
          <w:rFonts w:ascii="Times New Roman" w:eastAsiaTheme="minorHAnsi" w:hAnsi="Times New Roman" w:cs="Times New Roman"/>
          <w:b w:val="0"/>
          <w:bCs w:val="0"/>
          <w:color w:val="auto"/>
          <w:sz w:val="20"/>
          <w:szCs w:val="20"/>
          <w:lang w:val="en-US"/>
        </w:rPr>
        <w:t>Primary Preventio</w:t>
      </w:r>
      <w:r>
        <w:rPr>
          <w:rFonts w:ascii="Times New Roman" w:eastAsiaTheme="minorHAnsi" w:hAnsi="Times New Roman" w:cs="Times New Roman"/>
          <w:b w:val="0"/>
          <w:bCs w:val="0"/>
          <w:color w:val="auto"/>
          <w:sz w:val="20"/>
          <w:szCs w:val="20"/>
          <w:lang w:val="en-US"/>
        </w:rPr>
        <w:t>n;</w:t>
      </w:r>
      <w:r w:rsidRPr="00906CFA">
        <w:rPr>
          <w:rFonts w:ascii="Times New Roman" w:eastAsiaTheme="minorHAnsi" w:hAnsi="Times New Roman" w:cs="Times New Roman"/>
          <w:b w:val="0"/>
          <w:bCs w:val="0"/>
          <w:color w:val="auto"/>
          <w:sz w:val="20"/>
          <w:szCs w:val="20"/>
          <w:lang w:val="en-US"/>
        </w:rPr>
        <w:t xml:space="preserve"> </w:t>
      </w:r>
      <w:r>
        <w:rPr>
          <w:rFonts w:ascii="Times New Roman" w:eastAsiaTheme="minorHAnsi" w:hAnsi="Times New Roman" w:cs="Times New Roman"/>
          <w:b w:val="0"/>
          <w:bCs w:val="0"/>
          <w:color w:val="auto"/>
          <w:sz w:val="20"/>
          <w:szCs w:val="20"/>
          <w:lang w:val="en-US"/>
        </w:rPr>
        <w:t xml:space="preserve">Risk Assessment; </w:t>
      </w:r>
      <w:r w:rsidRPr="00906CFA">
        <w:rPr>
          <w:rFonts w:ascii="Times New Roman" w:eastAsiaTheme="minorHAnsi" w:hAnsi="Times New Roman" w:cs="Times New Roman"/>
          <w:b w:val="0"/>
          <w:bCs w:val="0"/>
          <w:color w:val="auto"/>
          <w:sz w:val="20"/>
          <w:szCs w:val="20"/>
          <w:lang w:val="en-US"/>
        </w:rPr>
        <w:t>Coronavirus</w:t>
      </w:r>
      <w:r w:rsidR="00533085">
        <w:rPr>
          <w:rFonts w:ascii="Times New Roman" w:eastAsiaTheme="minorHAnsi" w:hAnsi="Times New Roman" w:cs="Times New Roman"/>
          <w:b w:val="0"/>
          <w:bCs w:val="0"/>
          <w:color w:val="auto"/>
          <w:sz w:val="20"/>
          <w:szCs w:val="20"/>
          <w:lang w:val="en-US"/>
        </w:rPr>
        <w:t xml:space="preserve">; </w:t>
      </w:r>
      <w:r w:rsidR="009D7A9F" w:rsidRPr="009D7A9F">
        <w:rPr>
          <w:rFonts w:ascii="Times New Roman" w:hAnsi="Times New Roman" w:cs="Times New Roman"/>
          <w:b w:val="0"/>
          <w:color w:val="000000"/>
          <w:sz w:val="20"/>
          <w:szCs w:val="20"/>
          <w:lang w:val="en-US" w:eastAsia="es-MX"/>
        </w:rPr>
        <w:t>psychometric paradigm;</w:t>
      </w:r>
      <w:r w:rsidR="009D7A9F" w:rsidRPr="00533085">
        <w:rPr>
          <w:rFonts w:ascii="Times New Roman" w:hAnsi="Times New Roman" w:cs="Times New Roman"/>
          <w:b w:val="0"/>
          <w:color w:val="000000"/>
          <w:sz w:val="20"/>
          <w:szCs w:val="20"/>
          <w:lang w:val="en-US" w:eastAsia="es-MX"/>
        </w:rPr>
        <w:t xml:space="preserve"> </w:t>
      </w:r>
      <w:r w:rsidR="00533085" w:rsidRPr="00533085">
        <w:rPr>
          <w:rFonts w:ascii="Times New Roman" w:hAnsi="Times New Roman" w:cs="Times New Roman"/>
          <w:b w:val="0"/>
          <w:color w:val="000000"/>
          <w:sz w:val="20"/>
          <w:szCs w:val="20"/>
          <w:lang w:val="en-US" w:eastAsia="es-MX"/>
        </w:rPr>
        <w:t>Classification Trees</w:t>
      </w:r>
      <w:r w:rsidRPr="00533085">
        <w:rPr>
          <w:rFonts w:ascii="Times New Roman" w:eastAsiaTheme="minorHAnsi" w:hAnsi="Times New Roman" w:cs="Times New Roman"/>
          <w:b w:val="0"/>
          <w:bCs w:val="0"/>
          <w:color w:val="auto"/>
          <w:sz w:val="20"/>
          <w:szCs w:val="20"/>
          <w:lang w:val="en-US"/>
        </w:rPr>
        <w:t xml:space="preserve"> </w:t>
      </w:r>
    </w:p>
    <w:p w:rsidR="00153DC5" w:rsidRPr="00E25900" w:rsidRDefault="00153DC5" w:rsidP="007A7C7C">
      <w:pPr>
        <w:jc w:val="both"/>
        <w:rPr>
          <w:bCs/>
          <w:sz w:val="20"/>
          <w:szCs w:val="20"/>
          <w:lang w:val="en-US"/>
        </w:rPr>
      </w:pPr>
    </w:p>
    <w:p w:rsidR="00153DC5" w:rsidRPr="00E25900" w:rsidRDefault="00153DC5" w:rsidP="007A7C7C">
      <w:pPr>
        <w:jc w:val="both"/>
        <w:rPr>
          <w:bCs/>
          <w:sz w:val="20"/>
          <w:szCs w:val="20"/>
          <w:lang w:val="en-US"/>
        </w:rPr>
      </w:pPr>
    </w:p>
    <w:p w:rsidR="00153DC5" w:rsidRPr="006B088F" w:rsidRDefault="00153DC5" w:rsidP="006B088F">
      <w:pPr>
        <w:pStyle w:val="TtuloResumen"/>
        <w:rPr>
          <w:lang w:val="es-AR"/>
        </w:rPr>
      </w:pPr>
      <w:r w:rsidRPr="00E25900">
        <w:rPr>
          <w:lang w:val="es-AR"/>
        </w:rPr>
        <w:t>Resum</w:t>
      </w:r>
      <w:r w:rsidR="009A583F" w:rsidRPr="00E25900">
        <w:rPr>
          <w:lang w:val="es-AR"/>
        </w:rPr>
        <w:t>en</w:t>
      </w:r>
    </w:p>
    <w:p w:rsidR="00906CFA" w:rsidRPr="00906CFA" w:rsidRDefault="00906CFA" w:rsidP="00906CFA">
      <w:pPr>
        <w:autoSpaceDE w:val="0"/>
        <w:autoSpaceDN w:val="0"/>
        <w:adjustRightInd w:val="0"/>
        <w:jc w:val="both"/>
        <w:rPr>
          <w:sz w:val="20"/>
          <w:szCs w:val="20"/>
        </w:rPr>
      </w:pPr>
      <w:r w:rsidRPr="00906CFA">
        <w:rPr>
          <w:sz w:val="20"/>
          <w:szCs w:val="20"/>
        </w:rPr>
        <w:t xml:space="preserve">Las características de la transmisión del virus de COVID-19,  incrementó la necesidad de implementar medidas  de prevención personal para el control de la propagación de la enfermedad. Para lograr la implementación exitosa de las medidas de prevención, la percepción del riesgo personal de contraer la enfermedad, es uno de los factores que contribuyen al aumento de la participación pública. Este estudio presenta los resultados de una encuesta de auto-acceso realizada por Internet, a personas con nivel educativo medio superior y superior en México, con el objetivo de evidenciar los factores causales, que contribuyen a la percepción alta/baja del riesgo de la pandemia COVID-19. </w:t>
      </w:r>
    </w:p>
    <w:p w:rsidR="00906CFA" w:rsidRPr="00906CFA" w:rsidRDefault="00906CFA" w:rsidP="00906CFA">
      <w:pPr>
        <w:jc w:val="both"/>
        <w:rPr>
          <w:sz w:val="20"/>
          <w:szCs w:val="20"/>
        </w:rPr>
      </w:pPr>
      <w:r w:rsidRPr="00906CFA">
        <w:rPr>
          <w:sz w:val="20"/>
          <w:szCs w:val="20"/>
        </w:rPr>
        <w:t xml:space="preserve">Se realizó una investigación exploratoria cuantitativa, analítica y explicativa con diseño transversal. Para el análisis estadístico y la interpretación de los datos se utilizó la técnica árboles de clasificación. De las reglas probabilísticas halladas en el modelo, se obtuvo que las variables independientes que contribuyen directamente a la percepción global de riesgo son: La Gravedad de la pandemia, la Vulnerabilidad a la enfermedad y el Poder catastrófico. Se concluye que una mayor percepción de la severidad y la susceptibilidad de contraer el virus tiene efecto positivo sobre las normas sociales para la toma de medidas preventivas. </w:t>
      </w:r>
    </w:p>
    <w:p w:rsidR="0027261B" w:rsidRPr="00E25900" w:rsidRDefault="0027261B" w:rsidP="005B5614">
      <w:pPr>
        <w:jc w:val="both"/>
        <w:rPr>
          <w:i/>
          <w:sz w:val="20"/>
          <w:szCs w:val="20"/>
          <w:lang w:val="es-ES"/>
        </w:rPr>
      </w:pPr>
    </w:p>
    <w:p w:rsidR="00153DC5" w:rsidRPr="00E25900" w:rsidRDefault="00153DC5" w:rsidP="00153DC5">
      <w:pPr>
        <w:rPr>
          <w:sz w:val="20"/>
          <w:szCs w:val="20"/>
          <w:lang w:val="es-AR"/>
        </w:rPr>
      </w:pPr>
    </w:p>
    <w:p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rsidR="00906CFA" w:rsidRPr="00906CFA" w:rsidRDefault="00906CFA" w:rsidP="00906CFA">
      <w:pPr>
        <w:pStyle w:val="Ttulo1"/>
        <w:shd w:val="clear" w:color="auto" w:fill="FFFFFF"/>
        <w:spacing w:before="0" w:line="240" w:lineRule="auto"/>
        <w:rPr>
          <w:rFonts w:ascii="Times New Roman" w:eastAsiaTheme="minorHAnsi" w:hAnsi="Times New Roman" w:cs="Times New Roman"/>
          <w:b w:val="0"/>
          <w:bCs w:val="0"/>
          <w:color w:val="auto"/>
          <w:sz w:val="20"/>
          <w:szCs w:val="20"/>
        </w:rPr>
      </w:pPr>
      <w:r w:rsidRPr="00906CFA">
        <w:rPr>
          <w:rFonts w:ascii="Times New Roman" w:hAnsi="Times New Roman" w:cs="Times New Roman"/>
          <w:b w:val="0"/>
          <w:color w:val="auto"/>
          <w:sz w:val="20"/>
          <w:szCs w:val="20"/>
        </w:rPr>
        <w:t>Prevención Primaria, Percepción del Riesgo, Coronavirus</w:t>
      </w:r>
      <w:r w:rsidR="00B24CD0">
        <w:rPr>
          <w:rFonts w:ascii="Times New Roman" w:hAnsi="Times New Roman" w:cs="Times New Roman"/>
          <w:b w:val="0"/>
          <w:color w:val="auto"/>
          <w:sz w:val="20"/>
          <w:szCs w:val="20"/>
        </w:rPr>
        <w:t xml:space="preserve">; </w:t>
      </w:r>
      <w:r w:rsidR="009D7A9F" w:rsidRPr="009D7A9F">
        <w:rPr>
          <w:rFonts w:ascii="Times New Roman" w:hAnsi="Times New Roman" w:cs="Times New Roman"/>
          <w:b w:val="0"/>
          <w:color w:val="auto"/>
          <w:sz w:val="20"/>
          <w:szCs w:val="20"/>
        </w:rPr>
        <w:t>Paradigma psicométrico;</w:t>
      </w:r>
      <w:r w:rsidR="009D7A9F">
        <w:rPr>
          <w:sz w:val="20"/>
          <w:szCs w:val="20"/>
        </w:rPr>
        <w:t xml:space="preserve"> </w:t>
      </w:r>
      <w:r w:rsidR="00533085">
        <w:rPr>
          <w:rFonts w:ascii="Times New Roman" w:hAnsi="Times New Roman" w:cs="Times New Roman"/>
          <w:b w:val="0"/>
          <w:color w:val="auto"/>
          <w:sz w:val="20"/>
          <w:szCs w:val="20"/>
        </w:rPr>
        <w:t>Árboles de Clasificación</w:t>
      </w:r>
      <w:r w:rsidRPr="00906CFA">
        <w:rPr>
          <w:rFonts w:ascii="Times New Roman" w:hAnsi="Times New Roman" w:cs="Times New Roman"/>
          <w:color w:val="auto"/>
          <w:sz w:val="20"/>
          <w:szCs w:val="20"/>
        </w:rPr>
        <w:t xml:space="preserve"> </w:t>
      </w:r>
    </w:p>
    <w:p w:rsidR="00906CFA" w:rsidRDefault="00906CFA" w:rsidP="00906CFA"/>
    <w:p w:rsidR="00E55124" w:rsidRPr="00E25900" w:rsidRDefault="00E55124" w:rsidP="007A7C7C">
      <w:pPr>
        <w:jc w:val="both"/>
        <w:rPr>
          <w:bCs/>
          <w:sz w:val="20"/>
          <w:szCs w:val="20"/>
          <w:lang w:val="es-AR"/>
        </w:rPr>
      </w:pPr>
      <w:r w:rsidRPr="00E25900">
        <w:rPr>
          <w:bCs/>
          <w:noProof/>
          <w:sz w:val="20"/>
          <w:szCs w:val="20"/>
          <w:lang w:val="es-MX" w:eastAsia="es-MX"/>
        </w:rPr>
        <w:drawing>
          <wp:anchor distT="0" distB="0" distL="114300" distR="114300" simplePos="0" relativeHeight="251662336" behindDoc="0" locked="0" layoutInCell="1" allowOverlap="1">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10"/>
                        </a:ext>
                      </a:extLst>
                    </a:blip>
                    <a:stretch>
                      <a:fillRect/>
                    </a:stretch>
                  </pic:blipFill>
                  <pic:spPr>
                    <a:xfrm>
                      <a:off x="0" y="0"/>
                      <a:ext cx="396000" cy="259200"/>
                    </a:xfrm>
                    <a:prstGeom prst="rect">
                      <a:avLst/>
                    </a:prstGeom>
                  </pic:spPr>
                </pic:pic>
              </a:graphicData>
            </a:graphic>
          </wp:anchor>
        </w:drawing>
      </w:r>
    </w:p>
    <w:p w:rsidR="00483D6B" w:rsidRPr="00E25900" w:rsidRDefault="00483D6B" w:rsidP="00B6522A">
      <w:pPr>
        <w:rPr>
          <w:b/>
          <w:lang w:val="es-AR"/>
        </w:rPr>
      </w:pPr>
    </w:p>
    <w:p w:rsidR="00906CFA" w:rsidRPr="00787769" w:rsidRDefault="0059034C" w:rsidP="00906CFA">
      <w:pPr>
        <w:jc w:val="center"/>
        <w:rPr>
          <w:b/>
        </w:rPr>
      </w:pPr>
      <w:r w:rsidRPr="00E25900">
        <w:rPr>
          <w:lang w:val="es-AR"/>
        </w:rPr>
        <w:br w:type="page"/>
      </w:r>
      <w:r w:rsidR="00906CFA" w:rsidRPr="00787769">
        <w:rPr>
          <w:b/>
        </w:rPr>
        <w:lastRenderedPageBreak/>
        <w:t>Percepción del riesgo de COVID-19 en población con educación media superior y superior en México</w:t>
      </w:r>
    </w:p>
    <w:p w:rsidR="00153DC5" w:rsidRPr="00906CFA" w:rsidRDefault="00153DC5" w:rsidP="007A7CDC">
      <w:pPr>
        <w:pStyle w:val="Ttuloprincipiodeartculo"/>
        <w:rPr>
          <w:lang w:val="es-ES_tradnl"/>
        </w:rPr>
      </w:pPr>
    </w:p>
    <w:p w:rsidR="006A1BA2" w:rsidRPr="00906CFA" w:rsidRDefault="00153DC5" w:rsidP="00CE7D65">
      <w:pPr>
        <w:pStyle w:val="Ttulosinternos"/>
        <w:rPr>
          <w:bCs/>
          <w:lang w:val="es-MX"/>
        </w:rPr>
      </w:pPr>
      <w:r w:rsidRPr="00107993">
        <w:rPr>
          <w:lang w:val="es-ES_tradnl"/>
        </w:rPr>
        <w:t>Introduc</w:t>
      </w:r>
      <w:r w:rsidR="00107993" w:rsidRPr="00107993">
        <w:rPr>
          <w:lang w:val="es-ES_tradnl"/>
        </w:rPr>
        <w:t>ción</w:t>
      </w:r>
    </w:p>
    <w:p w:rsidR="004C1BFF" w:rsidRPr="005C7E9B" w:rsidRDefault="004C1BFF" w:rsidP="004C1BFF">
      <w:pPr>
        <w:autoSpaceDE w:val="0"/>
        <w:autoSpaceDN w:val="0"/>
        <w:adjustRightInd w:val="0"/>
        <w:spacing w:line="360" w:lineRule="auto"/>
        <w:jc w:val="both"/>
      </w:pPr>
      <w:r>
        <w:t xml:space="preserve">El </w:t>
      </w:r>
      <w:r w:rsidRPr="005C7E9B">
        <w:t xml:space="preserve">30 de enero del 2020, la OMS declaró Emergencia de Salud Pública de Importancia Internacional (ESPII), por el brote de 2019-nCoV y el 11 de febrero, la Organización Mundial de la Salud, en conjunto con la Organización Mundial de Sanidad Animal (OIE) y la Organización de las Naciones Unidas para la Agricultura y la Alimentación (FAO), anunció el nombre de la enfermedad como COVID-19, por sus siglas en inglés, </w:t>
      </w:r>
      <w:r w:rsidRPr="005C7E9B">
        <w:rPr>
          <w:i/>
        </w:rPr>
        <w:t>enfermedad por coronavirus 2019</w:t>
      </w:r>
      <w:r w:rsidRPr="005C7E9B">
        <w:t>. Para el 28 de febrero de 2020, a nivel</w:t>
      </w:r>
      <w:r w:rsidR="009B449C">
        <w:t xml:space="preserve"> mundial se habían reportado 83 </w:t>
      </w:r>
      <w:r w:rsidRPr="005C7E9B">
        <w:t>631 casos confirmados por laboratorio de COVID-19, incluidas 2</w:t>
      </w:r>
      <w:r>
        <w:t>,</w:t>
      </w:r>
      <w:r w:rsidRPr="005C7E9B">
        <w:t xml:space="preserve">858 defunciones, en 51 países </w:t>
      </w:r>
      <w:r>
        <w:t>(OPS, 2020)</w:t>
      </w:r>
      <w:r w:rsidRPr="005C7E9B">
        <w:t>. Con una tasa de letalidad global: 3</w:t>
      </w:r>
      <w:r w:rsidR="009B449C">
        <w:t>.</w:t>
      </w:r>
      <w:r w:rsidRPr="005C7E9B">
        <w:t>4%; y una propor</w:t>
      </w:r>
      <w:r>
        <w:t>ción de casos graves: 11.</w:t>
      </w:r>
      <w:r w:rsidRPr="005C7E9B">
        <w:t>2%.</w:t>
      </w:r>
      <w:r>
        <w:t xml:space="preserve"> </w:t>
      </w:r>
      <w:r w:rsidRPr="005C7E9B">
        <w:t xml:space="preserve">El 29 de febrero se confirmaron los primeros tres casos de COVID-19 en la Ciudad de México (dos casos) y en el Estado de Sinaloa (un caso); cabe señalar que las personas inicialmente, diagnosticadas con COVID-19, tenían antecedentes de viaje a países como Italia, Estados Unidos de América, España y Alemania, lo que daba la falsa idea, de que sólo aquellos con estas características podrían estar en riesgo. La aparición de los primeros casos de COVID-19 dio paso a  conferencias nocturnas diarias, transmitidas en cadena nacional, a cargo de la Secretaría de Salud para informar sobre el coronavirus </w:t>
      </w:r>
      <w:r>
        <w:t>(Redacción, 2020; Secretaria de Salud México [SALUD], 2020a)</w:t>
      </w:r>
      <w:r w:rsidRPr="005C7E9B">
        <w:t xml:space="preserve">. A partir de ese momento las noticias sobre el coronavirus tomaron otro carácter, en particular sobre las medidas de prevención y los síntomas principales. </w:t>
      </w:r>
    </w:p>
    <w:p w:rsidR="004C1BFF" w:rsidRPr="005C7E9B" w:rsidRDefault="004C1BFF" w:rsidP="004C1BFF">
      <w:pPr>
        <w:autoSpaceDE w:val="0"/>
        <w:autoSpaceDN w:val="0"/>
        <w:adjustRightInd w:val="0"/>
        <w:spacing w:line="360" w:lineRule="auto"/>
        <w:ind w:firstLine="708"/>
        <w:jc w:val="both"/>
      </w:pPr>
      <w:r w:rsidRPr="005C7E9B">
        <w:t xml:space="preserve">Dadas las características de la transmisión del virus, la falta de tratamientos farmacológicos específicos y la carencia de vacuna para enfrentar a la pandemia de COVID-19, se potenció la necesidad de implementar medidas de prevención personal-social para el control de la propagación de la enfermedad, cómo son el lavado de manos, utilizar gel antibacterial, limpieza de superficies y distanciamiento social entre otras. Para lograr la implementación exitosa de las medidas de prevención, la voluntad de los ciudadanos juega un papel importante y decisivo, siendo la percepción de riesgo personal de contraer la enfermedad, uno de los factores que contribuyen al aumento de la participación pública en la adopción de las medidas preventivas </w:t>
      </w:r>
      <w:r>
        <w:t>(Carro y Hernández, 2009).</w:t>
      </w:r>
    </w:p>
    <w:p w:rsidR="004C1BFF" w:rsidRPr="005C7E9B" w:rsidRDefault="004C1BFF" w:rsidP="004C1BFF">
      <w:pPr>
        <w:autoSpaceDE w:val="0"/>
        <w:autoSpaceDN w:val="0"/>
        <w:adjustRightInd w:val="0"/>
        <w:spacing w:line="360" w:lineRule="auto"/>
        <w:ind w:firstLine="708"/>
        <w:jc w:val="both"/>
      </w:pPr>
      <w:r w:rsidRPr="005C7E9B">
        <w:t xml:space="preserve">El concepto de percepción de riesgo está unido a conceptos como creencia y actitud, se trata de un proceso cognitivo que se fundamenta en la información que tiene cada persona y que puede ser subjetiva sobre diferentes cuestiones como contextos, otras personas u objetos y que el individuo procesa de forma inmediata organizando juicios de valor que condicionarán su </w:t>
      </w:r>
      <w:r w:rsidRPr="00157867">
        <w:t xml:space="preserve">comportamiento (Stajnolovic, 2015), </w:t>
      </w:r>
      <w:r w:rsidRPr="005C7E9B">
        <w:t>es un producto socio-cultural complejo que incide en la participación de la población en la prevención, preparación y respuesta y recuperación en una situación de emergencia de salud. Uno de los objetivos, por tanto, en el estudio de la percepción del riesgo se centra en identificar las dimensiones que influyen en la misma y determinar su importancia relativa.</w:t>
      </w:r>
    </w:p>
    <w:p w:rsidR="004C1BFF" w:rsidRDefault="004C1BFF" w:rsidP="004C1BFF">
      <w:pPr>
        <w:spacing w:line="360" w:lineRule="auto"/>
        <w:jc w:val="both"/>
      </w:pPr>
    </w:p>
    <w:p w:rsidR="004C1BFF" w:rsidRPr="00670654" w:rsidRDefault="004C1BFF" w:rsidP="004C1BFF">
      <w:pPr>
        <w:spacing w:line="360" w:lineRule="auto"/>
        <w:jc w:val="both"/>
        <w:rPr>
          <w:b/>
          <w:i/>
        </w:rPr>
      </w:pPr>
      <w:r w:rsidRPr="00670654">
        <w:rPr>
          <w:b/>
          <w:i/>
        </w:rPr>
        <w:t>Configuración del concepto de percepción de riesgo</w:t>
      </w:r>
    </w:p>
    <w:p w:rsidR="004C1BFF" w:rsidRPr="005C7E9B" w:rsidRDefault="004C1BFF" w:rsidP="004C1BFF">
      <w:pPr>
        <w:autoSpaceDE w:val="0"/>
        <w:autoSpaceDN w:val="0"/>
        <w:adjustRightInd w:val="0"/>
        <w:spacing w:line="360" w:lineRule="auto"/>
        <w:jc w:val="both"/>
      </w:pPr>
      <w:r w:rsidRPr="005C7E9B">
        <w:t>De acuerdo con Sandman</w:t>
      </w:r>
      <w:r>
        <w:t xml:space="preserve"> (2003)</w:t>
      </w:r>
      <w:r w:rsidRPr="005C7E9B">
        <w:t>, la percepción de riesgo está determinada por el juicio subjetivo que los individuos hacen  sobre las características y la gravedad de una amenaza. En el ámbito de salud, este constructo puede explicarse mediante diferentes modelos</w:t>
      </w:r>
      <w:r w:rsidRPr="005C7E9B">
        <w:rPr>
          <w:color w:val="000000"/>
        </w:rPr>
        <w:t xml:space="preserve"> </w:t>
      </w:r>
      <w:r w:rsidRPr="005C7E9B">
        <w:t xml:space="preserve">como el Modelo de Creencias de Salud (MCS) de Hochbaum, Rosentock y </w:t>
      </w:r>
      <w:r w:rsidRPr="00F3273B">
        <w:t>Kegels (García del Castillo, 2012), el</w:t>
      </w:r>
      <w:r w:rsidRPr="005C7E9B">
        <w:t xml:space="preserve"> Modelo Transteórico de Prochaska y Diclemente </w:t>
      </w:r>
      <w:r>
        <w:t>(Cabrera y Gustavo, 2000)</w:t>
      </w:r>
      <w:r w:rsidRPr="005C7E9B">
        <w:t xml:space="preserve">, Locus de Control de Rotter </w:t>
      </w:r>
      <w:r>
        <w:t>(</w:t>
      </w:r>
      <w:r w:rsidRPr="004810EF">
        <w:t>Visdómine</w:t>
      </w:r>
      <w:r>
        <w:t xml:space="preserve"> y Lozano</w:t>
      </w:r>
      <w:r w:rsidRPr="005C7E9B">
        <w:t xml:space="preserve">, </w:t>
      </w:r>
      <w:r w:rsidR="005927BC">
        <w:t>2006) y la</w:t>
      </w:r>
      <w:r w:rsidRPr="005C7E9B">
        <w:t xml:space="preserve"> Teoría de acción razonada (TAR) de Ajzen y Fishbein</w:t>
      </w:r>
      <w:r>
        <w:t xml:space="preserve"> (Cabrera y Gustavo, 2000)</w:t>
      </w:r>
      <w:r w:rsidR="005927BC">
        <w:t>, entre otros</w:t>
      </w:r>
      <w:r w:rsidRPr="005C7E9B">
        <w:t xml:space="preserve"> desarrollados, para estudiar las conductas de salud a partir de la predicción del comportamiento en el marco psicosocial cognitivo. En particular el MCS, señala que la probabilidad de que alguien realice una conducta saludable, puede estar influenciada principalmente por cuatro tipos de percepciones: susceptibilidad percibida, severidad percibida, beneficios percibidos y barreras percibidas.</w:t>
      </w:r>
    </w:p>
    <w:p w:rsidR="004C1BFF" w:rsidRPr="005C7E9B" w:rsidRDefault="004C1BFF" w:rsidP="004C1BFF">
      <w:pPr>
        <w:pStyle w:val="Prrafodelista"/>
        <w:numPr>
          <w:ilvl w:val="0"/>
          <w:numId w:val="12"/>
        </w:numPr>
        <w:autoSpaceDE w:val="0"/>
        <w:autoSpaceDN w:val="0"/>
        <w:adjustRightInd w:val="0"/>
        <w:spacing w:after="0" w:line="360" w:lineRule="auto"/>
        <w:jc w:val="both"/>
        <w:rPr>
          <w:rFonts w:ascii="Times New Roman" w:hAnsi="Times New Roman" w:cs="Times New Roman"/>
          <w:sz w:val="24"/>
          <w:szCs w:val="24"/>
        </w:rPr>
      </w:pPr>
      <w:r w:rsidRPr="005C7E9B">
        <w:rPr>
          <w:rFonts w:ascii="Times New Roman" w:hAnsi="Times New Roman" w:cs="Times New Roman"/>
          <w:sz w:val="24"/>
          <w:szCs w:val="24"/>
        </w:rPr>
        <w:t>La susceptibilidad percibida frente a un problema de salud específico, valora la visión del individuo sobre su propia vulnerabilidad a enfermar, se tiene entonces que esta valoración puede variar desde sujetos que niegan su posibilidad de contraer una enfermedad, sujetos que consideran la posibilidad de enfermarse basado en las estadísticas o bien individuos que se reconocen en peligro de contraer una enfermedad determinada. La susceptibilidad percibida se refiere a la percepción subjetiva de los individuos sobre el riesgo de enfermarse, que puede medirse mediante: 1)</w:t>
      </w:r>
      <w:r>
        <w:rPr>
          <w:rFonts w:ascii="Times New Roman" w:hAnsi="Times New Roman" w:cs="Times New Roman"/>
          <w:sz w:val="24"/>
          <w:szCs w:val="24"/>
        </w:rPr>
        <w:t xml:space="preserve"> </w:t>
      </w:r>
      <w:r w:rsidRPr="005C7E9B">
        <w:rPr>
          <w:rFonts w:ascii="Times New Roman" w:hAnsi="Times New Roman" w:cs="Times New Roman"/>
          <w:sz w:val="24"/>
          <w:szCs w:val="24"/>
        </w:rPr>
        <w:t>La estimación del riesgo a enfermarse (que tan susceptible es al contagio) y que puede estar relacionado a su vida cotidiana: profesión, lugar donde vive, medios de transporte, entre otros, 2)</w:t>
      </w:r>
      <w:r>
        <w:rPr>
          <w:rFonts w:ascii="Times New Roman" w:hAnsi="Times New Roman" w:cs="Times New Roman"/>
          <w:sz w:val="24"/>
          <w:szCs w:val="24"/>
        </w:rPr>
        <w:t xml:space="preserve"> </w:t>
      </w:r>
      <w:r w:rsidRPr="005C7E9B">
        <w:rPr>
          <w:rFonts w:ascii="Times New Roman" w:hAnsi="Times New Roman" w:cs="Times New Roman"/>
          <w:sz w:val="24"/>
          <w:szCs w:val="24"/>
        </w:rPr>
        <w:t>El temor a enfermarse porque se reconoce en un grupo de riesgo, y 3)</w:t>
      </w:r>
      <w:r>
        <w:rPr>
          <w:rFonts w:ascii="Times New Roman" w:hAnsi="Times New Roman" w:cs="Times New Roman"/>
          <w:sz w:val="24"/>
          <w:szCs w:val="24"/>
        </w:rPr>
        <w:t xml:space="preserve"> </w:t>
      </w:r>
      <w:r w:rsidRPr="005C7E9B">
        <w:rPr>
          <w:rFonts w:ascii="Times New Roman" w:hAnsi="Times New Roman" w:cs="Times New Roman"/>
          <w:sz w:val="24"/>
          <w:szCs w:val="24"/>
        </w:rPr>
        <w:t>La percepción del individuo sobre su capacidad de controlar los daños y recuperar la salud; si es que ya está enfermo es decir, que tan vulnerable es frente la enfermedad.</w:t>
      </w:r>
    </w:p>
    <w:p w:rsidR="004C1BFF" w:rsidRPr="005C7E9B" w:rsidRDefault="004C1BFF" w:rsidP="004C1BFF">
      <w:pPr>
        <w:pStyle w:val="Prrafodelista"/>
        <w:numPr>
          <w:ilvl w:val="0"/>
          <w:numId w:val="12"/>
        </w:numPr>
        <w:spacing w:after="0" w:line="360" w:lineRule="auto"/>
        <w:jc w:val="both"/>
        <w:rPr>
          <w:rFonts w:ascii="Times New Roman" w:hAnsi="Times New Roman" w:cs="Times New Roman"/>
          <w:sz w:val="24"/>
          <w:szCs w:val="24"/>
        </w:rPr>
      </w:pPr>
      <w:r w:rsidRPr="005C7E9B">
        <w:rPr>
          <w:rFonts w:ascii="Times New Roman" w:hAnsi="Times New Roman" w:cs="Times New Roman"/>
          <w:sz w:val="24"/>
          <w:szCs w:val="24"/>
        </w:rPr>
        <w:t xml:space="preserve">La severidad percibida </w:t>
      </w:r>
      <w:r w:rsidRPr="005C7E9B">
        <w:rPr>
          <w:rFonts w:ascii="Times New Roman" w:hAnsi="Times New Roman" w:cs="Times New Roman"/>
          <w:color w:val="000000"/>
          <w:sz w:val="24"/>
          <w:szCs w:val="24"/>
          <w:shd w:val="clear" w:color="auto" w:fill="FFFFFF"/>
        </w:rPr>
        <w:t xml:space="preserve">está relacionada con la gravedad percibida de la </w:t>
      </w:r>
      <w:r w:rsidRPr="005C7E9B">
        <w:rPr>
          <w:rFonts w:ascii="Times New Roman" w:hAnsi="Times New Roman" w:cs="Times New Roman"/>
          <w:sz w:val="24"/>
          <w:szCs w:val="24"/>
        </w:rPr>
        <w:t xml:space="preserve">enfermedad. Esta dimensión incluye una evaluación de las consecuencias médicas/clínicas, así como de las consecuencias sociales, esta dimensión se puede evaluar: 1) Con la percepción del individuo sobre el poder catastrófico de la enfermedad (por ejemplo, número de muertes) y 2) Con la opinión del individuo sobre la gravedad social de la enfermedad. </w:t>
      </w:r>
    </w:p>
    <w:p w:rsidR="004C1BFF" w:rsidRPr="005C7E9B" w:rsidRDefault="004C1BFF" w:rsidP="004C1BFF">
      <w:pPr>
        <w:spacing w:line="360" w:lineRule="auto"/>
        <w:ind w:firstLine="360"/>
        <w:jc w:val="both"/>
      </w:pPr>
      <w:r w:rsidRPr="005C7E9B">
        <w:t>En tanto que las últimas dos dimensiones del MCS están asociadas a</w:t>
      </w:r>
      <w:r w:rsidRPr="005C7E9B">
        <w:rPr>
          <w:color w:val="000000"/>
          <w:shd w:val="clear" w:color="auto" w:fill="FFFFFF"/>
        </w:rPr>
        <w:t xml:space="preserve"> la </w:t>
      </w:r>
      <w:r w:rsidRPr="005C7E9B">
        <w:t>efectividad percibida de las acciones que el individuo realiza en pro de su salud</w:t>
      </w:r>
      <w:r w:rsidRPr="005C7E9B">
        <w:rPr>
          <w:color w:val="000000"/>
          <w:shd w:val="clear" w:color="auto" w:fill="FFFFFF"/>
        </w:rPr>
        <w:t xml:space="preserve"> </w:t>
      </w:r>
      <w:r w:rsidRPr="005C7E9B">
        <w:t>(Efectividad Percibida) y a los obstáculos que el sujeto percibe para llevar a cabo el comportamiento recomendado (Barreras Percibidas).</w:t>
      </w:r>
    </w:p>
    <w:p w:rsidR="004C1BFF" w:rsidRPr="005C7E9B" w:rsidRDefault="004C1BFF" w:rsidP="004C1BFF">
      <w:pPr>
        <w:spacing w:line="360" w:lineRule="auto"/>
        <w:ind w:firstLine="360"/>
        <w:jc w:val="both"/>
      </w:pPr>
      <w:r w:rsidRPr="005C7E9B">
        <w:t xml:space="preserve">Existen también evidencias </w:t>
      </w:r>
      <w:r w:rsidRPr="004326E6">
        <w:t>(</w:t>
      </w:r>
      <w:r w:rsidRPr="004326E6">
        <w:rPr>
          <w:color w:val="000000"/>
        </w:rPr>
        <w:t>Agüero, Nebot, Pérez, López y García</w:t>
      </w:r>
      <w:r w:rsidRPr="004326E6">
        <w:t xml:space="preserve">, 2011; </w:t>
      </w:r>
      <w:r w:rsidRPr="004326E6">
        <w:rPr>
          <w:color w:val="000000"/>
        </w:rPr>
        <w:t>Leventhal, Brissette y Leventhal, 2000; González, 2017)</w:t>
      </w:r>
      <w:r w:rsidRPr="004326E6">
        <w:rPr>
          <w:rFonts w:cstheme="minorHAnsi"/>
          <w:color w:val="000000"/>
        </w:rPr>
        <w:t xml:space="preserve"> </w:t>
      </w:r>
      <w:r w:rsidRPr="005C7E9B">
        <w:t xml:space="preserve">del impacto en la percepción y en el comportamiento de la población  asociadas a la actitud de las autoridades sanitarias y la información básica que estas ofrecen a la población general, como por ejemplo, las formas de transmisión de la enfermedad y las medidas preventivas a adoptar con el fin de contener la diseminación de la misma. Lo que identifica dos factores más a tomar en cuenta que pueden influir en la percepción del riesgo de una enfermedad: el conocimiento y la confianza en las autoridades sanitarias. Por otra parte, la percepción de la enfermedad (gravedad), es un constructo desarrollado a partir del modelo de sentido común y de autorregulación de la enfermedad (MSC). De acuerdo con este modelo </w:t>
      </w:r>
      <w:r>
        <w:t>(</w:t>
      </w:r>
      <w:r w:rsidRPr="004326E6">
        <w:rPr>
          <w:color w:val="000000"/>
        </w:rPr>
        <w:t>Leventhal</w:t>
      </w:r>
      <w:r>
        <w:rPr>
          <w:color w:val="000000"/>
        </w:rPr>
        <w:t xml:space="preserve"> et al.</w:t>
      </w:r>
      <w:r w:rsidRPr="004326E6">
        <w:rPr>
          <w:color w:val="000000"/>
        </w:rPr>
        <w:t>, 2000; González, 2017)</w:t>
      </w:r>
      <w:r w:rsidRPr="005C7E9B">
        <w:t xml:space="preserve">, cada paciente organiza, explica y describe la información perceptiva (síntomas) o conceptual (diagnóstico) de manera variable, dependiendo de sus experiencias y de la retroalimentación recibida.  </w:t>
      </w:r>
    </w:p>
    <w:p w:rsidR="004C1BFF" w:rsidRPr="00A21076" w:rsidRDefault="004C1BFF" w:rsidP="004C1BFF">
      <w:pPr>
        <w:spacing w:line="360" w:lineRule="auto"/>
        <w:ind w:firstLine="360"/>
        <w:jc w:val="both"/>
      </w:pPr>
      <w:r w:rsidRPr="005C7E9B">
        <w:t>Cabe señalar que existen otros modelos como el propuesto por Sjöberg</w:t>
      </w:r>
      <w:r>
        <w:t xml:space="preserve"> (2000)</w:t>
      </w:r>
      <w:r w:rsidRPr="005C7E9B">
        <w:t xml:space="preserve"> en el cual se utilizan la actitud, la sensibilidad al riesgo y el temor específico como variables explicativas; este modelo ofrece un tipo de explicación psicológica diferente de la percepción del riesgo y posee implicaciones para el entendimiento de la relación entre actitud y percepción de riesgo, en comparación con el análisis cognitivo de las actitudes. Si bien los componentes de la percepción del riesgo son múltiples y su explicación está condicionada a los objetivos de la investigación y al fenómeno de estudio, se ha demostrado que la vulnerabilidad, el temor, la gravedad de la enfermedad, la confianza y el conocimiento</w:t>
      </w:r>
      <w:r w:rsidRPr="005C7E9B" w:rsidDel="00190720">
        <w:t xml:space="preserve"> </w:t>
      </w:r>
      <w:r w:rsidRPr="005C7E9B">
        <w:t>son variables que la literatura reporta y explican de una manera amplia la percepción del riesgo en diversas circunstancias ante una amenaza en el ámbito de la salud.</w:t>
      </w:r>
    </w:p>
    <w:p w:rsidR="004C1BFF" w:rsidRDefault="004C1BFF" w:rsidP="004C1BFF">
      <w:pPr>
        <w:spacing w:line="360" w:lineRule="auto"/>
        <w:ind w:firstLine="360"/>
        <w:jc w:val="both"/>
      </w:pPr>
      <w:r w:rsidRPr="005C7E9B">
        <w:t xml:space="preserve">Dada la importancia de percepción de riesgo, en la intención de la población en general para adoptar medidas de protección frente a la enfermedad, esta investigación tiene como objetivo evidenciar los factores causales que contribuyen a una percepción alta/baja del riesgo de la pandemia de COVID-19, que pueden servir como pauta para el diseño de las estrategias a seguir, para comunicar las medidas de prevención en las diferentes fases de esta pandemia en evolución. Se consideró como población de estudio personas con escolaridad media superior o superior, siendo este un grupo de interés porque a él, pertenecen los docentes y otros grupos de influencia de la sociedad mexicana. </w:t>
      </w:r>
    </w:p>
    <w:p w:rsidR="005927BC" w:rsidRPr="005C7E9B" w:rsidRDefault="005927BC" w:rsidP="004C1BFF">
      <w:pPr>
        <w:spacing w:line="360" w:lineRule="auto"/>
        <w:ind w:firstLine="360"/>
        <w:jc w:val="both"/>
      </w:pPr>
    </w:p>
    <w:p w:rsidR="006F7E7E" w:rsidRPr="00107993" w:rsidRDefault="001516ED" w:rsidP="004C1BFF">
      <w:pPr>
        <w:pStyle w:val="Ttulosinternos"/>
        <w:spacing w:before="0" w:beforeAutospacing="0" w:after="0" w:afterAutospacing="0" w:line="360" w:lineRule="auto"/>
        <w:rPr>
          <w:lang w:val="es-AR"/>
        </w:rPr>
      </w:pPr>
      <w:r w:rsidRPr="00107993">
        <w:rPr>
          <w:lang w:val="es-AR"/>
        </w:rPr>
        <w:t>M</w:t>
      </w:r>
      <w:r w:rsidR="00107993" w:rsidRPr="00107993">
        <w:rPr>
          <w:lang w:val="es-AR"/>
        </w:rPr>
        <w:t>étodo</w:t>
      </w:r>
    </w:p>
    <w:p w:rsidR="004C1BFF" w:rsidRPr="005C7E9B" w:rsidRDefault="004C1BFF" w:rsidP="004C1BFF">
      <w:pPr>
        <w:spacing w:line="360" w:lineRule="auto"/>
        <w:ind w:firstLine="709"/>
        <w:jc w:val="both"/>
      </w:pPr>
      <w:r w:rsidRPr="005C7E9B">
        <w:t>Se realizó una investigación exploratoria, cuantitativa, analítica y explicativa con diseño transversal</w:t>
      </w:r>
      <w:r>
        <w:t>.</w:t>
      </w:r>
      <w:r w:rsidRPr="005C7E9B">
        <w:t xml:space="preserve"> Dadas las características de este estudio se consideraron como dimensiones de análisis: la severidad percibida, la susceptibilidad percibida definidas por MCS, el conocimiento sobre la enfermedad, la confianza en las autoridades sanitarias, así como el constructo de percepción de la enfermedad del modelo MSC. </w:t>
      </w:r>
    </w:p>
    <w:p w:rsidR="00A076D9" w:rsidRPr="005B24FF" w:rsidRDefault="004C1BFF" w:rsidP="009E05D1">
      <w:pPr>
        <w:pStyle w:val="Prrafocomn"/>
        <w:ind w:firstLine="709"/>
        <w:rPr>
          <w:lang w:val="es-AR"/>
        </w:rPr>
      </w:pPr>
      <w:r w:rsidRPr="009B449C">
        <w:rPr>
          <w:lang w:val="es-MX"/>
        </w:rPr>
        <w:t xml:space="preserve">Se implementó una encuesta electrónica utilizando la Estrategia de Evaluación del Riesgo Percibido (EDRP) de Portell y Solé (2001), basado en el paradigma psicométrico de Slovic (1978, 1987), que ha sido usado para evaluar diversas situaciones de riesgo como: la percepción de riesgo de accidentes laborales (Rodríguez, Martínez, Delgado y Lucas, 2015), la percepción de los riesgos de los profesionales de la salud asociados con el contagio de VIH (Pineda y Campo, 2018) así como para evaluar también el riesgo en epidemias como la de H1N1 en el 2009 (Aragonés, Talayero y Olivos, 2010; Renner, Gamp, Schmälzle y Schupp, 2015). El cuestionario se distribuyó a través de </w:t>
      </w:r>
      <w:r w:rsidR="005927BC">
        <w:rPr>
          <w:lang w:val="es-MX"/>
        </w:rPr>
        <w:t>un muestreo por bola de nieve.  P</w:t>
      </w:r>
      <w:r w:rsidRPr="009B449C">
        <w:rPr>
          <w:lang w:val="es-MX"/>
        </w:rPr>
        <w:t>ara dar a conocer la encuesta, se enviaron correos electrónicos invitando a responderla principalmente para satisfacer los criterios del estudio, a los miembros mayores de 18 años, de la comunidad académica de dos universidades, una privada y otra pública del estado de Puebla, el cuarto con más infecciones COVID-19 en el país en ese momento; a quienes se solicitó que a su vez la enviaran a sus estudiantes y redes sociales. Cabe señalar que esta investigación fue aprobada por el Comité de Investigación y Ética de una de estas Universidades, quedó registrado con el número MER017-2020 y cumple el Reglamento de la Ley General de Salud en Materia de Investigación para la Salud, la Declaración de Helsinki, y a las Buenas Prácticas Clínicas emitidas por la Comisión Nacional de Bioética.</w:t>
      </w:r>
      <w:r w:rsidR="00A076D9" w:rsidRPr="009B449C">
        <w:rPr>
          <w:lang w:val="es-MX"/>
        </w:rPr>
        <w:t xml:space="preserve"> </w:t>
      </w:r>
      <w:r w:rsidR="00A076D9" w:rsidRPr="005B24FF">
        <w:rPr>
          <w:lang w:val="es-ES_tradnl"/>
        </w:rPr>
        <w:t>Así como, por lo establecido en la Declaración Universal de Principios Éticos para Psicólogas y Psicólogos (</w:t>
      </w:r>
      <w:r w:rsidR="00A076D9" w:rsidRPr="00AC0FD7">
        <w:rPr>
          <w:lang w:val="es-ES_tradnl"/>
        </w:rPr>
        <w:t>IAAP &amp; IUPsyS, 2008</w:t>
      </w:r>
      <w:r w:rsidR="00A076D9" w:rsidRPr="005B24FF">
        <w:rPr>
          <w:lang w:val="es-ES_tradnl"/>
        </w:rPr>
        <w:t>), las Pautas Éticas Internacionales para la Investigación Biomédica en seres humanos (</w:t>
      </w:r>
      <w:r w:rsidR="00A076D9" w:rsidRPr="00AC0FD7">
        <w:rPr>
          <w:lang w:val="es-ES_tradnl"/>
        </w:rPr>
        <w:t>CIOMS, OMS &amp; OPS, 2016</w:t>
      </w:r>
      <w:r w:rsidR="00A076D9" w:rsidRPr="005B24FF">
        <w:rPr>
          <w:lang w:val="es-ES_tradnl"/>
        </w:rPr>
        <w:t>) y las declaraciones de la SIP vigentes</w:t>
      </w:r>
      <w:r w:rsidR="00A076D9" w:rsidRPr="005B24FF">
        <w:rPr>
          <w:lang w:val="es-AR"/>
        </w:rPr>
        <w:t xml:space="preserve"> al respecto del accionar ético al momento del envío (SIP, </w:t>
      </w:r>
      <w:r w:rsidR="00A076D9" w:rsidRPr="00AC0FD7">
        <w:rPr>
          <w:lang w:val="es-AR"/>
        </w:rPr>
        <w:t>1978</w:t>
      </w:r>
      <w:r w:rsidR="00A076D9" w:rsidRPr="005B24FF">
        <w:rPr>
          <w:lang w:val="es-AR"/>
        </w:rPr>
        <w:t xml:space="preserve">, </w:t>
      </w:r>
      <w:r w:rsidR="00A076D9" w:rsidRPr="00AC0FD7">
        <w:rPr>
          <w:lang w:val="es-AR"/>
        </w:rPr>
        <w:t>2008a</w:t>
      </w:r>
      <w:r w:rsidR="00A076D9" w:rsidRPr="005B24FF">
        <w:rPr>
          <w:lang w:val="es-AR"/>
        </w:rPr>
        <w:t xml:space="preserve">, </w:t>
      </w:r>
      <w:r w:rsidR="00A076D9" w:rsidRPr="00AC0FD7">
        <w:rPr>
          <w:lang w:val="es-AR"/>
        </w:rPr>
        <w:t>2008b</w:t>
      </w:r>
      <w:r w:rsidR="00A076D9" w:rsidRPr="005B24FF">
        <w:rPr>
          <w:lang w:val="es-AR"/>
        </w:rPr>
        <w:t xml:space="preserve">, </w:t>
      </w:r>
      <w:r w:rsidR="00A076D9" w:rsidRPr="00AC0FD7">
        <w:rPr>
          <w:lang w:val="es-AR"/>
        </w:rPr>
        <w:t>2014</w:t>
      </w:r>
      <w:r w:rsidR="00A076D9" w:rsidRPr="005B24FF">
        <w:rPr>
          <w:lang w:val="es-AR"/>
        </w:rPr>
        <w:t xml:space="preserve">, </w:t>
      </w:r>
      <w:r w:rsidR="00A076D9" w:rsidRPr="00AC0FD7">
        <w:rPr>
          <w:lang w:val="es-AR"/>
        </w:rPr>
        <w:t>2016</w:t>
      </w:r>
      <w:r w:rsidR="00A076D9" w:rsidRPr="005B24FF">
        <w:rPr>
          <w:lang w:val="es-AR"/>
        </w:rPr>
        <w:t xml:space="preserve">, </w:t>
      </w:r>
      <w:r w:rsidR="00A076D9" w:rsidRPr="00AC0FD7">
        <w:rPr>
          <w:lang w:val="es-AR"/>
        </w:rPr>
        <w:t>2018</w:t>
      </w:r>
      <w:r w:rsidR="00A076D9" w:rsidRPr="005B24FF">
        <w:rPr>
          <w:lang w:val="es-AR"/>
        </w:rPr>
        <w:t xml:space="preserve">, </w:t>
      </w:r>
      <w:r w:rsidR="00A076D9" w:rsidRPr="00AC0FD7">
        <w:rPr>
          <w:lang w:val="es-AR"/>
        </w:rPr>
        <w:t>2019</w:t>
      </w:r>
      <w:r w:rsidR="00A076D9" w:rsidRPr="005B24FF">
        <w:rPr>
          <w:lang w:val="es-AR"/>
        </w:rPr>
        <w:t>).</w:t>
      </w:r>
    </w:p>
    <w:p w:rsidR="004C1BFF" w:rsidRPr="00A076D9" w:rsidRDefault="004C1BFF" w:rsidP="009E05D1">
      <w:pPr>
        <w:spacing w:line="360" w:lineRule="auto"/>
        <w:ind w:firstLine="709"/>
        <w:jc w:val="both"/>
        <w:rPr>
          <w:lang w:val="es-AR"/>
        </w:rPr>
      </w:pPr>
    </w:p>
    <w:p w:rsidR="004C1BFF" w:rsidRPr="005C7E9B" w:rsidRDefault="004C1BFF" w:rsidP="004C1BFF">
      <w:pPr>
        <w:spacing w:line="360" w:lineRule="auto"/>
        <w:ind w:firstLine="708"/>
        <w:jc w:val="both"/>
      </w:pPr>
      <w:r w:rsidRPr="005C7E9B">
        <w:t>El instrumento fue aplicado durante la fase uno de la pandemia y estuvo disponible para ser contestado, mediante auto</w:t>
      </w:r>
      <w:r>
        <w:t>-</w:t>
      </w:r>
      <w:r w:rsidRPr="005C7E9B">
        <w:t xml:space="preserve">acceso diez días, del 14 de marzo </w:t>
      </w:r>
      <w:r>
        <w:t>(SALUD, 2020b)</w:t>
      </w:r>
      <w:r w:rsidRPr="005C7E9B">
        <w:t xml:space="preserve"> (41 casos confirmados; sin defunciones) al 24 de marzo </w:t>
      </w:r>
      <w:r>
        <w:t>(SALUD, 2020c)</w:t>
      </w:r>
      <w:r w:rsidRPr="005C7E9B">
        <w:t xml:space="preserve"> (450 casos confirmados; cinco defunciones) del 2020, obteniéndose 549 cuestionarios completos y el tiempo promedio para contestarlo fue de siete minutos. Para el análisis de las encuestas, se utilizó como herramienta Árboles de Clasificación; ya que puede generar reglas probabilísticas que permiten identificar qué factores, pueden ocasionar que un individuo  tenga una alta o baja percepción del riesgo ante la pandemia de COVID-19. Como software de análisis se utilizó SPSSV24.</w:t>
      </w:r>
    </w:p>
    <w:p w:rsidR="004C1BFF" w:rsidRPr="005C7E9B" w:rsidRDefault="004C1BFF" w:rsidP="004C1BFF">
      <w:pPr>
        <w:spacing w:line="360" w:lineRule="auto"/>
        <w:jc w:val="both"/>
      </w:pPr>
    </w:p>
    <w:p w:rsidR="004C1BFF" w:rsidRPr="00670654" w:rsidRDefault="004C1BFF" w:rsidP="004C1BFF">
      <w:pPr>
        <w:spacing w:line="360" w:lineRule="auto"/>
        <w:jc w:val="both"/>
        <w:rPr>
          <w:b/>
          <w:i/>
        </w:rPr>
      </w:pPr>
      <w:r w:rsidRPr="00670654">
        <w:rPr>
          <w:b/>
          <w:i/>
        </w:rPr>
        <w:t xml:space="preserve">Metodología de diseño del cuestionario </w:t>
      </w:r>
    </w:p>
    <w:p w:rsidR="004C1BFF" w:rsidRPr="005C7E9B" w:rsidRDefault="004C1BFF" w:rsidP="004C1BFF">
      <w:pPr>
        <w:autoSpaceDE w:val="0"/>
        <w:autoSpaceDN w:val="0"/>
        <w:adjustRightInd w:val="0"/>
        <w:spacing w:line="360" w:lineRule="auto"/>
        <w:ind w:firstLine="709"/>
        <w:jc w:val="both"/>
      </w:pPr>
      <w:r w:rsidRPr="005C7E9B">
        <w:t xml:space="preserve">Una forma de conocer cómo se percibe un riesgo, desde el punto de vista metodológico, es preguntar mediante cuestionarios a los individuos sobre su percepción del mismo. Se utilizó EDRP por ser una herramienta para la evaluación de riesgo percibido, que aporta un procedimiento flexible y adaptable a diferentes contextos. En este sentido, EDRP no parte de una lista cerrada de riesgos, sino que establece un conjunto de directrices para que, en cada caso, se pueda contextualizar un formulario genérico de los riesgos de interés. Para cada uno de </w:t>
      </w:r>
      <w:r>
        <w:t>e</w:t>
      </w:r>
      <w:r w:rsidRPr="005C7E9B">
        <w:t>stos el EDRP analiza la percepción de nueve posibles características (factores) del riesgo: conocimiento, temor, vulnerabilidad, gravedad, control, potencial catastrófico y demora así como la percepción del riesgo global.</w:t>
      </w:r>
    </w:p>
    <w:p w:rsidR="004C1BFF" w:rsidRDefault="004C1BFF" w:rsidP="004C1BFF">
      <w:pPr>
        <w:spacing w:line="360" w:lineRule="auto"/>
        <w:ind w:firstLine="708"/>
        <w:jc w:val="both"/>
      </w:pPr>
      <w:r w:rsidRPr="005C7E9B">
        <w:t xml:space="preserve">En el instrumento a aplicar, para evaluar la percepción del riesgo de la pandemia de COVID-19, se consideraron como dimensiones de análisis: la severidad percibida, la susceptibilidad percibida, el conocimiento sobre la enfermedad y la confianza en las autoridades sanitarias así como el constructo de percepción de la enfermedad. Por </w:t>
      </w:r>
      <w:r>
        <w:t xml:space="preserve">lo </w:t>
      </w:r>
      <w:r w:rsidRPr="005C7E9B">
        <w:t>tanto, para cada una de las dimensiones establecidas se identificaron, los  factores explorados y se asignó a cada factor una variable. A continuación, para cada variable se elaboraron las preguntas asociadas a la pandemia de COVID-19. En la Tabla 1 se presentan las preguntas del cuestionario, así como los factores de riesgo que exploran; para la evaluación de cada una de las preguntas se utiliza una escala tipo Likert con valores comprendidos entre 1 y 5.</w:t>
      </w:r>
    </w:p>
    <w:p w:rsidR="004C1BFF" w:rsidRPr="005C7E9B" w:rsidRDefault="004C1BFF" w:rsidP="004C1BFF">
      <w:pPr>
        <w:jc w:val="both"/>
      </w:pPr>
    </w:p>
    <w:p w:rsidR="009E05D1" w:rsidRDefault="009E05D1" w:rsidP="004C1BFF">
      <w:pPr>
        <w:jc w:val="both"/>
        <w:rPr>
          <w:b/>
          <w:bCs/>
          <w:i/>
          <w:sz w:val="20"/>
          <w:szCs w:val="20"/>
        </w:rPr>
      </w:pPr>
    </w:p>
    <w:p w:rsidR="004C1BFF" w:rsidRPr="00A076D9" w:rsidRDefault="004C1BFF" w:rsidP="004C1BFF">
      <w:pPr>
        <w:jc w:val="both"/>
        <w:rPr>
          <w:sz w:val="20"/>
          <w:szCs w:val="20"/>
        </w:rPr>
      </w:pPr>
      <w:r w:rsidRPr="0062462D">
        <w:rPr>
          <w:b/>
          <w:bCs/>
          <w:i/>
          <w:sz w:val="20"/>
          <w:szCs w:val="20"/>
        </w:rPr>
        <w:t>Tabla 1</w:t>
      </w:r>
      <w:r w:rsidRPr="00A076D9">
        <w:rPr>
          <w:bCs/>
          <w:sz w:val="20"/>
          <w:szCs w:val="20"/>
        </w:rPr>
        <w:t>.</w:t>
      </w:r>
      <w:r w:rsidRPr="00A076D9">
        <w:rPr>
          <w:sz w:val="20"/>
          <w:szCs w:val="20"/>
        </w:rPr>
        <w:t xml:space="preserve"> Preguntas del cuestionario, asociadas a su dimensión y en esta el factor explorado</w:t>
      </w:r>
    </w:p>
    <w:p w:rsidR="004C1BFF" w:rsidRPr="005C7E9B" w:rsidRDefault="004C1BFF" w:rsidP="004C1BFF">
      <w:pPr>
        <w:jc w:val="both"/>
      </w:pPr>
    </w:p>
    <w:tbl>
      <w:tblPr>
        <w:tblStyle w:val="Tablaconcuadrcula"/>
        <w:tblW w:w="0" w:type="auto"/>
        <w:jc w:val="center"/>
        <w:tblLook w:val="04A0"/>
      </w:tblPr>
      <w:tblGrid>
        <w:gridCol w:w="1741"/>
        <w:gridCol w:w="3653"/>
        <w:gridCol w:w="2888"/>
        <w:gridCol w:w="961"/>
      </w:tblGrid>
      <w:tr w:rsidR="004C1BFF" w:rsidRPr="004C1BFF" w:rsidTr="000009BF">
        <w:trPr>
          <w:trHeight w:val="255"/>
          <w:jc w:val="center"/>
        </w:trPr>
        <w:tc>
          <w:tcPr>
            <w:tcW w:w="0" w:type="auto"/>
            <w:tcBorders>
              <w:top w:val="single" w:sz="4" w:space="0" w:color="auto"/>
              <w:left w:val="nil"/>
              <w:bottom w:val="single" w:sz="4" w:space="0" w:color="auto"/>
              <w:right w:val="nil"/>
            </w:tcBorders>
            <w:noWrap/>
            <w:vAlign w:val="center"/>
            <w:hideMark/>
          </w:tcPr>
          <w:p w:rsidR="004C1BFF" w:rsidRPr="004C1BFF" w:rsidRDefault="004C1BFF" w:rsidP="004C1BFF">
            <w:pPr>
              <w:jc w:val="both"/>
              <w:rPr>
                <w:b/>
                <w:bCs/>
                <w:color w:val="000000"/>
                <w:sz w:val="20"/>
                <w:szCs w:val="20"/>
                <w:lang w:eastAsia="es-MX"/>
              </w:rPr>
            </w:pPr>
            <w:r w:rsidRPr="004C1BFF">
              <w:rPr>
                <w:b/>
                <w:bCs/>
                <w:color w:val="000000"/>
                <w:sz w:val="20"/>
                <w:szCs w:val="20"/>
                <w:lang w:eastAsia="es-MX"/>
              </w:rPr>
              <w:t>Dimensión</w:t>
            </w:r>
          </w:p>
        </w:tc>
        <w:tc>
          <w:tcPr>
            <w:tcW w:w="0" w:type="auto"/>
            <w:tcBorders>
              <w:top w:val="single" w:sz="4" w:space="0" w:color="auto"/>
              <w:left w:val="nil"/>
              <w:bottom w:val="single" w:sz="4" w:space="0" w:color="auto"/>
              <w:right w:val="nil"/>
            </w:tcBorders>
            <w:noWrap/>
            <w:hideMark/>
          </w:tcPr>
          <w:p w:rsidR="004C1BFF" w:rsidRPr="004C1BFF" w:rsidRDefault="004C1BFF" w:rsidP="004C1BFF">
            <w:pPr>
              <w:jc w:val="both"/>
              <w:rPr>
                <w:b/>
                <w:bCs/>
                <w:color w:val="000000"/>
                <w:sz w:val="20"/>
                <w:szCs w:val="20"/>
                <w:lang w:eastAsia="es-MX"/>
              </w:rPr>
            </w:pPr>
            <w:r w:rsidRPr="004C1BFF">
              <w:rPr>
                <w:b/>
                <w:bCs/>
                <w:color w:val="000000"/>
                <w:sz w:val="20"/>
                <w:szCs w:val="20"/>
                <w:lang w:eastAsia="es-MX"/>
              </w:rPr>
              <w:t>Preguntas de la encuesta</w:t>
            </w:r>
          </w:p>
        </w:tc>
        <w:tc>
          <w:tcPr>
            <w:tcW w:w="0" w:type="auto"/>
            <w:tcBorders>
              <w:top w:val="single" w:sz="4" w:space="0" w:color="auto"/>
              <w:left w:val="nil"/>
              <w:bottom w:val="single" w:sz="4" w:space="0" w:color="auto"/>
              <w:right w:val="nil"/>
            </w:tcBorders>
            <w:noWrap/>
            <w:hideMark/>
          </w:tcPr>
          <w:p w:rsidR="004C1BFF" w:rsidRPr="004C1BFF" w:rsidRDefault="004C1BFF" w:rsidP="004C1BFF">
            <w:pPr>
              <w:jc w:val="both"/>
              <w:rPr>
                <w:b/>
                <w:bCs/>
                <w:color w:val="000000"/>
                <w:sz w:val="20"/>
                <w:szCs w:val="20"/>
                <w:lang w:eastAsia="es-MX"/>
              </w:rPr>
            </w:pPr>
            <w:r w:rsidRPr="004C1BFF">
              <w:rPr>
                <w:b/>
                <w:bCs/>
                <w:color w:val="000000"/>
                <w:sz w:val="20"/>
                <w:szCs w:val="20"/>
                <w:lang w:eastAsia="es-MX"/>
              </w:rPr>
              <w:t>Factor Explorado</w:t>
            </w:r>
          </w:p>
        </w:tc>
        <w:tc>
          <w:tcPr>
            <w:tcW w:w="0" w:type="auto"/>
            <w:tcBorders>
              <w:top w:val="single" w:sz="4" w:space="0" w:color="auto"/>
              <w:left w:val="nil"/>
              <w:bottom w:val="single" w:sz="4" w:space="0" w:color="auto"/>
              <w:right w:val="nil"/>
            </w:tcBorders>
            <w:noWrap/>
            <w:hideMark/>
          </w:tcPr>
          <w:p w:rsidR="004C1BFF" w:rsidRPr="004C1BFF" w:rsidRDefault="004C1BFF" w:rsidP="004C1BFF">
            <w:pPr>
              <w:jc w:val="both"/>
              <w:rPr>
                <w:b/>
                <w:bCs/>
                <w:color w:val="000000"/>
                <w:sz w:val="20"/>
                <w:szCs w:val="20"/>
                <w:lang w:eastAsia="es-MX"/>
              </w:rPr>
            </w:pPr>
            <w:r w:rsidRPr="004C1BFF">
              <w:rPr>
                <w:b/>
                <w:bCs/>
                <w:color w:val="000000"/>
                <w:sz w:val="20"/>
                <w:szCs w:val="20"/>
                <w:lang w:eastAsia="es-MX"/>
              </w:rPr>
              <w:t>Variable</w:t>
            </w:r>
          </w:p>
        </w:tc>
      </w:tr>
      <w:tr w:rsidR="004C1BFF" w:rsidRPr="004C1BFF" w:rsidTr="000009BF">
        <w:trPr>
          <w:trHeight w:val="255"/>
          <w:jc w:val="center"/>
        </w:trPr>
        <w:tc>
          <w:tcPr>
            <w:tcW w:w="0" w:type="auto"/>
            <w:vMerge w:val="restart"/>
            <w:tcBorders>
              <w:top w:val="single" w:sz="4" w:space="0" w:color="auto"/>
              <w:left w:val="nil"/>
              <w:bottom w:val="nil"/>
              <w:right w:val="nil"/>
            </w:tcBorders>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Severidad percibida</w:t>
            </w:r>
          </w:p>
        </w:tc>
        <w:tc>
          <w:tcPr>
            <w:tcW w:w="0" w:type="auto"/>
            <w:tcBorders>
              <w:top w:val="single" w:sz="4" w:space="0" w:color="auto"/>
              <w:left w:val="nil"/>
              <w:bottom w:val="nil"/>
              <w:right w:val="nil"/>
            </w:tcBorders>
            <w:hideMark/>
          </w:tcPr>
          <w:p w:rsidR="004C1BFF" w:rsidRPr="004C1BFF" w:rsidRDefault="004C1BFF" w:rsidP="004C1BFF">
            <w:pPr>
              <w:jc w:val="both"/>
              <w:rPr>
                <w:color w:val="000000"/>
                <w:sz w:val="20"/>
                <w:szCs w:val="20"/>
                <w:lang w:eastAsia="es-MX"/>
              </w:rPr>
            </w:pPr>
            <w:r w:rsidRPr="004C1BFF">
              <w:rPr>
                <w:color w:val="000000"/>
                <w:sz w:val="20"/>
                <w:szCs w:val="20"/>
                <w:lang w:eastAsia="es-MX"/>
              </w:rPr>
              <w:t>Que probabilidad tiene usted de contagiarse</w:t>
            </w:r>
          </w:p>
        </w:tc>
        <w:tc>
          <w:tcPr>
            <w:tcW w:w="0" w:type="auto"/>
            <w:tcBorders>
              <w:top w:val="single" w:sz="4" w:space="0" w:color="auto"/>
              <w:left w:val="nil"/>
              <w:bottom w:val="nil"/>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Susceptibilidad al contagio</w:t>
            </w:r>
          </w:p>
        </w:tc>
        <w:tc>
          <w:tcPr>
            <w:tcW w:w="0" w:type="auto"/>
            <w:tcBorders>
              <w:top w:val="single" w:sz="4" w:space="0" w:color="auto"/>
              <w:left w:val="nil"/>
              <w:bottom w:val="nil"/>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V1</w:t>
            </w:r>
          </w:p>
        </w:tc>
      </w:tr>
      <w:tr w:rsidR="004C1BFF" w:rsidRPr="004C1BFF" w:rsidTr="000009BF">
        <w:trPr>
          <w:trHeight w:val="255"/>
          <w:jc w:val="center"/>
        </w:trPr>
        <w:tc>
          <w:tcPr>
            <w:tcW w:w="0" w:type="auto"/>
            <w:vMerge/>
            <w:tcBorders>
              <w:top w:val="nil"/>
              <w:left w:val="nil"/>
              <w:bottom w:val="nil"/>
              <w:right w:val="nil"/>
            </w:tcBorders>
            <w:vAlign w:val="center"/>
            <w:hideMark/>
          </w:tcPr>
          <w:p w:rsidR="004C1BFF" w:rsidRPr="004C1BFF" w:rsidRDefault="004C1BFF" w:rsidP="004C1BFF">
            <w:pPr>
              <w:jc w:val="both"/>
              <w:rPr>
                <w:color w:val="000000"/>
                <w:sz w:val="20"/>
                <w:szCs w:val="20"/>
                <w:lang w:eastAsia="es-MX"/>
              </w:rPr>
            </w:pPr>
          </w:p>
        </w:tc>
        <w:tc>
          <w:tcPr>
            <w:tcW w:w="0" w:type="auto"/>
            <w:tcBorders>
              <w:top w:val="nil"/>
              <w:left w:val="nil"/>
              <w:bottom w:val="nil"/>
              <w:right w:val="nil"/>
            </w:tcBorders>
            <w:hideMark/>
          </w:tcPr>
          <w:p w:rsidR="004C1BFF" w:rsidRPr="004C1BFF" w:rsidRDefault="004C1BFF" w:rsidP="004C1BFF">
            <w:pPr>
              <w:jc w:val="both"/>
              <w:rPr>
                <w:color w:val="000000"/>
                <w:sz w:val="20"/>
                <w:szCs w:val="20"/>
                <w:lang w:eastAsia="es-MX"/>
              </w:rPr>
            </w:pPr>
            <w:r w:rsidRPr="004C1BFF">
              <w:rPr>
                <w:color w:val="000000"/>
                <w:sz w:val="20"/>
                <w:szCs w:val="20"/>
                <w:lang w:eastAsia="es-MX"/>
              </w:rPr>
              <w:t>Cree que pertenece a un grupo de riesgo</w:t>
            </w:r>
          </w:p>
        </w:tc>
        <w:tc>
          <w:tcPr>
            <w:tcW w:w="0" w:type="auto"/>
            <w:tcBorders>
              <w:top w:val="nil"/>
              <w:left w:val="nil"/>
              <w:bottom w:val="nil"/>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Temor a enfermarse</w:t>
            </w:r>
          </w:p>
        </w:tc>
        <w:tc>
          <w:tcPr>
            <w:tcW w:w="0" w:type="auto"/>
            <w:tcBorders>
              <w:top w:val="nil"/>
              <w:left w:val="nil"/>
              <w:bottom w:val="nil"/>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V2</w:t>
            </w:r>
          </w:p>
        </w:tc>
      </w:tr>
      <w:tr w:rsidR="004C1BFF" w:rsidRPr="004C1BFF" w:rsidTr="000009BF">
        <w:trPr>
          <w:trHeight w:val="255"/>
          <w:jc w:val="center"/>
        </w:trPr>
        <w:tc>
          <w:tcPr>
            <w:tcW w:w="0" w:type="auto"/>
            <w:vMerge/>
            <w:tcBorders>
              <w:top w:val="nil"/>
              <w:left w:val="nil"/>
              <w:bottom w:val="single" w:sz="4" w:space="0" w:color="auto"/>
              <w:right w:val="nil"/>
            </w:tcBorders>
            <w:vAlign w:val="center"/>
            <w:hideMark/>
          </w:tcPr>
          <w:p w:rsidR="004C1BFF" w:rsidRPr="004C1BFF" w:rsidRDefault="004C1BFF" w:rsidP="004C1BFF">
            <w:pPr>
              <w:jc w:val="both"/>
              <w:rPr>
                <w:color w:val="000000"/>
                <w:sz w:val="20"/>
                <w:szCs w:val="20"/>
                <w:lang w:eastAsia="es-MX"/>
              </w:rPr>
            </w:pPr>
          </w:p>
        </w:tc>
        <w:tc>
          <w:tcPr>
            <w:tcW w:w="0" w:type="auto"/>
            <w:tcBorders>
              <w:top w:val="nil"/>
              <w:left w:val="nil"/>
              <w:bottom w:val="single" w:sz="4" w:space="0" w:color="auto"/>
              <w:right w:val="nil"/>
            </w:tcBorders>
            <w:hideMark/>
          </w:tcPr>
          <w:p w:rsidR="004C1BFF" w:rsidRPr="004C1BFF" w:rsidRDefault="004C1BFF" w:rsidP="004C1BFF">
            <w:pPr>
              <w:jc w:val="both"/>
              <w:rPr>
                <w:color w:val="000000"/>
                <w:sz w:val="20"/>
                <w:szCs w:val="20"/>
                <w:lang w:eastAsia="es-MX"/>
              </w:rPr>
            </w:pPr>
            <w:r w:rsidRPr="004C1BFF">
              <w:rPr>
                <w:color w:val="000000"/>
                <w:sz w:val="20"/>
                <w:szCs w:val="20"/>
                <w:lang w:eastAsia="es-MX"/>
              </w:rPr>
              <w:t>Mi cuerpo puede combatir al Coronavirus</w:t>
            </w:r>
          </w:p>
        </w:tc>
        <w:tc>
          <w:tcPr>
            <w:tcW w:w="0" w:type="auto"/>
            <w:tcBorders>
              <w:top w:val="nil"/>
              <w:left w:val="nil"/>
              <w:bottom w:val="single" w:sz="4" w:space="0" w:color="auto"/>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Vulnerabilidad a la enfermedad</w:t>
            </w:r>
          </w:p>
        </w:tc>
        <w:tc>
          <w:tcPr>
            <w:tcW w:w="0" w:type="auto"/>
            <w:tcBorders>
              <w:top w:val="nil"/>
              <w:left w:val="nil"/>
              <w:bottom w:val="single" w:sz="4" w:space="0" w:color="auto"/>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V3</w:t>
            </w:r>
          </w:p>
        </w:tc>
      </w:tr>
      <w:tr w:rsidR="004C1BFF" w:rsidRPr="004C1BFF" w:rsidTr="000009BF">
        <w:trPr>
          <w:trHeight w:val="480"/>
          <w:jc w:val="center"/>
        </w:trPr>
        <w:tc>
          <w:tcPr>
            <w:tcW w:w="0" w:type="auto"/>
            <w:vMerge w:val="restart"/>
            <w:tcBorders>
              <w:top w:val="single" w:sz="4" w:space="0" w:color="auto"/>
              <w:left w:val="nil"/>
              <w:bottom w:val="nil"/>
              <w:right w:val="nil"/>
            </w:tcBorders>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Susceptibilidad percibida</w:t>
            </w:r>
          </w:p>
        </w:tc>
        <w:tc>
          <w:tcPr>
            <w:tcW w:w="0" w:type="auto"/>
            <w:tcBorders>
              <w:top w:val="single" w:sz="4" w:space="0" w:color="auto"/>
              <w:left w:val="nil"/>
              <w:bottom w:val="nil"/>
              <w:right w:val="nil"/>
            </w:tcBorders>
            <w:hideMark/>
          </w:tcPr>
          <w:p w:rsidR="004C1BFF" w:rsidRPr="004C1BFF" w:rsidRDefault="004C1BFF" w:rsidP="004C1BFF">
            <w:pPr>
              <w:jc w:val="both"/>
              <w:rPr>
                <w:color w:val="000000"/>
                <w:sz w:val="20"/>
                <w:szCs w:val="20"/>
                <w:lang w:eastAsia="es-MX"/>
              </w:rPr>
            </w:pPr>
            <w:r w:rsidRPr="004C1BFF">
              <w:rPr>
                <w:color w:val="000000"/>
                <w:sz w:val="20"/>
                <w:szCs w:val="20"/>
                <w:lang w:eastAsia="es-MX"/>
              </w:rPr>
              <w:t>Cree que el Covid19 pueda causar muchas muertes en México</w:t>
            </w:r>
          </w:p>
        </w:tc>
        <w:tc>
          <w:tcPr>
            <w:tcW w:w="0" w:type="auto"/>
            <w:tcBorders>
              <w:top w:val="single" w:sz="4" w:space="0" w:color="auto"/>
              <w:left w:val="nil"/>
              <w:bottom w:val="nil"/>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Poder catastrófico</w:t>
            </w:r>
          </w:p>
        </w:tc>
        <w:tc>
          <w:tcPr>
            <w:tcW w:w="0" w:type="auto"/>
            <w:tcBorders>
              <w:top w:val="single" w:sz="4" w:space="0" w:color="auto"/>
              <w:left w:val="nil"/>
              <w:bottom w:val="nil"/>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V4</w:t>
            </w:r>
          </w:p>
        </w:tc>
      </w:tr>
      <w:tr w:rsidR="004C1BFF" w:rsidRPr="004C1BFF" w:rsidTr="000009BF">
        <w:trPr>
          <w:trHeight w:val="255"/>
          <w:jc w:val="center"/>
        </w:trPr>
        <w:tc>
          <w:tcPr>
            <w:tcW w:w="0" w:type="auto"/>
            <w:vMerge/>
            <w:tcBorders>
              <w:top w:val="nil"/>
              <w:left w:val="nil"/>
              <w:bottom w:val="single" w:sz="4" w:space="0" w:color="auto"/>
              <w:right w:val="nil"/>
            </w:tcBorders>
            <w:vAlign w:val="center"/>
            <w:hideMark/>
          </w:tcPr>
          <w:p w:rsidR="004C1BFF" w:rsidRPr="004C1BFF" w:rsidRDefault="004C1BFF" w:rsidP="004C1BFF">
            <w:pPr>
              <w:jc w:val="both"/>
              <w:rPr>
                <w:color w:val="000000"/>
                <w:sz w:val="20"/>
                <w:szCs w:val="20"/>
                <w:lang w:eastAsia="es-MX"/>
              </w:rPr>
            </w:pPr>
          </w:p>
        </w:tc>
        <w:tc>
          <w:tcPr>
            <w:tcW w:w="0" w:type="auto"/>
            <w:tcBorders>
              <w:top w:val="nil"/>
              <w:left w:val="nil"/>
              <w:bottom w:val="single" w:sz="4" w:space="0" w:color="auto"/>
              <w:right w:val="nil"/>
            </w:tcBorders>
            <w:hideMark/>
          </w:tcPr>
          <w:p w:rsidR="004C1BFF" w:rsidRPr="004C1BFF" w:rsidRDefault="004C1BFF" w:rsidP="004C1BFF">
            <w:pPr>
              <w:jc w:val="both"/>
              <w:rPr>
                <w:color w:val="000000"/>
                <w:sz w:val="20"/>
                <w:szCs w:val="20"/>
                <w:lang w:eastAsia="es-MX"/>
              </w:rPr>
            </w:pPr>
            <w:r w:rsidRPr="004C1BFF">
              <w:rPr>
                <w:color w:val="000000"/>
                <w:sz w:val="20"/>
                <w:szCs w:val="20"/>
                <w:lang w:eastAsia="es-MX"/>
              </w:rPr>
              <w:t>Cree que el Covid19 es un problema grave</w:t>
            </w:r>
          </w:p>
        </w:tc>
        <w:tc>
          <w:tcPr>
            <w:tcW w:w="0" w:type="auto"/>
            <w:tcBorders>
              <w:top w:val="nil"/>
              <w:left w:val="nil"/>
              <w:bottom w:val="single" w:sz="4" w:space="0" w:color="auto"/>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Gravedad de la enfermedad</w:t>
            </w:r>
          </w:p>
        </w:tc>
        <w:tc>
          <w:tcPr>
            <w:tcW w:w="0" w:type="auto"/>
            <w:tcBorders>
              <w:top w:val="nil"/>
              <w:left w:val="nil"/>
              <w:bottom w:val="single" w:sz="4" w:space="0" w:color="auto"/>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V5</w:t>
            </w:r>
          </w:p>
        </w:tc>
      </w:tr>
      <w:tr w:rsidR="004C1BFF" w:rsidRPr="004C1BFF" w:rsidTr="000009BF">
        <w:trPr>
          <w:trHeight w:val="720"/>
          <w:jc w:val="center"/>
        </w:trPr>
        <w:tc>
          <w:tcPr>
            <w:tcW w:w="0" w:type="auto"/>
            <w:tcBorders>
              <w:top w:val="single" w:sz="4" w:space="0" w:color="auto"/>
              <w:left w:val="nil"/>
              <w:bottom w:val="single" w:sz="4" w:space="0" w:color="auto"/>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Conocimientos</w:t>
            </w:r>
          </w:p>
        </w:tc>
        <w:tc>
          <w:tcPr>
            <w:tcW w:w="0" w:type="auto"/>
            <w:tcBorders>
              <w:top w:val="single" w:sz="4" w:space="0" w:color="auto"/>
              <w:left w:val="nil"/>
              <w:bottom w:val="single" w:sz="4" w:space="0" w:color="auto"/>
              <w:right w:val="nil"/>
            </w:tcBorders>
            <w:vAlign w:val="center"/>
            <w:hideMark/>
          </w:tcPr>
          <w:p w:rsidR="004C1BFF" w:rsidRPr="004C1BFF" w:rsidRDefault="004C1BFF" w:rsidP="009B449C">
            <w:pPr>
              <w:rPr>
                <w:color w:val="000000"/>
                <w:sz w:val="20"/>
                <w:szCs w:val="20"/>
                <w:lang w:eastAsia="es-MX"/>
              </w:rPr>
            </w:pPr>
            <w:r w:rsidRPr="004C1BFF">
              <w:rPr>
                <w:color w:val="000000"/>
                <w:sz w:val="20"/>
                <w:szCs w:val="20"/>
                <w:lang w:eastAsia="es-MX"/>
              </w:rPr>
              <w:t>Origen-Síntomas-Propagació</w:t>
            </w:r>
            <w:r w:rsidR="009B449C">
              <w:rPr>
                <w:color w:val="000000"/>
                <w:sz w:val="20"/>
                <w:szCs w:val="20"/>
                <w:lang w:eastAsia="es-MX"/>
              </w:rPr>
              <w:t xml:space="preserve">n-Periodo Incubación-Prevención </w:t>
            </w:r>
            <w:r w:rsidRPr="004C1BFF">
              <w:rPr>
                <w:color w:val="000000"/>
                <w:sz w:val="20"/>
                <w:szCs w:val="20"/>
                <w:lang w:eastAsia="es-MX"/>
              </w:rPr>
              <w:t>Básica-Uso Cubrebocas-Grupos de Riesgo-Mortalidad-Existencia de Vacuna</w:t>
            </w:r>
          </w:p>
        </w:tc>
        <w:tc>
          <w:tcPr>
            <w:tcW w:w="0" w:type="auto"/>
            <w:tcBorders>
              <w:top w:val="single" w:sz="4" w:space="0" w:color="auto"/>
              <w:left w:val="nil"/>
              <w:bottom w:val="single" w:sz="4" w:space="0" w:color="auto"/>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Conocimientos de la Enfermedad</w:t>
            </w:r>
          </w:p>
        </w:tc>
        <w:tc>
          <w:tcPr>
            <w:tcW w:w="0" w:type="auto"/>
            <w:tcBorders>
              <w:top w:val="single" w:sz="4" w:space="0" w:color="auto"/>
              <w:left w:val="nil"/>
              <w:bottom w:val="single" w:sz="4" w:space="0" w:color="auto"/>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V6</w:t>
            </w:r>
          </w:p>
        </w:tc>
      </w:tr>
      <w:tr w:rsidR="004C1BFF" w:rsidRPr="004C1BFF" w:rsidTr="000009BF">
        <w:trPr>
          <w:trHeight w:val="480"/>
          <w:jc w:val="center"/>
        </w:trPr>
        <w:tc>
          <w:tcPr>
            <w:tcW w:w="0" w:type="auto"/>
            <w:tcBorders>
              <w:top w:val="single" w:sz="4" w:space="0" w:color="auto"/>
              <w:left w:val="nil"/>
              <w:bottom w:val="single" w:sz="4" w:space="0" w:color="auto"/>
              <w:right w:val="nil"/>
            </w:tcBorders>
            <w:shd w:val="clear" w:color="auto" w:fill="auto"/>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Confianza</w:t>
            </w:r>
          </w:p>
        </w:tc>
        <w:tc>
          <w:tcPr>
            <w:tcW w:w="0" w:type="auto"/>
            <w:tcBorders>
              <w:top w:val="single" w:sz="4" w:space="0" w:color="auto"/>
              <w:left w:val="nil"/>
              <w:bottom w:val="single" w:sz="4" w:space="0" w:color="auto"/>
              <w:right w:val="nil"/>
            </w:tcBorders>
            <w:shd w:val="clear" w:color="auto" w:fill="auto"/>
            <w:vAlign w:val="center"/>
            <w:hideMark/>
          </w:tcPr>
          <w:p w:rsidR="004C1BFF" w:rsidRPr="004C1BFF" w:rsidRDefault="004C1BFF" w:rsidP="009B449C">
            <w:pPr>
              <w:rPr>
                <w:color w:val="000000"/>
                <w:sz w:val="20"/>
                <w:szCs w:val="20"/>
                <w:lang w:eastAsia="es-MX"/>
              </w:rPr>
            </w:pPr>
            <w:r w:rsidRPr="004C1BFF">
              <w:rPr>
                <w:color w:val="000000"/>
                <w:sz w:val="20"/>
                <w:szCs w:val="20"/>
                <w:lang w:eastAsia="es-MX"/>
              </w:rPr>
              <w:t>Existe información-La información es Confiable-La información es oportuna y clara</w:t>
            </w:r>
          </w:p>
        </w:tc>
        <w:tc>
          <w:tcPr>
            <w:tcW w:w="0" w:type="auto"/>
            <w:tcBorders>
              <w:top w:val="single" w:sz="4" w:space="0" w:color="auto"/>
              <w:left w:val="nil"/>
              <w:bottom w:val="single" w:sz="4" w:space="0" w:color="auto"/>
              <w:right w:val="nil"/>
            </w:tcBorders>
            <w:shd w:val="clear" w:color="auto" w:fill="auto"/>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Confianza en las autoridades</w:t>
            </w:r>
          </w:p>
        </w:tc>
        <w:tc>
          <w:tcPr>
            <w:tcW w:w="0" w:type="auto"/>
            <w:tcBorders>
              <w:top w:val="single" w:sz="4" w:space="0" w:color="auto"/>
              <w:left w:val="nil"/>
              <w:bottom w:val="single" w:sz="4" w:space="0" w:color="auto"/>
              <w:right w:val="nil"/>
            </w:tcBorders>
            <w:shd w:val="clear" w:color="auto" w:fill="auto"/>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V7</w:t>
            </w:r>
          </w:p>
        </w:tc>
      </w:tr>
      <w:tr w:rsidR="004C1BFF" w:rsidRPr="004C1BFF" w:rsidTr="000009BF">
        <w:trPr>
          <w:trHeight w:val="255"/>
          <w:jc w:val="center"/>
        </w:trPr>
        <w:tc>
          <w:tcPr>
            <w:tcW w:w="0" w:type="auto"/>
            <w:tcBorders>
              <w:top w:val="single" w:sz="4" w:space="0" w:color="auto"/>
              <w:left w:val="nil"/>
              <w:bottom w:val="single" w:sz="4" w:space="0" w:color="auto"/>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Percepción global</w:t>
            </w:r>
          </w:p>
        </w:tc>
        <w:tc>
          <w:tcPr>
            <w:tcW w:w="0" w:type="auto"/>
            <w:tcBorders>
              <w:top w:val="single" w:sz="4" w:space="0" w:color="auto"/>
              <w:left w:val="nil"/>
              <w:bottom w:val="single" w:sz="4" w:space="0" w:color="auto"/>
              <w:right w:val="nil"/>
            </w:tcBorders>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Le preocupa la pandemia de  Covid19</w:t>
            </w:r>
          </w:p>
        </w:tc>
        <w:tc>
          <w:tcPr>
            <w:tcW w:w="0" w:type="auto"/>
            <w:tcBorders>
              <w:top w:val="single" w:sz="4" w:space="0" w:color="auto"/>
              <w:left w:val="nil"/>
              <w:bottom w:val="single" w:sz="4" w:space="0" w:color="auto"/>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Percepción de la enfermedad</w:t>
            </w:r>
          </w:p>
        </w:tc>
        <w:tc>
          <w:tcPr>
            <w:tcW w:w="0" w:type="auto"/>
            <w:tcBorders>
              <w:top w:val="single" w:sz="4" w:space="0" w:color="auto"/>
              <w:left w:val="nil"/>
              <w:bottom w:val="single" w:sz="4" w:space="0" w:color="auto"/>
              <w:right w:val="nil"/>
            </w:tcBorders>
            <w:noWrap/>
            <w:vAlign w:val="center"/>
            <w:hideMark/>
          </w:tcPr>
          <w:p w:rsidR="004C1BFF" w:rsidRPr="004C1BFF" w:rsidRDefault="004C1BFF" w:rsidP="004C1BFF">
            <w:pPr>
              <w:jc w:val="both"/>
              <w:rPr>
                <w:color w:val="000000"/>
                <w:sz w:val="20"/>
                <w:szCs w:val="20"/>
                <w:lang w:eastAsia="es-MX"/>
              </w:rPr>
            </w:pPr>
            <w:r w:rsidRPr="004C1BFF">
              <w:rPr>
                <w:color w:val="000000"/>
                <w:sz w:val="20"/>
                <w:szCs w:val="20"/>
                <w:lang w:eastAsia="es-MX"/>
              </w:rPr>
              <w:t>V8</w:t>
            </w:r>
          </w:p>
        </w:tc>
      </w:tr>
    </w:tbl>
    <w:p w:rsidR="004C1BFF" w:rsidRPr="00C83B0B" w:rsidRDefault="004C1BFF" w:rsidP="004C1BFF">
      <w:pPr>
        <w:autoSpaceDE w:val="0"/>
        <w:autoSpaceDN w:val="0"/>
        <w:adjustRightInd w:val="0"/>
        <w:jc w:val="both"/>
        <w:rPr>
          <w:sz w:val="20"/>
          <w:szCs w:val="20"/>
        </w:rPr>
      </w:pPr>
      <w:r w:rsidRPr="00C83B0B">
        <w:rPr>
          <w:sz w:val="20"/>
          <w:szCs w:val="20"/>
        </w:rPr>
        <w:t xml:space="preserve"> Fuente: Elaboración propia a partir del procedimiento EDRP de Portell y Solé[8]</w:t>
      </w:r>
    </w:p>
    <w:p w:rsidR="004C1BFF" w:rsidRDefault="004C1BFF" w:rsidP="004C1BFF">
      <w:pPr>
        <w:autoSpaceDE w:val="0"/>
        <w:autoSpaceDN w:val="0"/>
        <w:adjustRightInd w:val="0"/>
        <w:spacing w:line="480" w:lineRule="auto"/>
        <w:jc w:val="both"/>
        <w:rPr>
          <w:b/>
        </w:rPr>
      </w:pPr>
    </w:p>
    <w:p w:rsidR="004C1BFF" w:rsidRPr="00670654" w:rsidRDefault="004C1BFF" w:rsidP="004C1BFF">
      <w:pPr>
        <w:autoSpaceDE w:val="0"/>
        <w:autoSpaceDN w:val="0"/>
        <w:adjustRightInd w:val="0"/>
        <w:spacing w:line="360" w:lineRule="auto"/>
        <w:jc w:val="both"/>
        <w:rPr>
          <w:b/>
          <w:i/>
        </w:rPr>
      </w:pPr>
      <w:r w:rsidRPr="00670654">
        <w:rPr>
          <w:b/>
          <w:i/>
        </w:rPr>
        <w:t>Criterios para la construcción del árbol de clasificación</w:t>
      </w:r>
    </w:p>
    <w:p w:rsidR="004C1BFF" w:rsidRPr="005C7E9B" w:rsidRDefault="004C1BFF" w:rsidP="004C1BFF">
      <w:pPr>
        <w:autoSpaceDE w:val="0"/>
        <w:autoSpaceDN w:val="0"/>
        <w:adjustRightInd w:val="0"/>
        <w:spacing w:line="360" w:lineRule="auto"/>
        <w:ind w:firstLine="709"/>
        <w:jc w:val="both"/>
      </w:pPr>
      <w:r w:rsidRPr="005C7E9B">
        <w:t>La técnica utilizada para la construcción del árbol de clasificación fue CHAID exhaustivo</w:t>
      </w:r>
      <w:r>
        <w:t xml:space="preserve"> </w:t>
      </w:r>
      <w:r w:rsidRPr="00215D3D">
        <w:t>(Sanz y Ponce de León, 2010; Espin, y Rodríguez, 2013). Los criterios de</w:t>
      </w:r>
      <w:r w:rsidRPr="005C7E9B">
        <w:t xml:space="preserve"> crecimiento del Árbol fueron: profundidad máxima tres, número de casos mínimos por nodo 95 para los nodos padre y 35 para los nodos hijo. En el cálculo estadístico de Chi Cuadrado se utilizó </w:t>
      </w:r>
      <w:r>
        <w:t xml:space="preserve">el </w:t>
      </w:r>
      <w:r w:rsidRPr="005C7E9B">
        <w:t>Cociente de Verosimilitud. Como variables independientes del modelo se incluyeron las variables de percepción de riesgo (V1 a V7) de la Tabla 1 y como variable dependiente la percepción de la enfermedad (V8 riesgo global)</w:t>
      </w:r>
      <w:r>
        <w:t>,</w:t>
      </w:r>
      <w:r w:rsidRPr="005C7E9B">
        <w:t xml:space="preserve"> ya que como se mencionó en la introducción, la percepción de la enfermedad es una representación cognitiva/emocional del problema (síntomas o enfermedad), seguida de una puesta en marcha de acciones (búsqueda o no de atención médica, uso o no de medicamentos) y finalizada por la evaluación de las acciones llevadas a cabo </w:t>
      </w:r>
      <w:r>
        <w:t>(</w:t>
      </w:r>
      <w:r>
        <w:rPr>
          <w:color w:val="000000"/>
        </w:rPr>
        <w:t>Leventhal et al.</w:t>
      </w:r>
      <w:r w:rsidRPr="004326E6">
        <w:rPr>
          <w:color w:val="000000"/>
        </w:rPr>
        <w:t>, 2000</w:t>
      </w:r>
      <w:r>
        <w:t>;</w:t>
      </w:r>
      <w:r w:rsidRPr="00EA1F2E">
        <w:rPr>
          <w:color w:val="000000"/>
        </w:rPr>
        <w:t xml:space="preserve"> </w:t>
      </w:r>
      <w:r>
        <w:rPr>
          <w:color w:val="000000"/>
        </w:rPr>
        <w:t>Lugo, Reynoso y Fernández,</w:t>
      </w:r>
      <w:r w:rsidRPr="00D90755">
        <w:rPr>
          <w:color w:val="000000"/>
        </w:rPr>
        <w:t xml:space="preserve"> 2014)</w:t>
      </w:r>
      <w:r w:rsidRPr="005C7E9B">
        <w:t xml:space="preserve">. </w:t>
      </w:r>
    </w:p>
    <w:p w:rsidR="004C1BFF" w:rsidRPr="005C7E9B" w:rsidRDefault="004C1BFF" w:rsidP="004C1BFF">
      <w:pPr>
        <w:autoSpaceDE w:val="0"/>
        <w:autoSpaceDN w:val="0"/>
        <w:adjustRightInd w:val="0"/>
        <w:spacing w:line="360" w:lineRule="auto"/>
      </w:pPr>
    </w:p>
    <w:p w:rsidR="006F7E7E" w:rsidRDefault="005B5614" w:rsidP="00CE7D65">
      <w:pPr>
        <w:pStyle w:val="Ttulosinternos"/>
        <w:rPr>
          <w:lang w:val="es-ES_tradnl"/>
        </w:rPr>
      </w:pPr>
      <w:r w:rsidRPr="005B24FF">
        <w:rPr>
          <w:lang w:val="es-ES_tradnl"/>
        </w:rPr>
        <w:t>Result</w:t>
      </w:r>
      <w:r w:rsidR="005B24FF" w:rsidRPr="005B24FF">
        <w:rPr>
          <w:lang w:val="es-ES_tradnl"/>
        </w:rPr>
        <w:t>ados</w:t>
      </w:r>
    </w:p>
    <w:p w:rsidR="00A076D9" w:rsidRDefault="00A076D9" w:rsidP="00A076D9">
      <w:pPr>
        <w:spacing w:line="360" w:lineRule="auto"/>
        <w:ind w:firstLine="709"/>
        <w:jc w:val="both"/>
      </w:pPr>
      <w:r w:rsidRPr="005C7E9B">
        <w:t xml:space="preserve">La muestra final fue de 549 personas </w:t>
      </w:r>
      <w:r w:rsidR="009B449C">
        <w:t>de las cuales el 71,</w:t>
      </w:r>
      <w:r w:rsidRPr="005C7E9B">
        <w:t>8% (n</w:t>
      </w:r>
      <w:r w:rsidR="009B449C">
        <w:t xml:space="preserve"> </w:t>
      </w:r>
      <w:r w:rsidRPr="005C7E9B">
        <w:t>=</w:t>
      </w:r>
      <w:r w:rsidR="009B449C">
        <w:t xml:space="preserve"> </w:t>
      </w:r>
      <w:r w:rsidRPr="005C7E9B">
        <w:t>394) son mujeres. Las edades oscilan entre 18 y 70 años (M</w:t>
      </w:r>
      <w:r w:rsidR="009B449C">
        <w:t xml:space="preserve"> </w:t>
      </w:r>
      <w:r w:rsidRPr="005C7E9B">
        <w:t>=</w:t>
      </w:r>
      <w:r w:rsidR="009B449C">
        <w:t xml:space="preserve"> </w:t>
      </w:r>
      <w:r w:rsidRPr="005C7E9B">
        <w:t>3</w:t>
      </w:r>
      <w:r w:rsidR="009B449C">
        <w:t>8, DE = 11,</w:t>
      </w:r>
      <w:r w:rsidRPr="005C7E9B">
        <w:t>4), todos ellos con estudios de preparatoria o superiores; en la Tabla 2 se detallan las características de las personas que respondieron la encuesta. No se consideraron en los datos personales</w:t>
      </w:r>
      <w:r>
        <w:t>,</w:t>
      </w:r>
      <w:r w:rsidRPr="005C7E9B">
        <w:t xml:space="preserve"> padecimientos ni tendencias políticas. </w:t>
      </w:r>
    </w:p>
    <w:p w:rsidR="009B449C" w:rsidRPr="005C7E9B" w:rsidRDefault="009B449C" w:rsidP="00A076D9">
      <w:pPr>
        <w:spacing w:line="360" w:lineRule="auto"/>
        <w:ind w:firstLine="709"/>
        <w:jc w:val="both"/>
      </w:pPr>
    </w:p>
    <w:p w:rsidR="00A076D9" w:rsidRPr="00A076D9" w:rsidRDefault="00A076D9" w:rsidP="00A076D9">
      <w:pPr>
        <w:spacing w:line="480" w:lineRule="auto"/>
        <w:rPr>
          <w:sz w:val="20"/>
          <w:szCs w:val="20"/>
        </w:rPr>
      </w:pPr>
      <w:r w:rsidRPr="0062462D">
        <w:rPr>
          <w:b/>
          <w:i/>
          <w:sz w:val="20"/>
          <w:szCs w:val="20"/>
        </w:rPr>
        <w:t>Tabla 2</w:t>
      </w:r>
      <w:r w:rsidRPr="00A076D9">
        <w:rPr>
          <w:sz w:val="20"/>
          <w:szCs w:val="20"/>
        </w:rPr>
        <w:t xml:space="preserve">. Características de las personas que respondieron la encuesta </w:t>
      </w:r>
    </w:p>
    <w:tbl>
      <w:tblPr>
        <w:tblW w:w="8200" w:type="dxa"/>
        <w:jc w:val="center"/>
        <w:tblCellMar>
          <w:left w:w="70" w:type="dxa"/>
          <w:right w:w="70" w:type="dxa"/>
        </w:tblCellMar>
        <w:tblLook w:val="04A0"/>
      </w:tblPr>
      <w:tblGrid>
        <w:gridCol w:w="1420"/>
        <w:gridCol w:w="1200"/>
        <w:gridCol w:w="1200"/>
        <w:gridCol w:w="1980"/>
        <w:gridCol w:w="1200"/>
        <w:gridCol w:w="1200"/>
      </w:tblGrid>
      <w:tr w:rsidR="00A076D9" w:rsidRPr="00A076D9" w:rsidTr="000009BF">
        <w:trPr>
          <w:trHeight w:val="315"/>
          <w:jc w:val="center"/>
        </w:trPr>
        <w:tc>
          <w:tcPr>
            <w:tcW w:w="1420" w:type="dxa"/>
            <w:tcBorders>
              <w:top w:val="single" w:sz="8" w:space="0" w:color="000000"/>
              <w:left w:val="nil"/>
              <w:bottom w:val="single" w:sz="8" w:space="0" w:color="000000"/>
              <w:right w:val="nil"/>
            </w:tcBorders>
            <w:shd w:val="clear" w:color="auto" w:fill="auto"/>
            <w:noWrap/>
            <w:hideMark/>
          </w:tcPr>
          <w:p w:rsidR="00A076D9" w:rsidRPr="00A076D9" w:rsidRDefault="00A076D9" w:rsidP="000009BF">
            <w:pPr>
              <w:rPr>
                <w:b/>
                <w:bCs/>
                <w:color w:val="000000"/>
                <w:sz w:val="20"/>
                <w:szCs w:val="20"/>
                <w:lang w:eastAsia="es-MX"/>
              </w:rPr>
            </w:pPr>
            <w:r w:rsidRPr="00A076D9">
              <w:rPr>
                <w:b/>
                <w:bCs/>
                <w:color w:val="000000"/>
                <w:sz w:val="20"/>
                <w:szCs w:val="20"/>
                <w:lang w:eastAsia="es-MX"/>
              </w:rPr>
              <w:t> </w:t>
            </w:r>
          </w:p>
        </w:tc>
        <w:tc>
          <w:tcPr>
            <w:tcW w:w="1200" w:type="dxa"/>
            <w:tcBorders>
              <w:top w:val="single" w:sz="8" w:space="0" w:color="000000"/>
              <w:left w:val="nil"/>
              <w:bottom w:val="single" w:sz="8" w:space="0" w:color="000000"/>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Frecuencia</w:t>
            </w:r>
          </w:p>
        </w:tc>
        <w:tc>
          <w:tcPr>
            <w:tcW w:w="1200" w:type="dxa"/>
            <w:tcBorders>
              <w:top w:val="single" w:sz="8" w:space="0" w:color="000000"/>
              <w:left w:val="nil"/>
              <w:bottom w:val="single" w:sz="8" w:space="0" w:color="000000"/>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w:t>
            </w:r>
          </w:p>
        </w:tc>
        <w:tc>
          <w:tcPr>
            <w:tcW w:w="1980" w:type="dxa"/>
            <w:tcBorders>
              <w:top w:val="single" w:sz="8" w:space="0" w:color="000000"/>
              <w:left w:val="nil"/>
              <w:bottom w:val="single" w:sz="8" w:space="0" w:color="000000"/>
              <w:right w:val="nil"/>
            </w:tcBorders>
            <w:shd w:val="clear" w:color="auto" w:fill="auto"/>
            <w:noWrap/>
            <w:hideMark/>
          </w:tcPr>
          <w:p w:rsidR="00A076D9" w:rsidRPr="00A076D9" w:rsidRDefault="00A076D9" w:rsidP="000009BF">
            <w:pPr>
              <w:rPr>
                <w:b/>
                <w:bCs/>
                <w:color w:val="000000"/>
                <w:sz w:val="20"/>
                <w:szCs w:val="20"/>
                <w:lang w:eastAsia="es-MX"/>
              </w:rPr>
            </w:pPr>
            <w:r w:rsidRPr="00A076D9">
              <w:rPr>
                <w:b/>
                <w:bCs/>
                <w:color w:val="000000"/>
                <w:sz w:val="20"/>
                <w:szCs w:val="20"/>
                <w:lang w:eastAsia="es-MX"/>
              </w:rPr>
              <w:t> </w:t>
            </w:r>
          </w:p>
        </w:tc>
        <w:tc>
          <w:tcPr>
            <w:tcW w:w="1200" w:type="dxa"/>
            <w:tcBorders>
              <w:top w:val="single" w:sz="8" w:space="0" w:color="000000"/>
              <w:left w:val="nil"/>
              <w:bottom w:val="single" w:sz="8" w:space="0" w:color="000000"/>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Frecuencia</w:t>
            </w:r>
          </w:p>
        </w:tc>
        <w:tc>
          <w:tcPr>
            <w:tcW w:w="1200" w:type="dxa"/>
            <w:tcBorders>
              <w:top w:val="single" w:sz="8" w:space="0" w:color="000000"/>
              <w:left w:val="nil"/>
              <w:bottom w:val="single" w:sz="8" w:space="0" w:color="000000"/>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w:t>
            </w:r>
          </w:p>
        </w:tc>
      </w:tr>
      <w:tr w:rsidR="00A076D9" w:rsidRPr="00A076D9" w:rsidTr="000009BF">
        <w:trPr>
          <w:trHeight w:val="300"/>
          <w:jc w:val="center"/>
        </w:trPr>
        <w:tc>
          <w:tcPr>
            <w:tcW w:w="1420" w:type="dxa"/>
            <w:tcBorders>
              <w:top w:val="nil"/>
              <w:left w:val="nil"/>
              <w:bottom w:val="nil"/>
              <w:right w:val="nil"/>
            </w:tcBorders>
            <w:shd w:val="clear" w:color="auto" w:fill="auto"/>
            <w:noWrap/>
            <w:hideMark/>
          </w:tcPr>
          <w:p w:rsidR="00A076D9" w:rsidRPr="00A076D9" w:rsidRDefault="00A076D9" w:rsidP="000009BF">
            <w:pPr>
              <w:rPr>
                <w:b/>
                <w:bCs/>
                <w:color w:val="000000"/>
                <w:sz w:val="20"/>
                <w:szCs w:val="20"/>
                <w:lang w:eastAsia="es-MX"/>
              </w:rPr>
            </w:pPr>
            <w:r w:rsidRPr="00A076D9">
              <w:rPr>
                <w:b/>
                <w:bCs/>
                <w:color w:val="000000"/>
                <w:sz w:val="20"/>
                <w:szCs w:val="20"/>
                <w:lang w:eastAsia="es-MX"/>
              </w:rPr>
              <w:t>Género</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p>
        </w:tc>
        <w:tc>
          <w:tcPr>
            <w:tcW w:w="1980" w:type="dxa"/>
            <w:tcBorders>
              <w:top w:val="nil"/>
              <w:left w:val="nil"/>
              <w:bottom w:val="nil"/>
              <w:right w:val="nil"/>
            </w:tcBorders>
            <w:shd w:val="clear" w:color="auto" w:fill="auto"/>
            <w:noWrap/>
            <w:hideMark/>
          </w:tcPr>
          <w:p w:rsidR="00A076D9" w:rsidRPr="00A076D9" w:rsidRDefault="00A076D9" w:rsidP="000009BF">
            <w:pPr>
              <w:rPr>
                <w:b/>
                <w:bCs/>
                <w:color w:val="000000"/>
                <w:sz w:val="20"/>
                <w:szCs w:val="20"/>
                <w:lang w:eastAsia="es-MX"/>
              </w:rPr>
            </w:pPr>
            <w:r w:rsidRPr="00A076D9">
              <w:rPr>
                <w:b/>
                <w:bCs/>
                <w:color w:val="000000"/>
                <w:sz w:val="20"/>
                <w:szCs w:val="20"/>
                <w:lang w:eastAsia="es-MX"/>
              </w:rPr>
              <w:t>Edad</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p>
        </w:tc>
      </w:tr>
      <w:tr w:rsidR="00A076D9" w:rsidRPr="00A076D9" w:rsidTr="000009BF">
        <w:trPr>
          <w:trHeight w:val="300"/>
          <w:jc w:val="center"/>
        </w:trPr>
        <w:tc>
          <w:tcPr>
            <w:tcW w:w="142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 xml:space="preserve">   Hombres</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155</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Pr>
                <w:color w:val="000000"/>
                <w:sz w:val="20"/>
                <w:szCs w:val="20"/>
                <w:lang w:eastAsia="es-MX"/>
              </w:rPr>
              <w:t>28,</w:t>
            </w:r>
            <w:r w:rsidRPr="00A076D9">
              <w:rPr>
                <w:color w:val="000000"/>
                <w:sz w:val="20"/>
                <w:szCs w:val="20"/>
                <w:lang w:eastAsia="es-MX"/>
              </w:rPr>
              <w:t>2</w:t>
            </w:r>
          </w:p>
        </w:tc>
        <w:tc>
          <w:tcPr>
            <w:tcW w:w="198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 xml:space="preserve">   18-19 años</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7</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Pr>
                <w:color w:val="000000"/>
                <w:sz w:val="20"/>
                <w:szCs w:val="20"/>
                <w:lang w:eastAsia="es-MX"/>
              </w:rPr>
              <w:t>1,</w:t>
            </w:r>
            <w:r w:rsidRPr="00A076D9">
              <w:rPr>
                <w:color w:val="000000"/>
                <w:sz w:val="20"/>
                <w:szCs w:val="20"/>
                <w:lang w:eastAsia="es-MX"/>
              </w:rPr>
              <w:t>3</w:t>
            </w:r>
          </w:p>
        </w:tc>
      </w:tr>
      <w:tr w:rsidR="00A076D9" w:rsidRPr="00A076D9" w:rsidTr="000009BF">
        <w:trPr>
          <w:trHeight w:val="300"/>
          <w:jc w:val="center"/>
        </w:trPr>
        <w:tc>
          <w:tcPr>
            <w:tcW w:w="142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 xml:space="preserve">   Mujeres</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394</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Pr>
                <w:color w:val="000000"/>
                <w:sz w:val="20"/>
                <w:szCs w:val="20"/>
                <w:lang w:eastAsia="es-MX"/>
              </w:rPr>
              <w:t>71,</w:t>
            </w:r>
            <w:r w:rsidRPr="00A076D9">
              <w:rPr>
                <w:color w:val="000000"/>
                <w:sz w:val="20"/>
                <w:szCs w:val="20"/>
                <w:lang w:eastAsia="es-MX"/>
              </w:rPr>
              <w:t>8</w:t>
            </w:r>
          </w:p>
        </w:tc>
        <w:tc>
          <w:tcPr>
            <w:tcW w:w="198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 xml:space="preserve">   20-29 años</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96</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Pr>
                <w:color w:val="000000"/>
                <w:sz w:val="20"/>
                <w:szCs w:val="20"/>
                <w:lang w:eastAsia="es-MX"/>
              </w:rPr>
              <w:t>17,</w:t>
            </w:r>
            <w:r w:rsidRPr="00A076D9">
              <w:rPr>
                <w:color w:val="000000"/>
                <w:sz w:val="20"/>
                <w:szCs w:val="20"/>
                <w:lang w:eastAsia="es-MX"/>
              </w:rPr>
              <w:t>5</w:t>
            </w:r>
          </w:p>
        </w:tc>
      </w:tr>
      <w:tr w:rsidR="00A076D9" w:rsidRPr="00A076D9" w:rsidTr="000009BF">
        <w:trPr>
          <w:trHeight w:val="300"/>
          <w:jc w:val="center"/>
        </w:trPr>
        <w:tc>
          <w:tcPr>
            <w:tcW w:w="1420" w:type="dxa"/>
            <w:tcBorders>
              <w:top w:val="nil"/>
              <w:left w:val="nil"/>
              <w:bottom w:val="nil"/>
              <w:right w:val="nil"/>
            </w:tcBorders>
            <w:shd w:val="clear" w:color="auto" w:fill="auto"/>
            <w:noWrap/>
            <w:hideMark/>
          </w:tcPr>
          <w:p w:rsidR="00A076D9" w:rsidRPr="00A076D9" w:rsidRDefault="00A076D9" w:rsidP="000009BF">
            <w:pPr>
              <w:rPr>
                <w:b/>
                <w:bCs/>
                <w:color w:val="000000"/>
                <w:sz w:val="20"/>
                <w:szCs w:val="20"/>
                <w:lang w:eastAsia="es-MX"/>
              </w:rPr>
            </w:pPr>
            <w:r w:rsidRPr="00A076D9">
              <w:rPr>
                <w:b/>
                <w:bCs/>
                <w:color w:val="000000"/>
                <w:sz w:val="20"/>
                <w:szCs w:val="20"/>
                <w:lang w:eastAsia="es-MX"/>
              </w:rPr>
              <w:t>Escolaridad</w:t>
            </w:r>
          </w:p>
        </w:tc>
        <w:tc>
          <w:tcPr>
            <w:tcW w:w="1200" w:type="dxa"/>
            <w:tcBorders>
              <w:top w:val="nil"/>
              <w:left w:val="nil"/>
              <w:bottom w:val="nil"/>
              <w:right w:val="nil"/>
            </w:tcBorders>
            <w:shd w:val="clear" w:color="auto" w:fill="auto"/>
            <w:noWrap/>
            <w:vAlign w:val="bottom"/>
            <w:hideMark/>
          </w:tcPr>
          <w:p w:rsidR="00A076D9" w:rsidRPr="00A076D9" w:rsidRDefault="00A076D9" w:rsidP="000009BF">
            <w:pPr>
              <w:rPr>
                <w:color w:val="000000"/>
                <w:sz w:val="20"/>
                <w:szCs w:val="20"/>
                <w:lang w:eastAsia="es-MX"/>
              </w:rPr>
            </w:pPr>
          </w:p>
        </w:tc>
        <w:tc>
          <w:tcPr>
            <w:tcW w:w="1200" w:type="dxa"/>
            <w:tcBorders>
              <w:top w:val="nil"/>
              <w:left w:val="nil"/>
              <w:bottom w:val="nil"/>
              <w:right w:val="nil"/>
            </w:tcBorders>
            <w:shd w:val="clear" w:color="auto" w:fill="auto"/>
            <w:noWrap/>
            <w:vAlign w:val="bottom"/>
            <w:hideMark/>
          </w:tcPr>
          <w:p w:rsidR="00A076D9" w:rsidRPr="00A076D9" w:rsidRDefault="00A076D9" w:rsidP="000009BF">
            <w:pPr>
              <w:rPr>
                <w:color w:val="000000"/>
                <w:sz w:val="20"/>
                <w:szCs w:val="20"/>
                <w:lang w:eastAsia="es-MX"/>
              </w:rPr>
            </w:pPr>
          </w:p>
        </w:tc>
        <w:tc>
          <w:tcPr>
            <w:tcW w:w="198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 xml:space="preserve">   30-39 años</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213</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Pr>
                <w:color w:val="000000"/>
                <w:sz w:val="20"/>
                <w:szCs w:val="20"/>
                <w:lang w:eastAsia="es-MX"/>
              </w:rPr>
              <w:t>38,</w:t>
            </w:r>
            <w:r w:rsidRPr="00A076D9">
              <w:rPr>
                <w:color w:val="000000"/>
                <w:sz w:val="20"/>
                <w:szCs w:val="20"/>
                <w:lang w:eastAsia="es-MX"/>
              </w:rPr>
              <w:t>8</w:t>
            </w:r>
          </w:p>
        </w:tc>
      </w:tr>
      <w:tr w:rsidR="00A076D9" w:rsidRPr="00A076D9" w:rsidTr="000009BF">
        <w:trPr>
          <w:trHeight w:val="300"/>
          <w:jc w:val="center"/>
        </w:trPr>
        <w:tc>
          <w:tcPr>
            <w:tcW w:w="142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 xml:space="preserve"> Doctorado</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106</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Pr>
                <w:color w:val="000000"/>
                <w:sz w:val="20"/>
                <w:szCs w:val="20"/>
                <w:lang w:eastAsia="es-MX"/>
              </w:rPr>
              <w:t>19,</w:t>
            </w:r>
            <w:r w:rsidRPr="00A076D9">
              <w:rPr>
                <w:color w:val="000000"/>
                <w:sz w:val="20"/>
                <w:szCs w:val="20"/>
                <w:lang w:eastAsia="es-MX"/>
              </w:rPr>
              <w:t>31</w:t>
            </w:r>
          </w:p>
        </w:tc>
        <w:tc>
          <w:tcPr>
            <w:tcW w:w="198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 xml:space="preserve">   40-49 años</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139</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Pr>
                <w:color w:val="000000"/>
                <w:sz w:val="20"/>
                <w:szCs w:val="20"/>
                <w:lang w:eastAsia="es-MX"/>
              </w:rPr>
              <w:t>25,</w:t>
            </w:r>
            <w:r w:rsidRPr="00A076D9">
              <w:rPr>
                <w:color w:val="000000"/>
                <w:sz w:val="20"/>
                <w:szCs w:val="20"/>
                <w:lang w:eastAsia="es-MX"/>
              </w:rPr>
              <w:t>3</w:t>
            </w:r>
          </w:p>
        </w:tc>
      </w:tr>
      <w:tr w:rsidR="00A076D9" w:rsidRPr="00A076D9" w:rsidTr="000009BF">
        <w:trPr>
          <w:trHeight w:val="300"/>
          <w:jc w:val="center"/>
        </w:trPr>
        <w:tc>
          <w:tcPr>
            <w:tcW w:w="142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 xml:space="preserve"> Maestría</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176</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Pr>
                <w:color w:val="000000"/>
                <w:sz w:val="20"/>
                <w:szCs w:val="20"/>
                <w:lang w:eastAsia="es-MX"/>
              </w:rPr>
              <w:t>32,</w:t>
            </w:r>
            <w:r w:rsidRPr="00A076D9">
              <w:rPr>
                <w:color w:val="000000"/>
                <w:sz w:val="20"/>
                <w:szCs w:val="20"/>
                <w:lang w:eastAsia="es-MX"/>
              </w:rPr>
              <w:t>06</w:t>
            </w:r>
          </w:p>
        </w:tc>
        <w:tc>
          <w:tcPr>
            <w:tcW w:w="198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 xml:space="preserve">   50-59 años </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51</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Pr>
                <w:color w:val="000000"/>
                <w:sz w:val="20"/>
                <w:szCs w:val="20"/>
                <w:lang w:eastAsia="es-MX"/>
              </w:rPr>
              <w:t>9,</w:t>
            </w:r>
            <w:r w:rsidRPr="00A076D9">
              <w:rPr>
                <w:color w:val="000000"/>
                <w:sz w:val="20"/>
                <w:szCs w:val="20"/>
                <w:lang w:eastAsia="es-MX"/>
              </w:rPr>
              <w:t>3</w:t>
            </w:r>
          </w:p>
        </w:tc>
      </w:tr>
      <w:tr w:rsidR="00A076D9" w:rsidRPr="00A076D9" w:rsidTr="000009BF">
        <w:trPr>
          <w:trHeight w:val="300"/>
          <w:jc w:val="center"/>
        </w:trPr>
        <w:tc>
          <w:tcPr>
            <w:tcW w:w="142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 xml:space="preserve"> Licenciatura</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233</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Pr>
                <w:color w:val="000000"/>
                <w:sz w:val="20"/>
                <w:szCs w:val="20"/>
                <w:lang w:eastAsia="es-MX"/>
              </w:rPr>
              <w:t>42,</w:t>
            </w:r>
            <w:r w:rsidRPr="00A076D9">
              <w:rPr>
                <w:color w:val="000000"/>
                <w:sz w:val="20"/>
                <w:szCs w:val="20"/>
                <w:lang w:eastAsia="es-MX"/>
              </w:rPr>
              <w:t>44</w:t>
            </w:r>
          </w:p>
        </w:tc>
        <w:tc>
          <w:tcPr>
            <w:tcW w:w="198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 xml:space="preserve">   60-69 años</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38</w:t>
            </w:r>
          </w:p>
        </w:tc>
        <w:tc>
          <w:tcPr>
            <w:tcW w:w="1200" w:type="dxa"/>
            <w:tcBorders>
              <w:top w:val="nil"/>
              <w:left w:val="nil"/>
              <w:bottom w:val="nil"/>
              <w:right w:val="nil"/>
            </w:tcBorders>
            <w:shd w:val="clear" w:color="auto" w:fill="auto"/>
            <w:noWrap/>
            <w:hideMark/>
          </w:tcPr>
          <w:p w:rsidR="00A076D9" w:rsidRPr="00A076D9" w:rsidRDefault="00A076D9" w:rsidP="000009BF">
            <w:pPr>
              <w:rPr>
                <w:color w:val="000000"/>
                <w:sz w:val="20"/>
                <w:szCs w:val="20"/>
                <w:lang w:eastAsia="es-MX"/>
              </w:rPr>
            </w:pPr>
            <w:r>
              <w:rPr>
                <w:color w:val="000000"/>
                <w:sz w:val="20"/>
                <w:szCs w:val="20"/>
                <w:lang w:eastAsia="es-MX"/>
              </w:rPr>
              <w:t>6,</w:t>
            </w:r>
            <w:r w:rsidRPr="00A076D9">
              <w:rPr>
                <w:color w:val="000000"/>
                <w:sz w:val="20"/>
                <w:szCs w:val="20"/>
                <w:lang w:eastAsia="es-MX"/>
              </w:rPr>
              <w:t>9</w:t>
            </w:r>
          </w:p>
        </w:tc>
      </w:tr>
      <w:tr w:rsidR="00A076D9" w:rsidRPr="00A076D9" w:rsidTr="000009BF">
        <w:trPr>
          <w:trHeight w:val="300"/>
          <w:jc w:val="center"/>
        </w:trPr>
        <w:tc>
          <w:tcPr>
            <w:tcW w:w="1420" w:type="dxa"/>
            <w:tcBorders>
              <w:top w:val="nil"/>
              <w:left w:val="nil"/>
              <w:bottom w:val="single" w:sz="4" w:space="0" w:color="auto"/>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 xml:space="preserve"> Preparatoria</w:t>
            </w:r>
          </w:p>
        </w:tc>
        <w:tc>
          <w:tcPr>
            <w:tcW w:w="1200" w:type="dxa"/>
            <w:tcBorders>
              <w:top w:val="nil"/>
              <w:left w:val="nil"/>
              <w:bottom w:val="single" w:sz="4" w:space="0" w:color="auto"/>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34</w:t>
            </w:r>
          </w:p>
        </w:tc>
        <w:tc>
          <w:tcPr>
            <w:tcW w:w="1200" w:type="dxa"/>
            <w:tcBorders>
              <w:top w:val="nil"/>
              <w:left w:val="nil"/>
              <w:bottom w:val="single" w:sz="4" w:space="0" w:color="auto"/>
              <w:right w:val="nil"/>
            </w:tcBorders>
            <w:shd w:val="clear" w:color="auto" w:fill="auto"/>
            <w:noWrap/>
            <w:hideMark/>
          </w:tcPr>
          <w:p w:rsidR="00A076D9" w:rsidRPr="00A076D9" w:rsidRDefault="00A076D9" w:rsidP="000009BF">
            <w:pPr>
              <w:rPr>
                <w:color w:val="000000"/>
                <w:sz w:val="20"/>
                <w:szCs w:val="20"/>
                <w:lang w:eastAsia="es-MX"/>
              </w:rPr>
            </w:pPr>
            <w:r>
              <w:rPr>
                <w:color w:val="000000"/>
                <w:sz w:val="20"/>
                <w:szCs w:val="20"/>
                <w:lang w:eastAsia="es-MX"/>
              </w:rPr>
              <w:t>6,</w:t>
            </w:r>
            <w:r w:rsidRPr="00A076D9">
              <w:rPr>
                <w:color w:val="000000"/>
                <w:sz w:val="20"/>
                <w:szCs w:val="20"/>
                <w:lang w:eastAsia="es-MX"/>
              </w:rPr>
              <w:t>19</w:t>
            </w:r>
          </w:p>
        </w:tc>
        <w:tc>
          <w:tcPr>
            <w:tcW w:w="1980" w:type="dxa"/>
            <w:tcBorders>
              <w:top w:val="nil"/>
              <w:left w:val="nil"/>
              <w:bottom w:val="single" w:sz="4" w:space="0" w:color="auto"/>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 xml:space="preserve">   70 años y más </w:t>
            </w:r>
          </w:p>
        </w:tc>
        <w:tc>
          <w:tcPr>
            <w:tcW w:w="1200" w:type="dxa"/>
            <w:tcBorders>
              <w:top w:val="nil"/>
              <w:left w:val="nil"/>
              <w:bottom w:val="single" w:sz="4" w:space="0" w:color="auto"/>
              <w:right w:val="nil"/>
            </w:tcBorders>
            <w:shd w:val="clear" w:color="auto" w:fill="auto"/>
            <w:noWrap/>
            <w:hideMark/>
          </w:tcPr>
          <w:p w:rsidR="00A076D9" w:rsidRPr="00A076D9" w:rsidRDefault="00A076D9" w:rsidP="000009BF">
            <w:pPr>
              <w:rPr>
                <w:color w:val="000000"/>
                <w:sz w:val="20"/>
                <w:szCs w:val="20"/>
                <w:lang w:eastAsia="es-MX"/>
              </w:rPr>
            </w:pPr>
            <w:r w:rsidRPr="00A076D9">
              <w:rPr>
                <w:color w:val="000000"/>
                <w:sz w:val="20"/>
                <w:szCs w:val="20"/>
                <w:lang w:eastAsia="es-MX"/>
              </w:rPr>
              <w:t>5</w:t>
            </w:r>
          </w:p>
        </w:tc>
        <w:tc>
          <w:tcPr>
            <w:tcW w:w="1200" w:type="dxa"/>
            <w:tcBorders>
              <w:top w:val="nil"/>
              <w:left w:val="nil"/>
              <w:bottom w:val="single" w:sz="4" w:space="0" w:color="auto"/>
              <w:right w:val="nil"/>
            </w:tcBorders>
            <w:shd w:val="clear" w:color="auto" w:fill="auto"/>
            <w:noWrap/>
            <w:hideMark/>
          </w:tcPr>
          <w:p w:rsidR="00A076D9" w:rsidRPr="00A076D9" w:rsidRDefault="00A076D9" w:rsidP="000009BF">
            <w:pPr>
              <w:rPr>
                <w:color w:val="000000"/>
                <w:sz w:val="20"/>
                <w:szCs w:val="20"/>
                <w:lang w:eastAsia="es-MX"/>
              </w:rPr>
            </w:pPr>
            <w:r>
              <w:rPr>
                <w:color w:val="000000"/>
                <w:sz w:val="20"/>
                <w:szCs w:val="20"/>
                <w:lang w:eastAsia="es-MX"/>
              </w:rPr>
              <w:t>0,</w:t>
            </w:r>
            <w:r w:rsidRPr="00A076D9">
              <w:rPr>
                <w:color w:val="000000"/>
                <w:sz w:val="20"/>
                <w:szCs w:val="20"/>
                <w:lang w:eastAsia="es-MX"/>
              </w:rPr>
              <w:t>9</w:t>
            </w:r>
          </w:p>
        </w:tc>
      </w:tr>
    </w:tbl>
    <w:p w:rsidR="00A076D9" w:rsidRPr="00C83B0B" w:rsidRDefault="00A076D9" w:rsidP="00A076D9">
      <w:pPr>
        <w:rPr>
          <w:sz w:val="20"/>
          <w:szCs w:val="20"/>
        </w:rPr>
      </w:pPr>
      <w:r>
        <w:t xml:space="preserve">        </w:t>
      </w:r>
      <w:r w:rsidRPr="00C83B0B">
        <w:rPr>
          <w:sz w:val="20"/>
          <w:szCs w:val="20"/>
        </w:rPr>
        <w:t>Fuente: Elaboración propia a partir de los datos de la encuesta</w:t>
      </w:r>
    </w:p>
    <w:p w:rsidR="00A076D9" w:rsidRPr="005C7E9B" w:rsidRDefault="00A076D9" w:rsidP="00A076D9">
      <w:pPr>
        <w:spacing w:line="480" w:lineRule="auto"/>
      </w:pPr>
    </w:p>
    <w:p w:rsidR="00A076D9" w:rsidRPr="00DC451B" w:rsidRDefault="00A076D9" w:rsidP="00A076D9">
      <w:pPr>
        <w:spacing w:line="360" w:lineRule="auto"/>
        <w:jc w:val="both"/>
        <w:rPr>
          <w:b/>
          <w:i/>
        </w:rPr>
      </w:pPr>
      <w:r w:rsidRPr="00DC451B">
        <w:rPr>
          <w:b/>
          <w:i/>
        </w:rPr>
        <w:t>Resultados Descriptivos</w:t>
      </w:r>
    </w:p>
    <w:p w:rsidR="00A076D9" w:rsidRDefault="00A076D9" w:rsidP="00A076D9">
      <w:pPr>
        <w:spacing w:line="360" w:lineRule="auto"/>
        <w:ind w:firstLine="709"/>
        <w:jc w:val="both"/>
        <w:rPr>
          <w:b/>
        </w:rPr>
      </w:pPr>
      <w:r w:rsidRPr="005C7E9B">
        <w:t>De las personas que respondieron la encuesta</w:t>
      </w:r>
      <w:r w:rsidR="006E2C7F">
        <w:t>,</w:t>
      </w:r>
      <w:r w:rsidRPr="005C7E9B">
        <w:t xml:space="preserve"> el 99% (n</w:t>
      </w:r>
      <w:r>
        <w:t xml:space="preserve"> </w:t>
      </w:r>
      <w:r w:rsidRPr="005C7E9B">
        <w:t>= 544) escucharon noticias sobre el coronavirus en los días previos</w:t>
      </w:r>
      <w:r w:rsidR="009B449C">
        <w:t xml:space="preserve"> a la consulta y solamente un 0,</w:t>
      </w:r>
      <w:r w:rsidRPr="005C7E9B">
        <w:t>01% (n</w:t>
      </w:r>
      <w:r>
        <w:t xml:space="preserve"> </w:t>
      </w:r>
      <w:r w:rsidRPr="005C7E9B">
        <w:t>= 5</w:t>
      </w:r>
      <w:r>
        <w:t>) contestaron que no y el</w:t>
      </w:r>
      <w:r w:rsidRPr="005C7E9B">
        <w:t xml:space="preserve"> tiempo promedio que dedican a consultar noticias es de una hora. </w:t>
      </w:r>
    </w:p>
    <w:p w:rsidR="00A076D9" w:rsidRPr="005C7E9B" w:rsidRDefault="00A076D9" w:rsidP="00A076D9">
      <w:pPr>
        <w:spacing w:line="360" w:lineRule="auto"/>
        <w:ind w:firstLine="708"/>
        <w:jc w:val="both"/>
      </w:pPr>
      <w:r w:rsidRPr="005C7E9B">
        <w:t>Respecto a los conoci</w:t>
      </w:r>
      <w:r w:rsidR="009B449C">
        <w:t>mientos acerca de COVID19</w:t>
      </w:r>
      <w:r w:rsidR="006E2C7F">
        <w:t>,</w:t>
      </w:r>
      <w:r w:rsidR="009B449C">
        <w:t xml:space="preserve"> el 98,</w:t>
      </w:r>
      <w:r w:rsidRPr="005C7E9B">
        <w:t>2% (n</w:t>
      </w:r>
      <w:r w:rsidR="009B449C">
        <w:t xml:space="preserve"> </w:t>
      </w:r>
      <w:r w:rsidRPr="005C7E9B">
        <w:t>=</w:t>
      </w:r>
      <w:r w:rsidR="009B449C">
        <w:t xml:space="preserve"> </w:t>
      </w:r>
      <w:r w:rsidRPr="005C7E9B">
        <w:t>539) conoce los síntomas la enfermeda</w:t>
      </w:r>
      <w:r w:rsidR="009B449C">
        <w:t>d y de estos el 73,</w:t>
      </w:r>
      <w:r w:rsidRPr="005C7E9B">
        <w:t>6% (n</w:t>
      </w:r>
      <w:r>
        <w:t xml:space="preserve"> </w:t>
      </w:r>
      <w:r w:rsidRPr="005C7E9B">
        <w:t xml:space="preserve">= 404) identifica cuales son  </w:t>
      </w:r>
      <w:r w:rsidR="006E2C7F">
        <w:t xml:space="preserve">los </w:t>
      </w:r>
      <w:r w:rsidRPr="005C7E9B">
        <w:t>grupos de riesgo. E</w:t>
      </w:r>
      <w:r w:rsidR="009B449C">
        <w:t>l 44,</w:t>
      </w:r>
      <w:r w:rsidRPr="005C7E9B">
        <w:t>1% (n</w:t>
      </w:r>
      <w:r>
        <w:t xml:space="preserve"> </w:t>
      </w:r>
      <w:r w:rsidRPr="005C7E9B">
        <w:t>= 242) de los encuestados se auto</w:t>
      </w:r>
      <w:r>
        <w:t>-</w:t>
      </w:r>
      <w:r w:rsidRPr="005C7E9B">
        <w:t>sitúa en alguno</w:t>
      </w:r>
      <w:r>
        <w:t xml:space="preserve"> de los grupos de ries</w:t>
      </w:r>
      <w:r w:rsidR="009B449C">
        <w:t>go, el 41,</w:t>
      </w:r>
      <w:r w:rsidRPr="005C7E9B">
        <w:t>4% (n</w:t>
      </w:r>
      <w:r>
        <w:t xml:space="preserve"> </w:t>
      </w:r>
      <w:r w:rsidRPr="005C7E9B">
        <w:t>= 227) afirma no pertenecer a ningún</w:t>
      </w:r>
      <w:r w:rsidR="009B449C">
        <w:t xml:space="preserve"> grupo de riesgo y el 14,</w:t>
      </w:r>
      <w:r w:rsidRPr="005C7E9B">
        <w:t>6% (n</w:t>
      </w:r>
      <w:r>
        <w:t xml:space="preserve"> </w:t>
      </w:r>
      <w:r w:rsidRPr="005C7E9B">
        <w:t>= 80) restante no sabe si pertenece a algún grupo de riesgo. En lo relativo a su susceptibilidad a contagiarse, debido a los hábitos relacionados con su vida cotidiana (profesión, lugar donde viv</w:t>
      </w:r>
      <w:r w:rsidR="009B449C">
        <w:t>e, medios de transporte), el 50,</w:t>
      </w:r>
      <w:r w:rsidRPr="005C7E9B">
        <w:t>6% (n</w:t>
      </w:r>
      <w:r>
        <w:t xml:space="preserve"> </w:t>
      </w:r>
      <w:r w:rsidRPr="005C7E9B">
        <w:t>= 278) consideran que tiene</w:t>
      </w:r>
      <w:r w:rsidR="009B449C">
        <w:t xml:space="preserve"> alto riesgo de contagiarse, 28,</w:t>
      </w:r>
      <w:r w:rsidRPr="005C7E9B">
        <w:t>4%(n</w:t>
      </w:r>
      <w:r>
        <w:t xml:space="preserve"> </w:t>
      </w:r>
      <w:r w:rsidRPr="005C7E9B">
        <w:t xml:space="preserve">= </w:t>
      </w:r>
      <w:r>
        <w:t xml:space="preserve">156) </w:t>
      </w:r>
      <w:r w:rsidRPr="005C7E9B">
        <w:t>riesgo bajo de contagio y el 21%(n</w:t>
      </w:r>
      <w:r>
        <w:t xml:space="preserve"> </w:t>
      </w:r>
      <w:r w:rsidRPr="005C7E9B">
        <w:t xml:space="preserve">= </w:t>
      </w:r>
      <w:r>
        <w:t xml:space="preserve">115) </w:t>
      </w:r>
      <w:r w:rsidRPr="005C7E9B">
        <w:t xml:space="preserve">riesgo promedio de contagiarse. </w:t>
      </w:r>
    </w:p>
    <w:p w:rsidR="00A076D9" w:rsidRPr="005C7E9B" w:rsidRDefault="00A076D9" w:rsidP="00A076D9">
      <w:pPr>
        <w:spacing w:line="360" w:lineRule="auto"/>
        <w:ind w:firstLine="709"/>
        <w:jc w:val="both"/>
      </w:pPr>
      <w:r w:rsidRPr="005C7E9B">
        <w:t xml:space="preserve">En cuanto a su auto-percepción de la respuesta de su organismo al virus (Vulnerabilidad), en el </w:t>
      </w:r>
      <w:r w:rsidR="009B449C">
        <w:t>caso de contraer COVID19, el 62,</w:t>
      </w:r>
      <w:r w:rsidRPr="005C7E9B">
        <w:t>1%(n</w:t>
      </w:r>
      <w:r>
        <w:t xml:space="preserve"> </w:t>
      </w:r>
      <w:r w:rsidRPr="005C7E9B">
        <w:t xml:space="preserve">= 341) piensa que puede superar </w:t>
      </w:r>
      <w:r w:rsidR="009B449C">
        <w:t>la enfermedad y recuperarse, 8,</w:t>
      </w:r>
      <w:r w:rsidRPr="005C7E9B">
        <w:t>9% (n</w:t>
      </w:r>
      <w:r>
        <w:t xml:space="preserve"> </w:t>
      </w:r>
      <w:r w:rsidRPr="005C7E9B">
        <w:t>= 49) consideran que su organismo no puede combatir la enfermedad y el 29% (n</w:t>
      </w:r>
      <w:r>
        <w:t xml:space="preserve"> </w:t>
      </w:r>
      <w:r w:rsidRPr="005C7E9B">
        <w:t>= 159) no lo sabe. A la pregunta sobre la grav</w:t>
      </w:r>
      <w:r w:rsidR="006E2C7F">
        <w:t>edad de la pandemia relacionada,</w:t>
      </w:r>
      <w:r w:rsidRPr="005C7E9B">
        <w:t xml:space="preserve"> con las implicaciones de sal</w:t>
      </w:r>
      <w:r w:rsidR="009B449C">
        <w:t>ud, económicas y sociales</w:t>
      </w:r>
      <w:r w:rsidR="006E2C7F">
        <w:t>,</w:t>
      </w:r>
      <w:r w:rsidR="009B449C">
        <w:t xml:space="preserve"> el 83,</w:t>
      </w:r>
      <w:r w:rsidRPr="005C7E9B">
        <w:t>2% (n</w:t>
      </w:r>
      <w:r>
        <w:t xml:space="preserve"> </w:t>
      </w:r>
      <w:r w:rsidRPr="005C7E9B">
        <w:t>= 457) opina que la pandemia es un problema</w:t>
      </w:r>
      <w:r w:rsidR="009B449C">
        <w:t xml:space="preserve"> muy grave para la sociedad, 11,</w:t>
      </w:r>
      <w:r w:rsidRPr="005C7E9B">
        <w:t>8%</w:t>
      </w:r>
      <w:r>
        <w:t xml:space="preserve"> </w:t>
      </w:r>
      <w:r w:rsidRPr="005C7E9B">
        <w:t>(n</w:t>
      </w:r>
      <w:r>
        <w:t xml:space="preserve"> </w:t>
      </w:r>
      <w:r w:rsidRPr="005C7E9B">
        <w:t>= 65)</w:t>
      </w:r>
      <w:r w:rsidR="009B449C">
        <w:t xml:space="preserve"> lo califica como grave y un 4,</w:t>
      </w:r>
      <w:r w:rsidRPr="005C7E9B">
        <w:t>9%</w:t>
      </w:r>
      <w:r>
        <w:t xml:space="preserve"> </w:t>
      </w:r>
      <w:r w:rsidRPr="005C7E9B">
        <w:t>(n</w:t>
      </w:r>
      <w:r>
        <w:t xml:space="preserve"> </w:t>
      </w:r>
      <w:r w:rsidRPr="005C7E9B">
        <w:t>= 27) como no grave. En lo referente al poder catastrófico de la pandemia relacionado con el número posible de de</w:t>
      </w:r>
      <w:r w:rsidR="009B449C">
        <w:t>funciones</w:t>
      </w:r>
      <w:r w:rsidR="006E2C7F">
        <w:t>,</w:t>
      </w:r>
      <w:r w:rsidR="009B449C">
        <w:t xml:space="preserve"> el 10,</w:t>
      </w:r>
      <w:r w:rsidRPr="005C7E9B">
        <w:t>8%(n</w:t>
      </w:r>
      <w:r>
        <w:t xml:space="preserve"> </w:t>
      </w:r>
      <w:r w:rsidRPr="005C7E9B">
        <w:t>= 59) estima que habrá un número muy bajo d</w:t>
      </w:r>
      <w:r w:rsidR="009B449C">
        <w:t>e defunciones, 15,</w:t>
      </w:r>
      <w:r w:rsidRPr="005C7E9B">
        <w:t>1%(n</w:t>
      </w:r>
      <w:r>
        <w:t xml:space="preserve"> </w:t>
      </w:r>
      <w:r w:rsidRPr="005C7E9B">
        <w:t>= 83) que será un núm</w:t>
      </w:r>
      <w:r w:rsidR="009B449C">
        <w:t>ero bajo de defunciones y el 74,</w:t>
      </w:r>
      <w:r w:rsidRPr="005C7E9B">
        <w:t>1%(n</w:t>
      </w:r>
      <w:r>
        <w:t xml:space="preserve"> </w:t>
      </w:r>
      <w:r w:rsidRPr="005C7E9B">
        <w:t xml:space="preserve">= 407) consideran que el número de defunciones por COVID-19 será alto. </w:t>
      </w:r>
    </w:p>
    <w:p w:rsidR="00A076D9" w:rsidRDefault="00A076D9" w:rsidP="00A076D9">
      <w:pPr>
        <w:spacing w:line="360" w:lineRule="auto"/>
        <w:jc w:val="both"/>
        <w:rPr>
          <w:rFonts w:cstheme="minorHAnsi"/>
          <w:b/>
        </w:rPr>
      </w:pPr>
    </w:p>
    <w:p w:rsidR="00A076D9" w:rsidRPr="00E10729" w:rsidRDefault="00A076D9" w:rsidP="00A076D9">
      <w:pPr>
        <w:spacing w:line="360" w:lineRule="auto"/>
        <w:jc w:val="both"/>
        <w:rPr>
          <w:b/>
          <w:i/>
        </w:rPr>
      </w:pPr>
      <w:r w:rsidRPr="00E10729">
        <w:rPr>
          <w:b/>
          <w:i/>
        </w:rPr>
        <w:t>Medidas preventivas, confianza en las autoridades sanitarias y preocupación global por la pandemia</w:t>
      </w:r>
    </w:p>
    <w:p w:rsidR="00A076D9" w:rsidRPr="007243D8" w:rsidRDefault="00A076D9" w:rsidP="00A076D9">
      <w:pPr>
        <w:autoSpaceDE w:val="0"/>
        <w:autoSpaceDN w:val="0"/>
        <w:adjustRightInd w:val="0"/>
        <w:spacing w:line="360" w:lineRule="auto"/>
        <w:ind w:firstLine="709"/>
        <w:jc w:val="both"/>
      </w:pPr>
      <w:r w:rsidRPr="005C7E9B">
        <w:t>Para la fase uno de la pandemia las autoridades sanitarias ya habían dado algunas medidas preventivas; al preguntarles a los encuestados si seguí</w:t>
      </w:r>
      <w:r w:rsidR="009B449C">
        <w:t>an ya medidas preventivas</w:t>
      </w:r>
      <w:r w:rsidR="006E2C7F">
        <w:t>,</w:t>
      </w:r>
      <w:r w:rsidR="009B449C">
        <w:t xml:space="preserve"> el 27,</w:t>
      </w:r>
      <w:r w:rsidRPr="005C7E9B">
        <w:t>3% (n</w:t>
      </w:r>
      <w:r>
        <w:t xml:space="preserve"> </w:t>
      </w:r>
      <w:r w:rsidRPr="005C7E9B">
        <w:t>= 150) aún no habían considerado el real</w:t>
      </w:r>
      <w:r w:rsidR="009B449C">
        <w:t>izar medidas preventivas, el 47,</w:t>
      </w:r>
      <w:r w:rsidRPr="005C7E9B">
        <w:t>2%</w:t>
      </w:r>
      <w:r>
        <w:t xml:space="preserve"> </w:t>
      </w:r>
      <w:r w:rsidRPr="005C7E9B">
        <w:t>(n</w:t>
      </w:r>
      <w:r>
        <w:t xml:space="preserve"> </w:t>
      </w:r>
      <w:r w:rsidRPr="005C7E9B">
        <w:t>= 259) conscientemente no efectuaba ninguna</w:t>
      </w:r>
      <w:r w:rsidR="009B449C">
        <w:t xml:space="preserve"> medida preventiva y s</w:t>
      </w:r>
      <w:r w:rsidR="006E2C7F">
        <w:t>ó</w:t>
      </w:r>
      <w:r w:rsidR="009B449C">
        <w:t>lo el 25,</w:t>
      </w:r>
      <w:r w:rsidRPr="005C7E9B">
        <w:t>5%</w:t>
      </w:r>
      <w:r>
        <w:t xml:space="preserve"> </w:t>
      </w:r>
      <w:r w:rsidRPr="005C7E9B">
        <w:t>(n</w:t>
      </w:r>
      <w:r>
        <w:t xml:space="preserve"> </w:t>
      </w:r>
      <w:r w:rsidRPr="005C7E9B">
        <w:t>= 140) ya realizaba las medidas sugeridas. A la pregunta sobre su confianza en las autoridades sanitarias</w:t>
      </w:r>
      <w:r w:rsidR="006E2C7F">
        <w:t>,</w:t>
      </w:r>
      <w:r w:rsidRPr="005C7E9B">
        <w:t xml:space="preserve"> </w:t>
      </w:r>
      <w:r w:rsidR="009B449C">
        <w:t>el 60,</w:t>
      </w:r>
      <w:r w:rsidRPr="005C7E9B">
        <w:t>1% (n</w:t>
      </w:r>
      <w:r>
        <w:t xml:space="preserve"> </w:t>
      </w:r>
      <w:r w:rsidRPr="005C7E9B">
        <w:t xml:space="preserve">= 330) tienen una confianza baja, media el </w:t>
      </w:r>
      <w:r w:rsidR="009B449C">
        <w:t>12,</w:t>
      </w:r>
      <w:r w:rsidRPr="005C7E9B">
        <w:t>8% (n</w:t>
      </w:r>
      <w:r>
        <w:t xml:space="preserve"> </w:t>
      </w:r>
      <w:r w:rsidRPr="005C7E9B">
        <w:t xml:space="preserve">= </w:t>
      </w:r>
      <w:r w:rsidR="009B449C">
        <w:t>70) y alta el 27,</w:t>
      </w:r>
      <w:r w:rsidRPr="005C7E9B">
        <w:t>1% (n</w:t>
      </w:r>
      <w:r>
        <w:t xml:space="preserve"> </w:t>
      </w:r>
      <w:r w:rsidRPr="005C7E9B">
        <w:t xml:space="preserve">= 149) restante. Para medir la percepción de la enfermedad (riesgo global de la pandemia) se les preguntó su grado de preocupación sobre la misma, para esta pregunta </w:t>
      </w:r>
      <w:r w:rsidR="009B449C">
        <w:t>el 65,</w:t>
      </w:r>
      <w:r w:rsidRPr="005C7E9B">
        <w:t>2%(n</w:t>
      </w:r>
      <w:r>
        <w:t xml:space="preserve"> </w:t>
      </w:r>
      <w:r w:rsidRPr="005C7E9B">
        <w:t>= 358) de las personas consultadas declaran estar muy preocupadas</w:t>
      </w:r>
      <w:r w:rsidR="009B449C">
        <w:t xml:space="preserve"> y el 34,</w:t>
      </w:r>
      <w:r w:rsidRPr="005C7E9B">
        <w:t>8% (n</w:t>
      </w:r>
      <w:r>
        <w:t xml:space="preserve"> </w:t>
      </w:r>
      <w:r w:rsidRPr="005C7E9B">
        <w:t>= 191) respondieron que no lo están. El análisis descriptivo, indica que la población encuestada tiene una preocupación por la pandemia</w:t>
      </w:r>
      <w:r w:rsidR="009B449C">
        <w:t xml:space="preserve"> en promedio de 3,</w:t>
      </w:r>
      <w:r w:rsidRPr="005C7E9B">
        <w:t>8 en una escala de 1 a 5, lo cual evidencia una percepción media-alta del riesgo de la pandemia de COVID-19</w:t>
      </w:r>
      <w:r>
        <w:t xml:space="preserve">. </w:t>
      </w:r>
    </w:p>
    <w:p w:rsidR="00A076D9" w:rsidRPr="005C7E9B" w:rsidRDefault="00A076D9" w:rsidP="00A076D9">
      <w:pPr>
        <w:spacing w:line="360" w:lineRule="auto"/>
        <w:jc w:val="both"/>
      </w:pPr>
    </w:p>
    <w:p w:rsidR="00A076D9" w:rsidRPr="00E10729" w:rsidRDefault="00A076D9" w:rsidP="00A076D9">
      <w:pPr>
        <w:spacing w:line="360" w:lineRule="auto"/>
        <w:jc w:val="both"/>
        <w:rPr>
          <w:b/>
          <w:i/>
        </w:rPr>
      </w:pPr>
      <w:r w:rsidRPr="00E10729">
        <w:rPr>
          <w:b/>
          <w:i/>
        </w:rPr>
        <w:t>Resultados del análisis de la encuesta usando árbol de clasificación</w:t>
      </w:r>
    </w:p>
    <w:p w:rsidR="00A076D9" w:rsidRPr="007243D8" w:rsidRDefault="00A076D9" w:rsidP="0062462D">
      <w:pPr>
        <w:autoSpaceDE w:val="0"/>
        <w:autoSpaceDN w:val="0"/>
        <w:adjustRightInd w:val="0"/>
        <w:spacing w:line="360" w:lineRule="auto"/>
        <w:ind w:firstLine="709"/>
        <w:jc w:val="both"/>
      </w:pPr>
      <w:r w:rsidRPr="005C7E9B">
        <w:t>De acuerdo a los resultados de la variable percepción de la enfermedad</w:t>
      </w:r>
      <w:r>
        <w:t xml:space="preserve"> (V8),</w:t>
      </w:r>
      <w:r w:rsidRPr="005C7E9B">
        <w:t xml:space="preserve"> en el análisis descriptivo se encontró</w:t>
      </w:r>
      <w:r w:rsidR="009B449C">
        <w:t xml:space="preserve"> que el 65,</w:t>
      </w:r>
      <w:r w:rsidRPr="005C7E9B">
        <w:t>2% de los encuestados tienen una percepción del riesgo alto de la pandemia de COVID19.</w:t>
      </w:r>
      <w:r>
        <w:t xml:space="preserve"> </w:t>
      </w:r>
      <w:r w:rsidRPr="005C7E9B">
        <w:t>Con el propósito de identificar los factores que influyeron</w:t>
      </w:r>
      <w:r>
        <w:t>,</w:t>
      </w:r>
      <w:r w:rsidRPr="005C7E9B">
        <w:t xml:space="preserve"> </w:t>
      </w:r>
      <w:r>
        <w:t xml:space="preserve">para que este grupo de encuestados tengan una percepción alta del riesgo </w:t>
      </w:r>
      <w:r w:rsidRPr="005C7E9B">
        <w:t>de la pandemia de COVID-19, se realizó un análisis utilizando árboles de clasificación</w:t>
      </w:r>
      <w:r>
        <w:t>. Se consideraron como variables independientes las variables V1 a V7 y como variable dependiente la variable V8.  Para la construcción del árbol de clasificación,</w:t>
      </w:r>
      <w:r w:rsidRPr="007243D8">
        <w:t xml:space="preserve"> variable dependiente fue recodificada en dos tramos como variable nominal, para ello se utilizó el valor de la mediana para obtener grupos iniciales similares en tamaño</w:t>
      </w:r>
      <w:r w:rsidRPr="005C7E9B">
        <w:t>.</w:t>
      </w:r>
      <w:r>
        <w:t xml:space="preserve"> </w:t>
      </w:r>
      <w:r w:rsidRPr="007243D8">
        <w:t>Concretamente se agruparon en una categoría los valores menores o iguales a cuatro (PR-) y en otra</w:t>
      </w:r>
      <w:r>
        <w:t xml:space="preserve"> </w:t>
      </w:r>
      <w:r w:rsidRPr="007243D8">
        <w:t>categoría, los valores mayores de cuatro</w:t>
      </w:r>
      <w:r>
        <w:t xml:space="preserve"> </w:t>
      </w:r>
      <w:r w:rsidRPr="007243D8">
        <w:t>(PR+)</w:t>
      </w:r>
      <w:r>
        <w:t>.</w:t>
      </w:r>
    </w:p>
    <w:p w:rsidR="00A076D9" w:rsidRPr="005C7E9B" w:rsidRDefault="00A076D9" w:rsidP="00A076D9">
      <w:pPr>
        <w:spacing w:line="360" w:lineRule="auto"/>
        <w:ind w:firstLine="709"/>
        <w:jc w:val="both"/>
        <w:rPr>
          <w:color w:val="0D0D0D" w:themeColor="text1" w:themeTint="F2"/>
        </w:rPr>
      </w:pPr>
      <w:r w:rsidRPr="005C7E9B">
        <w:t xml:space="preserve">Dado que la muestra estuvo conformada por individuos de diferentes grupos de edad, previa a la construcción de árbol, se analizó si existían diferencias de actitud social por grupos de edad. Para ello se realizó un análisis de varianza (Anova) de un solo factor, dando </w:t>
      </w:r>
      <w:r>
        <w:t>como</w:t>
      </w:r>
      <w:r w:rsidRPr="005C7E9B">
        <w:t xml:space="preserve"> resultado que no existe una diferencia estadísticamente significativa del valor medio del riesgo total entre los </w:t>
      </w:r>
      <w:r w:rsidRPr="005C7E9B">
        <w:rPr>
          <w:color w:val="0D0D0D" w:themeColor="text1" w:themeTint="F2"/>
        </w:rPr>
        <w:t>grupos de ed</w:t>
      </w:r>
      <w:r>
        <w:rPr>
          <w:color w:val="0D0D0D" w:themeColor="text1" w:themeTint="F2"/>
        </w:rPr>
        <w:t>ad</w:t>
      </w:r>
      <w:r w:rsidR="009B449C">
        <w:rPr>
          <w:color w:val="0D0D0D" w:themeColor="text1" w:themeTint="F2"/>
        </w:rPr>
        <w:t xml:space="preserve"> con un 95% de confianza (F = 1,89, p &gt; 0,</w:t>
      </w:r>
      <w:r w:rsidRPr="005C7E9B">
        <w:rPr>
          <w:color w:val="0D0D0D" w:themeColor="text1" w:themeTint="F2"/>
        </w:rPr>
        <w:t>005), por lo que no se consideró a la variable grupo de edad como variable de influencia en la construcción del árbol de clasificación.</w:t>
      </w:r>
    </w:p>
    <w:p w:rsidR="00A076D9" w:rsidRDefault="00A076D9" w:rsidP="00A076D9">
      <w:pPr>
        <w:spacing w:line="360" w:lineRule="auto"/>
        <w:ind w:firstLine="708"/>
        <w:jc w:val="both"/>
      </w:pPr>
      <w:r w:rsidRPr="005C7E9B">
        <w:rPr>
          <w:color w:val="0D0D0D" w:themeColor="text1" w:themeTint="F2"/>
        </w:rPr>
        <w:t xml:space="preserve">El árbol de clasificación, resultado del análisis, se muestra en la Figura 1. Como puede </w:t>
      </w:r>
      <w:r>
        <w:rPr>
          <w:color w:val="0D0D0D" w:themeColor="text1" w:themeTint="F2"/>
        </w:rPr>
        <w:t>apreciarse</w:t>
      </w:r>
      <w:r w:rsidRPr="005C7E9B">
        <w:rPr>
          <w:color w:val="0D0D0D" w:themeColor="text1" w:themeTint="F2"/>
        </w:rPr>
        <w:t>, el árbol tiene cinco nodos terminales: denotados Nodo 1, 4, 5, 6 y 7 De estos los nodos 1 y 7 muestran una probabilidad superior al 50</w:t>
      </w:r>
      <w:r w:rsidRPr="005C7E9B">
        <w:t>% de percepción de riesgo bajo, ante el COVID-19 y en particular el nodo 1 tiene una probabilidad mayor al 67%, de percepción de riesgo bajo. Los nodos finales restantes 4, 5 y 6 muestran un patrón contrario. Por lo tanto, para conseguir que la población tenga un comportamiento seguro a través de su percepción del riesgo del COVID-19, se deberá conseguir que se posicionen en cualquiera de los nodos 4, 5 o 6 siendo el nodo 5 el que tiene la</w:t>
      </w:r>
      <w:r w:rsidR="009B449C">
        <w:t xml:space="preserve"> mayor posibilidad de éxito (97,</w:t>
      </w:r>
      <w:r w:rsidRPr="005C7E9B">
        <w:t>2%).</w:t>
      </w:r>
    </w:p>
    <w:p w:rsidR="00594B9F" w:rsidRPr="00531993" w:rsidRDefault="00594B9F" w:rsidP="00594B9F">
      <w:pPr>
        <w:spacing w:line="360" w:lineRule="auto"/>
        <w:ind w:firstLine="708"/>
        <w:jc w:val="both"/>
      </w:pPr>
      <w:r w:rsidRPr="00531993">
        <w:t>Como se observa en la figura 1, el primer nivel del árbol resultante tiene como variable discriminante la relacionada con la Gravedad de la enfermedad (V5; χ2</w:t>
      </w:r>
      <w:r>
        <w:t xml:space="preserve"> </w:t>
      </w:r>
      <w:r w:rsidRPr="00531993">
        <w:t xml:space="preserve">= </w:t>
      </w:r>
      <w:r w:rsidR="009B449C">
        <w:t>49,</w:t>
      </w:r>
      <w:r w:rsidRPr="00531993">
        <w:t>4; gl</w:t>
      </w:r>
      <w:r>
        <w:t xml:space="preserve"> </w:t>
      </w:r>
      <w:r w:rsidRPr="00531993">
        <w:t xml:space="preserve">= </w:t>
      </w:r>
      <w:r w:rsidR="009B449C">
        <w:t>1; p-valor &lt; 0,</w:t>
      </w:r>
      <w:r w:rsidRPr="00531993">
        <w:t>05), la variable V5 hace referencia a la gravedad de las consecuencias sanitarias y sociales provocadas por el COVID-19 las cuales, afectan la percepción global de riesgo.</w:t>
      </w:r>
    </w:p>
    <w:p w:rsidR="00594B9F" w:rsidRPr="00594B9F" w:rsidRDefault="00594B9F" w:rsidP="00885F8B">
      <w:pPr>
        <w:pStyle w:val="HTMLconformatoprevio"/>
        <w:spacing w:line="360" w:lineRule="auto"/>
        <w:ind w:firstLine="709"/>
        <w:jc w:val="both"/>
        <w:rPr>
          <w:rFonts w:ascii="Times New Roman" w:hAnsi="Times New Roman" w:cs="Times New Roman"/>
          <w:sz w:val="24"/>
          <w:szCs w:val="24"/>
        </w:rPr>
      </w:pPr>
      <w:r w:rsidRPr="00531993">
        <w:rPr>
          <w:rFonts w:ascii="Times New Roman" w:hAnsi="Times New Roman" w:cs="Times New Roman"/>
          <w:sz w:val="24"/>
          <w:szCs w:val="24"/>
        </w:rPr>
        <w:t>El segundo nivel emerge de la variable relativa a la Vulnerabilidad a la enfermedad (V3; χ</w:t>
      </w:r>
      <w:r w:rsidRPr="00531993">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Pr="00531993">
        <w:rPr>
          <w:rFonts w:ascii="Times New Roman" w:hAnsi="Times New Roman" w:cs="Times New Roman"/>
          <w:sz w:val="24"/>
          <w:szCs w:val="24"/>
        </w:rPr>
        <w:t xml:space="preserve">= </w:t>
      </w:r>
      <w:r w:rsidR="009B449C">
        <w:rPr>
          <w:rFonts w:ascii="Times New Roman" w:hAnsi="Times New Roman" w:cs="Times New Roman"/>
          <w:sz w:val="24"/>
          <w:szCs w:val="24"/>
        </w:rPr>
        <w:t>32,</w:t>
      </w:r>
      <w:r w:rsidRPr="00531993">
        <w:rPr>
          <w:rFonts w:ascii="Times New Roman" w:hAnsi="Times New Roman" w:cs="Times New Roman"/>
          <w:sz w:val="24"/>
          <w:szCs w:val="24"/>
        </w:rPr>
        <w:t>2; gl</w:t>
      </w:r>
      <w:r>
        <w:rPr>
          <w:rFonts w:ascii="Times New Roman" w:hAnsi="Times New Roman" w:cs="Times New Roman"/>
          <w:sz w:val="24"/>
          <w:szCs w:val="24"/>
        </w:rPr>
        <w:t xml:space="preserve"> </w:t>
      </w:r>
      <w:r w:rsidRPr="00531993">
        <w:rPr>
          <w:rFonts w:ascii="Times New Roman" w:hAnsi="Times New Roman" w:cs="Times New Roman"/>
          <w:sz w:val="24"/>
          <w:szCs w:val="24"/>
        </w:rPr>
        <w:t xml:space="preserve">= </w:t>
      </w:r>
      <w:r w:rsidR="009B449C">
        <w:rPr>
          <w:rFonts w:ascii="Times New Roman" w:hAnsi="Times New Roman" w:cs="Times New Roman"/>
          <w:sz w:val="24"/>
          <w:szCs w:val="24"/>
        </w:rPr>
        <w:t>2; p-valor &lt; 0,</w:t>
      </w:r>
      <w:r w:rsidRPr="00531993">
        <w:rPr>
          <w:rFonts w:ascii="Times New Roman" w:hAnsi="Times New Roman" w:cs="Times New Roman"/>
          <w:sz w:val="24"/>
          <w:szCs w:val="24"/>
        </w:rPr>
        <w:t xml:space="preserve">05), considerada por García del </w:t>
      </w:r>
      <w:r>
        <w:rPr>
          <w:rFonts w:ascii="Times New Roman" w:hAnsi="Times New Roman" w:cs="Times New Roman"/>
          <w:sz w:val="24"/>
          <w:szCs w:val="24"/>
        </w:rPr>
        <w:t>Castillo (2012)</w:t>
      </w:r>
      <w:r w:rsidRPr="00531993">
        <w:rPr>
          <w:rFonts w:ascii="Times New Roman" w:hAnsi="Times New Roman" w:cs="Times New Roman"/>
          <w:sz w:val="24"/>
          <w:szCs w:val="24"/>
        </w:rPr>
        <w:t xml:space="preserve"> y por Portell</w:t>
      </w:r>
      <w:r>
        <w:rPr>
          <w:rFonts w:ascii="Times New Roman" w:hAnsi="Times New Roman" w:cs="Times New Roman"/>
          <w:sz w:val="24"/>
          <w:szCs w:val="24"/>
        </w:rPr>
        <w:t xml:space="preserve"> (2001) </w:t>
      </w:r>
      <w:r w:rsidRPr="00531993">
        <w:rPr>
          <w:rFonts w:ascii="Times New Roman" w:hAnsi="Times New Roman" w:cs="Times New Roman"/>
          <w:sz w:val="24"/>
          <w:szCs w:val="24"/>
        </w:rPr>
        <w:t xml:space="preserve">cómo la variable que mejor predice el riesgo global. El atributo V3 habla de la respuesta emocional a la preocupación, por contraer una enfermedad, lo que puede influir en el riesgo percibido de una pandemia. Es una respuesta emocional afectiva a una amenaza, que puede deberse, a que pertenecer a un grupo de riesgo y en consecuencia considera que puede tener complicaciones graves o incluso la muerte si se contagia de coronavirus; la vulnerabilidad a la enfermedad puede predecir comportamientos protectores independientemente de la gravedad del riesgo. </w:t>
      </w:r>
    </w:p>
    <w:p w:rsidR="00594B9F" w:rsidRDefault="00594B9F" w:rsidP="00594B9F">
      <w:pPr>
        <w:jc w:val="center"/>
        <w:rPr>
          <w:b/>
        </w:rPr>
      </w:pPr>
      <w:r w:rsidRPr="00594B9F">
        <w:rPr>
          <w:b/>
          <w:noProof/>
          <w:lang w:val="es-MX" w:eastAsia="es-MX"/>
        </w:rPr>
        <w:drawing>
          <wp:inline distT="0" distB="0" distL="0" distR="0">
            <wp:extent cx="4361996" cy="5616000"/>
            <wp:effectExtent l="19050" t="0" r="454" b="0"/>
            <wp:docPr id="1" name="Imagen 1" descr="C:\Users\Conchis\Downloads\1892-17267-10-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chis\Downloads\1892-17267-10-ED.jpg"/>
                    <pic:cNvPicPr>
                      <a:picLocks noChangeAspect="1" noChangeArrowheads="1"/>
                    </pic:cNvPicPr>
                  </pic:nvPicPr>
                  <pic:blipFill>
                    <a:blip r:embed="rId11" cstate="print"/>
                    <a:srcRect t="3107" b="2301"/>
                    <a:stretch>
                      <a:fillRect/>
                    </a:stretch>
                  </pic:blipFill>
                  <pic:spPr bwMode="auto">
                    <a:xfrm>
                      <a:off x="0" y="0"/>
                      <a:ext cx="4361996" cy="5616000"/>
                    </a:xfrm>
                    <a:prstGeom prst="rect">
                      <a:avLst/>
                    </a:prstGeom>
                    <a:noFill/>
                    <a:ln w="9525">
                      <a:noFill/>
                      <a:miter lim="800000"/>
                      <a:headEnd/>
                      <a:tailEnd/>
                    </a:ln>
                  </pic:spPr>
                </pic:pic>
              </a:graphicData>
            </a:graphic>
          </wp:inline>
        </w:drawing>
      </w:r>
    </w:p>
    <w:p w:rsidR="0062462D" w:rsidRPr="009B449C" w:rsidRDefault="0062462D" w:rsidP="00F70A46">
      <w:pPr>
        <w:spacing w:line="360" w:lineRule="auto"/>
        <w:jc w:val="both"/>
      </w:pPr>
      <w:r w:rsidRPr="009B449C">
        <w:rPr>
          <w:b/>
          <w:i/>
        </w:rPr>
        <w:t>Figura 1</w:t>
      </w:r>
      <w:r w:rsidRPr="009B449C">
        <w:rPr>
          <w:i/>
        </w:rPr>
        <w:t>.</w:t>
      </w:r>
      <w:r w:rsidRPr="009B449C">
        <w:t xml:space="preserve"> Árbol de clasificación resultado, las variables independientes que contribuyen directamente a la percepción global de riesgo son la Gravedad de la pandemia factor de la dimensión Susceptibilidad percibida, Vulnerabilidad a la enfermedad de la dimensión Severidad percibida y el Poder catastrófico de la dimensión Susceptibilidad percibida.   Fuente: Elaboración propia</w:t>
      </w:r>
    </w:p>
    <w:p w:rsidR="0062462D" w:rsidRPr="00D52CE2" w:rsidRDefault="0062462D" w:rsidP="00F70A46">
      <w:pPr>
        <w:spacing w:line="360" w:lineRule="auto"/>
        <w:rPr>
          <w:rFonts w:cstheme="minorHAnsi"/>
        </w:rPr>
      </w:pPr>
    </w:p>
    <w:p w:rsidR="00594B9F" w:rsidRPr="00F64531" w:rsidRDefault="00594B9F" w:rsidP="009E05D1">
      <w:pPr>
        <w:spacing w:line="360" w:lineRule="auto"/>
        <w:ind w:firstLine="708"/>
        <w:jc w:val="both"/>
        <w:rPr>
          <w:shd w:val="clear" w:color="auto" w:fill="FFFFFF"/>
        </w:rPr>
      </w:pPr>
      <w:r>
        <w:t>En el último nivel se encuentra</w:t>
      </w:r>
      <w:r w:rsidRPr="00531993">
        <w:t xml:space="preserve"> la variable Poder Catastrófico (V4; χ</w:t>
      </w:r>
      <w:r w:rsidRPr="00531993">
        <w:rPr>
          <w:vertAlign w:val="superscript"/>
        </w:rPr>
        <w:t>2</w:t>
      </w:r>
      <w:r>
        <w:rPr>
          <w:vertAlign w:val="superscript"/>
        </w:rPr>
        <w:t xml:space="preserve"> </w:t>
      </w:r>
      <w:r w:rsidRPr="00531993">
        <w:t xml:space="preserve">= </w:t>
      </w:r>
      <w:r w:rsidR="00935FC6">
        <w:t>6,</w:t>
      </w:r>
      <w:r w:rsidRPr="00531993">
        <w:t>7; gl</w:t>
      </w:r>
      <w:r>
        <w:t xml:space="preserve"> </w:t>
      </w:r>
      <w:r w:rsidRPr="00531993">
        <w:t>= 1; p-valor</w:t>
      </w:r>
      <w:r>
        <w:t xml:space="preserve"> </w:t>
      </w:r>
      <w:r w:rsidRPr="00531993">
        <w:t>&lt;</w:t>
      </w:r>
      <w:r>
        <w:t xml:space="preserve"> </w:t>
      </w:r>
      <w:r w:rsidRPr="00531993">
        <w:t>0</w:t>
      </w:r>
      <w:r w:rsidR="00935FC6">
        <w:t>,</w:t>
      </w:r>
      <w:r w:rsidRPr="00531993">
        <w:t xml:space="preserve">05), que incluye </w:t>
      </w:r>
      <w:r>
        <w:rPr>
          <w:shd w:val="clear" w:color="auto" w:fill="FFFFFF"/>
        </w:rPr>
        <w:t>las</w:t>
      </w:r>
      <w:r w:rsidRPr="00531993">
        <w:rPr>
          <w:shd w:val="clear" w:color="auto" w:fill="FFFFFF"/>
        </w:rPr>
        <w:t xml:space="preserve"> consecuencias médicas o clínicas (muerte, incapacidad, dolor).</w:t>
      </w:r>
      <w:r>
        <w:rPr>
          <w:shd w:val="clear" w:color="auto" w:fill="FFFFFF"/>
        </w:rPr>
        <w:t xml:space="preserve"> </w:t>
      </w:r>
      <w:r w:rsidRPr="00531993">
        <w:t>En la Tabla 3, se presenta un análisis detallado de cada uno de los nodos finales del árbol de clasificación y como puede observarse en el nodo raíz, el 34</w:t>
      </w:r>
      <w:r w:rsidR="00935FC6">
        <w:t>,</w:t>
      </w:r>
      <w:r w:rsidRPr="00531993">
        <w:t>8% (n</w:t>
      </w:r>
      <w:r>
        <w:t xml:space="preserve"> </w:t>
      </w:r>
      <w:r w:rsidRPr="00531993">
        <w:t>= 191) de los encuestados tienen una percepción de riesgo baja ante el COVID-19.</w:t>
      </w:r>
    </w:p>
    <w:p w:rsidR="00594B9F" w:rsidRPr="00531993" w:rsidRDefault="00594B9F" w:rsidP="009E05D1">
      <w:pPr>
        <w:spacing w:line="360" w:lineRule="auto"/>
        <w:ind w:firstLine="708"/>
        <w:jc w:val="both"/>
      </w:pPr>
      <w:r w:rsidRPr="00531993">
        <w:t xml:space="preserve">Por otra parte, el nodo que antes mencionado como el de mayor beneficio para alcanzar una percepción alta del riesgo global (nodo 5) representa menos del 3% de la muestra, por lo que en función de estos resultados se puede considerar a los nodos 1 y 7 como aquellos que podrían mejorar la percepción de riesgo de COVID-19. La interpretación de los resultados obtenidos del árbol de la figura 1 </w:t>
      </w:r>
      <w:r>
        <w:t>implica que</w:t>
      </w:r>
      <w:r w:rsidRPr="00531993">
        <w:t>:</w:t>
      </w:r>
    </w:p>
    <w:p w:rsidR="00594B9F" w:rsidRPr="00531993" w:rsidRDefault="00594B9F" w:rsidP="009E05D1">
      <w:pPr>
        <w:pStyle w:val="Prrafodelista"/>
        <w:numPr>
          <w:ilvl w:val="0"/>
          <w:numId w:val="13"/>
        </w:numPr>
        <w:spacing w:after="0" w:line="360" w:lineRule="auto"/>
        <w:jc w:val="both"/>
        <w:rPr>
          <w:rFonts w:ascii="Times New Roman" w:hAnsi="Times New Roman" w:cs="Times New Roman"/>
          <w:sz w:val="24"/>
          <w:szCs w:val="24"/>
        </w:rPr>
      </w:pPr>
      <w:r w:rsidRPr="00531993">
        <w:rPr>
          <w:rFonts w:ascii="Times New Roman" w:hAnsi="Times New Roman" w:cs="Times New Roman"/>
          <w:sz w:val="24"/>
          <w:szCs w:val="24"/>
        </w:rPr>
        <w:t xml:space="preserve">La variable Gravedad de la enfermedad (de la dimensión Susceptibilidad Percibida) es el mejor predictor para la Percepción del Riesgo de la pandemia de COVID-19. Como puede verse en la figura 1, se genera una bifurcación generando dos sub-categorías 1) No Grave: Grave y 2) Muy grave. </w:t>
      </w:r>
    </w:p>
    <w:p w:rsidR="00594B9F" w:rsidRPr="00531993" w:rsidRDefault="00594B9F" w:rsidP="009E05D1">
      <w:pPr>
        <w:pStyle w:val="Prrafodelista"/>
        <w:numPr>
          <w:ilvl w:val="0"/>
          <w:numId w:val="13"/>
        </w:numPr>
        <w:spacing w:after="0" w:line="360" w:lineRule="auto"/>
        <w:jc w:val="both"/>
        <w:rPr>
          <w:rFonts w:ascii="Times New Roman" w:hAnsi="Times New Roman" w:cs="Times New Roman"/>
          <w:sz w:val="24"/>
          <w:szCs w:val="24"/>
        </w:rPr>
      </w:pPr>
      <w:r w:rsidRPr="00531993">
        <w:rPr>
          <w:rFonts w:ascii="Times New Roman" w:hAnsi="Times New Roman" w:cs="Times New Roman"/>
          <w:sz w:val="24"/>
          <w:szCs w:val="24"/>
        </w:rPr>
        <w:t xml:space="preserve">La percepción de riesgo más alta se da entre aquellas personas que tienen alta vulnerabilidad a la enfermedad (de la dimensión Severidad percibida) y consideran que COVID-19 es muy grave.  </w:t>
      </w:r>
    </w:p>
    <w:p w:rsidR="00594B9F" w:rsidRPr="00531993" w:rsidRDefault="00594B9F" w:rsidP="009E05D1">
      <w:pPr>
        <w:pStyle w:val="Prrafodelista"/>
        <w:numPr>
          <w:ilvl w:val="0"/>
          <w:numId w:val="13"/>
        </w:numPr>
        <w:spacing w:after="0" w:line="360" w:lineRule="auto"/>
        <w:jc w:val="both"/>
        <w:rPr>
          <w:rFonts w:ascii="Times New Roman" w:hAnsi="Times New Roman" w:cs="Times New Roman"/>
          <w:sz w:val="24"/>
          <w:szCs w:val="24"/>
        </w:rPr>
      </w:pPr>
      <w:r w:rsidRPr="00531993">
        <w:rPr>
          <w:rFonts w:ascii="Times New Roman" w:hAnsi="Times New Roman" w:cs="Times New Roman"/>
          <w:sz w:val="24"/>
          <w:szCs w:val="24"/>
        </w:rPr>
        <w:t xml:space="preserve">La percepción de riesgo más baja se da entre las personas que consideran que la gravedad de la enfermedad es No grave o Grave. </w:t>
      </w:r>
    </w:p>
    <w:p w:rsidR="00594B9F" w:rsidRDefault="00594B9F" w:rsidP="009E05D1">
      <w:pPr>
        <w:pStyle w:val="Prrafodelista"/>
        <w:numPr>
          <w:ilvl w:val="0"/>
          <w:numId w:val="13"/>
        </w:numPr>
        <w:spacing w:after="0" w:line="360" w:lineRule="auto"/>
        <w:jc w:val="both"/>
        <w:rPr>
          <w:rFonts w:ascii="Times New Roman" w:hAnsi="Times New Roman" w:cs="Times New Roman"/>
          <w:sz w:val="24"/>
          <w:szCs w:val="24"/>
        </w:rPr>
      </w:pPr>
      <w:r w:rsidRPr="00A73C11">
        <w:rPr>
          <w:rFonts w:ascii="Times New Roman" w:hAnsi="Times New Roman" w:cs="Times New Roman"/>
          <w:sz w:val="24"/>
          <w:szCs w:val="24"/>
        </w:rPr>
        <w:t>Entre las personas que consideran que a) COVID-19 es muy grave, b) Se perciben no vulnerables a la enfermedad, es decir que, si se contagiaran, confían en que pueden recuperarse y c) Consideran que el poder catastrófico de COVID-19 es Medio: Bajo. Su porcentaje de ries</w:t>
      </w:r>
      <w:r w:rsidR="00935FC6">
        <w:rPr>
          <w:rFonts w:ascii="Times New Roman" w:hAnsi="Times New Roman" w:cs="Times New Roman"/>
          <w:sz w:val="24"/>
          <w:szCs w:val="24"/>
        </w:rPr>
        <w:t>go positivo del 46,</w:t>
      </w:r>
      <w:r>
        <w:rPr>
          <w:rFonts w:ascii="Times New Roman" w:hAnsi="Times New Roman" w:cs="Times New Roman"/>
          <w:sz w:val="24"/>
          <w:szCs w:val="24"/>
        </w:rPr>
        <w:t>5</w:t>
      </w:r>
      <w:r w:rsidR="00935FC6">
        <w:rPr>
          <w:rFonts w:ascii="Times New Roman" w:hAnsi="Times New Roman" w:cs="Times New Roman"/>
          <w:sz w:val="24"/>
          <w:szCs w:val="24"/>
        </w:rPr>
        <w:t>%,</w:t>
      </w:r>
      <w:r w:rsidRPr="00A73C11">
        <w:rPr>
          <w:rFonts w:ascii="Times New Roman" w:hAnsi="Times New Roman" w:cs="Times New Roman"/>
          <w:sz w:val="24"/>
          <w:szCs w:val="24"/>
        </w:rPr>
        <w:t xml:space="preserve"> podría mejorarse a través de la correcta percepción del poder catastrófico de la pandemia.</w:t>
      </w:r>
    </w:p>
    <w:p w:rsidR="00594B9F" w:rsidRDefault="00594B9F" w:rsidP="009E05D1">
      <w:pPr>
        <w:pStyle w:val="Prrafodelista"/>
        <w:numPr>
          <w:ilvl w:val="0"/>
          <w:numId w:val="13"/>
        </w:numPr>
        <w:spacing w:after="0" w:line="360" w:lineRule="auto"/>
        <w:jc w:val="both"/>
        <w:rPr>
          <w:rFonts w:ascii="Times New Roman" w:hAnsi="Times New Roman" w:cs="Times New Roman"/>
          <w:sz w:val="24"/>
          <w:szCs w:val="24"/>
        </w:rPr>
      </w:pPr>
      <w:r w:rsidRPr="00A73C11">
        <w:rPr>
          <w:rFonts w:ascii="Times New Roman" w:hAnsi="Times New Roman" w:cs="Times New Roman"/>
          <w:sz w:val="24"/>
          <w:szCs w:val="24"/>
        </w:rPr>
        <w:t xml:space="preserve"> La vulnerabilidad a la enfermedad es determinante en la percepción global del riesgo </w:t>
      </w:r>
    </w:p>
    <w:p w:rsidR="00935FC6" w:rsidRDefault="00935FC6" w:rsidP="009E05D1">
      <w:pPr>
        <w:pStyle w:val="Prrafodelista"/>
        <w:spacing w:after="0" w:line="480" w:lineRule="auto"/>
        <w:jc w:val="both"/>
        <w:rPr>
          <w:rFonts w:ascii="Times New Roman" w:hAnsi="Times New Roman" w:cs="Times New Roman"/>
          <w:sz w:val="24"/>
          <w:szCs w:val="24"/>
        </w:rPr>
      </w:pPr>
    </w:p>
    <w:p w:rsidR="00935FC6" w:rsidRPr="00F70A46" w:rsidRDefault="00935FC6" w:rsidP="00935FC6">
      <w:pPr>
        <w:rPr>
          <w:sz w:val="20"/>
          <w:szCs w:val="20"/>
        </w:rPr>
      </w:pPr>
      <w:r w:rsidRPr="00F70A46">
        <w:rPr>
          <w:b/>
          <w:i/>
          <w:sz w:val="20"/>
          <w:szCs w:val="20"/>
        </w:rPr>
        <w:t>Tabla 3</w:t>
      </w:r>
      <w:r w:rsidRPr="00F70A46">
        <w:rPr>
          <w:b/>
          <w:sz w:val="20"/>
          <w:szCs w:val="20"/>
        </w:rPr>
        <w:t>.</w:t>
      </w:r>
      <w:r w:rsidRPr="00F70A46">
        <w:rPr>
          <w:sz w:val="20"/>
          <w:szCs w:val="20"/>
        </w:rPr>
        <w:t xml:space="preserve"> Ganancia de los nodos por categorías definidas por la percepción del riesgo global</w:t>
      </w:r>
    </w:p>
    <w:p w:rsidR="00935FC6" w:rsidRPr="00F70A46" w:rsidRDefault="00935FC6" w:rsidP="00935FC6">
      <w:pPr>
        <w:rPr>
          <w:sz w:val="20"/>
          <w:szCs w:val="20"/>
        </w:rPr>
      </w:pPr>
    </w:p>
    <w:tbl>
      <w:tblPr>
        <w:tblStyle w:val="Sombreadoclaro1"/>
        <w:tblW w:w="5062" w:type="pct"/>
        <w:tblLook w:val="04A0"/>
      </w:tblPr>
      <w:tblGrid>
        <w:gridCol w:w="929"/>
        <w:gridCol w:w="555"/>
        <w:gridCol w:w="610"/>
        <w:gridCol w:w="444"/>
        <w:gridCol w:w="1361"/>
        <w:gridCol w:w="1771"/>
        <w:gridCol w:w="556"/>
        <w:gridCol w:w="1361"/>
        <w:gridCol w:w="1771"/>
      </w:tblGrid>
      <w:tr w:rsidR="00935FC6" w:rsidRPr="00F70A46" w:rsidTr="000009BF">
        <w:trPr>
          <w:cnfStyle w:val="100000000000"/>
          <w:trHeight w:val="270"/>
        </w:trPr>
        <w:tc>
          <w:tcPr>
            <w:cnfStyle w:val="001000000000"/>
            <w:tcW w:w="1120" w:type="pct"/>
            <w:gridSpan w:val="3"/>
            <w:tcBorders>
              <w:right w:val="single" w:sz="4" w:space="0" w:color="auto"/>
            </w:tcBorders>
            <w:noWrap/>
            <w:hideMark/>
          </w:tcPr>
          <w:p w:rsidR="00935FC6" w:rsidRPr="00F70A46" w:rsidRDefault="00935FC6" w:rsidP="000009BF">
            <w:pPr>
              <w:jc w:val="center"/>
              <w:rPr>
                <w:color w:val="000000"/>
                <w:sz w:val="20"/>
                <w:szCs w:val="20"/>
                <w:lang w:eastAsia="es-MX"/>
              </w:rPr>
            </w:pPr>
            <w:r w:rsidRPr="00F70A46">
              <w:rPr>
                <w:color w:val="000000"/>
                <w:sz w:val="20"/>
                <w:szCs w:val="20"/>
                <w:lang w:eastAsia="es-MX"/>
              </w:rPr>
              <w:t>Muestra global</w:t>
            </w:r>
          </w:p>
        </w:tc>
        <w:tc>
          <w:tcPr>
            <w:tcW w:w="1910" w:type="pct"/>
            <w:gridSpan w:val="3"/>
            <w:tcBorders>
              <w:left w:val="single" w:sz="4" w:space="0" w:color="auto"/>
              <w:right w:val="single" w:sz="4" w:space="0" w:color="auto"/>
            </w:tcBorders>
            <w:noWrap/>
            <w:hideMark/>
          </w:tcPr>
          <w:p w:rsidR="00935FC6" w:rsidRPr="00F70A46" w:rsidRDefault="00935FC6" w:rsidP="000009BF">
            <w:pPr>
              <w:jc w:val="center"/>
              <w:cnfStyle w:val="100000000000"/>
              <w:rPr>
                <w:color w:val="000000"/>
                <w:sz w:val="20"/>
                <w:szCs w:val="20"/>
                <w:lang w:eastAsia="es-MX"/>
              </w:rPr>
            </w:pPr>
            <w:r w:rsidRPr="00F70A46">
              <w:rPr>
                <w:color w:val="000000"/>
                <w:sz w:val="20"/>
                <w:szCs w:val="20"/>
                <w:lang w:eastAsia="es-MX"/>
              </w:rPr>
              <w:t>PR-</w:t>
            </w:r>
          </w:p>
        </w:tc>
        <w:tc>
          <w:tcPr>
            <w:tcW w:w="1970" w:type="pct"/>
            <w:gridSpan w:val="3"/>
            <w:tcBorders>
              <w:left w:val="single" w:sz="4" w:space="0" w:color="auto"/>
            </w:tcBorders>
            <w:noWrap/>
            <w:hideMark/>
          </w:tcPr>
          <w:p w:rsidR="00935FC6" w:rsidRPr="00F70A46" w:rsidRDefault="00935FC6" w:rsidP="000009BF">
            <w:pPr>
              <w:jc w:val="center"/>
              <w:cnfStyle w:val="100000000000"/>
              <w:rPr>
                <w:color w:val="000000"/>
                <w:sz w:val="20"/>
                <w:szCs w:val="20"/>
                <w:lang w:eastAsia="es-MX"/>
              </w:rPr>
            </w:pPr>
            <w:r w:rsidRPr="00F70A46">
              <w:rPr>
                <w:color w:val="000000"/>
                <w:sz w:val="20"/>
                <w:szCs w:val="20"/>
                <w:lang w:eastAsia="es-MX"/>
              </w:rPr>
              <w:t>PR+</w:t>
            </w:r>
          </w:p>
        </w:tc>
      </w:tr>
      <w:tr w:rsidR="00935FC6" w:rsidRPr="00F70A46" w:rsidTr="000009BF">
        <w:trPr>
          <w:cnfStyle w:val="000000100000"/>
          <w:trHeight w:val="270"/>
        </w:trPr>
        <w:tc>
          <w:tcPr>
            <w:cnfStyle w:val="001000000000"/>
            <w:tcW w:w="497" w:type="pct"/>
            <w:shd w:val="clear" w:color="auto" w:fill="auto"/>
            <w:noWrap/>
            <w:hideMark/>
          </w:tcPr>
          <w:p w:rsidR="00935FC6" w:rsidRPr="00F70A46" w:rsidRDefault="00935FC6" w:rsidP="000009BF">
            <w:pPr>
              <w:rPr>
                <w:color w:val="000000"/>
                <w:sz w:val="20"/>
                <w:szCs w:val="20"/>
                <w:lang w:eastAsia="es-MX"/>
              </w:rPr>
            </w:pPr>
            <w:r w:rsidRPr="00F70A46">
              <w:rPr>
                <w:color w:val="000000"/>
                <w:sz w:val="20"/>
                <w:szCs w:val="20"/>
                <w:lang w:eastAsia="es-MX"/>
              </w:rPr>
              <w:t>Nodos</w:t>
            </w:r>
          </w:p>
        </w:tc>
        <w:tc>
          <w:tcPr>
            <w:tcW w:w="297" w:type="pct"/>
            <w:shd w:val="clear" w:color="auto" w:fill="auto"/>
            <w:noWrap/>
            <w:hideMark/>
          </w:tcPr>
          <w:p w:rsidR="00935FC6" w:rsidRPr="00F70A46" w:rsidRDefault="00935FC6" w:rsidP="000009BF">
            <w:pPr>
              <w:jc w:val="center"/>
              <w:cnfStyle w:val="000000100000"/>
              <w:rPr>
                <w:b/>
                <w:bCs/>
                <w:color w:val="000000"/>
                <w:sz w:val="20"/>
                <w:szCs w:val="20"/>
                <w:lang w:eastAsia="es-MX"/>
              </w:rPr>
            </w:pPr>
            <w:r w:rsidRPr="00F70A46">
              <w:rPr>
                <w:b/>
                <w:bCs/>
                <w:color w:val="000000"/>
                <w:sz w:val="20"/>
                <w:szCs w:val="20"/>
                <w:lang w:eastAsia="es-MX"/>
              </w:rPr>
              <w:t>N</w:t>
            </w:r>
          </w:p>
        </w:tc>
        <w:tc>
          <w:tcPr>
            <w:tcW w:w="326" w:type="pct"/>
            <w:shd w:val="clear" w:color="auto" w:fill="auto"/>
            <w:noWrap/>
            <w:hideMark/>
          </w:tcPr>
          <w:p w:rsidR="00935FC6" w:rsidRPr="00F70A46" w:rsidRDefault="00935FC6" w:rsidP="000009BF">
            <w:pPr>
              <w:jc w:val="center"/>
              <w:cnfStyle w:val="000000100000"/>
              <w:rPr>
                <w:b/>
                <w:bCs/>
                <w:color w:val="000000"/>
                <w:sz w:val="20"/>
                <w:szCs w:val="20"/>
                <w:lang w:eastAsia="es-MX"/>
              </w:rPr>
            </w:pPr>
            <w:r w:rsidRPr="00F70A46">
              <w:rPr>
                <w:b/>
                <w:bCs/>
                <w:color w:val="000000"/>
                <w:sz w:val="20"/>
                <w:szCs w:val="20"/>
                <w:lang w:eastAsia="es-MX"/>
              </w:rPr>
              <w:t>%</w:t>
            </w:r>
          </w:p>
        </w:tc>
        <w:tc>
          <w:tcPr>
            <w:tcW w:w="237" w:type="pct"/>
            <w:shd w:val="clear" w:color="auto" w:fill="auto"/>
            <w:noWrap/>
            <w:hideMark/>
          </w:tcPr>
          <w:p w:rsidR="00935FC6" w:rsidRPr="00F70A46" w:rsidRDefault="00935FC6" w:rsidP="000009BF">
            <w:pPr>
              <w:jc w:val="center"/>
              <w:cnfStyle w:val="000000100000"/>
              <w:rPr>
                <w:b/>
                <w:bCs/>
                <w:color w:val="000000"/>
                <w:sz w:val="20"/>
                <w:szCs w:val="20"/>
                <w:lang w:eastAsia="es-MX"/>
              </w:rPr>
            </w:pPr>
            <w:r w:rsidRPr="00F70A46">
              <w:rPr>
                <w:b/>
                <w:bCs/>
                <w:color w:val="000000"/>
                <w:sz w:val="20"/>
                <w:szCs w:val="20"/>
                <w:lang w:eastAsia="es-MX"/>
              </w:rPr>
              <w:t>N</w:t>
            </w:r>
          </w:p>
        </w:tc>
        <w:tc>
          <w:tcPr>
            <w:tcW w:w="727" w:type="pct"/>
            <w:shd w:val="clear" w:color="auto" w:fill="auto"/>
            <w:noWrap/>
            <w:hideMark/>
          </w:tcPr>
          <w:p w:rsidR="00935FC6" w:rsidRPr="00F70A46" w:rsidRDefault="00935FC6" w:rsidP="000009BF">
            <w:pPr>
              <w:jc w:val="center"/>
              <w:cnfStyle w:val="000000100000"/>
              <w:rPr>
                <w:b/>
                <w:bCs/>
                <w:color w:val="000000"/>
                <w:sz w:val="20"/>
                <w:szCs w:val="20"/>
                <w:lang w:eastAsia="es-MX"/>
              </w:rPr>
            </w:pPr>
            <w:r w:rsidRPr="00F70A46">
              <w:rPr>
                <w:b/>
                <w:bCs/>
                <w:color w:val="000000"/>
                <w:sz w:val="20"/>
                <w:szCs w:val="20"/>
                <w:lang w:eastAsia="es-MX"/>
              </w:rPr>
              <w:t>% por nodo</w:t>
            </w:r>
          </w:p>
        </w:tc>
        <w:tc>
          <w:tcPr>
            <w:tcW w:w="946" w:type="pct"/>
            <w:shd w:val="clear" w:color="auto" w:fill="auto"/>
            <w:noWrap/>
            <w:hideMark/>
          </w:tcPr>
          <w:p w:rsidR="00935FC6" w:rsidRPr="00F70A46" w:rsidRDefault="00935FC6" w:rsidP="000009BF">
            <w:pPr>
              <w:jc w:val="center"/>
              <w:cnfStyle w:val="000000100000"/>
              <w:rPr>
                <w:b/>
                <w:bCs/>
                <w:color w:val="000000"/>
                <w:sz w:val="20"/>
                <w:szCs w:val="20"/>
                <w:lang w:eastAsia="es-MX"/>
              </w:rPr>
            </w:pPr>
            <w:r w:rsidRPr="00F70A46">
              <w:rPr>
                <w:b/>
                <w:bCs/>
                <w:color w:val="000000"/>
                <w:sz w:val="20"/>
                <w:szCs w:val="20"/>
                <w:lang w:eastAsia="es-MX"/>
              </w:rPr>
              <w:t>% por categoría</w:t>
            </w:r>
          </w:p>
        </w:tc>
        <w:tc>
          <w:tcPr>
            <w:tcW w:w="297" w:type="pct"/>
            <w:shd w:val="clear" w:color="auto" w:fill="auto"/>
            <w:noWrap/>
            <w:hideMark/>
          </w:tcPr>
          <w:p w:rsidR="00935FC6" w:rsidRPr="00F70A46" w:rsidRDefault="00935FC6" w:rsidP="000009BF">
            <w:pPr>
              <w:jc w:val="center"/>
              <w:cnfStyle w:val="000000100000"/>
              <w:rPr>
                <w:b/>
                <w:bCs/>
                <w:color w:val="000000"/>
                <w:sz w:val="20"/>
                <w:szCs w:val="20"/>
                <w:lang w:eastAsia="es-MX"/>
              </w:rPr>
            </w:pPr>
            <w:r w:rsidRPr="00F70A46">
              <w:rPr>
                <w:b/>
                <w:bCs/>
                <w:color w:val="000000"/>
                <w:sz w:val="20"/>
                <w:szCs w:val="20"/>
                <w:lang w:eastAsia="es-MX"/>
              </w:rPr>
              <w:t>N</w:t>
            </w:r>
          </w:p>
        </w:tc>
        <w:tc>
          <w:tcPr>
            <w:tcW w:w="727" w:type="pct"/>
            <w:shd w:val="clear" w:color="auto" w:fill="auto"/>
            <w:noWrap/>
            <w:hideMark/>
          </w:tcPr>
          <w:p w:rsidR="00935FC6" w:rsidRPr="00F70A46" w:rsidRDefault="00935FC6" w:rsidP="000009BF">
            <w:pPr>
              <w:jc w:val="center"/>
              <w:cnfStyle w:val="000000100000"/>
              <w:rPr>
                <w:b/>
                <w:bCs/>
                <w:color w:val="000000"/>
                <w:sz w:val="20"/>
                <w:szCs w:val="20"/>
                <w:lang w:eastAsia="es-MX"/>
              </w:rPr>
            </w:pPr>
            <w:r w:rsidRPr="00F70A46">
              <w:rPr>
                <w:b/>
                <w:bCs/>
                <w:color w:val="000000"/>
                <w:sz w:val="20"/>
                <w:szCs w:val="20"/>
                <w:lang w:eastAsia="es-MX"/>
              </w:rPr>
              <w:t>% por nodo</w:t>
            </w:r>
          </w:p>
        </w:tc>
        <w:tc>
          <w:tcPr>
            <w:tcW w:w="946" w:type="pct"/>
            <w:shd w:val="clear" w:color="auto" w:fill="auto"/>
            <w:noWrap/>
            <w:hideMark/>
          </w:tcPr>
          <w:p w:rsidR="00935FC6" w:rsidRPr="00F70A46" w:rsidRDefault="00935FC6" w:rsidP="000009BF">
            <w:pPr>
              <w:jc w:val="center"/>
              <w:cnfStyle w:val="000000100000"/>
              <w:rPr>
                <w:b/>
                <w:bCs/>
                <w:color w:val="000000"/>
                <w:sz w:val="20"/>
                <w:szCs w:val="20"/>
                <w:lang w:eastAsia="es-MX"/>
              </w:rPr>
            </w:pPr>
            <w:r w:rsidRPr="00F70A46">
              <w:rPr>
                <w:b/>
                <w:bCs/>
                <w:color w:val="000000"/>
                <w:sz w:val="20"/>
                <w:szCs w:val="20"/>
                <w:lang w:eastAsia="es-MX"/>
              </w:rPr>
              <w:t>% por categoría</w:t>
            </w:r>
          </w:p>
        </w:tc>
      </w:tr>
      <w:tr w:rsidR="00935FC6" w:rsidRPr="00F70A46" w:rsidTr="000009BF">
        <w:trPr>
          <w:trHeight w:val="270"/>
        </w:trPr>
        <w:tc>
          <w:tcPr>
            <w:cnfStyle w:val="001000000000"/>
            <w:tcW w:w="497" w:type="pct"/>
            <w:shd w:val="clear" w:color="auto" w:fill="auto"/>
            <w:noWrap/>
            <w:hideMark/>
          </w:tcPr>
          <w:p w:rsidR="00935FC6" w:rsidRPr="00F70A46" w:rsidRDefault="00935FC6" w:rsidP="000009BF">
            <w:pPr>
              <w:jc w:val="center"/>
              <w:rPr>
                <w:color w:val="000000"/>
                <w:sz w:val="20"/>
                <w:szCs w:val="20"/>
                <w:lang w:eastAsia="es-MX"/>
              </w:rPr>
            </w:pPr>
            <w:r w:rsidRPr="00F70A46">
              <w:rPr>
                <w:color w:val="000000"/>
                <w:sz w:val="20"/>
                <w:szCs w:val="20"/>
                <w:lang w:eastAsia="es-MX"/>
              </w:rPr>
              <w:t>1</w:t>
            </w:r>
          </w:p>
        </w:tc>
        <w:tc>
          <w:tcPr>
            <w:tcW w:w="29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92</w:t>
            </w:r>
          </w:p>
        </w:tc>
        <w:tc>
          <w:tcPr>
            <w:tcW w:w="326"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16</w:t>
            </w:r>
            <w:r w:rsidR="00F70A46" w:rsidRPr="00F70A46">
              <w:rPr>
                <w:color w:val="000000"/>
                <w:sz w:val="20"/>
                <w:szCs w:val="20"/>
                <w:lang w:eastAsia="es-MX"/>
              </w:rPr>
              <w:t>,</w:t>
            </w:r>
            <w:r w:rsidRPr="00F70A46">
              <w:rPr>
                <w:color w:val="000000"/>
                <w:sz w:val="20"/>
                <w:szCs w:val="20"/>
                <w:lang w:eastAsia="es-MX"/>
              </w:rPr>
              <w:t>8</w:t>
            </w:r>
          </w:p>
        </w:tc>
        <w:tc>
          <w:tcPr>
            <w:tcW w:w="23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62</w:t>
            </w:r>
          </w:p>
        </w:tc>
        <w:tc>
          <w:tcPr>
            <w:tcW w:w="72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67</w:t>
            </w:r>
            <w:r w:rsidR="00F70A46" w:rsidRPr="00F70A46">
              <w:rPr>
                <w:color w:val="000000"/>
                <w:sz w:val="20"/>
                <w:szCs w:val="20"/>
                <w:lang w:eastAsia="es-MX"/>
              </w:rPr>
              <w:t>,</w:t>
            </w:r>
            <w:r w:rsidRPr="00F70A46">
              <w:rPr>
                <w:color w:val="000000"/>
                <w:sz w:val="20"/>
                <w:szCs w:val="20"/>
                <w:lang w:eastAsia="es-MX"/>
              </w:rPr>
              <w:t>4</w:t>
            </w:r>
          </w:p>
        </w:tc>
        <w:tc>
          <w:tcPr>
            <w:tcW w:w="946"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32</w:t>
            </w:r>
            <w:r w:rsidR="00F70A46" w:rsidRPr="00F70A46">
              <w:rPr>
                <w:color w:val="000000"/>
                <w:sz w:val="20"/>
                <w:szCs w:val="20"/>
                <w:lang w:eastAsia="es-MX"/>
              </w:rPr>
              <w:t>,</w:t>
            </w:r>
            <w:r w:rsidRPr="00F70A46">
              <w:rPr>
                <w:color w:val="000000"/>
                <w:sz w:val="20"/>
                <w:szCs w:val="20"/>
                <w:lang w:eastAsia="es-MX"/>
              </w:rPr>
              <w:t>5</w:t>
            </w:r>
          </w:p>
        </w:tc>
        <w:tc>
          <w:tcPr>
            <w:tcW w:w="29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30</w:t>
            </w:r>
          </w:p>
        </w:tc>
        <w:tc>
          <w:tcPr>
            <w:tcW w:w="72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32</w:t>
            </w:r>
            <w:r w:rsidR="00F70A46" w:rsidRPr="00F70A46">
              <w:rPr>
                <w:color w:val="000000"/>
                <w:sz w:val="20"/>
                <w:szCs w:val="20"/>
                <w:lang w:eastAsia="es-MX"/>
              </w:rPr>
              <w:t>,</w:t>
            </w:r>
            <w:r w:rsidRPr="00F70A46">
              <w:rPr>
                <w:color w:val="000000"/>
                <w:sz w:val="20"/>
                <w:szCs w:val="20"/>
                <w:lang w:eastAsia="es-MX"/>
              </w:rPr>
              <w:t>6</w:t>
            </w:r>
          </w:p>
        </w:tc>
        <w:tc>
          <w:tcPr>
            <w:tcW w:w="946"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8</w:t>
            </w:r>
            <w:r w:rsidR="00F70A46" w:rsidRPr="00F70A46">
              <w:rPr>
                <w:color w:val="000000"/>
                <w:sz w:val="20"/>
                <w:szCs w:val="20"/>
                <w:lang w:eastAsia="es-MX"/>
              </w:rPr>
              <w:t>,</w:t>
            </w:r>
            <w:r w:rsidRPr="00F70A46">
              <w:rPr>
                <w:color w:val="000000"/>
                <w:sz w:val="20"/>
                <w:szCs w:val="20"/>
                <w:lang w:eastAsia="es-MX"/>
              </w:rPr>
              <w:t>4</w:t>
            </w:r>
          </w:p>
        </w:tc>
      </w:tr>
      <w:tr w:rsidR="00935FC6" w:rsidRPr="00F70A46" w:rsidTr="000009BF">
        <w:trPr>
          <w:cnfStyle w:val="000000100000"/>
          <w:trHeight w:val="270"/>
        </w:trPr>
        <w:tc>
          <w:tcPr>
            <w:cnfStyle w:val="001000000000"/>
            <w:tcW w:w="497" w:type="pct"/>
            <w:shd w:val="clear" w:color="auto" w:fill="auto"/>
            <w:noWrap/>
            <w:hideMark/>
          </w:tcPr>
          <w:p w:rsidR="00935FC6" w:rsidRPr="00F70A46" w:rsidRDefault="00935FC6" w:rsidP="000009BF">
            <w:pPr>
              <w:jc w:val="center"/>
              <w:rPr>
                <w:color w:val="000000"/>
                <w:sz w:val="20"/>
                <w:szCs w:val="20"/>
                <w:lang w:eastAsia="es-MX"/>
              </w:rPr>
            </w:pPr>
            <w:r w:rsidRPr="00F70A46">
              <w:rPr>
                <w:color w:val="000000"/>
                <w:sz w:val="20"/>
                <w:szCs w:val="20"/>
                <w:lang w:eastAsia="es-MX"/>
              </w:rPr>
              <w:t>4</w:t>
            </w:r>
          </w:p>
        </w:tc>
        <w:tc>
          <w:tcPr>
            <w:tcW w:w="297"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129</w:t>
            </w:r>
          </w:p>
        </w:tc>
        <w:tc>
          <w:tcPr>
            <w:tcW w:w="326"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23</w:t>
            </w:r>
            <w:r w:rsidR="00F70A46" w:rsidRPr="00F70A46">
              <w:rPr>
                <w:color w:val="000000"/>
                <w:sz w:val="20"/>
                <w:szCs w:val="20"/>
                <w:lang w:eastAsia="es-MX"/>
              </w:rPr>
              <w:t>,</w:t>
            </w:r>
            <w:r w:rsidRPr="00F70A46">
              <w:rPr>
                <w:color w:val="000000"/>
                <w:sz w:val="20"/>
                <w:szCs w:val="20"/>
                <w:lang w:eastAsia="es-MX"/>
              </w:rPr>
              <w:t>5</w:t>
            </w:r>
          </w:p>
        </w:tc>
        <w:tc>
          <w:tcPr>
            <w:tcW w:w="237"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26</w:t>
            </w:r>
          </w:p>
        </w:tc>
        <w:tc>
          <w:tcPr>
            <w:tcW w:w="727"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20</w:t>
            </w:r>
            <w:r w:rsidR="00F70A46" w:rsidRPr="00F70A46">
              <w:rPr>
                <w:color w:val="000000"/>
                <w:sz w:val="20"/>
                <w:szCs w:val="20"/>
                <w:lang w:eastAsia="es-MX"/>
              </w:rPr>
              <w:t>,</w:t>
            </w:r>
            <w:r w:rsidRPr="00F70A46">
              <w:rPr>
                <w:color w:val="000000"/>
                <w:sz w:val="20"/>
                <w:szCs w:val="20"/>
                <w:lang w:eastAsia="es-MX"/>
              </w:rPr>
              <w:t>2</w:t>
            </w:r>
          </w:p>
        </w:tc>
        <w:tc>
          <w:tcPr>
            <w:tcW w:w="946"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13</w:t>
            </w:r>
            <w:r w:rsidR="00F70A46" w:rsidRPr="00F70A46">
              <w:rPr>
                <w:color w:val="000000"/>
                <w:sz w:val="20"/>
                <w:szCs w:val="20"/>
                <w:lang w:eastAsia="es-MX"/>
              </w:rPr>
              <w:t>,</w:t>
            </w:r>
            <w:r w:rsidRPr="00F70A46">
              <w:rPr>
                <w:color w:val="000000"/>
                <w:sz w:val="20"/>
                <w:szCs w:val="20"/>
                <w:lang w:eastAsia="es-MX"/>
              </w:rPr>
              <w:t>6</w:t>
            </w:r>
          </w:p>
        </w:tc>
        <w:tc>
          <w:tcPr>
            <w:tcW w:w="297"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103</w:t>
            </w:r>
          </w:p>
        </w:tc>
        <w:tc>
          <w:tcPr>
            <w:tcW w:w="727"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79</w:t>
            </w:r>
            <w:r w:rsidR="00F70A46" w:rsidRPr="00F70A46">
              <w:rPr>
                <w:color w:val="000000"/>
                <w:sz w:val="20"/>
                <w:szCs w:val="20"/>
                <w:lang w:eastAsia="es-MX"/>
              </w:rPr>
              <w:t>,</w:t>
            </w:r>
            <w:r w:rsidRPr="00F70A46">
              <w:rPr>
                <w:color w:val="000000"/>
                <w:sz w:val="20"/>
                <w:szCs w:val="20"/>
                <w:lang w:eastAsia="es-MX"/>
              </w:rPr>
              <w:t>8</w:t>
            </w:r>
          </w:p>
        </w:tc>
        <w:tc>
          <w:tcPr>
            <w:tcW w:w="946"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28</w:t>
            </w:r>
            <w:r w:rsidR="00F70A46" w:rsidRPr="00F70A46">
              <w:rPr>
                <w:color w:val="000000"/>
                <w:sz w:val="20"/>
                <w:szCs w:val="20"/>
                <w:lang w:eastAsia="es-MX"/>
              </w:rPr>
              <w:t>,</w:t>
            </w:r>
            <w:r w:rsidRPr="00F70A46">
              <w:rPr>
                <w:color w:val="000000"/>
                <w:sz w:val="20"/>
                <w:szCs w:val="20"/>
                <w:lang w:eastAsia="es-MX"/>
              </w:rPr>
              <w:t>8</w:t>
            </w:r>
          </w:p>
        </w:tc>
      </w:tr>
      <w:tr w:rsidR="00935FC6" w:rsidRPr="00F70A46" w:rsidTr="000009BF">
        <w:trPr>
          <w:trHeight w:val="270"/>
        </w:trPr>
        <w:tc>
          <w:tcPr>
            <w:cnfStyle w:val="001000000000"/>
            <w:tcW w:w="497" w:type="pct"/>
            <w:shd w:val="clear" w:color="auto" w:fill="auto"/>
            <w:noWrap/>
            <w:hideMark/>
          </w:tcPr>
          <w:p w:rsidR="00935FC6" w:rsidRPr="00F70A46" w:rsidRDefault="00935FC6" w:rsidP="000009BF">
            <w:pPr>
              <w:jc w:val="center"/>
              <w:rPr>
                <w:color w:val="000000"/>
                <w:sz w:val="20"/>
                <w:szCs w:val="20"/>
                <w:lang w:eastAsia="es-MX"/>
              </w:rPr>
            </w:pPr>
            <w:r w:rsidRPr="00F70A46">
              <w:rPr>
                <w:color w:val="000000"/>
                <w:sz w:val="20"/>
                <w:szCs w:val="20"/>
                <w:lang w:eastAsia="es-MX"/>
              </w:rPr>
              <w:t>5</w:t>
            </w:r>
          </w:p>
        </w:tc>
        <w:tc>
          <w:tcPr>
            <w:tcW w:w="29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42</w:t>
            </w:r>
          </w:p>
        </w:tc>
        <w:tc>
          <w:tcPr>
            <w:tcW w:w="326"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7</w:t>
            </w:r>
            <w:r w:rsidR="00F70A46" w:rsidRPr="00F70A46">
              <w:rPr>
                <w:color w:val="000000"/>
                <w:sz w:val="20"/>
                <w:szCs w:val="20"/>
                <w:lang w:eastAsia="es-MX"/>
              </w:rPr>
              <w:t>,</w:t>
            </w:r>
            <w:r w:rsidRPr="00F70A46">
              <w:rPr>
                <w:color w:val="000000"/>
                <w:sz w:val="20"/>
                <w:szCs w:val="20"/>
                <w:lang w:eastAsia="es-MX"/>
              </w:rPr>
              <w:t>7</w:t>
            </w:r>
          </w:p>
        </w:tc>
        <w:tc>
          <w:tcPr>
            <w:tcW w:w="23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1</w:t>
            </w:r>
          </w:p>
        </w:tc>
        <w:tc>
          <w:tcPr>
            <w:tcW w:w="72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2</w:t>
            </w:r>
            <w:r w:rsidR="00F70A46" w:rsidRPr="00F70A46">
              <w:rPr>
                <w:color w:val="000000"/>
                <w:sz w:val="20"/>
                <w:szCs w:val="20"/>
                <w:lang w:eastAsia="es-MX"/>
              </w:rPr>
              <w:t>,</w:t>
            </w:r>
            <w:r w:rsidRPr="00F70A46">
              <w:rPr>
                <w:color w:val="000000"/>
                <w:sz w:val="20"/>
                <w:szCs w:val="20"/>
                <w:lang w:eastAsia="es-MX"/>
              </w:rPr>
              <w:t>4</w:t>
            </w:r>
          </w:p>
        </w:tc>
        <w:tc>
          <w:tcPr>
            <w:tcW w:w="946"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0</w:t>
            </w:r>
            <w:r w:rsidR="00F70A46" w:rsidRPr="00F70A46">
              <w:rPr>
                <w:color w:val="000000"/>
                <w:sz w:val="20"/>
                <w:szCs w:val="20"/>
                <w:lang w:eastAsia="es-MX"/>
              </w:rPr>
              <w:t>,</w:t>
            </w:r>
            <w:r w:rsidRPr="00F70A46">
              <w:rPr>
                <w:color w:val="000000"/>
                <w:sz w:val="20"/>
                <w:szCs w:val="20"/>
                <w:lang w:eastAsia="es-MX"/>
              </w:rPr>
              <w:t>5</w:t>
            </w:r>
          </w:p>
        </w:tc>
        <w:tc>
          <w:tcPr>
            <w:tcW w:w="29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41</w:t>
            </w:r>
          </w:p>
        </w:tc>
        <w:tc>
          <w:tcPr>
            <w:tcW w:w="72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97</w:t>
            </w:r>
            <w:r w:rsidR="00F70A46" w:rsidRPr="00F70A46">
              <w:rPr>
                <w:color w:val="000000"/>
                <w:sz w:val="20"/>
                <w:szCs w:val="20"/>
                <w:lang w:eastAsia="es-MX"/>
              </w:rPr>
              <w:t>,</w:t>
            </w:r>
            <w:r w:rsidRPr="00F70A46">
              <w:rPr>
                <w:color w:val="000000"/>
                <w:sz w:val="20"/>
                <w:szCs w:val="20"/>
                <w:lang w:eastAsia="es-MX"/>
              </w:rPr>
              <w:t>6</w:t>
            </w:r>
          </w:p>
        </w:tc>
        <w:tc>
          <w:tcPr>
            <w:tcW w:w="946"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11</w:t>
            </w:r>
            <w:r w:rsidR="00F70A46" w:rsidRPr="00F70A46">
              <w:rPr>
                <w:color w:val="000000"/>
                <w:sz w:val="20"/>
                <w:szCs w:val="20"/>
                <w:lang w:eastAsia="es-MX"/>
              </w:rPr>
              <w:t>,</w:t>
            </w:r>
            <w:r w:rsidRPr="00F70A46">
              <w:rPr>
                <w:color w:val="000000"/>
                <w:sz w:val="20"/>
                <w:szCs w:val="20"/>
                <w:lang w:eastAsia="es-MX"/>
              </w:rPr>
              <w:t>5</w:t>
            </w:r>
          </w:p>
        </w:tc>
      </w:tr>
      <w:tr w:rsidR="00935FC6" w:rsidRPr="00F70A46" w:rsidTr="000009BF">
        <w:trPr>
          <w:cnfStyle w:val="000000100000"/>
          <w:trHeight w:val="270"/>
        </w:trPr>
        <w:tc>
          <w:tcPr>
            <w:cnfStyle w:val="001000000000"/>
            <w:tcW w:w="497" w:type="pct"/>
            <w:shd w:val="clear" w:color="auto" w:fill="auto"/>
            <w:noWrap/>
            <w:hideMark/>
          </w:tcPr>
          <w:p w:rsidR="00935FC6" w:rsidRPr="00F70A46" w:rsidRDefault="00935FC6" w:rsidP="000009BF">
            <w:pPr>
              <w:jc w:val="center"/>
              <w:rPr>
                <w:color w:val="000000"/>
                <w:sz w:val="20"/>
                <w:szCs w:val="20"/>
                <w:lang w:eastAsia="es-MX"/>
              </w:rPr>
            </w:pPr>
            <w:r w:rsidRPr="00F70A46">
              <w:rPr>
                <w:color w:val="000000"/>
                <w:sz w:val="20"/>
                <w:szCs w:val="20"/>
                <w:lang w:eastAsia="es-MX"/>
              </w:rPr>
              <w:t>6</w:t>
            </w:r>
          </w:p>
        </w:tc>
        <w:tc>
          <w:tcPr>
            <w:tcW w:w="297"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243</w:t>
            </w:r>
          </w:p>
        </w:tc>
        <w:tc>
          <w:tcPr>
            <w:tcW w:w="326"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44</w:t>
            </w:r>
            <w:r w:rsidR="00F70A46" w:rsidRPr="00F70A46">
              <w:rPr>
                <w:color w:val="000000"/>
                <w:sz w:val="20"/>
                <w:szCs w:val="20"/>
                <w:lang w:eastAsia="es-MX"/>
              </w:rPr>
              <w:t>,</w:t>
            </w:r>
            <w:r w:rsidRPr="00F70A46">
              <w:rPr>
                <w:color w:val="000000"/>
                <w:sz w:val="20"/>
                <w:szCs w:val="20"/>
                <w:lang w:eastAsia="es-MX"/>
              </w:rPr>
              <w:t>3</w:t>
            </w:r>
          </w:p>
        </w:tc>
        <w:tc>
          <w:tcPr>
            <w:tcW w:w="237"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79</w:t>
            </w:r>
          </w:p>
        </w:tc>
        <w:tc>
          <w:tcPr>
            <w:tcW w:w="727"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32</w:t>
            </w:r>
            <w:r w:rsidR="00F70A46" w:rsidRPr="00F70A46">
              <w:rPr>
                <w:color w:val="000000"/>
                <w:sz w:val="20"/>
                <w:szCs w:val="20"/>
                <w:lang w:eastAsia="es-MX"/>
              </w:rPr>
              <w:t>,</w:t>
            </w:r>
            <w:r w:rsidRPr="00F70A46">
              <w:rPr>
                <w:color w:val="000000"/>
                <w:sz w:val="20"/>
                <w:szCs w:val="20"/>
                <w:lang w:eastAsia="es-MX"/>
              </w:rPr>
              <w:t>5</w:t>
            </w:r>
          </w:p>
        </w:tc>
        <w:tc>
          <w:tcPr>
            <w:tcW w:w="946"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41</w:t>
            </w:r>
            <w:r w:rsidR="00F70A46" w:rsidRPr="00F70A46">
              <w:rPr>
                <w:color w:val="000000"/>
                <w:sz w:val="20"/>
                <w:szCs w:val="20"/>
                <w:lang w:eastAsia="es-MX"/>
              </w:rPr>
              <w:t>,</w:t>
            </w:r>
            <w:r w:rsidRPr="00F70A46">
              <w:rPr>
                <w:color w:val="000000"/>
                <w:sz w:val="20"/>
                <w:szCs w:val="20"/>
                <w:lang w:eastAsia="es-MX"/>
              </w:rPr>
              <w:t>4</w:t>
            </w:r>
          </w:p>
        </w:tc>
        <w:tc>
          <w:tcPr>
            <w:tcW w:w="297"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164</w:t>
            </w:r>
          </w:p>
        </w:tc>
        <w:tc>
          <w:tcPr>
            <w:tcW w:w="727"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67</w:t>
            </w:r>
            <w:r w:rsidR="00F70A46" w:rsidRPr="00F70A46">
              <w:rPr>
                <w:color w:val="000000"/>
                <w:sz w:val="20"/>
                <w:szCs w:val="20"/>
                <w:lang w:eastAsia="es-MX"/>
              </w:rPr>
              <w:t>,</w:t>
            </w:r>
            <w:r w:rsidRPr="00F70A46">
              <w:rPr>
                <w:color w:val="000000"/>
                <w:sz w:val="20"/>
                <w:szCs w:val="20"/>
                <w:lang w:eastAsia="es-MX"/>
              </w:rPr>
              <w:t>5</w:t>
            </w:r>
          </w:p>
        </w:tc>
        <w:tc>
          <w:tcPr>
            <w:tcW w:w="946" w:type="pct"/>
            <w:shd w:val="clear" w:color="auto" w:fill="auto"/>
            <w:noWrap/>
            <w:hideMark/>
          </w:tcPr>
          <w:p w:rsidR="00935FC6" w:rsidRPr="00F70A46" w:rsidRDefault="00935FC6" w:rsidP="000009BF">
            <w:pPr>
              <w:jc w:val="center"/>
              <w:cnfStyle w:val="000000100000"/>
              <w:rPr>
                <w:color w:val="000000"/>
                <w:sz w:val="20"/>
                <w:szCs w:val="20"/>
                <w:lang w:eastAsia="es-MX"/>
              </w:rPr>
            </w:pPr>
            <w:r w:rsidRPr="00F70A46">
              <w:rPr>
                <w:color w:val="000000"/>
                <w:sz w:val="20"/>
                <w:szCs w:val="20"/>
                <w:lang w:eastAsia="es-MX"/>
              </w:rPr>
              <w:t>45</w:t>
            </w:r>
            <w:r w:rsidR="00F70A46" w:rsidRPr="00F70A46">
              <w:rPr>
                <w:color w:val="000000"/>
                <w:sz w:val="20"/>
                <w:szCs w:val="20"/>
                <w:lang w:eastAsia="es-MX"/>
              </w:rPr>
              <w:t>,</w:t>
            </w:r>
            <w:r w:rsidRPr="00F70A46">
              <w:rPr>
                <w:color w:val="000000"/>
                <w:sz w:val="20"/>
                <w:szCs w:val="20"/>
                <w:lang w:eastAsia="es-MX"/>
              </w:rPr>
              <w:t>8</w:t>
            </w:r>
          </w:p>
        </w:tc>
      </w:tr>
      <w:tr w:rsidR="00935FC6" w:rsidRPr="00F70A46" w:rsidTr="000009BF">
        <w:trPr>
          <w:trHeight w:val="270"/>
        </w:trPr>
        <w:tc>
          <w:tcPr>
            <w:cnfStyle w:val="001000000000"/>
            <w:tcW w:w="497" w:type="pct"/>
            <w:shd w:val="clear" w:color="auto" w:fill="auto"/>
            <w:noWrap/>
            <w:hideMark/>
          </w:tcPr>
          <w:p w:rsidR="00935FC6" w:rsidRPr="00F70A46" w:rsidRDefault="00935FC6" w:rsidP="000009BF">
            <w:pPr>
              <w:jc w:val="center"/>
              <w:rPr>
                <w:color w:val="000000"/>
                <w:sz w:val="20"/>
                <w:szCs w:val="20"/>
                <w:lang w:eastAsia="es-MX"/>
              </w:rPr>
            </w:pPr>
            <w:r w:rsidRPr="00F70A46">
              <w:rPr>
                <w:color w:val="000000"/>
                <w:sz w:val="20"/>
                <w:szCs w:val="20"/>
                <w:lang w:eastAsia="es-MX"/>
              </w:rPr>
              <w:t>7</w:t>
            </w:r>
          </w:p>
        </w:tc>
        <w:tc>
          <w:tcPr>
            <w:tcW w:w="29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43</w:t>
            </w:r>
          </w:p>
        </w:tc>
        <w:tc>
          <w:tcPr>
            <w:tcW w:w="326"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7</w:t>
            </w:r>
            <w:r w:rsidR="00F70A46" w:rsidRPr="00F70A46">
              <w:rPr>
                <w:color w:val="000000"/>
                <w:sz w:val="20"/>
                <w:szCs w:val="20"/>
                <w:lang w:eastAsia="es-MX"/>
              </w:rPr>
              <w:t>,</w:t>
            </w:r>
            <w:r w:rsidRPr="00F70A46">
              <w:rPr>
                <w:color w:val="000000"/>
                <w:sz w:val="20"/>
                <w:szCs w:val="20"/>
                <w:lang w:eastAsia="es-MX"/>
              </w:rPr>
              <w:t>8</w:t>
            </w:r>
          </w:p>
        </w:tc>
        <w:tc>
          <w:tcPr>
            <w:tcW w:w="23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23</w:t>
            </w:r>
          </w:p>
        </w:tc>
        <w:tc>
          <w:tcPr>
            <w:tcW w:w="72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53</w:t>
            </w:r>
            <w:r w:rsidR="00F70A46" w:rsidRPr="00F70A46">
              <w:rPr>
                <w:color w:val="000000"/>
                <w:sz w:val="20"/>
                <w:szCs w:val="20"/>
                <w:lang w:eastAsia="es-MX"/>
              </w:rPr>
              <w:t>,</w:t>
            </w:r>
            <w:r w:rsidRPr="00F70A46">
              <w:rPr>
                <w:color w:val="000000"/>
                <w:sz w:val="20"/>
                <w:szCs w:val="20"/>
                <w:lang w:eastAsia="es-MX"/>
              </w:rPr>
              <w:t>5</w:t>
            </w:r>
          </w:p>
        </w:tc>
        <w:tc>
          <w:tcPr>
            <w:tcW w:w="946"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12</w:t>
            </w:r>
            <w:r w:rsidR="00F70A46" w:rsidRPr="00F70A46">
              <w:rPr>
                <w:color w:val="000000"/>
                <w:sz w:val="20"/>
                <w:szCs w:val="20"/>
                <w:lang w:eastAsia="es-MX"/>
              </w:rPr>
              <w:t>,</w:t>
            </w:r>
            <w:r w:rsidRPr="00F70A46">
              <w:rPr>
                <w:color w:val="000000"/>
                <w:sz w:val="20"/>
                <w:szCs w:val="20"/>
                <w:lang w:eastAsia="es-MX"/>
              </w:rPr>
              <w:t>0</w:t>
            </w:r>
          </w:p>
        </w:tc>
        <w:tc>
          <w:tcPr>
            <w:tcW w:w="29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20</w:t>
            </w:r>
          </w:p>
        </w:tc>
        <w:tc>
          <w:tcPr>
            <w:tcW w:w="727"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46</w:t>
            </w:r>
            <w:r w:rsidR="00F70A46" w:rsidRPr="00F70A46">
              <w:rPr>
                <w:color w:val="000000"/>
                <w:sz w:val="20"/>
                <w:szCs w:val="20"/>
                <w:lang w:eastAsia="es-MX"/>
              </w:rPr>
              <w:t>,</w:t>
            </w:r>
            <w:r w:rsidRPr="00F70A46">
              <w:rPr>
                <w:color w:val="000000"/>
                <w:sz w:val="20"/>
                <w:szCs w:val="20"/>
                <w:lang w:eastAsia="es-MX"/>
              </w:rPr>
              <w:t>5</w:t>
            </w:r>
          </w:p>
        </w:tc>
        <w:tc>
          <w:tcPr>
            <w:tcW w:w="946" w:type="pct"/>
            <w:shd w:val="clear" w:color="auto" w:fill="auto"/>
            <w:noWrap/>
            <w:hideMark/>
          </w:tcPr>
          <w:p w:rsidR="00935FC6" w:rsidRPr="00F70A46" w:rsidRDefault="00935FC6" w:rsidP="000009BF">
            <w:pPr>
              <w:jc w:val="center"/>
              <w:cnfStyle w:val="000000000000"/>
              <w:rPr>
                <w:color w:val="000000"/>
                <w:sz w:val="20"/>
                <w:szCs w:val="20"/>
                <w:lang w:eastAsia="es-MX"/>
              </w:rPr>
            </w:pPr>
            <w:r w:rsidRPr="00F70A46">
              <w:rPr>
                <w:color w:val="000000"/>
                <w:sz w:val="20"/>
                <w:szCs w:val="20"/>
                <w:lang w:eastAsia="es-MX"/>
              </w:rPr>
              <w:t>5</w:t>
            </w:r>
            <w:r w:rsidR="00F70A46" w:rsidRPr="00F70A46">
              <w:rPr>
                <w:color w:val="000000"/>
                <w:sz w:val="20"/>
                <w:szCs w:val="20"/>
                <w:lang w:eastAsia="es-MX"/>
              </w:rPr>
              <w:t>,</w:t>
            </w:r>
            <w:r w:rsidRPr="00F70A46">
              <w:rPr>
                <w:color w:val="000000"/>
                <w:sz w:val="20"/>
                <w:szCs w:val="20"/>
                <w:lang w:eastAsia="es-MX"/>
              </w:rPr>
              <w:t>6</w:t>
            </w:r>
          </w:p>
        </w:tc>
      </w:tr>
    </w:tbl>
    <w:p w:rsidR="00935FC6" w:rsidRPr="00C82608" w:rsidRDefault="00935FC6" w:rsidP="00935FC6">
      <w:pPr>
        <w:rPr>
          <w:sz w:val="20"/>
          <w:szCs w:val="20"/>
        </w:rPr>
      </w:pPr>
      <w:r w:rsidRPr="00C82608">
        <w:rPr>
          <w:sz w:val="20"/>
          <w:szCs w:val="20"/>
        </w:rPr>
        <w:t>Fuente: Elaboración propia a partir de los resultados del árbol de clasificación</w:t>
      </w:r>
    </w:p>
    <w:p w:rsidR="00935FC6" w:rsidRPr="00E571FB" w:rsidRDefault="00935FC6" w:rsidP="00935FC6">
      <w:pPr>
        <w:spacing w:line="480" w:lineRule="auto"/>
        <w:rPr>
          <w:rFonts w:cstheme="minorHAnsi"/>
        </w:rPr>
      </w:pPr>
    </w:p>
    <w:p w:rsidR="00935FC6" w:rsidRPr="00F70A46" w:rsidRDefault="00935FC6" w:rsidP="009E05D1">
      <w:pPr>
        <w:spacing w:line="360" w:lineRule="auto"/>
        <w:ind w:firstLine="709"/>
        <w:jc w:val="both"/>
      </w:pPr>
      <w:r>
        <w:t>En la Tabla 4 se detalla</w:t>
      </w:r>
      <w:r w:rsidRPr="005C7E9B">
        <w:t xml:space="preserve"> el número de casos clasificados correcta e incorrectamente para cada categoría de la variable dependiente, así como el porcentaje global de los casos clasificados correctamente. Considerando todo lo antes presentado se puede concluir que el modelo obtenido tiene buena capacidad de predicción (71</w:t>
      </w:r>
      <w:r w:rsidR="00F70A46">
        <w:t>,</w:t>
      </w:r>
      <w:r w:rsidRPr="005C7E9B">
        <w:t>6%).</w:t>
      </w:r>
    </w:p>
    <w:p w:rsidR="00935FC6" w:rsidRDefault="00935FC6" w:rsidP="00935FC6">
      <w:pPr>
        <w:rPr>
          <w:rFonts w:cstheme="minorHAnsi"/>
          <w:b/>
        </w:rPr>
      </w:pPr>
    </w:p>
    <w:p w:rsidR="00935FC6" w:rsidRPr="00F70A46" w:rsidRDefault="00935FC6" w:rsidP="00935FC6">
      <w:pPr>
        <w:rPr>
          <w:i/>
          <w:sz w:val="20"/>
          <w:szCs w:val="20"/>
        </w:rPr>
      </w:pPr>
      <w:r w:rsidRPr="00F70A46">
        <w:rPr>
          <w:b/>
          <w:i/>
          <w:sz w:val="20"/>
          <w:szCs w:val="20"/>
        </w:rPr>
        <w:t>Tabla 4.</w:t>
      </w:r>
      <w:r w:rsidRPr="00F70A46">
        <w:rPr>
          <w:i/>
          <w:sz w:val="20"/>
          <w:szCs w:val="20"/>
        </w:rPr>
        <w:t xml:space="preserve"> Tabla de clasificación</w:t>
      </w:r>
    </w:p>
    <w:tbl>
      <w:tblPr>
        <w:tblStyle w:val="Sombreadoclaro1"/>
        <w:tblW w:w="5000" w:type="pct"/>
        <w:tblLook w:val="04A0"/>
      </w:tblPr>
      <w:tblGrid>
        <w:gridCol w:w="2857"/>
        <w:gridCol w:w="1765"/>
        <w:gridCol w:w="2002"/>
        <w:gridCol w:w="2619"/>
      </w:tblGrid>
      <w:tr w:rsidR="00935FC6" w:rsidRPr="00C82608" w:rsidTr="000009BF">
        <w:trPr>
          <w:cnfStyle w:val="100000000000"/>
          <w:trHeight w:val="255"/>
        </w:trPr>
        <w:tc>
          <w:tcPr>
            <w:cnfStyle w:val="001000000000"/>
            <w:tcW w:w="1545" w:type="pct"/>
            <w:vMerge w:val="restart"/>
            <w:shd w:val="clear" w:color="auto" w:fill="auto"/>
            <w:vAlign w:val="center"/>
            <w:hideMark/>
          </w:tcPr>
          <w:p w:rsidR="00935FC6" w:rsidRPr="00C82608" w:rsidRDefault="00935FC6" w:rsidP="000009BF">
            <w:pPr>
              <w:rPr>
                <w:color w:val="auto"/>
                <w:sz w:val="20"/>
                <w:szCs w:val="20"/>
                <w:lang w:eastAsia="es-MX"/>
              </w:rPr>
            </w:pPr>
            <w:r w:rsidRPr="00C82608">
              <w:rPr>
                <w:color w:val="auto"/>
                <w:sz w:val="20"/>
                <w:szCs w:val="20"/>
                <w:lang w:eastAsia="es-MX"/>
              </w:rPr>
              <w:t>Observado</w:t>
            </w:r>
          </w:p>
        </w:tc>
        <w:tc>
          <w:tcPr>
            <w:tcW w:w="3455" w:type="pct"/>
            <w:gridSpan w:val="3"/>
            <w:shd w:val="clear" w:color="auto" w:fill="auto"/>
            <w:vAlign w:val="center"/>
            <w:hideMark/>
          </w:tcPr>
          <w:p w:rsidR="00935FC6" w:rsidRPr="00C82608" w:rsidRDefault="00935FC6" w:rsidP="000009BF">
            <w:pPr>
              <w:cnfStyle w:val="100000000000"/>
              <w:rPr>
                <w:color w:val="auto"/>
                <w:sz w:val="20"/>
                <w:szCs w:val="20"/>
                <w:lang w:eastAsia="es-MX"/>
              </w:rPr>
            </w:pPr>
            <w:r w:rsidRPr="00C82608">
              <w:rPr>
                <w:color w:val="auto"/>
                <w:sz w:val="20"/>
                <w:szCs w:val="20"/>
                <w:lang w:eastAsia="es-MX"/>
              </w:rPr>
              <w:t>Pronosticado</w:t>
            </w:r>
          </w:p>
        </w:tc>
      </w:tr>
      <w:tr w:rsidR="00935FC6" w:rsidRPr="00C82608" w:rsidTr="000009BF">
        <w:trPr>
          <w:cnfStyle w:val="000000100000"/>
          <w:trHeight w:val="480"/>
        </w:trPr>
        <w:tc>
          <w:tcPr>
            <w:cnfStyle w:val="001000000000"/>
            <w:tcW w:w="1545" w:type="pct"/>
            <w:vMerge/>
            <w:shd w:val="clear" w:color="auto" w:fill="auto"/>
            <w:hideMark/>
          </w:tcPr>
          <w:p w:rsidR="00935FC6" w:rsidRPr="00C82608" w:rsidRDefault="00935FC6" w:rsidP="000009BF">
            <w:pPr>
              <w:rPr>
                <w:color w:val="auto"/>
                <w:sz w:val="20"/>
                <w:szCs w:val="20"/>
                <w:lang w:eastAsia="es-MX"/>
              </w:rPr>
            </w:pPr>
          </w:p>
        </w:tc>
        <w:tc>
          <w:tcPr>
            <w:tcW w:w="955" w:type="pct"/>
            <w:shd w:val="clear" w:color="auto" w:fill="auto"/>
            <w:hideMark/>
          </w:tcPr>
          <w:p w:rsidR="00935FC6" w:rsidRPr="00C82608" w:rsidRDefault="00935FC6" w:rsidP="000009BF">
            <w:pPr>
              <w:cnfStyle w:val="000000100000"/>
              <w:rPr>
                <w:color w:val="auto"/>
                <w:sz w:val="20"/>
                <w:szCs w:val="20"/>
                <w:lang w:eastAsia="es-MX"/>
              </w:rPr>
            </w:pPr>
            <w:r w:rsidRPr="00C82608">
              <w:rPr>
                <w:color w:val="auto"/>
                <w:sz w:val="20"/>
                <w:szCs w:val="20"/>
                <w:lang w:eastAsia="es-MX"/>
              </w:rPr>
              <w:t>PR+</w:t>
            </w:r>
          </w:p>
        </w:tc>
        <w:tc>
          <w:tcPr>
            <w:tcW w:w="1083" w:type="pct"/>
            <w:shd w:val="clear" w:color="auto" w:fill="auto"/>
            <w:hideMark/>
          </w:tcPr>
          <w:p w:rsidR="00935FC6" w:rsidRPr="00C82608" w:rsidRDefault="00935FC6" w:rsidP="000009BF">
            <w:pPr>
              <w:cnfStyle w:val="000000100000"/>
              <w:rPr>
                <w:color w:val="auto"/>
                <w:sz w:val="20"/>
                <w:szCs w:val="20"/>
                <w:lang w:eastAsia="es-MX"/>
              </w:rPr>
            </w:pPr>
            <w:r w:rsidRPr="00C82608">
              <w:rPr>
                <w:color w:val="auto"/>
                <w:sz w:val="20"/>
                <w:szCs w:val="20"/>
                <w:lang w:eastAsia="es-MX"/>
              </w:rPr>
              <w:t>PR-</w:t>
            </w:r>
          </w:p>
        </w:tc>
        <w:tc>
          <w:tcPr>
            <w:tcW w:w="1417" w:type="pct"/>
            <w:shd w:val="clear" w:color="auto" w:fill="auto"/>
            <w:hideMark/>
          </w:tcPr>
          <w:p w:rsidR="00935FC6" w:rsidRPr="00C82608" w:rsidRDefault="00935FC6" w:rsidP="000009BF">
            <w:pPr>
              <w:cnfStyle w:val="000000100000"/>
              <w:rPr>
                <w:color w:val="auto"/>
                <w:sz w:val="20"/>
                <w:szCs w:val="20"/>
                <w:lang w:eastAsia="es-MX"/>
              </w:rPr>
            </w:pPr>
            <w:r w:rsidRPr="00C82608">
              <w:rPr>
                <w:color w:val="auto"/>
                <w:sz w:val="20"/>
                <w:szCs w:val="20"/>
                <w:lang w:eastAsia="es-MX"/>
              </w:rPr>
              <w:t>Porcentaje correcto</w:t>
            </w:r>
          </w:p>
        </w:tc>
      </w:tr>
      <w:tr w:rsidR="00935FC6" w:rsidRPr="00C82608" w:rsidTr="000009BF">
        <w:trPr>
          <w:trHeight w:val="255"/>
        </w:trPr>
        <w:tc>
          <w:tcPr>
            <w:cnfStyle w:val="001000000000"/>
            <w:tcW w:w="1545" w:type="pct"/>
            <w:shd w:val="clear" w:color="auto" w:fill="auto"/>
            <w:hideMark/>
          </w:tcPr>
          <w:p w:rsidR="00935FC6" w:rsidRPr="00C82608" w:rsidRDefault="00935FC6" w:rsidP="000009BF">
            <w:pPr>
              <w:rPr>
                <w:color w:val="auto"/>
                <w:sz w:val="20"/>
                <w:szCs w:val="20"/>
                <w:lang w:eastAsia="es-MX"/>
              </w:rPr>
            </w:pPr>
            <w:r w:rsidRPr="00C82608">
              <w:rPr>
                <w:color w:val="auto"/>
                <w:sz w:val="20"/>
                <w:szCs w:val="20"/>
                <w:lang w:eastAsia="es-MX"/>
              </w:rPr>
              <w:t>PR+</w:t>
            </w:r>
          </w:p>
        </w:tc>
        <w:tc>
          <w:tcPr>
            <w:tcW w:w="955" w:type="pct"/>
            <w:shd w:val="clear" w:color="auto" w:fill="auto"/>
            <w:noWrap/>
            <w:hideMark/>
          </w:tcPr>
          <w:p w:rsidR="00935FC6" w:rsidRPr="00C82608" w:rsidRDefault="00935FC6" w:rsidP="000009BF">
            <w:pPr>
              <w:cnfStyle w:val="000000000000"/>
              <w:rPr>
                <w:color w:val="auto"/>
                <w:sz w:val="20"/>
                <w:szCs w:val="20"/>
                <w:lang w:eastAsia="es-MX"/>
              </w:rPr>
            </w:pPr>
            <w:r w:rsidRPr="00C82608">
              <w:rPr>
                <w:color w:val="auto"/>
                <w:sz w:val="20"/>
                <w:szCs w:val="20"/>
                <w:lang w:eastAsia="es-MX"/>
              </w:rPr>
              <w:t>308</w:t>
            </w:r>
          </w:p>
        </w:tc>
        <w:tc>
          <w:tcPr>
            <w:tcW w:w="1083" w:type="pct"/>
            <w:shd w:val="clear" w:color="auto" w:fill="auto"/>
            <w:noWrap/>
            <w:hideMark/>
          </w:tcPr>
          <w:p w:rsidR="00935FC6" w:rsidRPr="00C82608" w:rsidRDefault="00935FC6" w:rsidP="000009BF">
            <w:pPr>
              <w:cnfStyle w:val="000000000000"/>
              <w:rPr>
                <w:color w:val="auto"/>
                <w:sz w:val="20"/>
                <w:szCs w:val="20"/>
                <w:lang w:eastAsia="es-MX"/>
              </w:rPr>
            </w:pPr>
            <w:r w:rsidRPr="00C82608">
              <w:rPr>
                <w:color w:val="auto"/>
                <w:sz w:val="20"/>
                <w:szCs w:val="20"/>
                <w:lang w:eastAsia="es-MX"/>
              </w:rPr>
              <w:t>50</w:t>
            </w:r>
          </w:p>
        </w:tc>
        <w:tc>
          <w:tcPr>
            <w:tcW w:w="1417" w:type="pct"/>
            <w:shd w:val="clear" w:color="auto" w:fill="auto"/>
            <w:noWrap/>
            <w:hideMark/>
          </w:tcPr>
          <w:p w:rsidR="00935FC6" w:rsidRPr="00C82608" w:rsidRDefault="00F70A46" w:rsidP="000009BF">
            <w:pPr>
              <w:cnfStyle w:val="000000000000"/>
              <w:rPr>
                <w:color w:val="auto"/>
                <w:sz w:val="20"/>
                <w:szCs w:val="20"/>
                <w:lang w:eastAsia="es-MX"/>
              </w:rPr>
            </w:pPr>
            <w:r>
              <w:rPr>
                <w:color w:val="auto"/>
                <w:sz w:val="20"/>
                <w:szCs w:val="20"/>
                <w:lang w:eastAsia="es-MX"/>
              </w:rPr>
              <w:t>86,</w:t>
            </w:r>
            <w:r w:rsidR="00935FC6" w:rsidRPr="00C82608">
              <w:rPr>
                <w:color w:val="auto"/>
                <w:sz w:val="20"/>
                <w:szCs w:val="20"/>
                <w:lang w:eastAsia="es-MX"/>
              </w:rPr>
              <w:t>0%</w:t>
            </w:r>
          </w:p>
        </w:tc>
      </w:tr>
      <w:tr w:rsidR="00935FC6" w:rsidRPr="00C82608" w:rsidTr="000009BF">
        <w:trPr>
          <w:cnfStyle w:val="000000100000"/>
          <w:trHeight w:val="255"/>
        </w:trPr>
        <w:tc>
          <w:tcPr>
            <w:cnfStyle w:val="001000000000"/>
            <w:tcW w:w="1545" w:type="pct"/>
            <w:shd w:val="clear" w:color="auto" w:fill="auto"/>
            <w:hideMark/>
          </w:tcPr>
          <w:p w:rsidR="00935FC6" w:rsidRPr="00C82608" w:rsidRDefault="00935FC6" w:rsidP="000009BF">
            <w:pPr>
              <w:rPr>
                <w:color w:val="auto"/>
                <w:sz w:val="20"/>
                <w:szCs w:val="20"/>
                <w:lang w:eastAsia="es-MX"/>
              </w:rPr>
            </w:pPr>
            <w:r w:rsidRPr="00C82608">
              <w:rPr>
                <w:color w:val="auto"/>
                <w:sz w:val="20"/>
                <w:szCs w:val="20"/>
                <w:lang w:eastAsia="es-MX"/>
              </w:rPr>
              <w:t>PR-</w:t>
            </w:r>
          </w:p>
        </w:tc>
        <w:tc>
          <w:tcPr>
            <w:tcW w:w="955" w:type="pct"/>
            <w:shd w:val="clear" w:color="auto" w:fill="auto"/>
            <w:noWrap/>
            <w:hideMark/>
          </w:tcPr>
          <w:p w:rsidR="00935FC6" w:rsidRPr="00C82608" w:rsidRDefault="00935FC6" w:rsidP="000009BF">
            <w:pPr>
              <w:cnfStyle w:val="000000100000"/>
              <w:rPr>
                <w:color w:val="auto"/>
                <w:sz w:val="20"/>
                <w:szCs w:val="20"/>
                <w:lang w:eastAsia="es-MX"/>
              </w:rPr>
            </w:pPr>
            <w:r w:rsidRPr="00C82608">
              <w:rPr>
                <w:color w:val="auto"/>
                <w:sz w:val="20"/>
                <w:szCs w:val="20"/>
                <w:lang w:eastAsia="es-MX"/>
              </w:rPr>
              <w:t>106</w:t>
            </w:r>
          </w:p>
        </w:tc>
        <w:tc>
          <w:tcPr>
            <w:tcW w:w="1083" w:type="pct"/>
            <w:shd w:val="clear" w:color="auto" w:fill="auto"/>
            <w:noWrap/>
            <w:hideMark/>
          </w:tcPr>
          <w:p w:rsidR="00935FC6" w:rsidRPr="00C82608" w:rsidRDefault="00935FC6" w:rsidP="000009BF">
            <w:pPr>
              <w:cnfStyle w:val="000000100000"/>
              <w:rPr>
                <w:color w:val="auto"/>
                <w:sz w:val="20"/>
                <w:szCs w:val="20"/>
                <w:lang w:eastAsia="es-MX"/>
              </w:rPr>
            </w:pPr>
            <w:r w:rsidRPr="00C82608">
              <w:rPr>
                <w:color w:val="auto"/>
                <w:sz w:val="20"/>
                <w:szCs w:val="20"/>
                <w:lang w:eastAsia="es-MX"/>
              </w:rPr>
              <w:t>85</w:t>
            </w:r>
          </w:p>
        </w:tc>
        <w:tc>
          <w:tcPr>
            <w:tcW w:w="1417" w:type="pct"/>
            <w:shd w:val="clear" w:color="auto" w:fill="auto"/>
            <w:noWrap/>
            <w:hideMark/>
          </w:tcPr>
          <w:p w:rsidR="00935FC6" w:rsidRPr="00C82608" w:rsidRDefault="00935FC6" w:rsidP="000009BF">
            <w:pPr>
              <w:cnfStyle w:val="000000100000"/>
              <w:rPr>
                <w:color w:val="auto"/>
                <w:sz w:val="20"/>
                <w:szCs w:val="20"/>
                <w:lang w:eastAsia="es-MX"/>
              </w:rPr>
            </w:pPr>
            <w:r w:rsidRPr="00C82608">
              <w:rPr>
                <w:color w:val="auto"/>
                <w:sz w:val="20"/>
                <w:szCs w:val="20"/>
                <w:lang w:eastAsia="es-MX"/>
              </w:rPr>
              <w:t>4</w:t>
            </w:r>
            <w:r w:rsidR="00F70A46">
              <w:rPr>
                <w:color w:val="auto"/>
                <w:sz w:val="20"/>
                <w:szCs w:val="20"/>
                <w:lang w:eastAsia="es-MX"/>
              </w:rPr>
              <w:t>4,</w:t>
            </w:r>
            <w:r w:rsidRPr="00C82608">
              <w:rPr>
                <w:color w:val="auto"/>
                <w:sz w:val="20"/>
                <w:szCs w:val="20"/>
                <w:lang w:eastAsia="es-MX"/>
              </w:rPr>
              <w:t>5%</w:t>
            </w:r>
          </w:p>
        </w:tc>
      </w:tr>
      <w:tr w:rsidR="00935FC6" w:rsidRPr="00C82608" w:rsidTr="000009BF">
        <w:trPr>
          <w:trHeight w:val="273"/>
        </w:trPr>
        <w:tc>
          <w:tcPr>
            <w:cnfStyle w:val="001000000000"/>
            <w:tcW w:w="1545" w:type="pct"/>
            <w:shd w:val="clear" w:color="auto" w:fill="auto"/>
            <w:hideMark/>
          </w:tcPr>
          <w:p w:rsidR="00935FC6" w:rsidRPr="00C82608" w:rsidRDefault="00935FC6" w:rsidP="000009BF">
            <w:pPr>
              <w:rPr>
                <w:color w:val="auto"/>
                <w:sz w:val="20"/>
                <w:szCs w:val="20"/>
                <w:lang w:eastAsia="es-MX"/>
              </w:rPr>
            </w:pPr>
            <w:r w:rsidRPr="00C82608">
              <w:rPr>
                <w:color w:val="auto"/>
                <w:sz w:val="20"/>
                <w:szCs w:val="20"/>
                <w:lang w:eastAsia="es-MX"/>
              </w:rPr>
              <w:t>Porcentaje global</w:t>
            </w:r>
          </w:p>
        </w:tc>
        <w:tc>
          <w:tcPr>
            <w:tcW w:w="955" w:type="pct"/>
            <w:shd w:val="clear" w:color="auto" w:fill="auto"/>
            <w:noWrap/>
            <w:hideMark/>
          </w:tcPr>
          <w:p w:rsidR="00935FC6" w:rsidRPr="00C82608" w:rsidRDefault="00F70A46" w:rsidP="000009BF">
            <w:pPr>
              <w:cnfStyle w:val="000000000000"/>
              <w:rPr>
                <w:color w:val="auto"/>
                <w:sz w:val="20"/>
                <w:szCs w:val="20"/>
                <w:lang w:eastAsia="es-MX"/>
              </w:rPr>
            </w:pPr>
            <w:r>
              <w:rPr>
                <w:color w:val="auto"/>
                <w:sz w:val="20"/>
                <w:szCs w:val="20"/>
                <w:lang w:eastAsia="es-MX"/>
              </w:rPr>
              <w:t>75,</w:t>
            </w:r>
            <w:r w:rsidR="00935FC6" w:rsidRPr="00C82608">
              <w:rPr>
                <w:color w:val="auto"/>
                <w:sz w:val="20"/>
                <w:szCs w:val="20"/>
                <w:lang w:eastAsia="es-MX"/>
              </w:rPr>
              <w:t>4%</w:t>
            </w:r>
          </w:p>
        </w:tc>
        <w:tc>
          <w:tcPr>
            <w:tcW w:w="1083" w:type="pct"/>
            <w:shd w:val="clear" w:color="auto" w:fill="auto"/>
            <w:noWrap/>
            <w:hideMark/>
          </w:tcPr>
          <w:p w:rsidR="00935FC6" w:rsidRPr="00C82608" w:rsidRDefault="00F70A46" w:rsidP="000009BF">
            <w:pPr>
              <w:cnfStyle w:val="000000000000"/>
              <w:rPr>
                <w:color w:val="auto"/>
                <w:sz w:val="20"/>
                <w:szCs w:val="20"/>
                <w:lang w:eastAsia="es-MX"/>
              </w:rPr>
            </w:pPr>
            <w:r>
              <w:rPr>
                <w:color w:val="auto"/>
                <w:sz w:val="20"/>
                <w:szCs w:val="20"/>
                <w:lang w:eastAsia="es-MX"/>
              </w:rPr>
              <w:t>24,</w:t>
            </w:r>
            <w:r w:rsidR="00935FC6" w:rsidRPr="00C82608">
              <w:rPr>
                <w:color w:val="auto"/>
                <w:sz w:val="20"/>
                <w:szCs w:val="20"/>
                <w:lang w:eastAsia="es-MX"/>
              </w:rPr>
              <w:t>6%</w:t>
            </w:r>
          </w:p>
        </w:tc>
        <w:tc>
          <w:tcPr>
            <w:tcW w:w="1417" w:type="pct"/>
            <w:shd w:val="clear" w:color="auto" w:fill="auto"/>
            <w:noWrap/>
            <w:hideMark/>
          </w:tcPr>
          <w:p w:rsidR="00935FC6" w:rsidRPr="00C82608" w:rsidRDefault="00F70A46" w:rsidP="000009BF">
            <w:pPr>
              <w:cnfStyle w:val="000000000000"/>
              <w:rPr>
                <w:color w:val="auto"/>
                <w:sz w:val="20"/>
                <w:szCs w:val="20"/>
                <w:lang w:eastAsia="es-MX"/>
              </w:rPr>
            </w:pPr>
            <w:r>
              <w:rPr>
                <w:color w:val="auto"/>
                <w:sz w:val="20"/>
                <w:szCs w:val="20"/>
                <w:lang w:eastAsia="es-MX"/>
              </w:rPr>
              <w:t>71,</w:t>
            </w:r>
            <w:r w:rsidR="00935FC6" w:rsidRPr="00C82608">
              <w:rPr>
                <w:color w:val="auto"/>
                <w:sz w:val="20"/>
                <w:szCs w:val="20"/>
                <w:lang w:eastAsia="es-MX"/>
              </w:rPr>
              <w:t>6%</w:t>
            </w:r>
          </w:p>
        </w:tc>
      </w:tr>
    </w:tbl>
    <w:p w:rsidR="00935FC6" w:rsidRPr="00C82608" w:rsidRDefault="00935FC6" w:rsidP="00935FC6">
      <w:pPr>
        <w:rPr>
          <w:sz w:val="20"/>
          <w:szCs w:val="20"/>
        </w:rPr>
      </w:pPr>
      <w:r w:rsidRPr="00C82608">
        <w:rPr>
          <w:sz w:val="20"/>
          <w:szCs w:val="20"/>
        </w:rPr>
        <w:t>*Elaboración propia a partir de los resultados del árbol de clasificación</w:t>
      </w:r>
    </w:p>
    <w:p w:rsidR="00F70A46" w:rsidRDefault="00F70A46" w:rsidP="00CE7D65">
      <w:pPr>
        <w:pStyle w:val="Ttulosinternos"/>
        <w:rPr>
          <w:lang w:val="es-ES_tradnl"/>
        </w:rPr>
      </w:pPr>
    </w:p>
    <w:p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rsidR="00F70A46" w:rsidRPr="005C7E9B" w:rsidRDefault="00F70A46" w:rsidP="00F70A46">
      <w:pPr>
        <w:spacing w:line="360" w:lineRule="auto"/>
        <w:ind w:firstLine="709"/>
        <w:jc w:val="both"/>
      </w:pPr>
      <w:r w:rsidRPr="005C7E9B">
        <w:t xml:space="preserve">Los resultados del presente estudio muestran el impacto de </w:t>
      </w:r>
      <w:r>
        <w:t>algunas</w:t>
      </w:r>
      <w:r w:rsidRPr="005C7E9B">
        <w:t xml:space="preserve"> variables psicológicas sobre la percepción del riesgo</w:t>
      </w:r>
      <w:r>
        <w:t>,</w:t>
      </w:r>
      <w:r w:rsidRPr="005C7E9B">
        <w:t xml:space="preserve"> y evidencian los factores causales</w:t>
      </w:r>
      <w:r>
        <w:t xml:space="preserve"> </w:t>
      </w:r>
      <w:r w:rsidRPr="005C7E9B">
        <w:t xml:space="preserve">que contribuyen a una percepción alta/baja del riesgo percibido de la pandemia COVID-19 en personas con nivel educativo medio superior y superior en la etapa de inicio del contagio por coronavirus en México. Desde la perspectiva de la salud pública </w:t>
      </w:r>
      <w:r>
        <w:t xml:space="preserve">es necesario </w:t>
      </w:r>
      <w:r w:rsidRPr="005C7E9B">
        <w:t>contar con herramientas, como la diseñada en este estudio,</w:t>
      </w:r>
      <w:r>
        <w:t xml:space="preserve"> ya que</w:t>
      </w:r>
      <w:r w:rsidRPr="005C7E9B">
        <w:t xml:space="preserve"> posibilitan la planificación e implementación de estrategias que propici</w:t>
      </w:r>
      <w:r>
        <w:t>a</w:t>
      </w:r>
      <w:r w:rsidRPr="005C7E9B">
        <w:t xml:space="preserve">n la adhesión a las medidas preventivas. </w:t>
      </w:r>
    </w:p>
    <w:p w:rsidR="00F70A46" w:rsidRDefault="00F70A46" w:rsidP="00F70A46">
      <w:pPr>
        <w:spacing w:line="360" w:lineRule="auto"/>
        <w:ind w:firstLine="708"/>
        <w:jc w:val="both"/>
      </w:pPr>
      <w:r w:rsidRPr="005C7E9B">
        <w:t xml:space="preserve">Para incrementar la percepción positiva de riesgo y controlar su propagación, de acuerdo a los hallazgos obtenidos, se requiere que la población dimensione correctamente su </w:t>
      </w:r>
      <w:r w:rsidRPr="005C7E9B">
        <w:rPr>
          <w:i/>
        </w:rPr>
        <w:t>vulnerabilidad personal</w:t>
      </w:r>
      <w:r w:rsidRPr="005C7E9B">
        <w:t xml:space="preserve">, la </w:t>
      </w:r>
      <w:r w:rsidRPr="005C7E9B">
        <w:rPr>
          <w:i/>
        </w:rPr>
        <w:t>gravedad de la pandemia</w:t>
      </w:r>
      <w:r w:rsidRPr="005C7E9B">
        <w:t xml:space="preserve"> y el </w:t>
      </w:r>
      <w:r w:rsidRPr="005C7E9B">
        <w:rPr>
          <w:i/>
        </w:rPr>
        <w:t>potencial catastrófico</w:t>
      </w:r>
      <w:r w:rsidRPr="005C7E9B">
        <w:t xml:space="preserve"> de esta.</w:t>
      </w:r>
      <w:r>
        <w:t xml:space="preserve"> </w:t>
      </w:r>
      <w:r w:rsidRPr="005C7E9B">
        <w:t xml:space="preserve">Los resultados encontrados siguen el patrón de lo reportado en la epidemia de N1H1 en México en el </w:t>
      </w:r>
      <w:r>
        <w:t xml:space="preserve">año </w:t>
      </w:r>
      <w:r w:rsidRPr="005C7E9B">
        <w:t xml:space="preserve">2009 </w:t>
      </w:r>
      <w:r>
        <w:t>(Carro y Hernández, 2009)</w:t>
      </w:r>
      <w:r w:rsidRPr="005C7E9B">
        <w:t xml:space="preserve">, dónde se determinó que la conducta preventiva solo se evidencia cuando el evento se percibe como altamente peligroso y/o contagioso. De hecho en los resultados de este estudio, se identificó que el percibir la gravedad de la enfermedad, en su adecuada magnitud pude mejorar la percepción del riesgo global; por lo que es recomendable que para obtener el impacto que se requiere en la población, frente a la pandemia de COVID-19, </w:t>
      </w:r>
      <w:r>
        <w:t>se</w:t>
      </w:r>
      <w:r w:rsidRPr="005C7E9B">
        <w:t xml:space="preserve"> tenga un conocimiento claro de cómo se transmite el virus, las medidas básicas de higiene, síntomas y principales complicaciones, en particular aquellas complicaciones asociadas a los grupos de riesgo y a la población con comorbilidades; ya que subjetivamente COVID-19 implica infecciones leves entre la población general</w:t>
      </w:r>
      <w:r>
        <w:t>. E</w:t>
      </w:r>
      <w:r w:rsidRPr="005C7E9B">
        <w:t xml:space="preserve">l riesgo de muerte entre los adultos jóvenes es mayor que para la influenza estacional y la mortalidad entre adultos mayores con comorbilidades requiere mucha atención, ya que se estima que puede llegar a ser entre los </w:t>
      </w:r>
      <w:r>
        <w:t>pacientes mayores de 60 años 9,</w:t>
      </w:r>
      <w:r w:rsidRPr="005C7E9B">
        <w:t xml:space="preserve">3 veces mayor que en los del grupo de edad más joven de acuerdo a los resultados de investigaciones realizadas en Japón en el mes de febrero 2020 </w:t>
      </w:r>
      <w:r>
        <w:t>(</w:t>
      </w:r>
      <w:r>
        <w:rPr>
          <w:color w:val="222222"/>
          <w:shd w:val="clear" w:color="auto" w:fill="FFFFFF"/>
        </w:rPr>
        <w:t>Kobayashi et al., 2020)</w:t>
      </w:r>
      <w:r w:rsidRPr="005C7E9B">
        <w:t>; en especial en un país como México, dónde de la población de 20 años y más, el 10</w:t>
      </w:r>
      <w:r w:rsidR="000009BF">
        <w:t>,3% padece diabetes (8,</w:t>
      </w:r>
      <w:r w:rsidRPr="005C7E9B">
        <w:t>6 millones de personas), 18</w:t>
      </w:r>
      <w:r w:rsidR="000009BF">
        <w:t>,</w:t>
      </w:r>
      <w:r w:rsidRPr="005C7E9B">
        <w:t>4% tienen hipertensión y, el sobrepeso y obesidad es de 75</w:t>
      </w:r>
      <w:r w:rsidR="000009BF">
        <w:t>,</w:t>
      </w:r>
      <w:r w:rsidRPr="005C7E9B">
        <w:t>2% (39</w:t>
      </w:r>
      <w:r w:rsidR="000009BF">
        <w:t>,</w:t>
      </w:r>
      <w:r w:rsidRPr="005C7E9B">
        <w:t>1% sobrepeso y 36</w:t>
      </w:r>
      <w:r w:rsidR="000009BF">
        <w:t>,</w:t>
      </w:r>
      <w:r w:rsidRPr="005C7E9B">
        <w:t>1% obesidad) de acuerdo a los datos de ENSANUT 2018</w:t>
      </w:r>
      <w:r>
        <w:t xml:space="preserve"> (INSP, 2018)</w:t>
      </w:r>
      <w:r w:rsidRPr="005C7E9B">
        <w:t xml:space="preserve">. </w:t>
      </w:r>
    </w:p>
    <w:p w:rsidR="00F70A46" w:rsidRDefault="00F70A46" w:rsidP="00F70A46">
      <w:pPr>
        <w:spacing w:line="360" w:lineRule="auto"/>
        <w:ind w:firstLine="708"/>
        <w:jc w:val="both"/>
      </w:pPr>
      <w:r w:rsidRPr="005C7E9B">
        <w:t>El análisis indica que, a</w:t>
      </w:r>
      <w:r w:rsidR="000009BF">
        <w:t>unque el 65,</w:t>
      </w:r>
      <w:r w:rsidRPr="005C7E9B">
        <w:t>2% de los encuestados, están pre</w:t>
      </w:r>
      <w:r w:rsidR="000009BF">
        <w:t>ocupados por la pandemia, el 62,</w:t>
      </w:r>
      <w:r w:rsidRPr="005C7E9B">
        <w:t>1% (n</w:t>
      </w:r>
      <w:r>
        <w:t xml:space="preserve"> </w:t>
      </w:r>
      <w:r w:rsidRPr="005C7E9B">
        <w:t>= 341) subestiman su riesgo personal (vulnerabilidad) en relación con el de los demás, fenómeno que también se ha encontrado en otros estudios  de COVID-19, como el realizado por el Finnish Institute for Health and Welfare (THL)</w:t>
      </w:r>
      <w:r>
        <w:t xml:space="preserve"> (</w:t>
      </w:r>
      <w:r w:rsidRPr="0015282F">
        <w:t>Dryhurst</w:t>
      </w:r>
      <w:r>
        <w:t xml:space="preserve"> et al.</w:t>
      </w:r>
      <w:r w:rsidRPr="005C7E9B">
        <w:t>,</w:t>
      </w:r>
      <w:r>
        <w:t xml:space="preserve"> 2020), </w:t>
      </w:r>
      <w:r w:rsidRPr="005C7E9B">
        <w:t xml:space="preserve">para evaluar el riesgo percibido de la epidemia de COVID-19 en diez países del mundo incluido México o en el estudio hecho en la primer semana de la pandemia en los Estados Unidos (10-16 de marzo 2020) </w:t>
      </w:r>
      <w:r w:rsidRPr="00D36EC7">
        <w:t>(Wise,</w:t>
      </w:r>
      <w:r>
        <w:t xml:space="preserve"> </w:t>
      </w:r>
      <w:r w:rsidRPr="00D36EC7">
        <w:t>Zbozinek, Michelini, Hagan y Mobbs, 2020)</w:t>
      </w:r>
      <w:r w:rsidRPr="005C7E9B">
        <w:t xml:space="preserve"> y que puede estar vinculado con el optimismo ilusorio</w:t>
      </w:r>
      <w:r>
        <w:t xml:space="preserve"> (Weinstein, </w:t>
      </w:r>
      <w:r w:rsidRPr="008A39B8">
        <w:t>1987</w:t>
      </w:r>
      <w:r>
        <w:t xml:space="preserve">; Sánchez, Rubio, Páez, y Blanco, </w:t>
      </w:r>
      <w:r w:rsidRPr="008A39B8">
        <w:t>1998</w:t>
      </w:r>
      <w:r>
        <w:t>)</w:t>
      </w:r>
      <w:r w:rsidRPr="005C7E9B">
        <w:t xml:space="preserve">. Por lo tanto, para que la población dimensione correctamente su vulnerabilidad personal, sería muy importante reforzar cuales son los escenarios posibles de contagio y las características de los de individuos más vulnerables a sufrir desenlaces fatales. </w:t>
      </w:r>
    </w:p>
    <w:p w:rsidR="00F70A46" w:rsidRDefault="00F70A46" w:rsidP="00F70A46">
      <w:pPr>
        <w:spacing w:line="360" w:lineRule="auto"/>
        <w:ind w:firstLine="708"/>
        <w:jc w:val="both"/>
      </w:pPr>
      <w:r w:rsidRPr="005C7E9B">
        <w:t>Es de destacar que el conocimiento sobre el COVID-19 no se asoció de manera consistente o fuerte</w:t>
      </w:r>
      <w:r w:rsidRPr="005C7E9B">
        <w:rPr>
          <w:color w:val="222222"/>
          <w:lang w:val="es-ES"/>
        </w:rPr>
        <w:t xml:space="preserve"> con la percepción del riesgo, lo que sugiere que es poco probable que el solo el conocimiento, tenga un impacto sustancial en el comportamiento; hecho que también se observó en investigaciones sobre la epidemia de SARS del 2003 en Hong Kong </w:t>
      </w:r>
      <w:r>
        <w:rPr>
          <w:color w:val="222222"/>
          <w:lang w:val="es-ES"/>
        </w:rPr>
        <w:t>(</w:t>
      </w:r>
      <w:r w:rsidRPr="00CE0307">
        <w:rPr>
          <w:color w:val="212121"/>
          <w:shd w:val="clear" w:color="auto" w:fill="FFFFFF"/>
        </w:rPr>
        <w:t>Leung</w:t>
      </w:r>
      <w:r>
        <w:rPr>
          <w:color w:val="212121"/>
          <w:shd w:val="clear" w:color="auto" w:fill="FFFFFF"/>
        </w:rPr>
        <w:t xml:space="preserve"> et al</w:t>
      </w:r>
      <w:r w:rsidRPr="005C7E9B">
        <w:rPr>
          <w:color w:val="222222"/>
          <w:lang w:val="es-ES"/>
        </w:rPr>
        <w:t>.</w:t>
      </w:r>
      <w:r>
        <w:rPr>
          <w:color w:val="222222"/>
          <w:lang w:val="es-ES"/>
        </w:rPr>
        <w:t>, 2005).</w:t>
      </w:r>
      <w:r w:rsidRPr="005C7E9B">
        <w:rPr>
          <w:color w:val="222222"/>
          <w:lang w:val="es-ES"/>
        </w:rPr>
        <w:t xml:space="preserve"> Por lo que, los responsables de la salud pública deberían centrarse en otros aspectos de la percepción y comunicación del riesgo</w:t>
      </w:r>
      <w:r w:rsidRPr="005C7E9B">
        <w:t xml:space="preserve"> para mejorar la percepción de la gravedad de la enfermedad y su poder catastrófico, tanto a nivel de la integridad personal como colectiva, ya que estas consecuencias, no son solamente de carácter sanitario sino social y económico.</w:t>
      </w:r>
    </w:p>
    <w:p w:rsidR="00F70A46" w:rsidRPr="005C7E9B" w:rsidRDefault="00F70A46" w:rsidP="00F70A46">
      <w:pPr>
        <w:spacing w:line="360" w:lineRule="auto"/>
        <w:ind w:firstLine="708"/>
        <w:jc w:val="both"/>
      </w:pPr>
      <w:r>
        <w:t>Adicionalmente</w:t>
      </w:r>
      <w:r w:rsidRPr="005C7E9B">
        <w:t xml:space="preserve">, para lograr que la información trasmitida por las autoridades de salud sea bien recibida por los ciudadanos </w:t>
      </w:r>
      <w:r>
        <w:t xml:space="preserve">se requiere </w:t>
      </w:r>
      <w:r w:rsidRPr="005C7E9B">
        <w:t xml:space="preserve">incrementar la confianza </w:t>
      </w:r>
      <w:r>
        <w:t>(</w:t>
      </w:r>
      <w:r w:rsidRPr="00CE0307">
        <w:rPr>
          <w:lang w:eastAsia="es-MX"/>
        </w:rPr>
        <w:t>Hevia</w:t>
      </w:r>
      <w:r>
        <w:rPr>
          <w:lang w:eastAsia="es-MX"/>
        </w:rPr>
        <w:t>, 2006),</w:t>
      </w:r>
      <w:r w:rsidRPr="005C7E9B">
        <w:t xml:space="preserve"> que los ciudadanos tienen en la Secretaría de Salud, ya que de la población encuestada solo un 40% (n</w:t>
      </w:r>
      <w:r>
        <w:t xml:space="preserve"> </w:t>
      </w:r>
      <w:r w:rsidRPr="005C7E9B">
        <w:t xml:space="preserve">= 219), declara tener confianza en las autoridades sanitarias, situación que pudo incrementarse, por la reciente creación del Instituto de Salud para el Bienestar (Insabi) </w:t>
      </w:r>
      <w:r w:rsidRPr="00480585">
        <w:t>(</w:t>
      </w:r>
      <w:r w:rsidRPr="00480585">
        <w:rPr>
          <w:color w:val="141414"/>
        </w:rPr>
        <w:t xml:space="preserve">Ramírez, 2020; </w:t>
      </w:r>
      <w:r w:rsidRPr="00480585">
        <w:t>Vadillo,</w:t>
      </w:r>
      <w:r>
        <w:t xml:space="preserve"> </w:t>
      </w:r>
      <w:r w:rsidRPr="00480585">
        <w:t>2020), que sustituyó al Seguro Popular</w:t>
      </w:r>
      <w:r w:rsidRPr="005C7E9B">
        <w:t xml:space="preserve"> desde enero 2020; así como por las noticias en las que se niegan la existencia del virus y presentan a la pandemia como una estrategia de pánico o una conspiración </w:t>
      </w:r>
      <w:r>
        <w:t>(Velazco, 2020)</w:t>
      </w:r>
      <w:r w:rsidRPr="005C7E9B">
        <w:t>. A medida que la población considere que los mensajes de la Secretaría de Salud son verídicos y pertinentes</w:t>
      </w:r>
      <w:r>
        <w:t xml:space="preserve"> (</w:t>
      </w:r>
      <w:r w:rsidRPr="005C7E9B">
        <w:t>Khosravi</w:t>
      </w:r>
      <w:r>
        <w:t>, 2020;</w:t>
      </w:r>
      <w:r w:rsidRPr="005C7E9B">
        <w:t xml:space="preserve"> Lohiniva</w:t>
      </w:r>
      <w:r>
        <w:t xml:space="preserve"> et al., 2020)</w:t>
      </w:r>
      <w:r w:rsidRPr="005C7E9B">
        <w:t xml:space="preserve">, </w:t>
      </w:r>
      <w:r>
        <w:t>e</w:t>
      </w:r>
      <w:r w:rsidRPr="005C7E9B">
        <w:t>sta tendrá elementos para dimensionar la gravedad, su vulnerabilidad personal y el poder catastrófico de la pandemia, que son los factores a potenciar, para incrementar la percepción del riesgo de forma positiva, de acuerdo a los resultados de este análisis.</w:t>
      </w:r>
      <w:r w:rsidRPr="005C7E9B">
        <w:rPr>
          <w:color w:val="222222"/>
          <w:lang w:val="es-ES"/>
        </w:rPr>
        <w:t xml:space="preserve"> </w:t>
      </w:r>
      <w:r w:rsidRPr="005C7E9B">
        <w:t>La confianza en la información sobre la pandemia dada por las autoridades, influye en el conocimiento de la gravedad  de la enfermedad y permite también que los ciudadanos dimensionen su vulnerabilidad personal, si llegaran a contagiarse, cara a las consecuencias del COVID-19. Esta recomendación, sobre la importancia de tener una comunicación clara y significativa con los ciudadanos y así fortalecer la confianza en la autoridades, se encuentra también entre los resultados del e</w:t>
      </w:r>
      <w:r>
        <w:t>studio realizado por el THL</w:t>
      </w:r>
      <w:r w:rsidRPr="005C7E9B">
        <w:t xml:space="preserve"> </w:t>
      </w:r>
      <w:r>
        <w:t>(</w:t>
      </w:r>
      <w:r w:rsidRPr="0015282F">
        <w:t>Dryhurst</w:t>
      </w:r>
      <w:r>
        <w:t xml:space="preserve"> et al.</w:t>
      </w:r>
      <w:r w:rsidRPr="005C7E9B">
        <w:t>,</w:t>
      </w:r>
      <w:r>
        <w:t xml:space="preserve"> 2020)</w:t>
      </w:r>
      <w:r w:rsidRPr="005C7E9B">
        <w:t>, ya que incrementar la confianza,  puede influir en el cambio de comportamiento y  de este modo fomentar la participación de los ciudadanos en la medidas de emergencia.</w:t>
      </w:r>
    </w:p>
    <w:p w:rsidR="00F70A46" w:rsidRPr="005C7E9B" w:rsidRDefault="00F70A46" w:rsidP="00F70A46">
      <w:pPr>
        <w:spacing w:line="360" w:lineRule="auto"/>
        <w:ind w:firstLine="708"/>
        <w:jc w:val="both"/>
        <w:rPr>
          <w:lang w:val="es-ES"/>
        </w:rPr>
      </w:pPr>
      <w:r w:rsidRPr="005C7E9B">
        <w:t xml:space="preserve">En lo relativo a la validez de los resultados del instrumento empleado basado en EDPR, estos son comparables con los obtenidos para México en el estudio del THL </w:t>
      </w:r>
      <w:r>
        <w:t>(</w:t>
      </w:r>
      <w:r w:rsidRPr="0015282F">
        <w:t>Dryhurst</w:t>
      </w:r>
      <w:r>
        <w:t xml:space="preserve"> et al.</w:t>
      </w:r>
      <w:r w:rsidRPr="005C7E9B">
        <w:t>,</w:t>
      </w:r>
      <w:r>
        <w:t xml:space="preserve"> 2020)</w:t>
      </w:r>
      <w:r w:rsidRPr="005C7E9B">
        <w:t xml:space="preserve">, realizado del 15 de marzo al 15 de abril del 2020, donde el valor global de riesgo percibido </w:t>
      </w:r>
      <w:r w:rsidR="000009BF">
        <w:t>en valores normalizados es de 0,</w:t>
      </w:r>
      <w:r w:rsidRPr="005C7E9B">
        <w:t xml:space="preserve">78 contra el riesgo obtenido en este estudio de </w:t>
      </w:r>
      <w:r w:rsidR="000009BF">
        <w:t>0,</w:t>
      </w:r>
      <w:r w:rsidRPr="005C7E9B">
        <w:t xml:space="preserve">68. Una contribución importante de este estudio es el análisis de los datos mediante la técnica de  árboles de clasificación, que permite generar reglas probabilísticas útiles para predecir la percepción del riesgo global de la población de estudio (percepción alta o percepción baja) y aporta trayectorias que permiten incrementar positivamente el riesgo percibido. En función de las reglas probabilísticas halladas en el modelo, se encontró que las variables que influyen en la percepción global del riesgo están relacionadas con la susceptibilidad y la severidad  percibidas descritas por el MCS, y que para que la población objetivo posea una alta percepción del riesgo de COVID-19, han de considerarse diversas dimensiones cualitativas.  </w:t>
      </w:r>
    </w:p>
    <w:p w:rsidR="00F70A46" w:rsidRPr="005C7E9B" w:rsidRDefault="00F70A46" w:rsidP="00885F8B">
      <w:pPr>
        <w:autoSpaceDE w:val="0"/>
        <w:autoSpaceDN w:val="0"/>
        <w:adjustRightInd w:val="0"/>
        <w:spacing w:line="360" w:lineRule="auto"/>
        <w:ind w:firstLine="709"/>
        <w:jc w:val="both"/>
      </w:pPr>
      <w:r w:rsidRPr="005C7E9B">
        <w:t>Este estudio exploratorio tiene limitaciones. En primer lugar, no ha sido realizado mediante muestreo aleatorio simple. En segundo lugar, es un estudio transversal en el tiempo; es decir, no ha tenido continuidad. Y en tercer lugar al haber sido realizado a través de internet no podemos garantizar la fiabilidad de los datos. Sin emb</w:t>
      </w:r>
      <w:r w:rsidR="000009BF">
        <w:t>argo, dado que en México son 77,</w:t>
      </w:r>
      <w:r w:rsidRPr="005C7E9B">
        <w:t xml:space="preserve">3 millones las personas que tienen 20 años de edad o más, y de ellas, cuentan con estudios de nivel medio superior al menos el 36%, esto es, 28 millones de personas de acuerdo a los datos de la última Encuesta Nacional de los Hogares 2017 </w:t>
      </w:r>
      <w:r>
        <w:t>(INEGI</w:t>
      </w:r>
      <w:r w:rsidRPr="005C7E9B">
        <w:t xml:space="preserve">, </w:t>
      </w:r>
      <w:r>
        <w:t>2018)</w:t>
      </w:r>
      <w:r w:rsidRPr="005C7E9B">
        <w:t xml:space="preserve"> el tamaño de la muestra que se requiere para un muestreo aleatorio simple es de 385 personas con un error muestral del 5% y un nivel de confianza del 95% que es inferior al tamaño de la muestra considerada en este estudio.</w:t>
      </w:r>
    </w:p>
    <w:p w:rsidR="00F70A46" w:rsidRPr="005C7E9B" w:rsidRDefault="00F70A46" w:rsidP="00F70A46">
      <w:pPr>
        <w:spacing w:line="360" w:lineRule="auto"/>
        <w:jc w:val="both"/>
      </w:pPr>
    </w:p>
    <w:p w:rsidR="00F70A46" w:rsidRPr="00534664" w:rsidRDefault="00F70A46" w:rsidP="00F70A46">
      <w:pPr>
        <w:spacing w:line="360" w:lineRule="auto"/>
        <w:jc w:val="both"/>
        <w:rPr>
          <w:b/>
        </w:rPr>
      </w:pPr>
      <w:r w:rsidRPr="005C7E9B">
        <w:rPr>
          <w:b/>
        </w:rPr>
        <w:t>Conclusión</w:t>
      </w:r>
    </w:p>
    <w:p w:rsidR="00F70A46" w:rsidRDefault="00F70A46" w:rsidP="00F70A46">
      <w:pPr>
        <w:autoSpaceDE w:val="0"/>
        <w:autoSpaceDN w:val="0"/>
        <w:adjustRightInd w:val="0"/>
        <w:spacing w:line="360" w:lineRule="auto"/>
        <w:ind w:firstLine="709"/>
        <w:jc w:val="both"/>
      </w:pPr>
      <w:r w:rsidRPr="005C7E9B">
        <w:t xml:space="preserve">Los resultados de este estudio explican e identifican los factores causales del riesgo percibido por la población encuestada al inicio de la pandemia de COVID-19 en México. Se encontró que una mayor percepción de </w:t>
      </w:r>
      <w:r>
        <w:t xml:space="preserve"> la </w:t>
      </w:r>
      <w:r w:rsidRPr="005C7E9B">
        <w:t xml:space="preserve">severidad y </w:t>
      </w:r>
      <w:r>
        <w:t xml:space="preserve">la </w:t>
      </w:r>
      <w:r w:rsidRPr="005C7E9B">
        <w:t xml:space="preserve">susceptibilidad de contraer el virus tienen un efecto positivo sobre las normas sociales para la toma de medidas preventivas. Entre los hallazgos destacamos la subestimación del riesgo personal (vulnerabilidad) en relación con el de los demás, lo que  resulta preocupante. Nuestros resultados destacan la importancia de trabajar en coordinación con las autoridades de salud pública para educar a los estudiantes, padres, maestros y al público en general sobre la necesidad del cumplimiento de las normas sociales requeridas para atenuar la velocidad de contagios y posible saturación del sistema de salud. Adicionalmente, la metodología utilizada permite identificar los factores causales del bajo/alto riesgo percibido por la población de estudio, posibilitando la creación de estrategias que incrementen el riesgo percibido de la población en las fases posteriores de la pandemia. </w:t>
      </w:r>
    </w:p>
    <w:p w:rsidR="000009BF" w:rsidRDefault="000009BF" w:rsidP="000009BF">
      <w:pPr>
        <w:spacing w:line="360" w:lineRule="auto"/>
        <w:jc w:val="both"/>
        <w:rPr>
          <w:b/>
        </w:rPr>
      </w:pPr>
    </w:p>
    <w:p w:rsidR="000009BF" w:rsidRPr="005C7E9B" w:rsidRDefault="000009BF" w:rsidP="000009BF">
      <w:pPr>
        <w:spacing w:line="360" w:lineRule="auto"/>
        <w:jc w:val="both"/>
        <w:rPr>
          <w:b/>
        </w:rPr>
      </w:pPr>
      <w:r w:rsidRPr="005C7E9B">
        <w:rPr>
          <w:b/>
        </w:rPr>
        <w:t>Agradecimientos</w:t>
      </w:r>
    </w:p>
    <w:p w:rsidR="000009BF" w:rsidRPr="005C7E9B" w:rsidRDefault="000009BF" w:rsidP="000009BF">
      <w:pPr>
        <w:spacing w:line="360" w:lineRule="auto"/>
        <w:ind w:firstLine="709"/>
        <w:jc w:val="both"/>
      </w:pPr>
      <w:r w:rsidRPr="005C7E9B">
        <w:t xml:space="preserve">A los ciudadanos que amablemente aceptaron participar vía electrónica en este estudio dadas las condiciones de </w:t>
      </w:r>
      <w:r w:rsidR="00FA7560">
        <w:t>aislamiento vividas en la fase uno</w:t>
      </w:r>
      <w:r w:rsidRPr="005C7E9B">
        <w:t xml:space="preserve"> de la contingencia.</w:t>
      </w:r>
    </w:p>
    <w:p w:rsidR="00612E24" w:rsidRDefault="00612E24">
      <w:r>
        <w:br w:type="page"/>
      </w:r>
    </w:p>
    <w:p w:rsidR="000009BF" w:rsidRPr="005C7E9B" w:rsidRDefault="000009BF" w:rsidP="00F70A46">
      <w:pPr>
        <w:autoSpaceDE w:val="0"/>
        <w:autoSpaceDN w:val="0"/>
        <w:adjustRightInd w:val="0"/>
        <w:spacing w:line="360" w:lineRule="auto"/>
        <w:ind w:firstLine="709"/>
        <w:jc w:val="both"/>
      </w:pPr>
    </w:p>
    <w:p w:rsidR="006F7E7E" w:rsidRPr="000009BF" w:rsidRDefault="00CE7D65" w:rsidP="007A7CDC">
      <w:pPr>
        <w:pStyle w:val="Ttulosinternos"/>
        <w:rPr>
          <w:lang w:val="es-ES_tradnl"/>
        </w:rPr>
      </w:pPr>
      <w:r w:rsidRPr="000009BF">
        <w:rPr>
          <w:lang w:val="es-ES_tradnl"/>
        </w:rPr>
        <w:t>Referenc</w:t>
      </w:r>
      <w:r w:rsidR="00E23C9E" w:rsidRPr="000009BF">
        <w:rPr>
          <w:lang w:val="es-ES_tradnl"/>
        </w:rPr>
        <w:t>ias</w:t>
      </w:r>
    </w:p>
    <w:p w:rsidR="000009BF" w:rsidRDefault="000009BF" w:rsidP="000009BF">
      <w:pPr>
        <w:spacing w:after="120"/>
        <w:ind w:left="720" w:hanging="720"/>
        <w:rPr>
          <w:color w:val="000000"/>
        </w:rPr>
      </w:pPr>
      <w:r w:rsidRPr="005A3B9A">
        <w:rPr>
          <w:color w:val="000000"/>
        </w:rPr>
        <w:t>Agüero Santagelo, F., Nebot Adell, M., Pérez Giménez A., López Medina, MJ. &amp; García Continente, X. (2011). Actitudes y comportamientos preventivos durante la pandemia de gripe (H1N1) 2009 en España.</w:t>
      </w:r>
      <w:r>
        <w:rPr>
          <w:color w:val="000000"/>
        </w:rPr>
        <w:t xml:space="preserve"> </w:t>
      </w:r>
      <w:r w:rsidRPr="005A3B9A">
        <w:rPr>
          <w:i/>
          <w:iCs/>
          <w:color w:val="000000"/>
        </w:rPr>
        <w:t>Revista Española de Salud Pública</w:t>
      </w:r>
      <w:r w:rsidRPr="005A3B9A">
        <w:rPr>
          <w:color w:val="000000"/>
        </w:rPr>
        <w:t>,</w:t>
      </w:r>
      <w:r>
        <w:rPr>
          <w:color w:val="000000"/>
        </w:rPr>
        <w:t xml:space="preserve"> </w:t>
      </w:r>
      <w:r w:rsidRPr="005A3B9A">
        <w:rPr>
          <w:iCs/>
          <w:color w:val="000000"/>
        </w:rPr>
        <w:t>85</w:t>
      </w:r>
      <w:r w:rsidRPr="005A3B9A">
        <w:rPr>
          <w:color w:val="000000"/>
        </w:rPr>
        <w:t>(1), 73-80.</w:t>
      </w:r>
    </w:p>
    <w:p w:rsidR="000009BF" w:rsidRPr="005A3B9A" w:rsidRDefault="000009BF" w:rsidP="000009BF">
      <w:pPr>
        <w:spacing w:after="120"/>
        <w:ind w:left="720" w:hanging="720"/>
        <w:rPr>
          <w:color w:val="333333"/>
        </w:rPr>
      </w:pPr>
      <w:r w:rsidRPr="00EF5431">
        <w:t xml:space="preserve">Aragonés T, Talayero S.F., Olivos P. (2010). </w:t>
      </w:r>
      <w:r w:rsidRPr="005A3B9A">
        <w:t xml:space="preserve">Percepción del riesgo de la gripe A (H1N1) desde el "paradigma psicométrico". </w:t>
      </w:r>
      <w:r w:rsidRPr="005A3B9A">
        <w:rPr>
          <w:i/>
          <w:iCs/>
        </w:rPr>
        <w:t>Revista de Psicología Social</w:t>
      </w:r>
      <w:r>
        <w:t>,</w:t>
      </w:r>
      <w:r w:rsidRPr="005A3B9A">
        <w:t xml:space="preserve"> </w:t>
      </w:r>
      <w:r w:rsidRPr="00780920">
        <w:rPr>
          <w:i/>
          <w:iCs/>
        </w:rPr>
        <w:t>25</w:t>
      </w:r>
      <w:r w:rsidRPr="005A3B9A">
        <w:t xml:space="preserve"> (3), 271-282. </w:t>
      </w:r>
      <w:hyperlink r:id="rId12" w:history="1">
        <w:r w:rsidRPr="005A3B9A">
          <w:rPr>
            <w:rStyle w:val="Hipervnculo"/>
            <w:color w:val="006DB4"/>
          </w:rPr>
          <w:t>https://doi.org/10.1174/021347410792675633</w:t>
        </w:r>
      </w:hyperlink>
    </w:p>
    <w:p w:rsidR="000009BF" w:rsidRPr="005A3B9A" w:rsidRDefault="000009BF" w:rsidP="000009BF">
      <w:pPr>
        <w:spacing w:after="120"/>
        <w:ind w:left="720" w:hanging="720"/>
      </w:pPr>
      <w:r w:rsidRPr="005A3B9A">
        <w:rPr>
          <w:color w:val="141414"/>
        </w:rPr>
        <w:t xml:space="preserve">Badillo D. (18 enero 2020). ¿Qué opinan los expertos sobre la desaparición del Seguro Popular y la creación del Insabi?. </w:t>
      </w:r>
      <w:r w:rsidRPr="005A3B9A">
        <w:rPr>
          <w:i/>
          <w:color w:val="141414"/>
        </w:rPr>
        <w:t>El Economista</w:t>
      </w:r>
      <w:r w:rsidRPr="005A3B9A">
        <w:rPr>
          <w:color w:val="141414"/>
        </w:rPr>
        <w:t xml:space="preserve">. </w:t>
      </w:r>
      <w:r>
        <w:rPr>
          <w:color w:val="141414"/>
        </w:rPr>
        <w:t>Recuperado de</w:t>
      </w:r>
      <w:r w:rsidRPr="005A3B9A">
        <w:rPr>
          <w:color w:val="141414"/>
        </w:rPr>
        <w:t xml:space="preserve"> </w:t>
      </w:r>
      <w:hyperlink r:id="rId13" w:history="1">
        <w:r w:rsidRPr="005A3B9A">
          <w:rPr>
            <w:rStyle w:val="Hipervnculo"/>
          </w:rPr>
          <w:t>https://www.eleconomista.com.mx/politica/Que-opinan-los-expertos-sobre-la-desaparicion-del-Seguro-Popular-y-la-creacion-del-Insabi-20200118-0003.html</w:t>
        </w:r>
      </w:hyperlink>
    </w:p>
    <w:p w:rsidR="000009BF" w:rsidRPr="005A3B9A" w:rsidRDefault="000009BF" w:rsidP="000009BF">
      <w:pPr>
        <w:spacing w:after="120"/>
        <w:ind w:left="720" w:hanging="720"/>
      </w:pPr>
      <w:r w:rsidRPr="005A3B9A">
        <w:t xml:space="preserve">Cabrera A., Gustavo A. (2000). El modelo transteórico del comportamiento en salud. </w:t>
      </w:r>
      <w:r w:rsidRPr="005A3B9A">
        <w:rPr>
          <w:i/>
        </w:rPr>
        <w:t>Revista Facultad Nacional de Salud Pública</w:t>
      </w:r>
      <w:r>
        <w:t>,</w:t>
      </w:r>
      <w:r w:rsidRPr="005A3B9A">
        <w:t xml:space="preserve"> </w:t>
      </w:r>
      <w:r w:rsidRPr="00337C3A">
        <w:rPr>
          <w:i/>
          <w:iCs/>
        </w:rPr>
        <w:t>18</w:t>
      </w:r>
      <w:r w:rsidRPr="005A3B9A">
        <w:t xml:space="preserve">(2), 129-138. </w:t>
      </w:r>
    </w:p>
    <w:p w:rsidR="000009BF" w:rsidRDefault="000009BF" w:rsidP="000009BF">
      <w:pPr>
        <w:spacing w:after="120"/>
        <w:ind w:left="720" w:hanging="720"/>
      </w:pPr>
      <w:r w:rsidRPr="00EF5431">
        <w:t xml:space="preserve">Carro-Pérez, E.,  Hernández-Gómez, A. (2009). </w:t>
      </w:r>
      <w:r w:rsidRPr="005A3B9A">
        <w:t xml:space="preserve">Percepción de riesgo y prevención en un contexto de emergencia sanitaria: caso influenza A(H1N1). </w:t>
      </w:r>
      <w:r w:rsidRPr="005A3B9A">
        <w:rPr>
          <w:i/>
        </w:rPr>
        <w:t>Revista de Psicología y Ciencias del Comportamiento de la U.A.C.J.S</w:t>
      </w:r>
      <w:r>
        <w:t xml:space="preserve">., </w:t>
      </w:r>
      <w:r w:rsidRPr="00337C3A">
        <w:rPr>
          <w:i/>
          <w:iCs/>
        </w:rPr>
        <w:t>7</w:t>
      </w:r>
      <w:r w:rsidRPr="005A3B9A">
        <w:t>(2): 20-</w:t>
      </w:r>
      <w:r>
        <w:t xml:space="preserve">32. </w:t>
      </w:r>
      <w:hyperlink r:id="rId14" w:history="1">
        <w:r w:rsidRPr="000B4820">
          <w:rPr>
            <w:rStyle w:val="Hipervnculo"/>
            <w:shd w:val="clear" w:color="auto" w:fill="FFFFFF"/>
          </w:rPr>
          <w:t>https://doi.org/10.29365/rpcc.20161125-50</w:t>
        </w:r>
      </w:hyperlink>
    </w:p>
    <w:p w:rsidR="00885F8B" w:rsidRPr="00885F8B" w:rsidRDefault="00885F8B" w:rsidP="00885F8B">
      <w:pPr>
        <w:ind w:left="720" w:hanging="720"/>
        <w:jc w:val="both"/>
        <w:rPr>
          <w:lang w:val="en-US"/>
        </w:rPr>
      </w:pPr>
      <w:r w:rsidRPr="00DE7EB8">
        <w:rPr>
          <w:lang w:val="es-AR"/>
        </w:rPr>
        <w:t xml:space="preserve">CIOMS, OMS &amp; OPS (2016). Pautas éticas internacionales para la investigación relacionada con la salud con seres humanos. </w:t>
      </w:r>
      <w:r w:rsidRPr="00DE7EB8">
        <w:rPr>
          <w:lang w:val="en-US"/>
        </w:rPr>
        <w:t xml:space="preserve">Retrieved from </w:t>
      </w:r>
      <w:hyperlink r:id="rId15" w:history="1">
        <w:r w:rsidRPr="00DE7EB8">
          <w:rPr>
            <w:rStyle w:val="Hipervnculo"/>
            <w:lang w:val="en-US"/>
          </w:rPr>
          <w:t>https://cioms.ch/wp-content/uploads/2017/12/CIOMS-EthicalGuideline_SP_INTERIOR-FINAL.pdf</w:t>
        </w:r>
      </w:hyperlink>
      <w:r w:rsidRPr="00DE7EB8">
        <w:rPr>
          <w:lang w:val="en-US"/>
        </w:rPr>
        <w:t xml:space="preserve"> </w:t>
      </w:r>
    </w:p>
    <w:p w:rsidR="000009BF" w:rsidRPr="00EF5431" w:rsidRDefault="000009BF" w:rsidP="000009BF">
      <w:pPr>
        <w:spacing w:after="120"/>
        <w:ind w:left="720" w:hanging="720"/>
      </w:pPr>
      <w:r w:rsidRPr="00885F8B">
        <w:rPr>
          <w:lang w:val="en-US"/>
        </w:rPr>
        <w:t xml:space="preserve">Dryhurst, S., Schneider, C. R., Kerr, J., Freeman, A. L., Recchia, G., Van Der Bles, A. M., Spiegelhalter, D. y van der Linden S. (2020). </w:t>
      </w:r>
      <w:r w:rsidRPr="00662B5C">
        <w:rPr>
          <w:lang w:val="en-US"/>
        </w:rPr>
        <w:t xml:space="preserve">Risk perceptions of COVID-19 around the world. </w:t>
      </w:r>
      <w:r w:rsidRPr="00662B5C">
        <w:rPr>
          <w:i/>
          <w:iCs/>
          <w:lang w:val="en-US"/>
        </w:rPr>
        <w:t>Journal of Risk Research</w:t>
      </w:r>
      <w:r w:rsidRPr="00662B5C">
        <w:rPr>
          <w:lang w:val="en-US"/>
        </w:rPr>
        <w:t>, 1-13.</w:t>
      </w:r>
      <w:r>
        <w:rPr>
          <w:lang w:val="en-US"/>
        </w:rPr>
        <w:t xml:space="preserve"> </w:t>
      </w:r>
      <w:hyperlink r:id="rId16" w:history="1">
        <w:r w:rsidRPr="00EF5431">
          <w:rPr>
            <w:rStyle w:val="Hipervnculo"/>
          </w:rPr>
          <w:t>https://doi.org/10.1080/13669877.2020.1758193</w:t>
        </w:r>
      </w:hyperlink>
      <w:r w:rsidRPr="00EF5431">
        <w:t xml:space="preserve"> </w:t>
      </w:r>
    </w:p>
    <w:p w:rsidR="000009BF" w:rsidRDefault="000009BF" w:rsidP="000009BF">
      <w:pPr>
        <w:spacing w:after="120"/>
        <w:ind w:left="720" w:hanging="720"/>
      </w:pPr>
      <w:r w:rsidRPr="005A3B9A">
        <w:t>Espin-García</w:t>
      </w:r>
      <w:r>
        <w:t>,</w:t>
      </w:r>
      <w:r w:rsidRPr="005A3B9A">
        <w:t xml:space="preserve"> O</w:t>
      </w:r>
      <w:r>
        <w:t>.</w:t>
      </w:r>
      <w:r w:rsidRPr="005A3B9A">
        <w:t>, Rodríguez-Caballero</w:t>
      </w:r>
      <w:r>
        <w:t>,</w:t>
      </w:r>
      <w:r w:rsidRPr="005A3B9A">
        <w:t xml:space="preserve"> C</w:t>
      </w:r>
      <w:r>
        <w:t>.</w:t>
      </w:r>
      <w:r w:rsidRPr="005A3B9A">
        <w:t xml:space="preserve">V. (2013). Metodología para un scoring de clientes sin referencias crediticias. </w:t>
      </w:r>
      <w:r w:rsidRPr="005A3B9A">
        <w:rPr>
          <w:i/>
        </w:rPr>
        <w:t>Cuadernos de Economía</w:t>
      </w:r>
      <w:r w:rsidRPr="005A3B9A">
        <w:t>. XXXII</w:t>
      </w:r>
      <w:r>
        <w:t xml:space="preserve"> </w:t>
      </w:r>
      <w:r w:rsidRPr="005A3B9A">
        <w:t xml:space="preserve">(59), 139-165. </w:t>
      </w:r>
    </w:p>
    <w:p w:rsidR="000009BF" w:rsidRPr="00AF257D" w:rsidRDefault="000009BF" w:rsidP="000009BF">
      <w:pPr>
        <w:spacing w:after="120"/>
        <w:ind w:left="720" w:hanging="720"/>
      </w:pPr>
      <w:r w:rsidRPr="00EF5431">
        <w:t xml:space="preserve">Fischhoff, B., Slovic, P., Lichtenstein, S., Read, S., &amp; Combs, B. (1978). </w:t>
      </w:r>
      <w:r w:rsidRPr="00AF257D">
        <w:rPr>
          <w:lang w:val="en-US"/>
        </w:rPr>
        <w:t xml:space="preserve">How safe is safe enough? A psychometric study of attitudes towards technological risks and benefits. </w:t>
      </w:r>
      <w:r w:rsidRPr="00EF5431">
        <w:rPr>
          <w:i/>
          <w:iCs/>
        </w:rPr>
        <w:t>Policy sciences, 9</w:t>
      </w:r>
      <w:r w:rsidRPr="00EF5431">
        <w:t>(2), 127-152.</w:t>
      </w:r>
      <w:r w:rsidRPr="00EF5431">
        <w:rPr>
          <w:i/>
          <w:iCs/>
        </w:rPr>
        <w:t xml:space="preserve"> </w:t>
      </w:r>
      <w:hyperlink r:id="rId17" w:history="1">
        <w:r w:rsidRPr="00EF5431">
          <w:rPr>
            <w:rStyle w:val="Hipervnculo"/>
          </w:rPr>
          <w:t>https://doi.org/10.1007/BF00143739</w:t>
        </w:r>
      </w:hyperlink>
      <w:r w:rsidRPr="00EF5431">
        <w:t xml:space="preserve"> </w:t>
      </w:r>
    </w:p>
    <w:p w:rsidR="000009BF" w:rsidRPr="005A3B9A" w:rsidRDefault="000009BF" w:rsidP="000009BF">
      <w:pPr>
        <w:spacing w:after="120"/>
        <w:ind w:left="720" w:hanging="720"/>
      </w:pPr>
      <w:r w:rsidRPr="005A3B9A">
        <w:t>García del Castillo, J</w:t>
      </w:r>
      <w:r>
        <w:t>.</w:t>
      </w:r>
      <w:r w:rsidRPr="005A3B9A">
        <w:t>A. (2012). Concepto de Percepción de Riesgo y su repercusión en las Adicciones</w:t>
      </w:r>
      <w:r w:rsidRPr="005A3B9A">
        <w:rPr>
          <w:i/>
        </w:rPr>
        <w:t>.</w:t>
      </w:r>
      <w:r>
        <w:rPr>
          <w:i/>
        </w:rPr>
        <w:t xml:space="preserve"> </w:t>
      </w:r>
      <w:r w:rsidRPr="005A3B9A">
        <w:rPr>
          <w:i/>
        </w:rPr>
        <w:t>Salud y drogas</w:t>
      </w:r>
      <w:r>
        <w:t>,</w:t>
      </w:r>
      <w:r w:rsidRPr="005A3B9A">
        <w:t xml:space="preserve"> </w:t>
      </w:r>
      <w:r w:rsidRPr="00456ECB">
        <w:rPr>
          <w:i/>
          <w:iCs/>
        </w:rPr>
        <w:t>12</w:t>
      </w:r>
      <w:r w:rsidRPr="005A3B9A">
        <w:t xml:space="preserve">(2),133-151 </w:t>
      </w:r>
    </w:p>
    <w:p w:rsidR="000009BF" w:rsidRPr="005A3B9A" w:rsidRDefault="000009BF" w:rsidP="000009BF">
      <w:pPr>
        <w:spacing w:after="120"/>
        <w:ind w:left="720" w:hanging="720"/>
        <w:rPr>
          <w:color w:val="000000"/>
        </w:rPr>
      </w:pPr>
      <w:r w:rsidRPr="005A3B9A">
        <w:rPr>
          <w:color w:val="000000"/>
        </w:rPr>
        <w:t>González, M. (2017). Modelo de Representación de la Enfermedad y Salud. ¿Se aplicaría a las enfermedades crónicas de las vías digestivas?</w:t>
      </w:r>
      <w:r>
        <w:rPr>
          <w:color w:val="000000"/>
        </w:rPr>
        <w:t xml:space="preserve"> </w:t>
      </w:r>
      <w:r w:rsidRPr="005A3B9A">
        <w:rPr>
          <w:i/>
          <w:iCs/>
          <w:color w:val="000000"/>
        </w:rPr>
        <w:t>Gen</w:t>
      </w:r>
      <w:r w:rsidRPr="005A3B9A">
        <w:rPr>
          <w:color w:val="000000"/>
        </w:rPr>
        <w:t>,</w:t>
      </w:r>
      <w:r>
        <w:rPr>
          <w:color w:val="000000"/>
        </w:rPr>
        <w:t xml:space="preserve"> </w:t>
      </w:r>
      <w:r w:rsidRPr="005A3B9A">
        <w:rPr>
          <w:i/>
          <w:iCs/>
          <w:color w:val="000000"/>
        </w:rPr>
        <w:t>71</w:t>
      </w:r>
      <w:r w:rsidRPr="005A3B9A">
        <w:rPr>
          <w:color w:val="000000"/>
        </w:rPr>
        <w:t xml:space="preserve">(4), 137-142. </w:t>
      </w:r>
    </w:p>
    <w:p w:rsidR="000009BF" w:rsidRPr="006E2C7F" w:rsidRDefault="000009BF" w:rsidP="000009BF">
      <w:pPr>
        <w:spacing w:after="120"/>
        <w:ind w:left="720" w:hanging="720"/>
        <w:rPr>
          <w:lang w:val="en-US" w:eastAsia="es-MX"/>
        </w:rPr>
      </w:pPr>
      <w:r w:rsidRPr="005A3B9A">
        <w:rPr>
          <w:lang w:eastAsia="es-MX"/>
        </w:rPr>
        <w:t>Hevia</w:t>
      </w:r>
      <w:r>
        <w:rPr>
          <w:lang w:eastAsia="es-MX"/>
        </w:rPr>
        <w:t>,</w:t>
      </w:r>
      <w:r w:rsidRPr="005A3B9A">
        <w:rPr>
          <w:lang w:eastAsia="es-MX"/>
        </w:rPr>
        <w:t xml:space="preserve"> F. (2006). Confianza y desconfianza en el sistema público de salud en México. </w:t>
      </w:r>
      <w:r w:rsidRPr="006E2C7F">
        <w:rPr>
          <w:i/>
          <w:lang w:val="en-US" w:eastAsia="es-MX"/>
        </w:rPr>
        <w:t>Revista Chilena de Salud Pública</w:t>
      </w:r>
      <w:r w:rsidRPr="006E2C7F">
        <w:rPr>
          <w:lang w:val="en-US" w:eastAsia="es-MX"/>
        </w:rPr>
        <w:t xml:space="preserve">, </w:t>
      </w:r>
      <w:r w:rsidRPr="006E2C7F">
        <w:rPr>
          <w:i/>
          <w:iCs/>
          <w:lang w:val="en-US" w:eastAsia="es-MX"/>
        </w:rPr>
        <w:t>10</w:t>
      </w:r>
      <w:r w:rsidRPr="006E2C7F">
        <w:rPr>
          <w:lang w:val="en-US" w:eastAsia="es-MX"/>
        </w:rPr>
        <w:t xml:space="preserve"> (2), 107-111. </w:t>
      </w:r>
    </w:p>
    <w:p w:rsidR="00885F8B" w:rsidRPr="00DE7EB8" w:rsidRDefault="00885F8B" w:rsidP="00885F8B">
      <w:pPr>
        <w:ind w:left="720" w:hanging="720"/>
        <w:jc w:val="both"/>
        <w:rPr>
          <w:lang w:val="en-US"/>
        </w:rPr>
      </w:pPr>
      <w:r w:rsidRPr="00DE7EB8">
        <w:rPr>
          <w:lang w:val="en-US"/>
        </w:rPr>
        <w:t xml:space="preserve">IAAP &amp; IUPsyS (2008). Universal Declaration of Ethical Principles for Psychologists. Available from the International Union of Psychological Science Web site: </w:t>
      </w:r>
      <w:hyperlink r:id="rId18" w:history="1">
        <w:r w:rsidRPr="00DE7EB8">
          <w:rPr>
            <w:rStyle w:val="Hipervnculo"/>
            <w:lang w:val="en-US"/>
          </w:rPr>
          <w:t>https://www.iupsys.net/about/governance/universal-declaration-of-ethical-principles-for-psychologists.html</w:t>
        </w:r>
      </w:hyperlink>
      <w:r w:rsidRPr="00DE7EB8">
        <w:rPr>
          <w:lang w:val="en-US"/>
        </w:rPr>
        <w:t xml:space="preserve"> </w:t>
      </w:r>
    </w:p>
    <w:p w:rsidR="00885F8B" w:rsidRPr="00885F8B" w:rsidRDefault="00885F8B" w:rsidP="000009BF">
      <w:pPr>
        <w:spacing w:after="120"/>
        <w:ind w:left="720" w:hanging="720"/>
        <w:rPr>
          <w:lang w:val="en-US" w:eastAsia="es-MX"/>
        </w:rPr>
      </w:pPr>
    </w:p>
    <w:p w:rsidR="000009BF" w:rsidRPr="005A3B9A" w:rsidRDefault="000009BF" w:rsidP="000009BF">
      <w:pPr>
        <w:spacing w:after="120"/>
        <w:ind w:left="720" w:hanging="720"/>
      </w:pPr>
      <w:r w:rsidRPr="005A3B9A">
        <w:t xml:space="preserve">INEGI-Instituto Nacional de Estadística, Geografía e Informática. </w:t>
      </w:r>
      <w:r w:rsidRPr="005A3B9A">
        <w:rPr>
          <w:i/>
        </w:rPr>
        <w:t xml:space="preserve"> </w:t>
      </w:r>
      <w:r w:rsidRPr="005A3B9A">
        <w:t xml:space="preserve">(2018). </w:t>
      </w:r>
      <w:r w:rsidRPr="005A3B9A">
        <w:rPr>
          <w:i/>
        </w:rPr>
        <w:t>Encuesta Nacional de los Hogares 2017: Principales Resultados</w:t>
      </w:r>
      <w:r w:rsidRPr="005A3B9A">
        <w:t xml:space="preserve">. </w:t>
      </w:r>
      <w:r>
        <w:t>Recuperado de</w:t>
      </w:r>
      <w:r w:rsidRPr="005A3B9A">
        <w:t xml:space="preserve"> </w:t>
      </w:r>
      <w:hyperlink r:id="rId19" w:history="1">
        <w:r w:rsidRPr="005A3B9A">
          <w:rPr>
            <w:rStyle w:val="Hipervnculo"/>
          </w:rPr>
          <w:t>https://www.inegi.org.mx/contenidos/programas/enh/2017/doc/enh2017_resultados.pdf</w:t>
        </w:r>
      </w:hyperlink>
    </w:p>
    <w:p w:rsidR="000009BF" w:rsidRPr="006E2C7F" w:rsidRDefault="000009BF" w:rsidP="000009BF">
      <w:pPr>
        <w:spacing w:after="120"/>
        <w:ind w:left="720" w:hanging="720"/>
        <w:rPr>
          <w:lang w:val="es-MX"/>
        </w:rPr>
      </w:pPr>
      <w:r w:rsidRPr="005A3B9A">
        <w:t xml:space="preserve">Instituto Nacional de Salud Pública (INSP). (2018). </w:t>
      </w:r>
      <w:r w:rsidRPr="005A3B9A">
        <w:rPr>
          <w:i/>
        </w:rPr>
        <w:t>Encuesta Nacional de Salud y Nutrición 2018: Presentación de Resultados</w:t>
      </w:r>
      <w:r w:rsidRPr="005A3B9A">
        <w:t xml:space="preserve">. </w:t>
      </w:r>
      <w:r w:rsidRPr="006E2C7F">
        <w:rPr>
          <w:lang w:val="es-MX"/>
        </w:rPr>
        <w:t xml:space="preserve">Recuperado de </w:t>
      </w:r>
      <w:hyperlink r:id="rId20" w:history="1">
        <w:r w:rsidRPr="006E2C7F">
          <w:rPr>
            <w:rStyle w:val="Hipervnculo"/>
            <w:lang w:val="es-MX"/>
          </w:rPr>
          <w:t>https://ensanut.insp.mx/encuestas/ensanut2018/doctos/informes/ensanut_2018_presentacion_resultados.pdf</w:t>
        </w:r>
      </w:hyperlink>
      <w:r w:rsidRPr="006E2C7F">
        <w:rPr>
          <w:lang w:val="es-MX"/>
        </w:rPr>
        <w:t xml:space="preserve"> </w:t>
      </w:r>
    </w:p>
    <w:p w:rsidR="00885F8B" w:rsidRPr="00DE7EB8" w:rsidRDefault="00885F8B" w:rsidP="00885F8B">
      <w:pPr>
        <w:ind w:left="720" w:hanging="720"/>
        <w:jc w:val="both"/>
        <w:rPr>
          <w:lang w:val="es-AR"/>
        </w:rPr>
      </w:pPr>
      <w:r w:rsidRPr="00DE7EB8">
        <w:rPr>
          <w:lang w:val="es-AR"/>
        </w:rPr>
        <w:t xml:space="preserve">ISP (1978). Resolución sobre la práctica psicológica y los derechos humanos. Revista Latinoamericana de Psicología, 10(2), 298-299. </w:t>
      </w:r>
      <w:hyperlink r:id="rId21" w:history="1">
        <w:r w:rsidRPr="00DE7EB8">
          <w:rPr>
            <w:rStyle w:val="Hipervnculo"/>
            <w:lang w:val="es-AR"/>
          </w:rPr>
          <w:t>http://doi.org/10.333.23rlp10i2.298-299</w:t>
        </w:r>
      </w:hyperlink>
      <w:r w:rsidRPr="00DE7EB8">
        <w:rPr>
          <w:lang w:val="es-AR"/>
        </w:rPr>
        <w:t xml:space="preserve"> </w:t>
      </w:r>
    </w:p>
    <w:p w:rsidR="00885F8B" w:rsidRPr="00DE7EB8" w:rsidRDefault="00885F8B" w:rsidP="00885F8B">
      <w:pPr>
        <w:ind w:left="720" w:hanging="720"/>
        <w:jc w:val="both"/>
        <w:rPr>
          <w:lang w:val="en-US"/>
        </w:rPr>
      </w:pPr>
      <w:r w:rsidRPr="00DE7EB8">
        <w:rPr>
          <w:lang w:val="es-AR"/>
        </w:rPr>
        <w:t xml:space="preserve">ISP (2008a). Declaración de la Mesa Directiva de la SIP sobre Terápias de Conversión. </w:t>
      </w:r>
      <w:r w:rsidRPr="00DE7EB8">
        <w:rPr>
          <w:lang w:val="en-US"/>
        </w:rPr>
        <w:t xml:space="preserve">Retrieved from </w:t>
      </w:r>
      <w:hyperlink r:id="rId22" w:history="1">
        <w:r w:rsidRPr="00DE7EB8">
          <w:rPr>
            <w:rStyle w:val="Hipervnculo"/>
            <w:lang w:val="en-US"/>
          </w:rPr>
          <w:t>https://archive.org/details/sip-2008a-declaracion-sobre-terapias-de-conversion</w:t>
        </w:r>
      </w:hyperlink>
      <w:r w:rsidRPr="00DE7EB8">
        <w:rPr>
          <w:lang w:val="en-US"/>
        </w:rPr>
        <w:t xml:space="preserve"> </w:t>
      </w:r>
    </w:p>
    <w:p w:rsidR="00885F8B" w:rsidRPr="00DE7EB8" w:rsidRDefault="00885F8B" w:rsidP="00885F8B">
      <w:pPr>
        <w:ind w:left="720" w:hanging="720"/>
        <w:jc w:val="both"/>
        <w:rPr>
          <w:lang w:val="en-US"/>
        </w:rPr>
      </w:pPr>
      <w:r w:rsidRPr="00DE7EB8">
        <w:rPr>
          <w:lang w:val="es-AR"/>
        </w:rPr>
        <w:t xml:space="preserve">ISP (2008b). Consideraciones Éticas de la SIP. </w:t>
      </w:r>
      <w:r w:rsidRPr="00DE7EB8">
        <w:rPr>
          <w:lang w:val="en-US"/>
        </w:rPr>
        <w:t xml:space="preserve">Retrieved from </w:t>
      </w:r>
      <w:hyperlink r:id="rId23" w:history="1">
        <w:r w:rsidRPr="00DE7EB8">
          <w:rPr>
            <w:rStyle w:val="Hipervnculo"/>
            <w:lang w:val="en-US"/>
          </w:rPr>
          <w:t>https://archive.org/details/sip-2008b-declaracion-sobre-principios-eticos</w:t>
        </w:r>
      </w:hyperlink>
      <w:r w:rsidRPr="00DE7EB8">
        <w:rPr>
          <w:lang w:val="en-US"/>
        </w:rPr>
        <w:t xml:space="preserve"> </w:t>
      </w:r>
    </w:p>
    <w:p w:rsidR="00885F8B" w:rsidRPr="00DE7EB8" w:rsidRDefault="00885F8B" w:rsidP="00885F8B">
      <w:pPr>
        <w:ind w:left="720" w:hanging="720"/>
        <w:jc w:val="both"/>
        <w:rPr>
          <w:lang w:val="en-US"/>
        </w:rPr>
      </w:pPr>
      <w:r w:rsidRPr="00DE7EB8">
        <w:rPr>
          <w:lang w:val="es-AR"/>
        </w:rPr>
        <w:t xml:space="preserve">ISP (2014). Declaración de la SIP sobre Refugiados menores de edad en tránsito a los Estados Unidos. </w:t>
      </w:r>
      <w:r w:rsidRPr="00DE7EB8">
        <w:rPr>
          <w:lang w:val="en-US"/>
        </w:rPr>
        <w:t xml:space="preserve">Retrieved from </w:t>
      </w:r>
      <w:hyperlink r:id="rId24" w:history="1">
        <w:r w:rsidRPr="00DE7EB8">
          <w:rPr>
            <w:rStyle w:val="Hipervnculo"/>
            <w:lang w:val="en-US"/>
          </w:rPr>
          <w:t>https://archive.org/details/sip-2014-declaracion-sobre-ninos-migrantes-en-centro-america</w:t>
        </w:r>
      </w:hyperlink>
      <w:r w:rsidRPr="00DE7EB8">
        <w:rPr>
          <w:lang w:val="en-US"/>
        </w:rPr>
        <w:t xml:space="preserve"> </w:t>
      </w:r>
    </w:p>
    <w:p w:rsidR="00885F8B" w:rsidRPr="00DE7EB8" w:rsidRDefault="00885F8B" w:rsidP="00885F8B">
      <w:pPr>
        <w:ind w:left="720" w:hanging="720"/>
        <w:jc w:val="both"/>
        <w:rPr>
          <w:lang w:val="en-US"/>
        </w:rPr>
      </w:pPr>
      <w:r w:rsidRPr="00DE7EB8">
        <w:rPr>
          <w:lang w:val="es-AR"/>
        </w:rPr>
        <w:t xml:space="preserve">ISP (2016). Declaración de la SIP de apoyo a psicólogas y psicólogos colombianos que promueven los acuerdos de paz. </w:t>
      </w:r>
      <w:r w:rsidRPr="00DE7EB8">
        <w:rPr>
          <w:lang w:val="en-US"/>
        </w:rPr>
        <w:t xml:space="preserve">Retrieved from </w:t>
      </w:r>
      <w:hyperlink r:id="rId25" w:history="1">
        <w:r w:rsidRPr="00DE7EB8">
          <w:rPr>
            <w:rStyle w:val="Hipervnculo"/>
            <w:lang w:val="en-US"/>
          </w:rPr>
          <w:t>https://archive.org/details/sip-2016-declaracion-apoyo-a-acuerdos-de-paz-en-colombia</w:t>
        </w:r>
      </w:hyperlink>
      <w:r w:rsidRPr="00DE7EB8">
        <w:rPr>
          <w:lang w:val="en-US"/>
        </w:rPr>
        <w:t xml:space="preserve"> </w:t>
      </w:r>
    </w:p>
    <w:p w:rsidR="00885F8B" w:rsidRPr="00DE7EB8" w:rsidRDefault="00885F8B" w:rsidP="00885F8B">
      <w:pPr>
        <w:ind w:left="720" w:hanging="720"/>
        <w:jc w:val="both"/>
        <w:rPr>
          <w:lang w:val="en-US"/>
        </w:rPr>
      </w:pPr>
      <w:r w:rsidRPr="00DE7EB8">
        <w:rPr>
          <w:lang w:val="en-US"/>
        </w:rPr>
        <w:t xml:space="preserve">ISP (2018). Position Statement of the Inter-American Psychological Society (SIP). Retrieved from </w:t>
      </w:r>
      <w:hyperlink r:id="rId26" w:history="1">
        <w:r w:rsidRPr="00DE7EB8">
          <w:rPr>
            <w:rStyle w:val="Hipervnculo"/>
            <w:lang w:val="en-US"/>
          </w:rPr>
          <w:t>https://archive.org/details/sip-2018-position-statement-on-immigration</w:t>
        </w:r>
      </w:hyperlink>
      <w:r w:rsidRPr="00DE7EB8">
        <w:rPr>
          <w:lang w:val="en-US"/>
        </w:rPr>
        <w:t xml:space="preserve"> </w:t>
      </w:r>
    </w:p>
    <w:p w:rsidR="00885F8B" w:rsidRPr="005A3B9A" w:rsidRDefault="00885F8B" w:rsidP="00885F8B">
      <w:pPr>
        <w:ind w:left="720" w:hanging="720"/>
        <w:jc w:val="both"/>
        <w:rPr>
          <w:lang w:val="en-US"/>
        </w:rPr>
      </w:pPr>
      <w:r w:rsidRPr="00DE7EB8">
        <w:rPr>
          <w:lang w:val="es-AR"/>
        </w:rPr>
        <w:t xml:space="preserve">ISP (2019). Declaración de la SIP sobre experticia de psicólogas y psicólogos en el campo de la salud mental y las ciencias del comportamiento. </w:t>
      </w:r>
      <w:r w:rsidRPr="00DE7EB8">
        <w:rPr>
          <w:lang w:val="en-US"/>
        </w:rPr>
        <w:t xml:space="preserve">Retrieved from </w:t>
      </w:r>
      <w:hyperlink r:id="rId27" w:history="1">
        <w:r w:rsidRPr="00DE7EB8">
          <w:rPr>
            <w:rStyle w:val="Hipervnculo"/>
            <w:lang w:val="en-US"/>
          </w:rPr>
          <w:t>https://archive.org/details/sip-2019-declaracion-experticia-en-salud-mental</w:t>
        </w:r>
      </w:hyperlink>
      <w:r w:rsidRPr="00DE7EB8">
        <w:rPr>
          <w:lang w:val="en-US"/>
        </w:rPr>
        <w:t xml:space="preserve"> </w:t>
      </w:r>
    </w:p>
    <w:p w:rsidR="000009BF" w:rsidRPr="00EF5431" w:rsidRDefault="000009BF" w:rsidP="000009BF">
      <w:pPr>
        <w:spacing w:after="120"/>
        <w:ind w:left="720" w:hanging="720"/>
        <w:rPr>
          <w:lang w:val="en-US"/>
        </w:rPr>
      </w:pPr>
      <w:r w:rsidRPr="005A3B9A">
        <w:rPr>
          <w:lang w:val="en-US"/>
        </w:rPr>
        <w:t xml:space="preserve">Khosravi, M. (2020). Perceived Risk of COVID-19 Pandemic: The Role of Public Worry and Trust. </w:t>
      </w:r>
      <w:r w:rsidRPr="000307FA">
        <w:rPr>
          <w:i/>
          <w:lang w:val="en-US"/>
        </w:rPr>
        <w:t>Electronic Journal of General Medicine</w:t>
      </w:r>
      <w:r>
        <w:rPr>
          <w:lang w:val="en-US"/>
        </w:rPr>
        <w:t>,</w:t>
      </w:r>
      <w:r w:rsidRPr="005A3B9A">
        <w:rPr>
          <w:lang w:val="en-US"/>
        </w:rPr>
        <w:t xml:space="preserve"> </w:t>
      </w:r>
      <w:r w:rsidRPr="000307FA">
        <w:rPr>
          <w:i/>
          <w:iCs/>
          <w:lang w:val="en-US"/>
        </w:rPr>
        <w:t>17</w:t>
      </w:r>
      <w:r w:rsidRPr="005A3B9A">
        <w:rPr>
          <w:lang w:val="en-US"/>
        </w:rPr>
        <w:t xml:space="preserve">(4), em203. </w:t>
      </w:r>
      <w:hyperlink r:id="rId28" w:history="1">
        <w:r w:rsidRPr="005A3B9A">
          <w:rPr>
            <w:rStyle w:val="Hipervnculo"/>
            <w:lang w:val="en-US"/>
          </w:rPr>
          <w:t>https://doi.org/10.29333/ejgm/7856</w:t>
        </w:r>
      </w:hyperlink>
    </w:p>
    <w:p w:rsidR="000009BF" w:rsidRPr="000307FA" w:rsidRDefault="000009BF" w:rsidP="000009BF">
      <w:pPr>
        <w:spacing w:after="120"/>
        <w:ind w:left="720" w:hanging="720"/>
        <w:rPr>
          <w:i/>
          <w:iCs/>
          <w:color w:val="222222"/>
          <w:shd w:val="clear" w:color="auto" w:fill="FFFFFF"/>
          <w:lang w:val="en-US"/>
        </w:rPr>
      </w:pPr>
      <w:r w:rsidRPr="000E5E83">
        <w:rPr>
          <w:color w:val="222222"/>
          <w:shd w:val="clear" w:color="auto" w:fill="FFFFFF"/>
          <w:lang w:val="en-US"/>
        </w:rPr>
        <w:t xml:space="preserve">Kobayashi, T., Jung, S.-M., Linton, N.M., Kinoshita, R., Hayashi, K., Miyama, T., Anzai, A.,Yang, Y., Yuan, B., Akhmetzhanov, A.R., Suzuki, A. y Nishiura, H. (2020). </w:t>
      </w:r>
      <w:r w:rsidRPr="005A3B9A">
        <w:rPr>
          <w:color w:val="222222"/>
          <w:shd w:val="clear" w:color="auto" w:fill="FFFFFF"/>
          <w:lang w:val="en-US"/>
        </w:rPr>
        <w:t>Communicating the Risk of Death from Novel Coronavirus Disease (COVID-19).</w:t>
      </w:r>
      <w:r>
        <w:rPr>
          <w:color w:val="222222"/>
          <w:shd w:val="clear" w:color="auto" w:fill="FFFFFF"/>
          <w:lang w:val="en-US"/>
        </w:rPr>
        <w:t xml:space="preserve"> </w:t>
      </w:r>
      <w:r w:rsidRPr="000307FA">
        <w:rPr>
          <w:rStyle w:val="nfasis"/>
          <w:color w:val="222222"/>
          <w:shd w:val="clear" w:color="auto" w:fill="FFFFFF"/>
          <w:lang w:val="en-US"/>
        </w:rPr>
        <w:t>Journal of Clinical Medicine</w:t>
      </w:r>
      <w:r>
        <w:rPr>
          <w:rStyle w:val="nfasis"/>
          <w:color w:val="222222"/>
          <w:shd w:val="clear" w:color="auto" w:fill="FFFFFF"/>
          <w:lang w:val="en-US"/>
        </w:rPr>
        <w:t xml:space="preserve">, </w:t>
      </w:r>
      <w:r w:rsidRPr="000307FA">
        <w:rPr>
          <w:rStyle w:val="nfasis"/>
          <w:color w:val="222222"/>
          <w:shd w:val="clear" w:color="auto" w:fill="FFFFFF"/>
          <w:lang w:val="en-US"/>
        </w:rPr>
        <w:t>9</w:t>
      </w:r>
      <w:r w:rsidRPr="005A3B9A">
        <w:rPr>
          <w:rStyle w:val="nfasis"/>
          <w:color w:val="222222"/>
          <w:shd w:val="clear" w:color="auto" w:fill="FFFFFF"/>
          <w:lang w:val="en-US"/>
        </w:rPr>
        <w:t>(2)</w:t>
      </w:r>
      <w:r w:rsidRPr="005A3B9A">
        <w:rPr>
          <w:i/>
          <w:color w:val="222222"/>
          <w:shd w:val="clear" w:color="auto" w:fill="FFFFFF"/>
          <w:lang w:val="en-US"/>
        </w:rPr>
        <w:t xml:space="preserve">, </w:t>
      </w:r>
      <w:r w:rsidRPr="005A3B9A">
        <w:rPr>
          <w:color w:val="222222"/>
          <w:shd w:val="clear" w:color="auto" w:fill="FFFFFF"/>
          <w:lang w:val="en-US"/>
        </w:rPr>
        <w:t xml:space="preserve">580. </w:t>
      </w:r>
      <w:hyperlink r:id="rId29" w:history="1">
        <w:r w:rsidRPr="005A3B9A">
          <w:rPr>
            <w:rStyle w:val="Hipervnculo"/>
            <w:bCs/>
            <w:shd w:val="clear" w:color="auto" w:fill="FFFFFF"/>
            <w:lang w:val="en-US"/>
          </w:rPr>
          <w:t>https://doi.org/10.3390/jcm9020580</w:t>
        </w:r>
      </w:hyperlink>
    </w:p>
    <w:p w:rsidR="000009BF" w:rsidRPr="000009BF" w:rsidRDefault="000009BF" w:rsidP="000009BF">
      <w:pPr>
        <w:spacing w:after="120"/>
        <w:ind w:left="720" w:hanging="720"/>
        <w:rPr>
          <w:color w:val="000000"/>
          <w:lang w:val="en-US"/>
        </w:rPr>
      </w:pPr>
      <w:r w:rsidRPr="00456ECB">
        <w:rPr>
          <w:color w:val="212121"/>
          <w:shd w:val="clear" w:color="auto" w:fill="FFFFFF"/>
          <w:lang w:val="en-US"/>
        </w:rPr>
        <w:t xml:space="preserve">Leung, G. M., Ho, L. M., Chan, S. K., Ho, S. Y., Bacon-Shone, J., Choy, R. Y., ... &amp; Fielding, R. (2005). Longitudinal assessment of community psychobehavioral responses during and after the 2003 outbreak of severe acute respiratory syndrome in Hong Kong. </w:t>
      </w:r>
      <w:r w:rsidRPr="00456ECB">
        <w:rPr>
          <w:i/>
          <w:iCs/>
          <w:color w:val="212121"/>
          <w:shd w:val="clear" w:color="auto" w:fill="FFFFFF"/>
          <w:lang w:val="en-US"/>
        </w:rPr>
        <w:t>Clinical Infectious Diseases, 40</w:t>
      </w:r>
      <w:r w:rsidRPr="00456ECB">
        <w:rPr>
          <w:color w:val="212121"/>
          <w:shd w:val="clear" w:color="auto" w:fill="FFFFFF"/>
          <w:lang w:val="en-US"/>
        </w:rPr>
        <w:t>(12), 1713-1720.</w:t>
      </w:r>
      <w:r w:rsidRPr="000009BF">
        <w:rPr>
          <w:color w:val="2A2A2A"/>
          <w:shd w:val="clear" w:color="auto" w:fill="FFFFFF"/>
          <w:lang w:val="en-US"/>
        </w:rPr>
        <w:t xml:space="preserve"> </w:t>
      </w:r>
      <w:hyperlink r:id="rId30" w:history="1">
        <w:r w:rsidRPr="000009BF">
          <w:rPr>
            <w:rStyle w:val="Hipervnculo"/>
            <w:bdr w:val="none" w:sz="0" w:space="0" w:color="auto" w:frame="1"/>
            <w:shd w:val="clear" w:color="auto" w:fill="FFFFFF"/>
            <w:lang w:val="en-US"/>
          </w:rPr>
          <w:t>https://doi.org/10.1086/429923</w:t>
        </w:r>
      </w:hyperlink>
    </w:p>
    <w:p w:rsidR="000009BF" w:rsidRPr="00EF5431" w:rsidRDefault="000009BF" w:rsidP="000009BF">
      <w:pPr>
        <w:spacing w:after="120"/>
        <w:ind w:left="720" w:hanging="720"/>
        <w:rPr>
          <w:color w:val="000000"/>
          <w:lang w:val="en-US"/>
        </w:rPr>
      </w:pPr>
      <w:r w:rsidRPr="00EF5431">
        <w:rPr>
          <w:color w:val="000000"/>
          <w:lang w:val="en-US"/>
        </w:rPr>
        <w:t xml:space="preserve">Leventhal, H., Brissette, I., &amp; Leventhal, E. (2003). </w:t>
      </w:r>
      <w:r w:rsidRPr="005A3B9A">
        <w:rPr>
          <w:color w:val="000000"/>
          <w:lang w:val="en-US"/>
        </w:rPr>
        <w:t>The common sense model of self-regulation of health and illness. En: Cameron L</w:t>
      </w:r>
      <w:r>
        <w:rPr>
          <w:color w:val="000000"/>
          <w:lang w:val="en-US"/>
        </w:rPr>
        <w:t>.</w:t>
      </w:r>
      <w:r w:rsidRPr="005A3B9A">
        <w:rPr>
          <w:color w:val="000000"/>
          <w:lang w:val="en-US"/>
        </w:rPr>
        <w:t>D</w:t>
      </w:r>
      <w:r>
        <w:rPr>
          <w:color w:val="000000"/>
          <w:lang w:val="en-US"/>
        </w:rPr>
        <w:t>.</w:t>
      </w:r>
      <w:r w:rsidRPr="005A3B9A">
        <w:rPr>
          <w:color w:val="000000"/>
          <w:lang w:val="en-US"/>
        </w:rPr>
        <w:t xml:space="preserve">, </w:t>
      </w:r>
      <w:r>
        <w:rPr>
          <w:color w:val="000000"/>
          <w:lang w:val="en-US"/>
        </w:rPr>
        <w:t xml:space="preserve">&amp; </w:t>
      </w:r>
      <w:r w:rsidRPr="005A3B9A">
        <w:rPr>
          <w:color w:val="000000"/>
          <w:lang w:val="en-US"/>
        </w:rPr>
        <w:t>Leventhal</w:t>
      </w:r>
      <w:r>
        <w:rPr>
          <w:color w:val="000000"/>
          <w:lang w:val="en-US"/>
        </w:rPr>
        <w:t>,</w:t>
      </w:r>
      <w:r w:rsidRPr="005A3B9A">
        <w:rPr>
          <w:color w:val="000000"/>
          <w:lang w:val="en-US"/>
        </w:rPr>
        <w:t xml:space="preserve"> H</w:t>
      </w:r>
      <w:r>
        <w:rPr>
          <w:color w:val="000000"/>
          <w:lang w:val="en-US"/>
        </w:rPr>
        <w:t>. (eds)</w:t>
      </w:r>
      <w:r w:rsidRPr="005A3B9A">
        <w:rPr>
          <w:color w:val="000000"/>
          <w:lang w:val="en-US"/>
        </w:rPr>
        <w:t xml:space="preserve">. </w:t>
      </w:r>
      <w:r w:rsidRPr="005A3B9A">
        <w:rPr>
          <w:i/>
          <w:color w:val="000000"/>
          <w:lang w:val="en-US"/>
        </w:rPr>
        <w:t xml:space="preserve">The self-regulation of health and illness behavior </w:t>
      </w:r>
      <w:r w:rsidRPr="005A3B9A">
        <w:rPr>
          <w:color w:val="000000"/>
          <w:lang w:val="en-US"/>
        </w:rPr>
        <w:t>(pp. 42-65)</w:t>
      </w:r>
      <w:r w:rsidRPr="005A3B9A">
        <w:rPr>
          <w:i/>
          <w:color w:val="000000"/>
          <w:lang w:val="en-US"/>
        </w:rPr>
        <w:t>.</w:t>
      </w:r>
      <w:r w:rsidRPr="005A3B9A">
        <w:rPr>
          <w:color w:val="000000"/>
          <w:lang w:val="en-US"/>
        </w:rPr>
        <w:t xml:space="preserve"> </w:t>
      </w:r>
      <w:r w:rsidRPr="00EF5431">
        <w:rPr>
          <w:color w:val="000000"/>
          <w:lang w:val="en-US"/>
        </w:rPr>
        <w:t>Londres: Taylor &amp; Francis Books.</w:t>
      </w:r>
    </w:p>
    <w:p w:rsidR="000009BF" w:rsidRPr="005A3B9A" w:rsidRDefault="000009BF" w:rsidP="000009BF">
      <w:pPr>
        <w:spacing w:after="120"/>
        <w:ind w:left="720" w:hanging="720"/>
        <w:rPr>
          <w:color w:val="000000"/>
        </w:rPr>
      </w:pPr>
      <w:r w:rsidRPr="00EF5431">
        <w:rPr>
          <w:color w:val="000000"/>
          <w:lang w:val="en-US"/>
        </w:rPr>
        <w:t xml:space="preserve">Lohiniva, A. L., Sane, J., Sibenberg, K., Puumalainen, T., &amp; Salminen, M. (2020). Understanding coronavirus disease (COVID-19) risk perceptions among the public to enhance risk communication efforts: a practical approach for outbreaks, Finland, February 2020. </w:t>
      </w:r>
      <w:r w:rsidRPr="00456ECB">
        <w:rPr>
          <w:i/>
          <w:iCs/>
          <w:color w:val="000000"/>
        </w:rPr>
        <w:t>Eurosurveillance,</w:t>
      </w:r>
      <w:r w:rsidRPr="00456ECB">
        <w:rPr>
          <w:color w:val="000000"/>
        </w:rPr>
        <w:t xml:space="preserve"> </w:t>
      </w:r>
      <w:r w:rsidRPr="00456ECB">
        <w:rPr>
          <w:i/>
          <w:iCs/>
          <w:color w:val="000000"/>
        </w:rPr>
        <w:t>25</w:t>
      </w:r>
      <w:r w:rsidRPr="00456ECB">
        <w:rPr>
          <w:color w:val="000000"/>
        </w:rPr>
        <w:t>(13), 2000317.</w:t>
      </w:r>
      <w:r>
        <w:rPr>
          <w:color w:val="000000"/>
        </w:rPr>
        <w:t xml:space="preserve"> </w:t>
      </w:r>
      <w:hyperlink r:id="rId31" w:history="1">
        <w:r w:rsidRPr="00C760D8">
          <w:rPr>
            <w:rStyle w:val="Hipervnculo"/>
          </w:rPr>
          <w:t>https://doi.org/10.2807/1560-7917.ES.2020.25.13.2000317</w:t>
        </w:r>
      </w:hyperlink>
      <w:r>
        <w:rPr>
          <w:color w:val="000000"/>
        </w:rPr>
        <w:t xml:space="preserve"> </w:t>
      </w:r>
    </w:p>
    <w:p w:rsidR="000009BF" w:rsidRPr="005A3B9A" w:rsidRDefault="000009BF" w:rsidP="000009BF">
      <w:pPr>
        <w:spacing w:after="120"/>
        <w:ind w:left="720" w:hanging="720"/>
      </w:pPr>
      <w:r w:rsidRPr="00456ECB">
        <w:t xml:space="preserve">Lugo-González, I. V., Reynoso-Erazo, L., &amp; Fernández Vega, M. (2014). Percepción de enfermedad, depresión, ansiedad y control del asma: Una primera aproximación. </w:t>
      </w:r>
      <w:r w:rsidRPr="00D5302B">
        <w:rPr>
          <w:i/>
          <w:iCs/>
        </w:rPr>
        <w:t>Neumología y cirugía de tórax, 73</w:t>
      </w:r>
      <w:r w:rsidRPr="00456ECB">
        <w:t>(2), 114-121.</w:t>
      </w:r>
    </w:p>
    <w:p w:rsidR="000009BF" w:rsidRPr="005A3B9A" w:rsidRDefault="000009BF" w:rsidP="000009BF">
      <w:pPr>
        <w:spacing w:after="120"/>
        <w:ind w:left="720" w:hanging="720"/>
      </w:pPr>
      <w:r w:rsidRPr="005A3B9A">
        <w:t xml:space="preserve">Organización Panamericana de la Salud (OPS). (2020). </w:t>
      </w:r>
      <w:r w:rsidRPr="00AC794B">
        <w:rPr>
          <w:i/>
          <w:iCs/>
        </w:rPr>
        <w:t>Actualización Epidemiológica Nuevo coronavirus (COVID-19)</w:t>
      </w:r>
      <w:r w:rsidRPr="005A3B9A">
        <w:t xml:space="preserve">. 28 de febrero de 2020. </w:t>
      </w:r>
      <w:r>
        <w:t>Recuperado de</w:t>
      </w:r>
      <w:r w:rsidRPr="005A3B9A">
        <w:t xml:space="preserve"> </w:t>
      </w:r>
      <w:hyperlink r:id="rId32" w:history="1">
        <w:r w:rsidRPr="005A3B9A">
          <w:t>https://www.paho.org/sites/default/files/2020-02/2020-feb-28-phe-actualizacion-epi-covid19.pdf</w:t>
        </w:r>
      </w:hyperlink>
    </w:p>
    <w:p w:rsidR="000009BF" w:rsidRPr="00EF5431" w:rsidRDefault="000009BF" w:rsidP="000009BF">
      <w:pPr>
        <w:spacing w:after="120"/>
        <w:ind w:left="720" w:hanging="720"/>
        <w:rPr>
          <w:lang w:val="en-US"/>
        </w:rPr>
      </w:pPr>
      <w:r w:rsidRPr="005A3B9A">
        <w:t>Pineda-Roa C</w:t>
      </w:r>
      <w:r>
        <w:t>.</w:t>
      </w:r>
      <w:r w:rsidRPr="005A3B9A">
        <w:t>A</w:t>
      </w:r>
      <w:r>
        <w:t>.</w:t>
      </w:r>
      <w:r w:rsidRPr="005A3B9A">
        <w:t>, Campo-Arias</w:t>
      </w:r>
      <w:r>
        <w:t>,</w:t>
      </w:r>
      <w:r w:rsidRPr="005A3B9A">
        <w:t xml:space="preserve"> A. (2018). Estudio psicométrico de una escala de actitud frente al VIH-sida en estudiantes de psicología de dos escuelas colombianas.</w:t>
      </w:r>
      <w:r>
        <w:t xml:space="preserve"> </w:t>
      </w:r>
      <w:r w:rsidRPr="00EF5431">
        <w:rPr>
          <w:i/>
          <w:lang w:val="en-US"/>
        </w:rPr>
        <w:t>Duazary</w:t>
      </w:r>
      <w:r w:rsidRPr="00EF5431">
        <w:rPr>
          <w:lang w:val="en-US"/>
        </w:rPr>
        <w:t xml:space="preserve">, </w:t>
      </w:r>
      <w:r w:rsidRPr="00EF5431">
        <w:rPr>
          <w:i/>
          <w:iCs/>
          <w:lang w:val="en-US"/>
        </w:rPr>
        <w:t>15</w:t>
      </w:r>
      <w:r w:rsidRPr="00EF5431">
        <w:rPr>
          <w:lang w:val="en-US"/>
        </w:rPr>
        <w:t xml:space="preserve">(1), 51-59. </w:t>
      </w:r>
      <w:hyperlink r:id="rId33" w:history="1">
        <w:r w:rsidRPr="00EF5431">
          <w:rPr>
            <w:rStyle w:val="Hipervnculo"/>
            <w:lang w:val="en-US"/>
          </w:rPr>
          <w:t>https://doi.org/10.21676/2389783X.2022</w:t>
        </w:r>
      </w:hyperlink>
    </w:p>
    <w:p w:rsidR="000009BF" w:rsidRPr="009F74C1" w:rsidRDefault="000009BF" w:rsidP="000009BF">
      <w:pPr>
        <w:pStyle w:val="NormalWeb"/>
        <w:shd w:val="clear" w:color="auto" w:fill="FFFFFF"/>
        <w:spacing w:after="120"/>
        <w:ind w:left="720" w:hanging="720"/>
        <w:rPr>
          <w:rFonts w:eastAsiaTheme="minorHAnsi"/>
          <w:lang w:eastAsia="en-US"/>
        </w:rPr>
      </w:pPr>
      <w:r w:rsidRPr="00EF5431">
        <w:rPr>
          <w:rFonts w:eastAsiaTheme="minorHAnsi"/>
          <w:lang w:val="en-US" w:eastAsia="en-US"/>
        </w:rPr>
        <w:t xml:space="preserve">Portell M., Solé, M.D. (2001). </w:t>
      </w:r>
      <w:r w:rsidRPr="005A3B9A">
        <w:rPr>
          <w:rFonts w:eastAsiaTheme="minorHAnsi"/>
          <w:i/>
          <w:lang w:eastAsia="en-US"/>
        </w:rPr>
        <w:t>Riesgo percibido: Un procedimiento de evaluación</w:t>
      </w:r>
      <w:r w:rsidRPr="005A3B9A">
        <w:rPr>
          <w:rFonts w:eastAsiaTheme="minorHAnsi"/>
          <w:lang w:eastAsia="en-US"/>
        </w:rPr>
        <w:t xml:space="preserve">. (NTP 578). Madrid: Instituto Nacional de Seguridad e Higiene en el Trabajo (INSHT). </w:t>
      </w:r>
      <w:r>
        <w:rPr>
          <w:rFonts w:eastAsiaTheme="minorHAnsi"/>
          <w:lang w:eastAsia="en-US"/>
        </w:rPr>
        <w:t xml:space="preserve">Recuperado de </w:t>
      </w:r>
      <w:hyperlink r:id="rId34" w:history="1">
        <w:r w:rsidRPr="00C760D8">
          <w:rPr>
            <w:rStyle w:val="Hipervnculo"/>
          </w:rPr>
          <w:t>https://www.cso.go.cr/legislacion/notas_tecnicas_preventivas_insht/NTP%20578%20-%20Riesgo%20percibido%20un%20procedimiento%20de%20evaluacion.pdf</w:t>
        </w:r>
      </w:hyperlink>
    </w:p>
    <w:p w:rsidR="000009BF" w:rsidRPr="005A3B9A" w:rsidRDefault="000009BF" w:rsidP="000009BF">
      <w:pPr>
        <w:spacing w:after="120"/>
        <w:ind w:left="720" w:hanging="720"/>
      </w:pPr>
      <w:r w:rsidRPr="005A3B9A">
        <w:rPr>
          <w:color w:val="141414"/>
        </w:rPr>
        <w:t>Ramírez</w:t>
      </w:r>
      <w:r>
        <w:rPr>
          <w:color w:val="141414"/>
        </w:rPr>
        <w:t>,</w:t>
      </w:r>
      <w:r w:rsidRPr="005A3B9A">
        <w:rPr>
          <w:color w:val="141414"/>
        </w:rPr>
        <w:t xml:space="preserve"> C. (18 de marzo 2020). Entre confusión y tensión, en México esperamos que ya detone. </w:t>
      </w:r>
      <w:r w:rsidRPr="005A3B9A">
        <w:rPr>
          <w:i/>
          <w:color w:val="141414"/>
        </w:rPr>
        <w:t>El Economista</w:t>
      </w:r>
      <w:r w:rsidRPr="005A3B9A">
        <w:rPr>
          <w:color w:val="141414"/>
        </w:rPr>
        <w:t xml:space="preserve">. </w:t>
      </w:r>
      <w:r>
        <w:rPr>
          <w:color w:val="141414"/>
        </w:rPr>
        <w:t xml:space="preserve">Recuperado de </w:t>
      </w:r>
      <w:hyperlink r:id="rId35" w:history="1">
        <w:r w:rsidRPr="005A3B9A">
          <w:rPr>
            <w:rStyle w:val="Hipervnculo"/>
          </w:rPr>
          <w:t>https://www.eleconomista.com.mx/opinion/Entre-confusion-y-tension-en-Mexico-esperamos-que-ya-detone-20200318-0028.html</w:t>
        </w:r>
      </w:hyperlink>
    </w:p>
    <w:p w:rsidR="000009BF" w:rsidRPr="005A3B9A" w:rsidRDefault="000009BF" w:rsidP="000009BF">
      <w:pPr>
        <w:spacing w:after="120"/>
        <w:ind w:left="720" w:hanging="720"/>
      </w:pPr>
      <w:r w:rsidRPr="005A3B9A">
        <w:t xml:space="preserve">Redacción Diario NTR. (2020, 28 de febrero). Por Covid-19 se realizarán conferencias nocturnas, manifiesta AMLO. </w:t>
      </w:r>
      <w:r w:rsidRPr="005A3B9A">
        <w:rPr>
          <w:i/>
        </w:rPr>
        <w:t>El Diario NTR</w:t>
      </w:r>
      <w:r w:rsidRPr="005A3B9A">
        <w:t xml:space="preserve">. Recuperado </w:t>
      </w:r>
      <w:r>
        <w:t>de</w:t>
      </w:r>
      <w:r w:rsidRPr="005A3B9A">
        <w:t xml:space="preserve"> </w:t>
      </w:r>
      <w:hyperlink r:id="rId36" w:history="1">
        <w:r w:rsidRPr="005A3B9A">
          <w:rPr>
            <w:rStyle w:val="Hipervnculo"/>
          </w:rPr>
          <w:t>https://www.ntrguadalajara.com/post.php?id_nota=144523</w:t>
        </w:r>
      </w:hyperlink>
    </w:p>
    <w:p w:rsidR="000009BF" w:rsidRPr="00EF5431" w:rsidRDefault="000009BF" w:rsidP="000009BF">
      <w:pPr>
        <w:spacing w:after="120"/>
        <w:ind w:left="720" w:hanging="720"/>
      </w:pPr>
      <w:r w:rsidRPr="005B1601">
        <w:rPr>
          <w:lang w:val="en-US"/>
        </w:rPr>
        <w:t>Renner, B., Gamp, M., Schmälzle, R., &amp; Schupp, H. T. (2015). Health risk perception.</w:t>
      </w:r>
      <w:r>
        <w:rPr>
          <w:lang w:val="en-US"/>
        </w:rPr>
        <w:t xml:space="preserve"> E</w:t>
      </w:r>
      <w:r w:rsidRPr="005B1601">
        <w:rPr>
          <w:lang w:val="en-US"/>
        </w:rPr>
        <w:t>n J. D. Wright (Hrsg.) (Ed.), The international encyclopedia of social and behavioral</w:t>
      </w:r>
      <w:r>
        <w:rPr>
          <w:lang w:val="en-US"/>
        </w:rPr>
        <w:t xml:space="preserve"> </w:t>
      </w:r>
      <w:r w:rsidRPr="005B1601">
        <w:rPr>
          <w:lang w:val="en-US"/>
        </w:rPr>
        <w:t>sciences (</w:t>
      </w:r>
      <w:r>
        <w:rPr>
          <w:lang w:val="en-US"/>
        </w:rPr>
        <w:t>pp. 702-709</w:t>
      </w:r>
      <w:r w:rsidRPr="005B1601">
        <w:rPr>
          <w:lang w:val="en-US"/>
        </w:rPr>
        <w:t xml:space="preserve">). </w:t>
      </w:r>
      <w:r w:rsidRPr="00EF5431">
        <w:t xml:space="preserve">Oxford, England: Elsevier. </w:t>
      </w:r>
      <w:hyperlink r:id="rId37" w:history="1">
        <w:r w:rsidRPr="00EF5431">
          <w:rPr>
            <w:rStyle w:val="Hipervnculo"/>
          </w:rPr>
          <w:t>https://doi.org/10.1016/b978-0-08-097086-8.14138-8</w:t>
        </w:r>
      </w:hyperlink>
      <w:r w:rsidRPr="00EF5431">
        <w:t xml:space="preserve"> </w:t>
      </w:r>
    </w:p>
    <w:p w:rsidR="000009BF" w:rsidRDefault="000009BF" w:rsidP="000009BF">
      <w:pPr>
        <w:spacing w:after="120"/>
        <w:ind w:left="720" w:hanging="720"/>
      </w:pPr>
      <w:r w:rsidRPr="005A3B9A">
        <w:t>Rodríguez-Garzón</w:t>
      </w:r>
      <w:r>
        <w:t>,</w:t>
      </w:r>
      <w:r w:rsidRPr="005A3B9A">
        <w:t xml:space="preserve"> I</w:t>
      </w:r>
      <w:r>
        <w:t>.</w:t>
      </w:r>
      <w:r w:rsidRPr="005A3B9A">
        <w:t>, Martínez-Fiestas</w:t>
      </w:r>
      <w:r>
        <w:t>,</w:t>
      </w:r>
      <w:r w:rsidRPr="005A3B9A">
        <w:t xml:space="preserve"> M</w:t>
      </w:r>
      <w:r>
        <w:t>.</w:t>
      </w:r>
      <w:r w:rsidRPr="005A3B9A">
        <w:t>, Delgado-Padial</w:t>
      </w:r>
      <w:r>
        <w:t>,</w:t>
      </w:r>
      <w:r w:rsidRPr="005A3B9A">
        <w:t xml:space="preserve"> A</w:t>
      </w:r>
      <w:r>
        <w:t>.</w:t>
      </w:r>
      <w:r w:rsidRPr="005A3B9A">
        <w:t>, Lucas-Ruiz</w:t>
      </w:r>
      <w:r>
        <w:t>,</w:t>
      </w:r>
      <w:r w:rsidRPr="005A3B9A">
        <w:t xml:space="preserve"> V. (2015). Factores conformantes del riesgo percibido en los trabajadores de la construcción. </w:t>
      </w:r>
      <w:r w:rsidRPr="005A3B9A">
        <w:rPr>
          <w:i/>
        </w:rPr>
        <w:t>DYNA</w:t>
      </w:r>
      <w:r w:rsidRPr="005A3B9A">
        <w:t xml:space="preserve">. </w:t>
      </w:r>
      <w:r w:rsidRPr="005B1601">
        <w:rPr>
          <w:i/>
          <w:iCs/>
        </w:rPr>
        <w:t>82</w:t>
      </w:r>
      <w:r w:rsidRPr="005A3B9A">
        <w:t xml:space="preserve">(192), 257-265. </w:t>
      </w:r>
      <w:hyperlink r:id="rId38" w:history="1">
        <w:r w:rsidRPr="00C760D8">
          <w:rPr>
            <w:rStyle w:val="Hipervnculo"/>
          </w:rPr>
          <w:t>http://doi.org/10.15446/dyna.v82n192.44999</w:t>
        </w:r>
      </w:hyperlink>
    </w:p>
    <w:p w:rsidR="000009BF" w:rsidRPr="005A3B9A" w:rsidRDefault="000009BF" w:rsidP="000009BF">
      <w:pPr>
        <w:spacing w:after="120"/>
        <w:ind w:left="720" w:hanging="720"/>
      </w:pPr>
      <w:r w:rsidRPr="005B1601">
        <w:t xml:space="preserve">Sánchez-Vallejo, F., Rubio, J., Páez, D., &amp; Blanco, A. (1998). Optimismo ilusorio y percepción de riesgo. </w:t>
      </w:r>
      <w:r w:rsidRPr="005B1601">
        <w:rPr>
          <w:i/>
          <w:iCs/>
        </w:rPr>
        <w:t>Boletín de Psicología, 58</w:t>
      </w:r>
      <w:r w:rsidRPr="005B1601">
        <w:t>, 7-17.</w:t>
      </w:r>
      <w:r>
        <w:t xml:space="preserve"> Recuperado </w:t>
      </w:r>
      <w:hyperlink r:id="rId39" w:history="1">
        <w:r w:rsidRPr="005A3B9A">
          <w:rPr>
            <w:rStyle w:val="Hipervnculo"/>
          </w:rPr>
          <w:t>https://www.uv.es/seoane/boletin/previos/N58-1.pdf</w:t>
        </w:r>
      </w:hyperlink>
    </w:p>
    <w:p w:rsidR="000009BF" w:rsidRPr="005A3B9A" w:rsidRDefault="000009BF" w:rsidP="000009BF">
      <w:pPr>
        <w:spacing w:after="120"/>
        <w:ind w:left="720" w:hanging="720"/>
      </w:pPr>
      <w:r w:rsidRPr="005A3B9A">
        <w:rPr>
          <w:lang w:val="en-US"/>
        </w:rPr>
        <w:t xml:space="preserve">Sandman, P. (2003). </w:t>
      </w:r>
      <w:r w:rsidRPr="001076BC">
        <w:rPr>
          <w:i/>
          <w:iCs/>
          <w:lang w:val="en-US"/>
        </w:rPr>
        <w:t>The Four Kinds of Risk Communication</w:t>
      </w:r>
      <w:r w:rsidRPr="005A3B9A">
        <w:rPr>
          <w:lang w:val="en-US"/>
        </w:rPr>
        <w:t xml:space="preserve">. </w:t>
      </w:r>
      <w:r w:rsidRPr="005A3B9A">
        <w:t xml:space="preserve">Recuperado de </w:t>
      </w:r>
      <w:hyperlink r:id="rId40" w:history="1">
        <w:r w:rsidRPr="005A3B9A">
          <w:rPr>
            <w:rStyle w:val="Hipervnculo"/>
          </w:rPr>
          <w:t>http://www.psandman.com/col/4kind-1.htm</w:t>
        </w:r>
      </w:hyperlink>
      <w:r w:rsidRPr="005A3B9A">
        <w:t>.</w:t>
      </w:r>
    </w:p>
    <w:p w:rsidR="000009BF" w:rsidRPr="005A3B9A" w:rsidRDefault="000009BF" w:rsidP="000009BF">
      <w:pPr>
        <w:spacing w:after="120"/>
        <w:ind w:left="720" w:hanging="720"/>
      </w:pPr>
      <w:r w:rsidRPr="005A3B9A">
        <w:t xml:space="preserve">Sanz-Arazuri E, Ponce de León-Elizondo A. (2010). Claves en la aplicación del algoritmo Chaid. Un estudio del ocio físico deportivo universitario.  </w:t>
      </w:r>
      <w:r w:rsidRPr="005A3B9A">
        <w:rPr>
          <w:i/>
        </w:rPr>
        <w:t>Revista de Psicología del Deporte</w:t>
      </w:r>
      <w:r>
        <w:t>,</w:t>
      </w:r>
      <w:r w:rsidRPr="005A3B9A">
        <w:t xml:space="preserve"> </w:t>
      </w:r>
      <w:r w:rsidRPr="00B40357">
        <w:rPr>
          <w:i/>
          <w:iCs/>
        </w:rPr>
        <w:t>19</w:t>
      </w:r>
      <w:r w:rsidRPr="005A3B9A">
        <w:t xml:space="preserve">(2), 319-333. </w:t>
      </w:r>
      <w:r>
        <w:t xml:space="preserve">Disponible en: </w:t>
      </w:r>
      <w:r w:rsidRPr="00671762">
        <w:t>https://www.redalyc.org/articulo.oa?id=235116352011</w:t>
      </w:r>
    </w:p>
    <w:p w:rsidR="000009BF" w:rsidRPr="005A3B9A" w:rsidRDefault="000009BF" w:rsidP="000009BF">
      <w:pPr>
        <w:spacing w:after="120"/>
        <w:ind w:left="720" w:hanging="720"/>
      </w:pPr>
      <w:r w:rsidRPr="005A3B9A">
        <w:t xml:space="preserve">Secretaria de Salud México (SALUD). (2020a). </w:t>
      </w:r>
      <w:r w:rsidRPr="00B40357">
        <w:rPr>
          <w:i/>
          <w:iCs/>
        </w:rPr>
        <w:t>Informe diario sobre coronavirus COVID-19 en México</w:t>
      </w:r>
      <w:r w:rsidRPr="005A3B9A">
        <w:t xml:space="preserve">. </w:t>
      </w:r>
      <w:r>
        <w:t>Recuperado de</w:t>
      </w:r>
      <w:r w:rsidRPr="005A3B9A">
        <w:t xml:space="preserve"> </w:t>
      </w:r>
      <w:hyperlink r:id="rId41" w:history="1">
        <w:r w:rsidRPr="005A3B9A">
          <w:rPr>
            <w:rStyle w:val="Hipervnculo"/>
          </w:rPr>
          <w:t>https://www.gob.mx/presidencia/articulos/version-estenografica-conferencia-de-prensa-secretaria-de-salud-informe-diario-sobre-coronavirus-covid-19-en-mexico?idiom=es</w:t>
        </w:r>
      </w:hyperlink>
    </w:p>
    <w:p w:rsidR="000009BF" w:rsidRDefault="000009BF" w:rsidP="000009BF">
      <w:pPr>
        <w:spacing w:after="120"/>
        <w:ind w:left="720" w:hanging="720"/>
      </w:pPr>
      <w:r w:rsidRPr="005A3B9A">
        <w:t>Secretar</w:t>
      </w:r>
      <w:r>
        <w:t>í</w:t>
      </w:r>
      <w:r w:rsidRPr="005A3B9A">
        <w:t>a de Salud México (SALUD).</w:t>
      </w:r>
      <w:r>
        <w:t xml:space="preserve"> </w:t>
      </w:r>
      <w:r w:rsidRPr="005A3B9A">
        <w:t>(2020b)</w:t>
      </w:r>
      <w:r w:rsidRPr="005A3B9A">
        <w:rPr>
          <w:i/>
        </w:rPr>
        <w:t xml:space="preserve"> Comunicado Técnico Diario Nuevo Coronavirus en el Mundo (COVID-19)</w:t>
      </w:r>
      <w:r w:rsidRPr="005A3B9A">
        <w:t xml:space="preserve">. (14 de marzo 2020). </w:t>
      </w:r>
      <w:r>
        <w:t>Recuperado de</w:t>
      </w:r>
      <w:r w:rsidRPr="005A3B9A">
        <w:t xml:space="preserve"> </w:t>
      </w:r>
      <w:hyperlink r:id="rId42" w:history="1">
        <w:r w:rsidRPr="005A3B9A">
          <w:t>https://www.gob.mx/cms/uploads/attachment/file/541591/Comunicado_Tecnico_Diario_COVID-19_2020.03.14.pdf.pdf</w:t>
        </w:r>
      </w:hyperlink>
    </w:p>
    <w:p w:rsidR="000009BF" w:rsidRPr="005A3B9A" w:rsidRDefault="000009BF" w:rsidP="000009BF">
      <w:pPr>
        <w:spacing w:after="120"/>
        <w:ind w:left="720" w:hanging="720"/>
      </w:pPr>
      <w:r w:rsidRPr="005A3B9A">
        <w:t xml:space="preserve">Secretaria de Salud México (SALUD). (2020c) </w:t>
      </w:r>
      <w:r w:rsidRPr="005A3B9A">
        <w:rPr>
          <w:i/>
        </w:rPr>
        <w:t>Comunicado Técnico Diario Nuevo Coronavirus en el Mundo (COVID-19</w:t>
      </w:r>
      <w:r w:rsidRPr="005A3B9A">
        <w:t xml:space="preserve">). (24 de marzo 2020). </w:t>
      </w:r>
      <w:r>
        <w:t>Recuperado de</w:t>
      </w:r>
      <w:r w:rsidRPr="005A3B9A">
        <w:t xml:space="preserve"> </w:t>
      </w:r>
      <w:hyperlink r:id="rId43" w:history="1">
        <w:r w:rsidRPr="005A3B9A">
          <w:t>https://www.gob.mx/cms/uploads/attachment/file/543249/Comunicado_Tecnico_Diario_COVID-19_2020.03.24.pdf.pdf</w:t>
        </w:r>
      </w:hyperlink>
    </w:p>
    <w:p w:rsidR="000009BF" w:rsidRPr="00B40357" w:rsidRDefault="000009BF" w:rsidP="000009BF">
      <w:pPr>
        <w:spacing w:after="120"/>
        <w:ind w:left="720" w:hanging="720"/>
        <w:rPr>
          <w:lang w:val="en-US"/>
        </w:rPr>
      </w:pPr>
      <w:r w:rsidRPr="005A3B9A">
        <w:rPr>
          <w:lang w:val="en-US"/>
        </w:rPr>
        <w:t xml:space="preserve">Sjöberg, L. (2000). Factors in Risk Perception. </w:t>
      </w:r>
      <w:r w:rsidRPr="005A3B9A">
        <w:rPr>
          <w:i/>
          <w:lang w:val="en-US"/>
        </w:rPr>
        <w:t>Risk Analysis</w:t>
      </w:r>
      <w:r w:rsidRPr="005A3B9A">
        <w:rPr>
          <w:lang w:val="en-US"/>
        </w:rPr>
        <w:t>. 20, 1-12.</w:t>
      </w:r>
      <w:r>
        <w:rPr>
          <w:lang w:val="en-US"/>
        </w:rPr>
        <w:t xml:space="preserve"> </w:t>
      </w:r>
      <w:hyperlink r:id="rId44" w:history="1">
        <w:r w:rsidRPr="00C760D8">
          <w:rPr>
            <w:rStyle w:val="Hipervnculo"/>
            <w:bCs/>
            <w:lang w:val="en-US"/>
          </w:rPr>
          <w:t>https://doi.org/10.1111/0272-4332.00001</w:t>
        </w:r>
      </w:hyperlink>
    </w:p>
    <w:p w:rsidR="000009BF" w:rsidRPr="00EF5431" w:rsidRDefault="000009BF" w:rsidP="000009BF">
      <w:pPr>
        <w:spacing w:after="120"/>
        <w:ind w:left="720" w:hanging="720"/>
        <w:rPr>
          <w:lang w:val="en-US" w:eastAsia="es-MX"/>
        </w:rPr>
      </w:pPr>
      <w:r w:rsidRPr="005A3B9A">
        <w:rPr>
          <w:lang w:val="en-US" w:eastAsia="es-MX"/>
        </w:rPr>
        <w:t xml:space="preserve">Slovic, P. (1987). Perception of risk. </w:t>
      </w:r>
      <w:r w:rsidRPr="00EF5431">
        <w:rPr>
          <w:i/>
          <w:lang w:val="en-US" w:eastAsia="es-MX"/>
        </w:rPr>
        <w:t xml:space="preserve">Science. </w:t>
      </w:r>
      <w:r w:rsidRPr="00EF5431">
        <w:rPr>
          <w:lang w:val="en-US" w:eastAsia="es-MX"/>
        </w:rPr>
        <w:t xml:space="preserve">236(4799), 280-285. </w:t>
      </w:r>
      <w:hyperlink r:id="rId45" w:history="1">
        <w:r w:rsidRPr="00EF5431">
          <w:rPr>
            <w:rStyle w:val="Hipervnculo"/>
            <w:lang w:val="en-US" w:eastAsia="es-MX"/>
          </w:rPr>
          <w:t>https://doi.org/10.1126/science.3563507</w:t>
        </w:r>
      </w:hyperlink>
      <w:r w:rsidRPr="00EF5431">
        <w:rPr>
          <w:lang w:val="en-US" w:eastAsia="es-MX"/>
        </w:rPr>
        <w:t xml:space="preserve"> </w:t>
      </w:r>
    </w:p>
    <w:p w:rsidR="000009BF" w:rsidRPr="005A3B9A" w:rsidRDefault="000009BF" w:rsidP="000009BF">
      <w:pPr>
        <w:spacing w:after="120"/>
        <w:ind w:left="720" w:hanging="720"/>
      </w:pPr>
      <w:r w:rsidRPr="005A3B9A">
        <w:t xml:space="preserve">Stajnolovic, M. (2015). Percepción social de riesgo: una mirada general y aplicación a la comunicación de salud, </w:t>
      </w:r>
      <w:r w:rsidRPr="005A3B9A">
        <w:rPr>
          <w:i/>
        </w:rPr>
        <w:t>Revista de Comunicación y Salud</w:t>
      </w:r>
      <w:r>
        <w:t xml:space="preserve">, </w:t>
      </w:r>
      <w:r w:rsidRPr="006B5B51">
        <w:rPr>
          <w:i/>
          <w:iCs/>
        </w:rPr>
        <w:t>5</w:t>
      </w:r>
      <w:r w:rsidRPr="005A3B9A">
        <w:t>, 96-107.</w:t>
      </w:r>
    </w:p>
    <w:p w:rsidR="000009BF" w:rsidRPr="005A3B9A" w:rsidRDefault="000009BF" w:rsidP="000009BF">
      <w:pPr>
        <w:spacing w:after="120"/>
        <w:ind w:left="720" w:hanging="720"/>
      </w:pPr>
      <w:r w:rsidRPr="005A3B9A">
        <w:rPr>
          <w:lang w:val="es-CO"/>
        </w:rPr>
        <w:t>Velasco</w:t>
      </w:r>
      <w:r>
        <w:rPr>
          <w:lang w:val="es-CO"/>
        </w:rPr>
        <w:t>,</w:t>
      </w:r>
      <w:r w:rsidRPr="005A3B9A">
        <w:rPr>
          <w:lang w:val="es-CO"/>
        </w:rPr>
        <w:t xml:space="preserve"> M</w:t>
      </w:r>
      <w:r>
        <w:rPr>
          <w:lang w:val="es-CO"/>
        </w:rPr>
        <w:t>.</w:t>
      </w:r>
      <w:r w:rsidRPr="005A3B9A">
        <w:rPr>
          <w:lang w:val="es-CO"/>
        </w:rPr>
        <w:t>A. (16 de abril 2020).</w:t>
      </w:r>
      <w:r>
        <w:rPr>
          <w:lang w:val="es-CO"/>
        </w:rPr>
        <w:t xml:space="preserve"> </w:t>
      </w:r>
      <w:r w:rsidRPr="005A3B9A">
        <w:rPr>
          <w:lang w:val="es-CO"/>
        </w:rPr>
        <w:t xml:space="preserve">En Edomex no creen en el coronavirus, siguen en las calles. </w:t>
      </w:r>
      <w:r w:rsidRPr="005A3B9A">
        <w:rPr>
          <w:i/>
          <w:lang w:val="es-CO"/>
        </w:rPr>
        <w:t>Excelsior.</w:t>
      </w:r>
      <w:r w:rsidRPr="005A3B9A">
        <w:rPr>
          <w:lang w:val="es-CO"/>
        </w:rPr>
        <w:t xml:space="preserve"> </w:t>
      </w:r>
      <w:r>
        <w:rPr>
          <w:lang w:val="es-CO"/>
        </w:rPr>
        <w:t>Recuperado de</w:t>
      </w:r>
      <w:r w:rsidRPr="005A3B9A">
        <w:rPr>
          <w:lang w:val="es-CO"/>
        </w:rPr>
        <w:t xml:space="preserve"> </w:t>
      </w:r>
      <w:hyperlink r:id="rId46" w:history="1">
        <w:r w:rsidRPr="005A3B9A">
          <w:rPr>
            <w:rStyle w:val="Hipervnculo"/>
            <w:lang w:val="es-CO"/>
          </w:rPr>
          <w:t>https://www.excelsior.com.mx/comunidad/en-edomex-no-creen-en-el-coronavirus-siguen-en-las-calles/1376465</w:t>
        </w:r>
      </w:hyperlink>
    </w:p>
    <w:p w:rsidR="000009BF" w:rsidRPr="005A3B9A" w:rsidRDefault="000009BF" w:rsidP="000009BF">
      <w:pPr>
        <w:spacing w:after="120"/>
        <w:ind w:left="720" w:hanging="720"/>
        <w:rPr>
          <w:lang w:val="en-US"/>
        </w:rPr>
      </w:pPr>
      <w:r w:rsidRPr="005A3B9A">
        <w:rPr>
          <w:lang w:val="it-IT"/>
        </w:rPr>
        <w:t>Visdómine-Lozano, J</w:t>
      </w:r>
      <w:r>
        <w:rPr>
          <w:lang w:val="it-IT"/>
        </w:rPr>
        <w:t>.</w:t>
      </w:r>
      <w:r w:rsidRPr="005A3B9A">
        <w:rPr>
          <w:lang w:val="it-IT"/>
        </w:rPr>
        <w:t xml:space="preserve">C., </w:t>
      </w:r>
      <w:r>
        <w:rPr>
          <w:lang w:val="it-IT"/>
        </w:rPr>
        <w:t xml:space="preserve">y </w:t>
      </w:r>
      <w:r w:rsidRPr="005A3B9A">
        <w:rPr>
          <w:lang w:val="it-IT"/>
        </w:rPr>
        <w:t xml:space="preserve">Luciano, C.  </w:t>
      </w:r>
      <w:r w:rsidRPr="005A3B9A">
        <w:t xml:space="preserve">(2006). Locus de control y autorregulación conductual: revisiones conceptual y experimental. </w:t>
      </w:r>
      <w:r w:rsidRPr="0050720B">
        <w:rPr>
          <w:i/>
          <w:lang w:val="en-US"/>
        </w:rPr>
        <w:t>International Journal of Clinical and Health Psychology</w:t>
      </w:r>
      <w:r>
        <w:rPr>
          <w:i/>
          <w:lang w:val="en-US"/>
        </w:rPr>
        <w:t xml:space="preserve">, </w:t>
      </w:r>
      <w:r w:rsidRPr="005A3B9A">
        <w:rPr>
          <w:lang w:val="en-US"/>
        </w:rPr>
        <w:t>6(3),729-751</w:t>
      </w:r>
      <w:r>
        <w:rPr>
          <w:lang w:val="en-US"/>
        </w:rPr>
        <w:t>.</w:t>
      </w:r>
    </w:p>
    <w:p w:rsidR="000009BF" w:rsidRPr="005A3B9A" w:rsidRDefault="000009BF" w:rsidP="000009BF">
      <w:pPr>
        <w:ind w:left="720" w:hanging="720"/>
        <w:rPr>
          <w:lang w:val="en-US"/>
        </w:rPr>
      </w:pPr>
      <w:r w:rsidRPr="00EF5431">
        <w:rPr>
          <w:lang w:val="en-US"/>
        </w:rPr>
        <w:t>Weinstein, N. D. (1987). Unrealistic optimism about susceptibility to health problems: Conclusions from a community-wide sample. </w:t>
      </w:r>
      <w:r w:rsidRPr="00EF5431">
        <w:rPr>
          <w:i/>
          <w:iCs/>
          <w:lang w:val="en-US"/>
        </w:rPr>
        <w:t>Journal of behavioral medicine</w:t>
      </w:r>
      <w:r w:rsidRPr="00EF5431">
        <w:rPr>
          <w:lang w:val="en-US"/>
        </w:rPr>
        <w:t xml:space="preserve">, </w:t>
      </w:r>
      <w:r w:rsidRPr="00EF5431">
        <w:rPr>
          <w:i/>
          <w:iCs/>
          <w:lang w:val="en-US"/>
        </w:rPr>
        <w:t>10</w:t>
      </w:r>
      <w:r w:rsidRPr="00EF5431">
        <w:rPr>
          <w:lang w:val="en-US"/>
        </w:rPr>
        <w:t xml:space="preserve">(5), 481-500. </w:t>
      </w:r>
      <w:hyperlink r:id="rId47" w:history="1">
        <w:r w:rsidRPr="005A3B9A">
          <w:rPr>
            <w:rStyle w:val="Hipervnculo"/>
            <w:lang w:val="en-US"/>
          </w:rPr>
          <w:t>https://doi.org/10.1007/BF00846146</w:t>
        </w:r>
      </w:hyperlink>
    </w:p>
    <w:p w:rsidR="000009BF" w:rsidRPr="0050720B" w:rsidRDefault="000009BF" w:rsidP="000009BF">
      <w:pPr>
        <w:spacing w:after="120"/>
        <w:ind w:left="720" w:hanging="720"/>
        <w:rPr>
          <w:lang w:val="en-US"/>
        </w:rPr>
      </w:pPr>
      <w:r w:rsidRPr="00EF5431">
        <w:rPr>
          <w:lang w:val="en-US"/>
        </w:rPr>
        <w:t xml:space="preserve">Wise, T., Zbozinek, T. D., Michelini, G., &amp; Hagan, C. C. (2020). Changes in risk perception and protective behavior during the first week of the COVID-19 pandemic in the United States. </w:t>
      </w:r>
      <w:r w:rsidRPr="005A3B9A">
        <w:rPr>
          <w:i/>
          <w:lang w:val="en-US"/>
        </w:rPr>
        <w:t>PsyArXiv</w:t>
      </w:r>
      <w:r>
        <w:rPr>
          <w:lang w:val="en-US"/>
        </w:rPr>
        <w:t xml:space="preserve">. </w:t>
      </w:r>
      <w:hyperlink r:id="rId48" w:history="1">
        <w:r w:rsidRPr="00C760D8">
          <w:rPr>
            <w:rStyle w:val="Hipervnculo"/>
            <w:lang w:val="en-US"/>
          </w:rPr>
          <w:t>https://doi.org/10.31234/osf.io/dz428</w:t>
        </w:r>
      </w:hyperlink>
    </w:p>
    <w:p w:rsidR="000009BF" w:rsidRDefault="000009BF" w:rsidP="00DE7EB8">
      <w:pPr>
        <w:ind w:left="720" w:hanging="720"/>
        <w:jc w:val="both"/>
        <w:rPr>
          <w:lang w:val="en-US"/>
        </w:rPr>
      </w:pPr>
    </w:p>
    <w:p w:rsidR="000009BF" w:rsidRDefault="000009BF" w:rsidP="00DE7EB8">
      <w:pPr>
        <w:ind w:left="720" w:hanging="720"/>
        <w:jc w:val="both"/>
        <w:rPr>
          <w:lang w:val="en-US"/>
        </w:rPr>
      </w:pPr>
    </w:p>
    <w:p w:rsidR="000009BF" w:rsidRDefault="000009BF" w:rsidP="00DE7EB8">
      <w:pPr>
        <w:ind w:left="720" w:hanging="720"/>
        <w:jc w:val="both"/>
        <w:rPr>
          <w:lang w:val="en-US"/>
        </w:rPr>
      </w:pPr>
    </w:p>
    <w:p w:rsidR="00594317" w:rsidRPr="003D21B8" w:rsidRDefault="00594317" w:rsidP="00612E24">
      <w:pPr>
        <w:pStyle w:val="Prrafocomn"/>
        <w:ind w:left="360" w:firstLine="0"/>
        <w:rPr>
          <w:lang w:val="es-AR"/>
        </w:rPr>
      </w:pPr>
    </w:p>
    <w:sectPr w:rsidR="00594317" w:rsidRPr="003D21B8" w:rsidSect="000009BF">
      <w:headerReference w:type="even" r:id="rId49"/>
      <w:headerReference w:type="default" r:id="rId50"/>
      <w:footerReference w:type="even" r:id="rId51"/>
      <w:footerReference w:type="default" r:id="rId5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E62" w:rsidRDefault="009F4E62" w:rsidP="00C413D4">
      <w:r>
        <w:separator/>
      </w:r>
    </w:p>
  </w:endnote>
  <w:endnote w:type="continuationSeparator" w:id="0">
    <w:p w:rsidR="009F4E62" w:rsidRDefault="009F4E62" w:rsidP="00C413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dy CS)">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rsidR="000009BF" w:rsidRDefault="000009BF" w:rsidP="0059034C">
        <w:pPr>
          <w:pStyle w:val="Piedepgina"/>
          <w:ind w:left="3960" w:firstLine="3960"/>
          <w:rPr>
            <w:rStyle w:val="Nmerodepgina"/>
          </w:rPr>
        </w:pPr>
        <w:r w:rsidRPr="007F5913">
          <w:rPr>
            <w:rFonts w:ascii="Times" w:hAnsi="Times" w:cs="Times"/>
            <w:sz w:val="16"/>
            <w:szCs w:val="16"/>
          </w:rPr>
          <w:t xml:space="preserve">ARTICLE | </w:t>
        </w:r>
        <w:r w:rsidR="00A22008"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A22008" w:rsidRPr="007F5913">
          <w:rPr>
            <w:rStyle w:val="Nmerodepgina"/>
            <w:rFonts w:ascii="Times" w:hAnsi="Times"/>
            <w:sz w:val="16"/>
            <w:szCs w:val="16"/>
          </w:rPr>
          <w:fldChar w:fldCharType="separate"/>
        </w:r>
        <w:r w:rsidR="00FA7560">
          <w:rPr>
            <w:rStyle w:val="Nmerodepgina"/>
            <w:rFonts w:ascii="Times" w:hAnsi="Times"/>
            <w:noProof/>
            <w:sz w:val="16"/>
            <w:szCs w:val="16"/>
          </w:rPr>
          <w:t>16</w:t>
        </w:r>
        <w:r w:rsidR="00A22008" w:rsidRPr="007F5913">
          <w:rPr>
            <w:rStyle w:val="Nmerodepgina"/>
            <w:rFonts w:ascii="Times" w:hAnsi="Times"/>
            <w:sz w:val="16"/>
            <w:szCs w:val="16"/>
          </w:rPr>
          <w:fldChar w:fldCharType="end"/>
        </w:r>
      </w:p>
    </w:sdtContent>
  </w:sdt>
  <w:p w:rsidR="000009BF" w:rsidRDefault="000009B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rsidR="000009BF" w:rsidRDefault="000009BF" w:rsidP="00C413D4">
        <w:pPr>
          <w:pStyle w:val="Piedepgina"/>
          <w:rPr>
            <w:rStyle w:val="Nmerodepgina"/>
          </w:rPr>
        </w:pPr>
        <w:r w:rsidRPr="007F5913">
          <w:rPr>
            <w:rFonts w:ascii="Times" w:hAnsi="Times" w:cs="Times"/>
            <w:sz w:val="16"/>
            <w:szCs w:val="16"/>
          </w:rPr>
          <w:t xml:space="preserve">ARTICLE | </w:t>
        </w:r>
        <w:r w:rsidR="00A22008"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A22008" w:rsidRPr="007F5913">
          <w:rPr>
            <w:rStyle w:val="Nmerodepgina"/>
            <w:rFonts w:ascii="Times" w:hAnsi="Times"/>
            <w:sz w:val="16"/>
            <w:szCs w:val="16"/>
          </w:rPr>
          <w:fldChar w:fldCharType="separate"/>
        </w:r>
        <w:r w:rsidR="009F4E62">
          <w:rPr>
            <w:rStyle w:val="Nmerodepgina"/>
            <w:rFonts w:ascii="Times" w:hAnsi="Times"/>
            <w:noProof/>
            <w:sz w:val="16"/>
            <w:szCs w:val="16"/>
          </w:rPr>
          <w:t>1</w:t>
        </w:r>
        <w:r w:rsidR="00A22008" w:rsidRPr="007F5913">
          <w:rPr>
            <w:rStyle w:val="Nmerodepgina"/>
            <w:rFonts w:ascii="Times" w:hAnsi="Times"/>
            <w:sz w:val="16"/>
            <w:szCs w:val="16"/>
          </w:rPr>
          <w:fldChar w:fldCharType="end"/>
        </w:r>
      </w:p>
    </w:sdtContent>
  </w:sdt>
  <w:p w:rsidR="000009BF" w:rsidRDefault="000009B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E62" w:rsidRDefault="009F4E62" w:rsidP="00C413D4">
      <w:r>
        <w:separator/>
      </w:r>
    </w:p>
  </w:footnote>
  <w:footnote w:type="continuationSeparator" w:id="0">
    <w:p w:rsidR="009F4E62" w:rsidRDefault="009F4E62" w:rsidP="00C41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BF" w:rsidRPr="001566F6" w:rsidRDefault="000009BF"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BF" w:rsidRDefault="000009BF" w:rsidP="00C413D4">
    <w:pPr>
      <w:pStyle w:val="Encabezado"/>
      <w:jc w:val="right"/>
      <w:rPr>
        <w:rFonts w:ascii="Times" w:hAnsi="Times"/>
        <w:i/>
        <w:sz w:val="18"/>
        <w:szCs w:val="18"/>
        <w:lang w:val="es-ES"/>
      </w:rPr>
    </w:pPr>
    <w:r>
      <w:rPr>
        <w:noProof/>
        <w:lang w:val="es-MX" w:eastAsia="es-MX"/>
      </w:rPr>
      <w:drawing>
        <wp:anchor distT="0" distB="0" distL="114300" distR="114300" simplePos="0" relativeHeight="251658240" behindDoc="0" locked="0" layoutInCell="1" allowOverlap="1">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a:ext>
                  </a:extLst>
                </pic:spPr>
              </pic:pic>
            </a:graphicData>
          </a:graphic>
        </wp:anchor>
      </w:drawing>
    </w:r>
    <w:r>
      <w:rPr>
        <w:rFonts w:ascii="Times" w:hAnsi="Times"/>
        <w:b/>
        <w:i/>
        <w:sz w:val="18"/>
        <w:szCs w:val="18"/>
        <w:lang w:val="es-ES"/>
      </w:rPr>
      <w:t>Revista Interamericana de Psicología/Interamerican Journal of Psychology</w:t>
    </w:r>
  </w:p>
  <w:p w:rsidR="000009BF" w:rsidRPr="0027261B" w:rsidRDefault="000009BF"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9406CA"/>
    <w:lvl w:ilvl="0">
      <w:start w:val="1"/>
      <w:numFmt w:val="decimal"/>
      <w:lvlText w:val="%1."/>
      <w:lvlJc w:val="left"/>
      <w:pPr>
        <w:tabs>
          <w:tab w:val="num" w:pos="1492"/>
        </w:tabs>
        <w:ind w:left="1492" w:hanging="360"/>
      </w:pPr>
    </w:lvl>
  </w:abstractNum>
  <w:abstractNum w:abstractNumId="1">
    <w:nsid w:val="FFFFFF7D"/>
    <w:multiLevelType w:val="singleLevel"/>
    <w:tmpl w:val="30220520"/>
    <w:lvl w:ilvl="0">
      <w:start w:val="1"/>
      <w:numFmt w:val="decimal"/>
      <w:lvlText w:val="%1."/>
      <w:lvlJc w:val="left"/>
      <w:pPr>
        <w:tabs>
          <w:tab w:val="num" w:pos="1209"/>
        </w:tabs>
        <w:ind w:left="1209" w:hanging="360"/>
      </w:pPr>
    </w:lvl>
  </w:abstractNum>
  <w:abstractNum w:abstractNumId="2">
    <w:nsid w:val="FFFFFF7E"/>
    <w:multiLevelType w:val="singleLevel"/>
    <w:tmpl w:val="AE127B42"/>
    <w:lvl w:ilvl="0">
      <w:start w:val="1"/>
      <w:numFmt w:val="decimal"/>
      <w:lvlText w:val="%1."/>
      <w:lvlJc w:val="left"/>
      <w:pPr>
        <w:tabs>
          <w:tab w:val="num" w:pos="926"/>
        </w:tabs>
        <w:ind w:left="926" w:hanging="360"/>
      </w:pPr>
    </w:lvl>
  </w:abstractNum>
  <w:abstractNum w:abstractNumId="3">
    <w:nsid w:val="FFFFFF7F"/>
    <w:multiLevelType w:val="singleLevel"/>
    <w:tmpl w:val="C5560D58"/>
    <w:lvl w:ilvl="0">
      <w:start w:val="1"/>
      <w:numFmt w:val="decimal"/>
      <w:lvlText w:val="%1."/>
      <w:lvlJc w:val="left"/>
      <w:pPr>
        <w:tabs>
          <w:tab w:val="num" w:pos="643"/>
        </w:tabs>
        <w:ind w:left="643" w:hanging="360"/>
      </w:pPr>
    </w:lvl>
  </w:abstractNum>
  <w:abstractNum w:abstractNumId="4">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2AF8DA"/>
    <w:lvl w:ilvl="0">
      <w:start w:val="1"/>
      <w:numFmt w:val="decimal"/>
      <w:lvlText w:val="%1."/>
      <w:lvlJc w:val="left"/>
      <w:pPr>
        <w:tabs>
          <w:tab w:val="num" w:pos="360"/>
        </w:tabs>
        <w:ind w:left="360" w:hanging="360"/>
      </w:pPr>
    </w:lvl>
  </w:abstractNum>
  <w:abstractNum w:abstractNumId="9">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nsid w:val="111209B4"/>
    <w:multiLevelType w:val="hybridMultilevel"/>
    <w:tmpl w:val="952C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6D9F4A6C"/>
    <w:multiLevelType w:val="hybridMultilevel"/>
    <w:tmpl w:val="148A5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1F08"/>
  <w:defaultTabStop w:val="720"/>
  <w:hyphenationZone w:val="425"/>
  <w:evenAndOddHeaders/>
  <w:drawingGridHorizontalSpacing w:val="120"/>
  <w:displayHorizontalDrawingGridEvery w:val="2"/>
  <w:characterSpacingControl w:val="doNotCompress"/>
  <w:savePreviewPicture/>
  <w:hdrShapeDefaults>
    <o:shapedefaults v:ext="edit" spidmax="11266"/>
  </w:hdrShapeDefaults>
  <w:footnotePr>
    <w:footnote w:id="-1"/>
    <w:footnote w:id="0"/>
  </w:footnotePr>
  <w:endnotePr>
    <w:endnote w:id="-1"/>
    <w:endnote w:id="0"/>
  </w:endnotePr>
  <w:compat/>
  <w:rsids>
    <w:rsidRoot w:val="00246D04"/>
    <w:rsid w:val="000009BF"/>
    <w:rsid w:val="000365CA"/>
    <w:rsid w:val="00076F0A"/>
    <w:rsid w:val="000C471D"/>
    <w:rsid w:val="000D35CD"/>
    <w:rsid w:val="000E3B16"/>
    <w:rsid w:val="00107993"/>
    <w:rsid w:val="001253E7"/>
    <w:rsid w:val="00127870"/>
    <w:rsid w:val="001516ED"/>
    <w:rsid w:val="00153DC5"/>
    <w:rsid w:val="001566F6"/>
    <w:rsid w:val="00187F7D"/>
    <w:rsid w:val="001F7509"/>
    <w:rsid w:val="00216AFF"/>
    <w:rsid w:val="00234E5C"/>
    <w:rsid w:val="00246D04"/>
    <w:rsid w:val="002624E0"/>
    <w:rsid w:val="00271502"/>
    <w:rsid w:val="0027261B"/>
    <w:rsid w:val="00294547"/>
    <w:rsid w:val="00297AFB"/>
    <w:rsid w:val="002B2297"/>
    <w:rsid w:val="002C009C"/>
    <w:rsid w:val="002C1EB1"/>
    <w:rsid w:val="002C3A8D"/>
    <w:rsid w:val="002C4716"/>
    <w:rsid w:val="002C7C6D"/>
    <w:rsid w:val="002C7DF0"/>
    <w:rsid w:val="002D1053"/>
    <w:rsid w:val="002E0320"/>
    <w:rsid w:val="002F070D"/>
    <w:rsid w:val="002F257B"/>
    <w:rsid w:val="002F38C8"/>
    <w:rsid w:val="00302C5C"/>
    <w:rsid w:val="003909A7"/>
    <w:rsid w:val="003C4AA4"/>
    <w:rsid w:val="003D21B8"/>
    <w:rsid w:val="003E438F"/>
    <w:rsid w:val="003E4B06"/>
    <w:rsid w:val="0042142D"/>
    <w:rsid w:val="00430C97"/>
    <w:rsid w:val="00447E89"/>
    <w:rsid w:val="00475FC0"/>
    <w:rsid w:val="00483D6B"/>
    <w:rsid w:val="0048651A"/>
    <w:rsid w:val="004C0823"/>
    <w:rsid w:val="004C1BFF"/>
    <w:rsid w:val="004D5719"/>
    <w:rsid w:val="00510E52"/>
    <w:rsid w:val="00533085"/>
    <w:rsid w:val="00542090"/>
    <w:rsid w:val="00576894"/>
    <w:rsid w:val="0059034C"/>
    <w:rsid w:val="005927BC"/>
    <w:rsid w:val="00594317"/>
    <w:rsid w:val="00594B9F"/>
    <w:rsid w:val="005B24FF"/>
    <w:rsid w:val="005B5614"/>
    <w:rsid w:val="0061199D"/>
    <w:rsid w:val="00612E24"/>
    <w:rsid w:val="0062462D"/>
    <w:rsid w:val="006937D3"/>
    <w:rsid w:val="006A1BA2"/>
    <w:rsid w:val="006B0812"/>
    <w:rsid w:val="006B088F"/>
    <w:rsid w:val="006B294A"/>
    <w:rsid w:val="006C21BC"/>
    <w:rsid w:val="006E2C7F"/>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85F8B"/>
    <w:rsid w:val="008B0F10"/>
    <w:rsid w:val="008C409A"/>
    <w:rsid w:val="008C775E"/>
    <w:rsid w:val="008D509E"/>
    <w:rsid w:val="009032D5"/>
    <w:rsid w:val="00903DEB"/>
    <w:rsid w:val="00906CFA"/>
    <w:rsid w:val="00935FC6"/>
    <w:rsid w:val="00977250"/>
    <w:rsid w:val="00993241"/>
    <w:rsid w:val="009A583F"/>
    <w:rsid w:val="009B3EF3"/>
    <w:rsid w:val="009B449C"/>
    <w:rsid w:val="009D2551"/>
    <w:rsid w:val="009D7A9F"/>
    <w:rsid w:val="009E05D1"/>
    <w:rsid w:val="009F4E62"/>
    <w:rsid w:val="00A076D9"/>
    <w:rsid w:val="00A22008"/>
    <w:rsid w:val="00A30790"/>
    <w:rsid w:val="00A457D0"/>
    <w:rsid w:val="00A458B9"/>
    <w:rsid w:val="00A516C7"/>
    <w:rsid w:val="00A62218"/>
    <w:rsid w:val="00A741BB"/>
    <w:rsid w:val="00A871FB"/>
    <w:rsid w:val="00AC0FD7"/>
    <w:rsid w:val="00AD3238"/>
    <w:rsid w:val="00AE48D4"/>
    <w:rsid w:val="00B02133"/>
    <w:rsid w:val="00B06283"/>
    <w:rsid w:val="00B24CD0"/>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E7D65"/>
    <w:rsid w:val="00CF4E1F"/>
    <w:rsid w:val="00CF5D21"/>
    <w:rsid w:val="00D609BB"/>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70A46"/>
    <w:rsid w:val="00F92F1A"/>
    <w:rsid w:val="00FA7560"/>
    <w:rsid w:val="00FB0419"/>
    <w:rsid w:val="00FC5C57"/>
    <w:rsid w:val="00FD2D2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906CFA"/>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s-MX" w:eastAsia="en-US"/>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5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PlainTable2">
    <w:name w:val="Plain Table 2"/>
    <w:basedOn w:val="Tab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3">
    <w:name w:val="List Table 6 Colorful Accent 3"/>
    <w:basedOn w:val="Tab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
    <w:name w:val="Grid Table 1 Light"/>
    <w:basedOn w:val="Tab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
    <w:name w:val="Plain Table 4"/>
    <w:basedOn w:val="Tab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906CFA"/>
    <w:rPr>
      <w:rFonts w:asciiTheme="majorHAnsi" w:eastAsiaTheme="majorEastAsia" w:hAnsiTheme="majorHAnsi" w:cstheme="majorBidi"/>
      <w:b/>
      <w:bCs/>
      <w:color w:val="2F5496" w:themeColor="accent1" w:themeShade="BF"/>
      <w:sz w:val="28"/>
      <w:szCs w:val="28"/>
      <w:lang w:val="es-MX"/>
    </w:rPr>
  </w:style>
  <w:style w:type="paragraph" w:styleId="Prrafodelista">
    <w:name w:val="List Paragraph"/>
    <w:basedOn w:val="Normal"/>
    <w:uiPriority w:val="34"/>
    <w:qFormat/>
    <w:rsid w:val="004C1BFF"/>
    <w:pPr>
      <w:spacing w:after="200" w:line="276" w:lineRule="auto"/>
      <w:ind w:left="720"/>
      <w:contextualSpacing/>
    </w:pPr>
    <w:rPr>
      <w:rFonts w:asciiTheme="minorHAnsi" w:eastAsiaTheme="minorHAnsi" w:hAnsiTheme="minorHAnsi" w:cstheme="minorBidi"/>
      <w:sz w:val="22"/>
      <w:szCs w:val="22"/>
      <w:lang w:val="es-MX" w:eastAsia="en-US"/>
    </w:rPr>
  </w:style>
  <w:style w:type="paragraph" w:styleId="HTMLconformatoprevio">
    <w:name w:val="HTML Preformatted"/>
    <w:basedOn w:val="Normal"/>
    <w:link w:val="HTMLconformatoprevioCar"/>
    <w:uiPriority w:val="99"/>
    <w:unhideWhenUsed/>
    <w:rsid w:val="00594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594B9F"/>
    <w:rPr>
      <w:rFonts w:ascii="Courier New" w:eastAsia="Times New Roman" w:hAnsi="Courier New" w:cs="Courier New"/>
      <w:sz w:val="20"/>
      <w:szCs w:val="20"/>
      <w:lang w:val="es-MX" w:eastAsia="es-MX"/>
    </w:rPr>
  </w:style>
  <w:style w:type="table" w:customStyle="1" w:styleId="Sombreadoclaro1">
    <w:name w:val="Sombreado claro1"/>
    <w:basedOn w:val="Tablanormal"/>
    <w:uiPriority w:val="60"/>
    <w:rsid w:val="00935FC6"/>
    <w:rPr>
      <w:color w:val="000000" w:themeColor="text1" w:themeShade="BF"/>
      <w:sz w:val="22"/>
      <w:szCs w:val="22"/>
      <w:lang w:val="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fasis">
    <w:name w:val="Emphasis"/>
    <w:basedOn w:val="Fuentedeprrafopredeter"/>
    <w:uiPriority w:val="20"/>
    <w:qFormat/>
    <w:rsid w:val="000009BF"/>
    <w:rPr>
      <w:i/>
      <w:iCs/>
    </w:rPr>
  </w:style>
</w:styles>
</file>

<file path=word/webSettings.xml><?xml version="1.0" encoding="utf-8"?>
<w:webSettings xmlns:r="http://schemas.openxmlformats.org/officeDocument/2006/relationships" xmlns:w="http://schemas.openxmlformats.org/wordprocessingml/2006/main">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onomista.com.mx/politica/Que-opinan-los-expertos-sobre-la-desaparicion-del-Seguro-Popular-y-la-creacion-del-Insabi-20200118-0003.html" TargetMode="External"/><Relationship Id="rId18" Type="http://schemas.openxmlformats.org/officeDocument/2006/relationships/hyperlink" Target="https://www.iupsys.net/about/governance/universal-declaration-of-ethical-principles-for-psychologists.html" TargetMode="External"/><Relationship Id="rId26" Type="http://schemas.openxmlformats.org/officeDocument/2006/relationships/hyperlink" Target="https://archive.org/details/sip-2018-position-statement-on-immigration" TargetMode="External"/><Relationship Id="rId39" Type="http://schemas.openxmlformats.org/officeDocument/2006/relationships/hyperlink" Target="https://www.uv.es/seoane/boletin/previos/N58-1.pdf" TargetMode="External"/><Relationship Id="rId3" Type="http://schemas.openxmlformats.org/officeDocument/2006/relationships/styles" Target="styles.xml"/><Relationship Id="rId21" Type="http://schemas.openxmlformats.org/officeDocument/2006/relationships/hyperlink" Target="http://doi.org/10.333.23rlp10i2.298-299" TargetMode="External"/><Relationship Id="rId34" Type="http://schemas.openxmlformats.org/officeDocument/2006/relationships/hyperlink" Target="https://www.cso.go.cr/legislacion/notas_tecnicas_preventivas_insht/NTP%20578%20-%20Riesgo%20percibido%20un%20procedimiento%20de%20evaluacion.pdf" TargetMode="External"/><Relationship Id="rId42" Type="http://schemas.openxmlformats.org/officeDocument/2006/relationships/hyperlink" Target="https://www.gob.mx/cms/uploads/attachment/file/541591/Comunicado_Tecnico_Diario_COVID-19_2020.03.14.pdf.pdf" TargetMode="External"/><Relationship Id="rId47" Type="http://schemas.openxmlformats.org/officeDocument/2006/relationships/hyperlink" Target="https://doi.org/10.1007/BF00846146"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174/021347410792675633" TargetMode="External"/><Relationship Id="rId17" Type="http://schemas.openxmlformats.org/officeDocument/2006/relationships/hyperlink" Target="https://doi.org/10.1007/BF00143739" TargetMode="External"/><Relationship Id="rId25" Type="http://schemas.openxmlformats.org/officeDocument/2006/relationships/hyperlink" Target="https://archive.org/details/sip-2016-declaracion-apoyo-a-acuerdos-de-paz-en-colombia" TargetMode="External"/><Relationship Id="rId33" Type="http://schemas.openxmlformats.org/officeDocument/2006/relationships/hyperlink" Target="https://doi.org/10.21676/2389783X.2022" TargetMode="External"/><Relationship Id="rId38" Type="http://schemas.openxmlformats.org/officeDocument/2006/relationships/hyperlink" Target="http://doi.org/10.15446/dyna.v82n192.44999" TargetMode="External"/><Relationship Id="rId46" Type="http://schemas.openxmlformats.org/officeDocument/2006/relationships/hyperlink" Target="https://www.excelsior.com.mx/comunidad/en-edomex-no-creen-en-el-coronavirus-siguen-en-las-calles/1376465" TargetMode="External"/><Relationship Id="rId2" Type="http://schemas.openxmlformats.org/officeDocument/2006/relationships/numbering" Target="numbering.xml"/><Relationship Id="rId16" Type="http://schemas.openxmlformats.org/officeDocument/2006/relationships/hyperlink" Target="https://doi.org/10.1080/13669877.2020.1758193" TargetMode="External"/><Relationship Id="rId20" Type="http://schemas.openxmlformats.org/officeDocument/2006/relationships/hyperlink" Target="https://ensanut.insp.mx/encuestas/ensanut2018/doctos/informes/ensanut_2018_presentacion_resultados.pdf" TargetMode="External"/><Relationship Id="rId29" Type="http://schemas.openxmlformats.org/officeDocument/2006/relationships/hyperlink" Target="https://doi.org/10.3390/jcm9020580" TargetMode="External"/><Relationship Id="rId41" Type="http://schemas.openxmlformats.org/officeDocument/2006/relationships/hyperlink" Target="https://www.gob.mx/presidencia/articulos/version-estenografica-conferencia-de-prensa-secretaria-de-salud-informe-diario-sobre-coronavirus-covid-19-en-mexico?idiom=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archive.org/details/sip-2014-declaracion-sobre-ninos-migrantes-en-centro-america" TargetMode="External"/><Relationship Id="rId32" Type="http://schemas.openxmlformats.org/officeDocument/2006/relationships/hyperlink" Target="https://www.paho.org/sites/default/files/2020-02/2020-feb-28-phe-actualizacion-epi-covid19.pdf" TargetMode="External"/><Relationship Id="rId37" Type="http://schemas.openxmlformats.org/officeDocument/2006/relationships/hyperlink" Target="https://doi.org/10.1016/b978-0-08-097086-8.14138-8" TargetMode="External"/><Relationship Id="rId40" Type="http://schemas.openxmlformats.org/officeDocument/2006/relationships/hyperlink" Target="http://www.psandman.com/col/4kind-1.htm" TargetMode="External"/><Relationship Id="rId45" Type="http://schemas.openxmlformats.org/officeDocument/2006/relationships/hyperlink" Target="https://doi.org/10.1126/science.3563507"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oms.ch/wp-content/uploads/2017/12/CIOMS-EthicalGuideline_SP_INTERIOR-FINAL.pdf" TargetMode="External"/><Relationship Id="rId23" Type="http://schemas.openxmlformats.org/officeDocument/2006/relationships/hyperlink" Target="https://archive.org/details/sip-2008b-declaracion-sobre-principios-eticos" TargetMode="External"/><Relationship Id="rId28" Type="http://schemas.openxmlformats.org/officeDocument/2006/relationships/hyperlink" Target="https://doi.org/10.29333/ejgm/7856" TargetMode="External"/><Relationship Id="rId36" Type="http://schemas.openxmlformats.org/officeDocument/2006/relationships/hyperlink" Target="https://www.ntrguadalajara.com/post.php?id_nota=144523" TargetMode="External"/><Relationship Id="rId49"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hyperlink" Target="https://www.inegi.org.mx/contenidos/programas/enh/2017/doc/enh2017_resultados.pdf" TargetMode="External"/><Relationship Id="rId31" Type="http://schemas.openxmlformats.org/officeDocument/2006/relationships/hyperlink" Target="https://doi.org/10.2807/1560-7917.ES.2020.25.13.2000317" TargetMode="External"/><Relationship Id="rId44" Type="http://schemas.openxmlformats.org/officeDocument/2006/relationships/hyperlink" Target="https://doi.org/10.1111/0272-4332.00001"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9365/rpcc.20161125-50" TargetMode="External"/><Relationship Id="rId22" Type="http://schemas.openxmlformats.org/officeDocument/2006/relationships/hyperlink" Target="https://archive.org/details/sip-2008a-declaracion-sobre-terapias-de-conversion" TargetMode="External"/><Relationship Id="rId27" Type="http://schemas.openxmlformats.org/officeDocument/2006/relationships/hyperlink" Target="https://archive.org/details/sip-2019-declaracion-experticia-en-salud-mental" TargetMode="External"/><Relationship Id="rId30" Type="http://schemas.openxmlformats.org/officeDocument/2006/relationships/hyperlink" Target="https://doi.org/10.1086/429923" TargetMode="External"/><Relationship Id="rId35" Type="http://schemas.openxmlformats.org/officeDocument/2006/relationships/hyperlink" Target="https://www.eleconomista.com.mx/opinion/Entre-confusion-y-tension-en-Mexico-esperamos-que-ya-detone-20200318-0028.html" TargetMode="External"/><Relationship Id="rId43" Type="http://schemas.openxmlformats.org/officeDocument/2006/relationships/hyperlink" Target="https://www.gob.mx/cms/uploads/attachment/file/543249/Comunicado_Tecnico_Diario_COVID-19_2020.03.24.pdf.pdf" TargetMode="External"/><Relationship Id="rId48" Type="http://schemas.openxmlformats.org/officeDocument/2006/relationships/hyperlink" Target="https://doi.org/10.31234/osf.io/dz428" TargetMode="External"/><Relationship Id="rId8" Type="http://schemas.openxmlformats.org/officeDocument/2006/relationships/hyperlink" Target="https://sipsych.org/" TargetMode="External"/><Relationship Id="rId51"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E7689-B6F1-4AF6-965C-B07E7367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20</Pages>
  <Words>7964</Words>
  <Characters>43804</Characters>
  <Application>Microsoft Office Word</Application>
  <DocSecurity>0</DocSecurity>
  <Lines>365</Lines>
  <Paragraphs>103</Paragraphs>
  <ScaleCrop>false</ScaleCrop>
  <HeadingPairs>
    <vt:vector size="6" baseType="variant">
      <vt:variant>
        <vt:lpstr>Título</vt:lpstr>
      </vt:variant>
      <vt:variant>
        <vt:i4>1</vt:i4>
      </vt:variant>
      <vt:variant>
        <vt:lpstr>Títulos</vt:lpstr>
      </vt:variant>
      <vt:variant>
        <vt:i4>12</vt:i4>
      </vt:variant>
      <vt:variant>
        <vt:lpstr>Title</vt:lpstr>
      </vt:variant>
      <vt:variant>
        <vt:i4>1</vt:i4>
      </vt:variant>
    </vt:vector>
  </HeadingPairs>
  <TitlesOfParts>
    <vt:vector size="14" baseType="lpstr">
      <vt:lpstr/>
      <vt:lpstr/>
      <vt:lpstr>Abstract</vt:lpstr>
      <vt:lpstr>Primary Prevention; Risk Assessment; Coronavirus (source: MeSH, NLM) </vt:lpstr>
      <vt:lpstr>Resumen</vt:lpstr>
      <vt:lpstr>Prevención Primaria, Percepción del Riesgo, Coronavirus;  (fuente: MeSH, NLM) </vt:lpstr>
      <vt:lpstr/>
      <vt:lpstr>Introducción</vt:lpstr>
      <vt:lpstr>Método</vt:lpstr>
      <vt:lpstr>Resultados</vt:lpstr>
      <vt:lpstr/>
      <vt:lpstr>Discusión</vt:lpstr>
      <vt:lpstr>Referencias</vt:lpstr>
      <vt:lpstr/>
    </vt:vector>
  </TitlesOfParts>
  <Company/>
  <LinksUpToDate>false</LinksUpToDate>
  <CharactersWithSpaces>51665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Autores</cp:lastModifiedBy>
  <cp:revision>3</cp:revision>
  <cp:lastPrinted>2020-04-16T16:22:00Z</cp:lastPrinted>
  <dcterms:created xsi:type="dcterms:W3CDTF">2020-10-26T23:02:00Z</dcterms:created>
  <dcterms:modified xsi:type="dcterms:W3CDTF">2020-10-26T23:03:00Z</dcterms:modified>
</cp:coreProperties>
</file>