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964" w:rsidRDefault="00C052FA">
      <w:pPr>
        <w:spacing w:line="480" w:lineRule="auto"/>
        <w:jc w:val="center"/>
        <w:rPr>
          <w:b/>
        </w:rPr>
      </w:pPr>
      <w:r>
        <w:rPr>
          <w:b/>
        </w:rPr>
        <w:t xml:space="preserve">IMPACTO DEL CONFINAMIENTO POR SARS-COV 2 EN CALIDAD DE VIDA PSICOLÓGICA EN LOS COLOMBIANOS. UN ESTUDIO CUANTITATIVO. </w:t>
      </w:r>
    </w:p>
    <w:p w:rsidR="005D4964" w:rsidRDefault="005D4964">
      <w:pPr>
        <w:spacing w:line="480" w:lineRule="auto"/>
        <w:jc w:val="center"/>
        <w:rPr>
          <w:b/>
        </w:rPr>
      </w:pPr>
    </w:p>
    <w:p w:rsidR="005D4964" w:rsidRDefault="00C052FA">
      <w:pPr>
        <w:ind w:left="0" w:firstLine="0"/>
      </w:pPr>
      <w:r>
        <w:t xml:space="preserve">     </w:t>
      </w:r>
    </w:p>
    <w:p w:rsidR="005D4964" w:rsidRDefault="00C052FA">
      <w:pPr>
        <w:ind w:left="0" w:firstLine="0"/>
        <w:rPr>
          <w:b/>
        </w:rPr>
      </w:pPr>
      <w:r>
        <w:t xml:space="preserve"> </w:t>
      </w:r>
      <w:r>
        <w:rPr>
          <w:b/>
        </w:rPr>
        <w:t>Palabras Clave: Salud mental, Aislamiento social, SARS-CoV-2.</w:t>
      </w:r>
    </w:p>
    <w:p w:rsidR="005D4964" w:rsidRPr="00D56501" w:rsidRDefault="00C052FA">
      <w:pPr>
        <w:rPr>
          <w:b/>
          <w:lang w:val="en-US"/>
        </w:rPr>
      </w:pPr>
      <w:r w:rsidRPr="00D56501">
        <w:rPr>
          <w:b/>
          <w:lang w:val="en-US"/>
        </w:rPr>
        <w:t>Keywords: mental health, quarantine, SARS-CoV-2.</w:t>
      </w:r>
    </w:p>
    <w:p w:rsidR="005D4964" w:rsidRPr="00D56501" w:rsidRDefault="005D4964">
      <w:pPr>
        <w:spacing w:line="480" w:lineRule="auto"/>
        <w:jc w:val="center"/>
        <w:rPr>
          <w:b/>
          <w:lang w:val="en-US"/>
        </w:rPr>
      </w:pPr>
    </w:p>
    <w:p w:rsidR="005D4964" w:rsidRPr="00D56501" w:rsidRDefault="005D4964">
      <w:pPr>
        <w:spacing w:line="480" w:lineRule="auto"/>
        <w:jc w:val="center"/>
        <w:rPr>
          <w:b/>
          <w:lang w:val="en-US"/>
        </w:rPr>
      </w:pPr>
    </w:p>
    <w:p w:rsidR="005D4964" w:rsidRPr="00D56501" w:rsidRDefault="005D4964">
      <w:pPr>
        <w:spacing w:line="480" w:lineRule="auto"/>
        <w:jc w:val="center"/>
        <w:rPr>
          <w:b/>
          <w:lang w:val="en-US"/>
        </w:rPr>
      </w:pPr>
    </w:p>
    <w:p w:rsidR="005D4964" w:rsidRPr="00D56501" w:rsidRDefault="005D4964">
      <w:pPr>
        <w:spacing w:line="480" w:lineRule="auto"/>
        <w:jc w:val="center"/>
        <w:rPr>
          <w:b/>
          <w:lang w:val="en-US"/>
        </w:rPr>
      </w:pPr>
    </w:p>
    <w:p w:rsidR="005D4964" w:rsidRPr="00D56501" w:rsidRDefault="005D4964">
      <w:pPr>
        <w:spacing w:line="480" w:lineRule="auto"/>
        <w:jc w:val="center"/>
        <w:rPr>
          <w:b/>
          <w:lang w:val="en-US"/>
        </w:rPr>
      </w:pPr>
      <w:bookmarkStart w:id="0" w:name="_heading=h.1fob9te" w:colFirst="0" w:colLast="0"/>
      <w:bookmarkStart w:id="1" w:name="_GoBack"/>
      <w:bookmarkEnd w:id="0"/>
      <w:bookmarkEnd w:id="1"/>
    </w:p>
    <w:p w:rsidR="005D4964" w:rsidRPr="00D56501" w:rsidRDefault="005D4964">
      <w:pPr>
        <w:spacing w:line="480" w:lineRule="auto"/>
        <w:jc w:val="center"/>
        <w:rPr>
          <w:b/>
          <w:lang w:val="en-US"/>
        </w:rPr>
      </w:pPr>
    </w:p>
    <w:p w:rsidR="005D4964" w:rsidRPr="00D56501" w:rsidRDefault="005D4964">
      <w:pPr>
        <w:spacing w:line="480" w:lineRule="auto"/>
        <w:jc w:val="center"/>
        <w:rPr>
          <w:b/>
          <w:lang w:val="en-US"/>
        </w:rPr>
      </w:pPr>
    </w:p>
    <w:p w:rsidR="005D4964" w:rsidRPr="00D56501" w:rsidRDefault="005D4964">
      <w:pPr>
        <w:spacing w:line="480" w:lineRule="auto"/>
        <w:jc w:val="center"/>
        <w:rPr>
          <w:b/>
          <w:lang w:val="en-US"/>
        </w:rPr>
      </w:pPr>
    </w:p>
    <w:p w:rsidR="005D4964" w:rsidRPr="00D56501" w:rsidRDefault="005D4964">
      <w:pPr>
        <w:spacing w:line="480" w:lineRule="auto"/>
        <w:jc w:val="center"/>
        <w:rPr>
          <w:b/>
          <w:lang w:val="en-US"/>
        </w:rPr>
      </w:pPr>
    </w:p>
    <w:p w:rsidR="005D4964" w:rsidRPr="00D56501" w:rsidRDefault="005D4964">
      <w:pPr>
        <w:spacing w:line="480" w:lineRule="auto"/>
        <w:jc w:val="center"/>
        <w:rPr>
          <w:b/>
          <w:lang w:val="en-US"/>
        </w:rPr>
      </w:pPr>
    </w:p>
    <w:p w:rsidR="005D4964" w:rsidRPr="00D56501" w:rsidRDefault="005D4964">
      <w:pPr>
        <w:spacing w:line="480" w:lineRule="auto"/>
        <w:ind w:left="0" w:firstLine="0"/>
        <w:rPr>
          <w:b/>
          <w:lang w:val="en-US"/>
        </w:rPr>
      </w:pPr>
    </w:p>
    <w:p w:rsidR="005D4964" w:rsidRPr="00D56501" w:rsidRDefault="005D4964">
      <w:pPr>
        <w:spacing w:line="480" w:lineRule="auto"/>
        <w:ind w:left="0" w:firstLine="0"/>
        <w:rPr>
          <w:b/>
          <w:lang w:val="en-US"/>
        </w:rPr>
      </w:pPr>
    </w:p>
    <w:p w:rsidR="005D4964" w:rsidRPr="00D56501" w:rsidRDefault="005D4964">
      <w:pPr>
        <w:spacing w:line="480" w:lineRule="auto"/>
        <w:ind w:left="0" w:firstLine="0"/>
        <w:rPr>
          <w:b/>
          <w:lang w:val="en-US"/>
        </w:rPr>
      </w:pPr>
    </w:p>
    <w:p w:rsidR="005D4964" w:rsidRPr="00D56501" w:rsidRDefault="005D4964">
      <w:pPr>
        <w:spacing w:line="480" w:lineRule="auto"/>
        <w:ind w:left="0" w:firstLine="0"/>
        <w:rPr>
          <w:b/>
          <w:lang w:val="en-US"/>
        </w:rPr>
      </w:pPr>
    </w:p>
    <w:p w:rsidR="005D4964" w:rsidRPr="00D56501" w:rsidRDefault="005D4964">
      <w:pPr>
        <w:spacing w:line="480" w:lineRule="auto"/>
        <w:ind w:left="0" w:firstLine="0"/>
        <w:rPr>
          <w:b/>
          <w:lang w:val="en-US"/>
        </w:rPr>
      </w:pPr>
    </w:p>
    <w:p w:rsidR="002E7DEA" w:rsidRPr="00D56501" w:rsidRDefault="002E7DEA" w:rsidP="002E7DEA">
      <w:pPr>
        <w:ind w:left="0" w:firstLine="0"/>
        <w:jc w:val="center"/>
        <w:rPr>
          <w:b/>
          <w:lang w:val="en-US"/>
        </w:rPr>
      </w:pPr>
      <w:r w:rsidRPr="00D56501">
        <w:rPr>
          <w:b/>
          <w:lang w:val="en-US"/>
        </w:rPr>
        <w:t>Abstract</w:t>
      </w:r>
    </w:p>
    <w:p w:rsidR="002E7DEA" w:rsidRPr="00D56501" w:rsidRDefault="002E7DEA" w:rsidP="002E7DEA">
      <w:pPr>
        <w:ind w:firstLine="0"/>
        <w:rPr>
          <w:lang w:val="en-US"/>
        </w:rPr>
      </w:pPr>
      <w:r w:rsidRPr="00D56501">
        <w:rPr>
          <w:b/>
          <w:lang w:val="en-US"/>
        </w:rPr>
        <w:t>Background:</w:t>
      </w:r>
      <w:r w:rsidRPr="00D56501">
        <w:rPr>
          <w:lang w:val="en-US"/>
        </w:rPr>
        <w:t xml:space="preserve"> Confinement has been the most effective strategy to mitigate the number of infections of the SARS-COV-2 virus. However, being in isolation also brings consequences of another order, for example, at the psychosocial level, which may be associated with supplying basic needs, possibilities of conflict, hopelessness, loneliness, and of course, facing changes in routines and the uncertainty that this generates.</w:t>
      </w:r>
    </w:p>
    <w:p w:rsidR="002E7DEA" w:rsidRPr="00D56501" w:rsidRDefault="002E7DEA" w:rsidP="002E7DEA">
      <w:pPr>
        <w:ind w:firstLine="0"/>
        <w:rPr>
          <w:lang w:val="en-US"/>
        </w:rPr>
      </w:pPr>
      <w:r w:rsidRPr="00D56501">
        <w:rPr>
          <w:b/>
          <w:lang w:val="en-US"/>
        </w:rPr>
        <w:t>Objective:</w:t>
      </w:r>
      <w:r w:rsidRPr="00D56501">
        <w:rPr>
          <w:lang w:val="en-US"/>
        </w:rPr>
        <w:t xml:space="preserve"> To identify the impact of confinement by SARS-COV-2 on the psychological and social quality of life.</w:t>
      </w:r>
    </w:p>
    <w:p w:rsidR="002E7DEA" w:rsidRPr="00D56501" w:rsidRDefault="002E7DEA" w:rsidP="002E7DEA">
      <w:pPr>
        <w:ind w:firstLine="0"/>
        <w:rPr>
          <w:lang w:val="en-US"/>
        </w:rPr>
      </w:pPr>
      <w:r w:rsidRPr="00D56501">
        <w:rPr>
          <w:b/>
          <w:lang w:val="en-US"/>
        </w:rPr>
        <w:t>Method:</w:t>
      </w:r>
      <w:r w:rsidRPr="00D56501">
        <w:rPr>
          <w:lang w:val="en-US"/>
        </w:rPr>
        <w:t xml:space="preserve"> Cross-sectional study, where the application of the GHQ12 General Health Questionnaire was carried out in Colombian adults between April and July 2020 through a virtual form on the Google docs platform. Statistical analysis was performed with the Microsoft 365 Excel program (Microsoft corporation, 2007) by means of differential weighting per item according to Likert scale items.</w:t>
      </w:r>
    </w:p>
    <w:p w:rsidR="002E7DEA" w:rsidRPr="00D56501" w:rsidRDefault="002E7DEA" w:rsidP="002E7DEA">
      <w:pPr>
        <w:ind w:firstLine="0"/>
        <w:rPr>
          <w:lang w:val="en-US"/>
        </w:rPr>
      </w:pPr>
      <w:r w:rsidRPr="00D56501">
        <w:rPr>
          <w:b/>
          <w:lang w:val="en-US"/>
        </w:rPr>
        <w:t>Results:</w:t>
      </w:r>
      <w:r w:rsidRPr="00D56501">
        <w:rPr>
          <w:lang w:val="en-US"/>
        </w:rPr>
        <w:t xml:space="preserve"> 1035 Colombian adults who were in preventive isolation during the SARS-COV-2 quarantine, which in general were affected in aspects such as: concentration, sleep, enjoyment of activities among others, with a high self-esteem mismatch.</w:t>
      </w:r>
    </w:p>
    <w:p w:rsidR="002E7DEA" w:rsidRPr="00D56501" w:rsidRDefault="002E7DEA" w:rsidP="002E7DEA">
      <w:pPr>
        <w:ind w:firstLine="0"/>
        <w:rPr>
          <w:lang w:val="en-US"/>
        </w:rPr>
      </w:pPr>
      <w:r w:rsidRPr="00D56501">
        <w:rPr>
          <w:b/>
          <w:lang w:val="en-US"/>
        </w:rPr>
        <w:t>Conclusions:</w:t>
      </w:r>
      <w:r w:rsidRPr="00D56501">
        <w:rPr>
          <w:lang w:val="en-US"/>
        </w:rPr>
        <w:t xml:space="preserve"> The confinement by SARS-COV-2 appeared as an unexpected situation generating a significant impact on the mental health on the Colombian population.</w:t>
      </w:r>
    </w:p>
    <w:p w:rsidR="002E7DEA" w:rsidRPr="00D56501" w:rsidRDefault="002E7DEA" w:rsidP="002E7DEA">
      <w:pPr>
        <w:rPr>
          <w:highlight w:val="yellow"/>
          <w:lang w:val="en-US"/>
        </w:rPr>
      </w:pPr>
    </w:p>
    <w:p w:rsidR="005D4964" w:rsidRDefault="005D4964">
      <w:pPr>
        <w:spacing w:line="480" w:lineRule="auto"/>
        <w:ind w:left="0" w:firstLine="0"/>
        <w:rPr>
          <w:b/>
          <w:lang w:val="en-US"/>
        </w:rPr>
      </w:pPr>
    </w:p>
    <w:p w:rsidR="002E7DEA" w:rsidRDefault="002E7DEA">
      <w:pPr>
        <w:spacing w:line="480" w:lineRule="auto"/>
        <w:ind w:left="0" w:firstLine="0"/>
        <w:rPr>
          <w:b/>
          <w:lang w:val="en-US"/>
        </w:rPr>
      </w:pPr>
    </w:p>
    <w:p w:rsidR="002E7DEA" w:rsidRDefault="002E7DEA">
      <w:pPr>
        <w:spacing w:line="480" w:lineRule="auto"/>
        <w:ind w:left="0" w:firstLine="0"/>
        <w:rPr>
          <w:b/>
          <w:lang w:val="en-US"/>
        </w:rPr>
      </w:pPr>
    </w:p>
    <w:p w:rsidR="002E7DEA" w:rsidRDefault="002E7DEA">
      <w:pPr>
        <w:spacing w:line="480" w:lineRule="auto"/>
        <w:ind w:left="0" w:firstLine="0"/>
        <w:rPr>
          <w:b/>
          <w:lang w:val="en-US"/>
        </w:rPr>
      </w:pPr>
    </w:p>
    <w:p w:rsidR="002E7DEA" w:rsidRDefault="002E7DEA">
      <w:pPr>
        <w:spacing w:line="480" w:lineRule="auto"/>
        <w:ind w:left="0" w:firstLine="0"/>
        <w:rPr>
          <w:b/>
          <w:lang w:val="en-US"/>
        </w:rPr>
      </w:pPr>
    </w:p>
    <w:p w:rsidR="002E7DEA" w:rsidRPr="00D56501" w:rsidRDefault="002E7DEA">
      <w:pPr>
        <w:spacing w:line="480" w:lineRule="auto"/>
        <w:ind w:left="0" w:firstLine="0"/>
        <w:rPr>
          <w:b/>
          <w:lang w:val="en-US"/>
        </w:rPr>
      </w:pPr>
    </w:p>
    <w:p w:rsidR="005D4964" w:rsidRDefault="00C052FA">
      <w:pPr>
        <w:jc w:val="center"/>
        <w:rPr>
          <w:b/>
        </w:rPr>
      </w:pPr>
      <w:r>
        <w:rPr>
          <w:b/>
        </w:rPr>
        <w:lastRenderedPageBreak/>
        <w:t>Resumen</w:t>
      </w:r>
    </w:p>
    <w:p w:rsidR="005D4964" w:rsidRDefault="00C052FA">
      <w:pPr>
        <w:ind w:firstLine="0"/>
      </w:pPr>
      <w:r>
        <w:rPr>
          <w:b/>
        </w:rPr>
        <w:t>Antecedentes:</w:t>
      </w:r>
      <w:r>
        <w:t xml:space="preserve"> El confinamiento ha sido la más efectiva de las estrategias para mitigar el número de contagios del virus SARS- COV-2. Sin embargo, estar en aislamiento también trae consecuencias de otro orden, por ejemplo, a nivel psicosocial, que p</w:t>
      </w:r>
      <w:r>
        <w:t xml:space="preserve">ueden estar asociados a abastecer las necesidades básicas, posibilidades de conflicto, desesperanza, soledad, y por supuesto frente a los cambios en las rutinas y la incertidumbre que ello genera. </w:t>
      </w:r>
    </w:p>
    <w:p w:rsidR="005D4964" w:rsidRDefault="00C052FA">
      <w:pPr>
        <w:ind w:firstLine="0"/>
      </w:pPr>
      <w:r>
        <w:rPr>
          <w:b/>
        </w:rPr>
        <w:t>Objetivo</w:t>
      </w:r>
      <w:r>
        <w:t>: Identificar el impacto del confinamiento por SAR</w:t>
      </w:r>
      <w:r>
        <w:t xml:space="preserve">S-COV-2 en la calidad de vida psicológica y social. </w:t>
      </w:r>
    </w:p>
    <w:p w:rsidR="005D4964" w:rsidRDefault="00C052FA">
      <w:pPr>
        <w:ind w:firstLine="0"/>
      </w:pPr>
      <w:r>
        <w:rPr>
          <w:b/>
        </w:rPr>
        <w:t>Método:</w:t>
      </w:r>
      <w:r>
        <w:t xml:space="preserve"> Estudio de corte transversal. Se realizó la aplicación del Cuestionario de Salud General GHQ12 en adultos colombianos entre abril y julio de 2020 a través de un formulario virtual en la plataforma Google docs.  El análisis estadístico se realizó con el pr</w:t>
      </w:r>
      <w:r>
        <w:t xml:space="preserve">ograma  Excel de Microsoft 365 (Microsoft corporation, 2007) por medio de ponderación diferencial por reactivo según ítems de escala Likert. </w:t>
      </w:r>
    </w:p>
    <w:p w:rsidR="005D4964" w:rsidRDefault="00C052FA">
      <w:pPr>
        <w:ind w:firstLine="0"/>
      </w:pPr>
      <w:r>
        <w:rPr>
          <w:b/>
        </w:rPr>
        <w:t>Resultados:</w:t>
      </w:r>
      <w:r>
        <w:rPr>
          <w:b/>
          <w:i/>
        </w:rPr>
        <w:t xml:space="preserve"> </w:t>
      </w:r>
      <w:r>
        <w:t xml:space="preserve">1035 personas adultas colombianas que se encontraban en aislamiento preventivo durante el marco de la </w:t>
      </w:r>
      <w:r>
        <w:t xml:space="preserve">cuarentena por SARS-COV-2, que en general se vieron afectados en aspectos como:  la concentración, el sueño, el disfrute de actividades entre otras, con un alto desajuste en autoestima. </w:t>
      </w:r>
    </w:p>
    <w:p w:rsidR="005D4964" w:rsidRDefault="00C052FA">
      <w:pPr>
        <w:ind w:firstLine="0"/>
      </w:pPr>
      <w:r>
        <w:rPr>
          <w:b/>
        </w:rPr>
        <w:t>Conclusiones:</w:t>
      </w:r>
      <w:r>
        <w:t xml:space="preserve"> El confinamiento por SARS-COV-2 se presentó como una si</w:t>
      </w:r>
      <w:r>
        <w:t xml:space="preserve">tuación inesperada generando una afectación importante en la salud mental de la población colombiana. </w:t>
      </w:r>
    </w:p>
    <w:p w:rsidR="005D4964" w:rsidRPr="00D56501" w:rsidRDefault="005D4964">
      <w:pPr>
        <w:ind w:left="0" w:firstLine="0"/>
        <w:rPr>
          <w:b/>
          <w:lang w:val="en-US"/>
        </w:rPr>
      </w:pPr>
    </w:p>
    <w:p w:rsidR="005D4964" w:rsidRDefault="00C052FA">
      <w:pPr>
        <w:jc w:val="center"/>
        <w:rPr>
          <w:b/>
        </w:rPr>
      </w:pPr>
      <w:r>
        <w:rPr>
          <w:b/>
        </w:rPr>
        <w:t>IMPACTO DEL CONFINAMIENTO POR SARS-COV 2 EN CALIDAD DE VIDA PSICOLÓGICA EN LOS COLOMBIANOS: UN</w:t>
      </w:r>
      <w:r>
        <w:rPr>
          <w:b/>
        </w:rPr>
        <w:t xml:space="preserve"> ESTUDIO CUANTITATIVO. </w:t>
      </w:r>
    </w:p>
    <w:p w:rsidR="005D4964" w:rsidRDefault="005D4964">
      <w:pPr>
        <w:jc w:val="center"/>
        <w:rPr>
          <w:b/>
        </w:rPr>
      </w:pPr>
    </w:p>
    <w:p w:rsidR="005D4964" w:rsidRDefault="00C052FA">
      <w:bookmarkStart w:id="2" w:name="_heading=h.gjdgxs" w:colFirst="0" w:colLast="0"/>
      <w:bookmarkEnd w:id="2"/>
      <w:r>
        <w:t>La Organización Mundial de la Salud – OMS (2020) define el COVID-19 como una amplia familia de virus que causa afecciones respiratorias, como tos, disnea o dificultad para respirar y en casos más graves puede causar neumonía, insuf</w:t>
      </w:r>
      <w:r>
        <w:t xml:space="preserve">iciencia renal y hasta la muerte; su aparición ha afectado de manera general a los seres humanos de </w:t>
      </w:r>
      <w:r>
        <w:lastRenderedPageBreak/>
        <w:t xml:space="preserve">todos los grupos etarios: (adultos, adolescentes y niños), dificultando el disfrutar de espacios de socialización en contextos diferentes al familiar. Como </w:t>
      </w:r>
      <w:r>
        <w:t xml:space="preserve">lo menciona el Ministerio de Salud y Protección Social de Colombia (2020) este virus también es conocido como Coronavirus (Cov) que surge periódicamente en diversas partes del mundo, es originario de una fuente animal y a medida que avanza el tiempo se ha </w:t>
      </w:r>
      <w:r>
        <w:t xml:space="preserve"> transmitido de persona a persona.</w:t>
      </w:r>
    </w:p>
    <w:p w:rsidR="005D4964" w:rsidRDefault="00C052FA">
      <w:r>
        <w:t>Para Rubio, Badia, Mora, Quirós, Rodríguez y Balibrea (2020) la pandemia actual por el síndrome respiratorio agudo severo por coronavirus (SARS-COV-2 por sus siglas en inglés) es una situación sin precedentes a nivel mund</w:t>
      </w:r>
      <w:r>
        <w:t>ial, en especial para los sistemas hospitalarios los cuales se han encontrado colapsados por la alta incidencia de casos,  lo que hizo necesario realizar una reorganización en las estructuras hospitalarias y distribución de recursos económicos para el trat</w:t>
      </w:r>
      <w:r>
        <w:t>amiento de los pacientes con COVID-19; es por esto y con la finalidad de evitar las altas incidencias de casos, que el estado se vio obligado a tomar medidas de aislamiento social, restricción en movilidad y contacto con los demás, las cuales  han sido efe</w:t>
      </w:r>
      <w:r>
        <w:t xml:space="preserve">ctivas para disminuir la propagación del virus, como el caso de Colombia que por medio del Decreto 457 de 2020, se </w:t>
      </w:r>
      <w:r>
        <w:rPr>
          <w:color w:val="000000"/>
        </w:rPr>
        <w:t xml:space="preserve">ordenó el alistamiento preventivo obligatorio de todas las personas que habitan la República, a partir de las (00:00 am) del día 25 de marzo </w:t>
      </w:r>
      <w:r>
        <w:rPr>
          <w:color w:val="000000"/>
        </w:rPr>
        <w:t>de 2020, con el fin de prevenir el contagio masivo y mantener el orden público; dichas medidas</w:t>
      </w:r>
      <w:r>
        <w:t xml:space="preserve"> pueden afectar la salud mental como se ha demostrado en estudios relacionados, en las cuales se ha identificado que estos no solo generan afectaciones físicas, t</w:t>
      </w:r>
      <w:r>
        <w:t>ambién  psicológicas, los pacientes con SARS tienden a manifestar síntomas relacionados con estrés postraumático, ansiedad y depresión; además, se ha encontrado que estos síntomas no solo se presentan en pacientes, también en profesionales de la salud, com</w:t>
      </w:r>
      <w:r>
        <w:t>o en el población en general (Vindegaard &amp; Eriksen, 2020), no solo como respuesta a la enfermedad si no a las medidas asumidas por los gobiernos; Shigemura (Citado en Ûosiü</w:t>
      </w:r>
      <w:r>
        <w:rPr>
          <w:highlight w:val="white"/>
        </w:rPr>
        <w:t xml:space="preserve">, Popoviü ,  Šarlija , </w:t>
      </w:r>
      <w:hyperlink r:id="rId7">
        <w:r>
          <w:rPr>
            <w:highlight w:val="white"/>
          </w:rPr>
          <w:t>Kesedžiü</w:t>
        </w:r>
      </w:hyperlink>
      <w:r>
        <w:rPr>
          <w:color w:val="1155CC"/>
        </w:rPr>
        <w:t xml:space="preserve"> </w:t>
      </w:r>
      <w:r>
        <w:t>, 2020) identificó que las respuestas más comunes ante la pandemia son: menor percepción del estado de salud y conductas impulsadas por la percepción de miedo y angustia social; percepciones que para algunos ti</w:t>
      </w:r>
      <w:r>
        <w:t>enden a ser distorsionadas pero coherentes con las reacciones provocadas por el miedo; es así que la mayor parte de la población tiende a experimentar síntomas como insomnio e ira, conductas de riesgo, aumento del consumo de tabaco y alcohol, además de tra</w:t>
      </w:r>
      <w:r>
        <w:t xml:space="preserve">stornos de la salud mental. </w:t>
      </w:r>
      <w:r w:rsidR="002E7DEA">
        <w:rPr>
          <w:highlight w:val="white"/>
        </w:rPr>
        <w:t>A</w:t>
      </w:r>
      <w:r>
        <w:rPr>
          <w:highlight w:val="white"/>
        </w:rPr>
        <w:t xml:space="preserve">dicional a esto </w:t>
      </w:r>
      <w:r w:rsidR="002E7DEA">
        <w:t xml:space="preserve">Mera, Tabares, Montoya, </w:t>
      </w:r>
      <w:r>
        <w:t xml:space="preserve">Muñoz y Monsalve (2020) refieren que el aislamiento ha traído un panorama de cambio </w:t>
      </w:r>
      <w:r>
        <w:lastRenderedPageBreak/>
        <w:t>de rutinas en tod</w:t>
      </w:r>
      <w:r>
        <w:t>os los ámbitos, familiar, académico, laboral y social, pero en especial en las rutinas de descanso y sueño, las cuales se vieron alteradas en el aumento de horas de descanso y la disminución de estadios del sueño, que es asociado a los factores de salud me</w:t>
      </w:r>
      <w:r>
        <w:t>ntal ya mencionados como respuesta al cambio.</w:t>
      </w:r>
    </w:p>
    <w:p w:rsidR="005D4964" w:rsidRDefault="00C052FA">
      <w:pPr>
        <w:rPr>
          <w:highlight w:val="white"/>
        </w:rPr>
      </w:pPr>
      <w:r>
        <w:t xml:space="preserve">Dicho fenómeno de salud mental fue estudiado en las primeras fases de contagio </w:t>
      </w:r>
      <w:r>
        <w:rPr>
          <w:highlight w:val="white"/>
        </w:rPr>
        <w:t xml:space="preserve">del 31 de enero al 2 de febrero para lo cual </w:t>
      </w:r>
      <w:r>
        <w:t>se realizó una encuesta online que se aplicó en 194 ciudades de China, con el fin de e</w:t>
      </w:r>
      <w:r>
        <w:t xml:space="preserve">valuar el impacto psicológico y el estado de salud mental mediante Impact of Event Scale-Revised y Depression, Anxiety and Stress Scale, los resultados arrojaron que </w:t>
      </w:r>
      <w:r>
        <w:rPr>
          <w:highlight w:val="white"/>
        </w:rPr>
        <w:t>53,8% de los encuestados percibían el impacto psicológico del virus como moderado o severo</w:t>
      </w:r>
      <w:r>
        <w:rPr>
          <w:highlight w:val="white"/>
        </w:rPr>
        <w:t>; por otro lado el 16,5% presentaron síntomas depresivos moderados a graves; mientras que el 28,8% presentaron síntomas moderados a graves de ansiedad; finalmente el 8,1% informo niveles moderado a severo de ansiedad (Wang</w:t>
      </w:r>
      <w:r>
        <w:t xml:space="preserve"> et al, 2020). Por otro lado para </w:t>
      </w:r>
      <w:r>
        <w:t>Ramírez, Castro, Lerma, Yela y Escobar (2020) la incidencia en trastornos mentales en los pacientes recuperados en Hong Kong se distribuye de la siguiente manera: 44% trastornos depresivos; 47.8% Trastorno Estrés Postraumático en algún  momento después del</w:t>
      </w:r>
      <w:r>
        <w:t xml:space="preserve"> brote; 13,3% trastorno de pánico; 6.6% agorafobia y 1.1% fobia social; demostrando que incluso en los primeros momentos de la pandemia, la salud mental se estaba viendo fuertemente afectada incluso cuando la humanidad desconocía los alcances de la enferme</w:t>
      </w:r>
      <w:r>
        <w:t xml:space="preserve">dad; es por esto que el Ministerio de Salud y Protección Social  de Colombia </w:t>
      </w:r>
      <w:r>
        <w:rPr>
          <w:highlight w:val="white"/>
        </w:rPr>
        <w:t>(2018) explica que</w:t>
      </w:r>
      <w:r>
        <w:t xml:space="preserve"> </w:t>
      </w:r>
      <w:r>
        <w:rPr>
          <w:highlight w:val="white"/>
        </w:rPr>
        <w:t>los cuidados de la salud mental deben apuntar a la resignificación de acontecimientos por parte de la persona afectada, la satisfacción de sus necesidades, pote</w:t>
      </w:r>
      <w:r>
        <w:rPr>
          <w:highlight w:val="white"/>
        </w:rPr>
        <w:t>nciación de sus capacidades ofreciendo las herramientas que requiere para ello, así como las oportunidades para ponerlas en acción; promoviendo la autonomía de acuerdo con las características del contexto y las situaciones a las cuales se enfrenta.</w:t>
      </w:r>
    </w:p>
    <w:p w:rsidR="005D4964" w:rsidRDefault="005D4964">
      <w:pPr>
        <w:rPr>
          <w:b/>
        </w:rPr>
      </w:pPr>
    </w:p>
    <w:p w:rsidR="005D4964" w:rsidRDefault="00C052FA">
      <w:pPr>
        <w:ind w:firstLine="0"/>
        <w:jc w:val="center"/>
        <w:rPr>
          <w:b/>
        </w:rPr>
      </w:pPr>
      <w:r>
        <w:rPr>
          <w:b/>
        </w:rPr>
        <w:t>Método</w:t>
      </w:r>
      <w:r>
        <w:rPr>
          <w:b/>
        </w:rPr>
        <w:t>s</w:t>
      </w:r>
    </w:p>
    <w:p w:rsidR="005D4964" w:rsidRDefault="00C052FA">
      <w:pPr>
        <w:ind w:firstLine="0"/>
      </w:pPr>
      <w:r>
        <w:rPr>
          <w:b/>
          <w:i/>
        </w:rPr>
        <w:t xml:space="preserve">Diseño: </w:t>
      </w:r>
      <w:r>
        <w:t>Investigación con enfoque cuantitativo de corte transversal de alcance exploratorio.</w:t>
      </w:r>
    </w:p>
    <w:p w:rsidR="005D4964" w:rsidRDefault="00C052FA">
      <w:pPr>
        <w:ind w:firstLine="0"/>
      </w:pPr>
      <w:r>
        <w:rPr>
          <w:b/>
          <w:i/>
        </w:rPr>
        <w:t xml:space="preserve">Participantes: </w:t>
      </w:r>
      <w:r>
        <w:t xml:space="preserve">1035 personas adultas colombianas que se encontraban en aislamiento preventivo durante el marco de la cuarentena por SARS-COV-2. Fueron excluídos </w:t>
      </w:r>
      <w:r>
        <w:t xml:space="preserve">del </w:t>
      </w:r>
      <w:r>
        <w:lastRenderedPageBreak/>
        <w:t>estudio hombres y mujeres que se encontraban trabajando en modalidad presencial durante el marco de la cuarentena y participantes menores de edad.</w:t>
      </w:r>
    </w:p>
    <w:p w:rsidR="005D4964" w:rsidRDefault="00C052FA">
      <w:pPr>
        <w:ind w:firstLine="0"/>
      </w:pPr>
      <w:r>
        <w:rPr>
          <w:b/>
          <w:i/>
        </w:rPr>
        <w:t xml:space="preserve">Instrumentos: </w:t>
      </w:r>
      <w:r>
        <w:t xml:space="preserve">Se creó un formulario de Google que contiene el consentimiento informado en donde los participantes aceptaron su participación en la investigación, con pleno conocimiento de los procedimientos, beneficios y riesgos a los que se someterían; por otra parte, </w:t>
      </w:r>
      <w:r>
        <w:t xml:space="preserve">el cuestionario general de salud GHQ 12, el cual es un test autoadministrado que detecta los trastornos psiquiátricos no psicóticos para medir la salud mental de las personas. </w:t>
      </w:r>
    </w:p>
    <w:p w:rsidR="005D4964" w:rsidRDefault="00C052FA">
      <w:pPr>
        <w:ind w:firstLine="0"/>
      </w:pPr>
      <w:r>
        <w:t>La versión de 12 ítems del GHQ 12 ha sido adaptada a 38 idiomas, dentro de ésto</w:t>
      </w:r>
      <w:r>
        <w:t>s incluido el español; esta escala consiste en 12 preguntas que deben ser respondidas escogiendo una de las posibles opciones planteadas en escala tipo Likert (mejor que lo habitual, igual que lo habitual, menos que lo habitual, mucho menos que lo habitual</w:t>
      </w:r>
      <w:r>
        <w:t xml:space="preserve"> o no, en absoluto, no más que lo habitual, bastante más que lo habitual, mucho más que lo habitual). Se utiliza con la intención de detectar los trastornos mentales recientes, ya que se indaga por la existencia de molestias o trastornos y cómo se ha encon</w:t>
      </w:r>
      <w:r>
        <w:t>trado el participante de salud en las últimas dos semanas. La puntuación total se calcula sumando las puntuaciones obtenidas en todos los enunciados de la escala (entre más alta la puntuación, menor nivel de salud mental) (Brabete, 2014).</w:t>
      </w:r>
    </w:p>
    <w:p w:rsidR="005D4964" w:rsidRDefault="00C052FA">
      <w:pPr>
        <w:ind w:firstLine="0"/>
      </w:pPr>
      <w:r>
        <w:rPr>
          <w:b/>
          <w:i/>
        </w:rPr>
        <w:t>Procedimiento:</w:t>
      </w:r>
      <w:r>
        <w:t xml:space="preserve"> Se</w:t>
      </w:r>
      <w:r>
        <w:t xml:space="preserve"> aplicó el instrumento a través de medios virtuales y por medio de los mismos se explicó previamente a los participantes el objetivo del estudio, cuáles eran los posibles riesgos y beneficios de su participación en éste, se dejó claridad de que sus datos p</w:t>
      </w:r>
      <w:r>
        <w:t>ersonales serán protegidos y que no serán difundidos para ningún fin.</w:t>
      </w:r>
    </w:p>
    <w:p w:rsidR="005D4964" w:rsidRDefault="00C052FA">
      <w:pPr>
        <w:ind w:left="0" w:firstLine="0"/>
      </w:pPr>
      <w:r>
        <w:t>Una vez las personas aceptaron su participación, los datos fueron almacenados en un archivo en el programa Excel de Microsoft 365 (Microsoft Corporation, 2007) protegido con una clave en</w:t>
      </w:r>
      <w:r>
        <w:t xml:space="preserve">criptada a la cual sólo los investigadores tuvieron acceso. La información se recolectó entre abril y julio de 2020. Todos los participantes dieron su aceptación en el consentimiento informado previamente a responder el formulario. </w:t>
      </w:r>
    </w:p>
    <w:p w:rsidR="005D4964" w:rsidRDefault="00C052FA">
      <w:pPr>
        <w:ind w:firstLine="0"/>
      </w:pPr>
      <w:r>
        <w:rPr>
          <w:b/>
          <w:i/>
        </w:rPr>
        <w:t xml:space="preserve">Análisis estadístico de datos: </w:t>
      </w:r>
      <w:r>
        <w:t>Los datos se recolectaron en una matriz de Excel de Microsoft 365 (Microsoft corporation, 2007) para posteriormente ser analizados. En primera instancia, se obtuvo la puntuación de cada pregunta transformada en una puntuación</w:t>
      </w:r>
      <w:r>
        <w:t xml:space="preserve"> dicotómica según la escala de Likert de cuatro puntos (0 -1-2-3) y en segunda instancia se determinó el análisis estadístico por ponderación diferencial por reactivos y </w:t>
      </w:r>
      <w:r>
        <w:lastRenderedPageBreak/>
        <w:t>finalmente se calculó la frecuencia de cada uno de los ítems del cuestionario de salud</w:t>
      </w:r>
      <w:r>
        <w:t xml:space="preserve"> general GHQ 12. </w:t>
      </w:r>
    </w:p>
    <w:p w:rsidR="005D4964" w:rsidRDefault="00C052FA">
      <w:pPr>
        <w:ind w:firstLine="0"/>
      </w:pPr>
      <w:r>
        <w:rPr>
          <w:b/>
          <w:i/>
        </w:rPr>
        <w:t xml:space="preserve">Consideraciones éticas: </w:t>
      </w:r>
      <w:r>
        <w:t>Se declara que según el Artículo 11 de la Resolución 008430 de 1993 del Ministerio de Salud colombiano, la presente investigación de acuerdo a las categorías presenta un riesgo mínimo, puesto que se hizo recolecció</w:t>
      </w:r>
      <w:r>
        <w:t>n de datos a través de un formulario virtual, el cual contiene el consentimiento informado, en donde los participantes aceptaron su participación en la investigación, con pleno conocimiento de la naturaleza de los procedimientos, beneficios y riesgos a que</w:t>
      </w:r>
      <w:r>
        <w:t xml:space="preserve"> los que se someterían.</w:t>
      </w:r>
    </w:p>
    <w:p w:rsidR="005D4964" w:rsidRDefault="00C052FA">
      <w:pPr>
        <w:ind w:firstLine="0"/>
      </w:pPr>
      <w:r>
        <w:t>En cumplimiento del Artículo 10 del Decreto 1377 de 201316, que reglamenta el régimen general de protección de datos personales, se informó a los participantes que los datos no serán compartidos ni entregados a terceros para fines c</w:t>
      </w:r>
      <w:r>
        <w:t>omerciales o de otra índole y se guarda la debida confidencialidad de la información recolectada. Los datos fueron manejados sólo por los investigadores vinculados a  la Corporación Universitaria Iberoamericana bajo una clave encriptada de alta seguridad p</w:t>
      </w:r>
      <w:r>
        <w:t>ara su protección.</w:t>
      </w:r>
    </w:p>
    <w:p w:rsidR="005D4964" w:rsidRDefault="00C052FA">
      <w:pPr>
        <w:ind w:firstLine="0"/>
      </w:pPr>
      <w:r>
        <w:t xml:space="preserve">El presente estudio se encuentra regido por la legislación internacional basada en el Protocolo de Helsinki, la Declaración Universal sobre Bioética y Derechos Humanos (2005) y por la legislación colombiana (Resolución 8430 de 1993; Ley </w:t>
      </w:r>
      <w:r>
        <w:t>1090 de 2006).  El protocolo del estudio fue aprobado por el Comité de Ética de la Corporación Universitaria Iberoamericana en el marco del proyecto 202010D03.</w:t>
      </w:r>
    </w:p>
    <w:p w:rsidR="005D4964" w:rsidRDefault="005D4964">
      <w:pPr>
        <w:ind w:firstLine="0"/>
      </w:pPr>
    </w:p>
    <w:p w:rsidR="005D4964" w:rsidRDefault="00C052FA">
      <w:pPr>
        <w:ind w:firstLine="0"/>
        <w:jc w:val="center"/>
        <w:rPr>
          <w:b/>
        </w:rPr>
      </w:pPr>
      <w:r>
        <w:rPr>
          <w:b/>
        </w:rPr>
        <w:t>Resultados</w:t>
      </w:r>
    </w:p>
    <w:p w:rsidR="005D4964" w:rsidRDefault="00C052FA">
      <w:r>
        <w:t>Se logró recolectar una muestra final de 1035 participantes colombianos, donde su pa</w:t>
      </w:r>
      <w:r>
        <w:t xml:space="preserve">rticipación fue estricta con los criterios de inclusión, como ser mayores de edad y aceptar las consideraciones éticas. </w:t>
      </w:r>
    </w:p>
    <w:p w:rsidR="005D4964" w:rsidRDefault="00C052FA" w:rsidP="002E7DEA">
      <w:r>
        <w:t>Como se puede observar en la tabla 1, dentro de las características sociodemográficas se identificó que la mayoría de los participantes</w:t>
      </w:r>
      <w:r>
        <w:t xml:space="preserve"> se encontraron en el rango entre los 18 a 23 años de edad, siendo la mediana 27 años. El 67% eran mujeres (n= 689). El nivel de estudio más frecuente entre los participantes fue el universitario con un 68% (n=706) y el estado civil soltero con el 60% (n=6</w:t>
      </w:r>
      <w:r>
        <w:t>20).</w:t>
      </w:r>
    </w:p>
    <w:p w:rsidR="005D4964" w:rsidRDefault="00C052FA">
      <w:pPr>
        <w:spacing w:before="240" w:after="240"/>
        <w:ind w:left="0" w:firstLine="0"/>
        <w:jc w:val="center"/>
      </w:pPr>
      <w:r>
        <w:rPr>
          <w:b/>
          <w:sz w:val="20"/>
          <w:szCs w:val="20"/>
        </w:rPr>
        <w:t xml:space="preserve">Tabla 1. </w:t>
      </w:r>
      <w:r>
        <w:rPr>
          <w:sz w:val="20"/>
          <w:szCs w:val="20"/>
        </w:rPr>
        <w:t>Características sociodemográficas de los participantes.</w:t>
      </w:r>
    </w:p>
    <w:tbl>
      <w:tblPr>
        <w:tblStyle w:val="a3"/>
        <w:tblW w:w="84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570"/>
        <w:gridCol w:w="1860"/>
        <w:gridCol w:w="3030"/>
      </w:tblGrid>
      <w:tr w:rsidR="005D4964">
        <w:trPr>
          <w:trHeight w:val="669"/>
        </w:trPr>
        <w:tc>
          <w:tcPr>
            <w:tcW w:w="3570" w:type="dxa"/>
            <w:tcBorders>
              <w:top w:val="single" w:sz="8" w:space="0" w:color="666666"/>
              <w:left w:val="nil"/>
              <w:bottom w:val="single" w:sz="8" w:space="0" w:color="666666"/>
              <w:right w:val="nil"/>
            </w:tcBorders>
            <w:tcMar>
              <w:top w:w="100" w:type="dxa"/>
              <w:left w:w="100" w:type="dxa"/>
              <w:bottom w:w="100" w:type="dxa"/>
              <w:right w:w="100" w:type="dxa"/>
            </w:tcMar>
          </w:tcPr>
          <w:p w:rsidR="005D4964" w:rsidRDefault="00C052FA">
            <w:pPr>
              <w:spacing w:before="240" w:after="0"/>
              <w:ind w:left="-100" w:firstLine="0"/>
              <w:jc w:val="center"/>
              <w:rPr>
                <w:b/>
                <w:sz w:val="20"/>
                <w:szCs w:val="20"/>
              </w:rPr>
            </w:pPr>
            <w:r>
              <w:rPr>
                <w:b/>
                <w:sz w:val="20"/>
                <w:szCs w:val="20"/>
              </w:rPr>
              <w:lastRenderedPageBreak/>
              <w:t>Características de los participantes</w:t>
            </w:r>
          </w:p>
        </w:tc>
        <w:tc>
          <w:tcPr>
            <w:tcW w:w="1860" w:type="dxa"/>
            <w:tcBorders>
              <w:top w:val="single" w:sz="8" w:space="0" w:color="666666"/>
              <w:left w:val="nil"/>
              <w:bottom w:val="single" w:sz="8" w:space="0" w:color="666666"/>
              <w:right w:val="nil"/>
            </w:tcBorders>
            <w:tcMar>
              <w:top w:w="100" w:type="dxa"/>
              <w:left w:w="100" w:type="dxa"/>
              <w:bottom w:w="100" w:type="dxa"/>
              <w:right w:w="100" w:type="dxa"/>
            </w:tcMar>
          </w:tcPr>
          <w:p w:rsidR="005D4964" w:rsidRDefault="00C052FA">
            <w:pPr>
              <w:spacing w:before="240" w:after="0"/>
              <w:ind w:left="0" w:right="100" w:firstLine="0"/>
              <w:jc w:val="center"/>
              <w:rPr>
                <w:b/>
                <w:sz w:val="20"/>
                <w:szCs w:val="20"/>
              </w:rPr>
            </w:pPr>
            <w:r>
              <w:rPr>
                <w:b/>
                <w:sz w:val="20"/>
                <w:szCs w:val="20"/>
              </w:rPr>
              <w:t>[n (%)]</w:t>
            </w:r>
          </w:p>
        </w:tc>
        <w:tc>
          <w:tcPr>
            <w:tcW w:w="3030" w:type="dxa"/>
            <w:tcBorders>
              <w:top w:val="single" w:sz="8" w:space="0" w:color="666666"/>
              <w:left w:val="nil"/>
              <w:bottom w:val="single" w:sz="8" w:space="0" w:color="666666"/>
              <w:right w:val="nil"/>
            </w:tcBorders>
            <w:tcMar>
              <w:top w:w="100" w:type="dxa"/>
              <w:left w:w="100" w:type="dxa"/>
              <w:bottom w:w="100" w:type="dxa"/>
              <w:right w:w="100" w:type="dxa"/>
            </w:tcMar>
          </w:tcPr>
          <w:p w:rsidR="005D4964" w:rsidRDefault="00C052FA">
            <w:pPr>
              <w:spacing w:before="240"/>
              <w:ind w:left="0" w:right="100" w:firstLine="0"/>
              <w:jc w:val="center"/>
              <w:rPr>
                <w:b/>
                <w:sz w:val="20"/>
                <w:szCs w:val="20"/>
              </w:rPr>
            </w:pPr>
            <w:r>
              <w:rPr>
                <w:b/>
                <w:sz w:val="20"/>
                <w:szCs w:val="20"/>
              </w:rPr>
              <w:t>IC (95%)</w:t>
            </w:r>
          </w:p>
        </w:tc>
      </w:tr>
      <w:tr w:rsidR="005D4964">
        <w:trPr>
          <w:trHeight w:val="594"/>
        </w:trPr>
        <w:tc>
          <w:tcPr>
            <w:tcW w:w="3570" w:type="dxa"/>
            <w:tcBorders>
              <w:top w:val="nil"/>
              <w:left w:val="nil"/>
              <w:bottom w:val="single" w:sz="8" w:space="0" w:color="666666"/>
              <w:right w:val="nil"/>
            </w:tcBorders>
            <w:tcMar>
              <w:top w:w="100" w:type="dxa"/>
              <w:left w:w="100" w:type="dxa"/>
              <w:bottom w:w="100" w:type="dxa"/>
              <w:right w:w="100" w:type="dxa"/>
            </w:tcMar>
          </w:tcPr>
          <w:p w:rsidR="005D4964" w:rsidRDefault="00C052FA">
            <w:pPr>
              <w:spacing w:before="240"/>
              <w:ind w:left="0" w:right="100" w:firstLine="0"/>
              <w:jc w:val="center"/>
              <w:rPr>
                <w:b/>
                <w:i/>
                <w:sz w:val="20"/>
                <w:szCs w:val="20"/>
              </w:rPr>
            </w:pPr>
            <w:r>
              <w:rPr>
                <w:b/>
                <w:i/>
                <w:sz w:val="20"/>
                <w:szCs w:val="20"/>
              </w:rPr>
              <w:t>Rango de edad</w:t>
            </w:r>
          </w:p>
        </w:tc>
        <w:tc>
          <w:tcPr>
            <w:tcW w:w="1860" w:type="dxa"/>
            <w:tcBorders>
              <w:top w:val="nil"/>
              <w:left w:val="nil"/>
              <w:bottom w:val="single" w:sz="8" w:space="0" w:color="666666"/>
              <w:right w:val="nil"/>
            </w:tcBorders>
            <w:tcMar>
              <w:top w:w="100" w:type="dxa"/>
              <w:left w:w="100" w:type="dxa"/>
              <w:bottom w:w="100" w:type="dxa"/>
              <w:right w:w="100" w:type="dxa"/>
            </w:tcMar>
          </w:tcPr>
          <w:p w:rsidR="005D4964" w:rsidRDefault="00C052FA">
            <w:pPr>
              <w:spacing w:before="240"/>
              <w:ind w:left="0" w:right="100" w:firstLine="0"/>
              <w:jc w:val="center"/>
              <w:rPr>
                <w:sz w:val="20"/>
                <w:szCs w:val="20"/>
              </w:rPr>
            </w:pPr>
            <w:r>
              <w:rPr>
                <w:sz w:val="20"/>
                <w:szCs w:val="20"/>
              </w:rPr>
              <w:t xml:space="preserve"> </w:t>
            </w:r>
          </w:p>
        </w:tc>
        <w:tc>
          <w:tcPr>
            <w:tcW w:w="3030" w:type="dxa"/>
            <w:tcBorders>
              <w:top w:val="nil"/>
              <w:left w:val="nil"/>
              <w:bottom w:val="single" w:sz="8" w:space="0" w:color="666666"/>
              <w:right w:val="nil"/>
            </w:tcBorders>
            <w:tcMar>
              <w:top w:w="100" w:type="dxa"/>
              <w:left w:w="100" w:type="dxa"/>
              <w:bottom w:w="100" w:type="dxa"/>
              <w:right w:w="100" w:type="dxa"/>
            </w:tcMar>
          </w:tcPr>
          <w:p w:rsidR="005D4964" w:rsidRDefault="00C052FA">
            <w:pPr>
              <w:spacing w:before="240"/>
              <w:ind w:left="0" w:right="100" w:firstLine="0"/>
              <w:jc w:val="center"/>
              <w:rPr>
                <w:sz w:val="20"/>
                <w:szCs w:val="20"/>
              </w:rPr>
            </w:pPr>
            <w:r>
              <w:rPr>
                <w:sz w:val="20"/>
                <w:szCs w:val="20"/>
              </w:rPr>
              <w:t xml:space="preserve"> </w:t>
            </w:r>
          </w:p>
        </w:tc>
      </w:tr>
      <w:tr w:rsidR="005D4964">
        <w:trPr>
          <w:trHeight w:val="2760"/>
        </w:trPr>
        <w:tc>
          <w:tcPr>
            <w:tcW w:w="3570" w:type="dxa"/>
            <w:tcBorders>
              <w:top w:val="nil"/>
              <w:left w:val="nil"/>
              <w:bottom w:val="single" w:sz="8" w:space="0" w:color="666666"/>
              <w:right w:val="nil"/>
            </w:tcBorders>
            <w:tcMar>
              <w:top w:w="100" w:type="dxa"/>
              <w:left w:w="100" w:type="dxa"/>
              <w:bottom w:w="100" w:type="dxa"/>
              <w:right w:w="100" w:type="dxa"/>
            </w:tcMar>
          </w:tcPr>
          <w:p w:rsidR="005D4964" w:rsidRDefault="00C052FA">
            <w:pPr>
              <w:spacing w:before="240"/>
              <w:ind w:left="0" w:right="100" w:firstLine="0"/>
              <w:jc w:val="center"/>
              <w:rPr>
                <w:sz w:val="20"/>
                <w:szCs w:val="20"/>
              </w:rPr>
            </w:pPr>
            <w:r>
              <w:rPr>
                <w:sz w:val="20"/>
                <w:szCs w:val="20"/>
              </w:rPr>
              <w:t>De 18 a 30</w:t>
            </w:r>
          </w:p>
          <w:p w:rsidR="005D4964" w:rsidRDefault="00C052FA">
            <w:pPr>
              <w:spacing w:before="240"/>
              <w:ind w:left="0" w:right="100" w:firstLine="0"/>
              <w:jc w:val="center"/>
              <w:rPr>
                <w:sz w:val="20"/>
                <w:szCs w:val="20"/>
              </w:rPr>
            </w:pPr>
            <w:r>
              <w:rPr>
                <w:sz w:val="20"/>
                <w:szCs w:val="20"/>
              </w:rPr>
              <w:t>De 31 a 40</w:t>
            </w:r>
          </w:p>
          <w:p w:rsidR="005D4964" w:rsidRDefault="00C052FA">
            <w:pPr>
              <w:spacing w:before="240"/>
              <w:ind w:left="0" w:right="100" w:firstLine="0"/>
              <w:jc w:val="center"/>
              <w:rPr>
                <w:sz w:val="20"/>
                <w:szCs w:val="20"/>
              </w:rPr>
            </w:pPr>
            <w:r>
              <w:rPr>
                <w:sz w:val="20"/>
                <w:szCs w:val="20"/>
              </w:rPr>
              <w:t>De 41 a 50</w:t>
            </w:r>
          </w:p>
          <w:p w:rsidR="005D4964" w:rsidRDefault="00C052FA">
            <w:pPr>
              <w:spacing w:before="240"/>
              <w:ind w:left="0" w:right="100" w:firstLine="0"/>
              <w:jc w:val="center"/>
              <w:rPr>
                <w:sz w:val="20"/>
                <w:szCs w:val="20"/>
              </w:rPr>
            </w:pPr>
            <w:r>
              <w:rPr>
                <w:sz w:val="20"/>
                <w:szCs w:val="20"/>
              </w:rPr>
              <w:t>De 51 a 60</w:t>
            </w:r>
          </w:p>
          <w:p w:rsidR="005D4964" w:rsidRDefault="00C052FA">
            <w:pPr>
              <w:spacing w:before="240"/>
              <w:ind w:left="0" w:right="100" w:firstLine="0"/>
              <w:jc w:val="center"/>
              <w:rPr>
                <w:sz w:val="20"/>
                <w:szCs w:val="20"/>
              </w:rPr>
            </w:pPr>
            <w:r>
              <w:rPr>
                <w:sz w:val="20"/>
                <w:szCs w:val="20"/>
              </w:rPr>
              <w:t>Más de 60</w:t>
            </w:r>
          </w:p>
        </w:tc>
        <w:tc>
          <w:tcPr>
            <w:tcW w:w="1860" w:type="dxa"/>
            <w:tcBorders>
              <w:top w:val="nil"/>
              <w:left w:val="nil"/>
              <w:bottom w:val="single" w:sz="8" w:space="0" w:color="666666"/>
              <w:right w:val="nil"/>
            </w:tcBorders>
            <w:tcMar>
              <w:top w:w="100" w:type="dxa"/>
              <w:left w:w="100" w:type="dxa"/>
              <w:bottom w:w="100" w:type="dxa"/>
              <w:right w:w="100" w:type="dxa"/>
            </w:tcMar>
          </w:tcPr>
          <w:p w:rsidR="005D4964" w:rsidRDefault="00C052FA">
            <w:pPr>
              <w:spacing w:before="240"/>
              <w:ind w:left="0" w:right="100" w:firstLine="0"/>
              <w:jc w:val="center"/>
              <w:rPr>
                <w:sz w:val="20"/>
                <w:szCs w:val="20"/>
              </w:rPr>
            </w:pPr>
            <w:r>
              <w:rPr>
                <w:sz w:val="20"/>
                <w:szCs w:val="20"/>
              </w:rPr>
              <w:t>642 (62)</w:t>
            </w:r>
          </w:p>
          <w:p w:rsidR="005D4964" w:rsidRDefault="00C052FA">
            <w:pPr>
              <w:spacing w:before="240"/>
              <w:ind w:left="0" w:right="100" w:firstLine="0"/>
              <w:jc w:val="center"/>
              <w:rPr>
                <w:sz w:val="20"/>
                <w:szCs w:val="20"/>
              </w:rPr>
            </w:pPr>
            <w:r>
              <w:rPr>
                <w:sz w:val="20"/>
                <w:szCs w:val="20"/>
              </w:rPr>
              <w:t>176 (17)</w:t>
            </w:r>
          </w:p>
          <w:p w:rsidR="005D4964" w:rsidRDefault="00C052FA">
            <w:pPr>
              <w:spacing w:before="240"/>
              <w:ind w:left="0" w:right="100" w:firstLine="0"/>
              <w:jc w:val="center"/>
              <w:rPr>
                <w:sz w:val="20"/>
                <w:szCs w:val="20"/>
              </w:rPr>
            </w:pPr>
            <w:r>
              <w:rPr>
                <w:sz w:val="20"/>
                <w:szCs w:val="20"/>
              </w:rPr>
              <w:t>120 (12)</w:t>
            </w:r>
          </w:p>
          <w:p w:rsidR="005D4964" w:rsidRDefault="00C052FA">
            <w:pPr>
              <w:spacing w:before="240"/>
              <w:ind w:left="0" w:right="100" w:firstLine="0"/>
              <w:jc w:val="center"/>
              <w:rPr>
                <w:sz w:val="20"/>
                <w:szCs w:val="20"/>
              </w:rPr>
            </w:pPr>
            <w:r>
              <w:rPr>
                <w:sz w:val="20"/>
                <w:szCs w:val="20"/>
              </w:rPr>
              <w:t>75 (7)</w:t>
            </w:r>
          </w:p>
          <w:p w:rsidR="005D4964" w:rsidRDefault="00C052FA">
            <w:pPr>
              <w:spacing w:before="240"/>
              <w:ind w:left="0" w:right="100" w:firstLine="0"/>
              <w:jc w:val="center"/>
              <w:rPr>
                <w:sz w:val="20"/>
                <w:szCs w:val="20"/>
              </w:rPr>
            </w:pPr>
            <w:r>
              <w:rPr>
                <w:sz w:val="20"/>
                <w:szCs w:val="20"/>
              </w:rPr>
              <w:t>22 (2)</w:t>
            </w:r>
          </w:p>
        </w:tc>
        <w:tc>
          <w:tcPr>
            <w:tcW w:w="3030" w:type="dxa"/>
            <w:tcBorders>
              <w:top w:val="nil"/>
              <w:left w:val="nil"/>
              <w:bottom w:val="single" w:sz="8" w:space="0" w:color="666666"/>
              <w:right w:val="nil"/>
            </w:tcBorders>
            <w:tcMar>
              <w:top w:w="100" w:type="dxa"/>
              <w:left w:w="100" w:type="dxa"/>
              <w:bottom w:w="100" w:type="dxa"/>
              <w:right w:w="100" w:type="dxa"/>
            </w:tcMar>
          </w:tcPr>
          <w:p w:rsidR="005D4964" w:rsidRDefault="00C052FA">
            <w:pPr>
              <w:spacing w:before="240"/>
              <w:ind w:left="0" w:right="100" w:firstLine="0"/>
              <w:jc w:val="center"/>
              <w:rPr>
                <w:sz w:val="20"/>
                <w:szCs w:val="20"/>
              </w:rPr>
            </w:pPr>
            <w:r>
              <w:rPr>
                <w:sz w:val="20"/>
                <w:szCs w:val="20"/>
              </w:rPr>
              <w:t>641,28 – 642,72</w:t>
            </w:r>
          </w:p>
          <w:p w:rsidR="005D4964" w:rsidRDefault="00C052FA">
            <w:pPr>
              <w:spacing w:before="240"/>
              <w:ind w:left="0" w:right="100" w:firstLine="0"/>
              <w:jc w:val="center"/>
              <w:rPr>
                <w:sz w:val="20"/>
                <w:szCs w:val="20"/>
              </w:rPr>
            </w:pPr>
            <w:r>
              <w:rPr>
                <w:sz w:val="20"/>
                <w:szCs w:val="20"/>
              </w:rPr>
              <w:t>175,88 – 176,00</w:t>
            </w:r>
          </w:p>
          <w:p w:rsidR="005D4964" w:rsidRDefault="00C052FA">
            <w:pPr>
              <w:spacing w:before="240"/>
              <w:ind w:left="0" w:right="100" w:firstLine="0"/>
              <w:jc w:val="center"/>
              <w:rPr>
                <w:sz w:val="20"/>
                <w:szCs w:val="20"/>
              </w:rPr>
            </w:pPr>
            <w:r>
              <w:rPr>
                <w:sz w:val="20"/>
                <w:szCs w:val="20"/>
              </w:rPr>
              <w:t>119,28 – 120,00</w:t>
            </w:r>
          </w:p>
          <w:p w:rsidR="005D4964" w:rsidRDefault="00C052FA">
            <w:pPr>
              <w:spacing w:before="240"/>
              <w:ind w:left="0" w:right="100" w:firstLine="0"/>
              <w:jc w:val="center"/>
              <w:rPr>
                <w:sz w:val="20"/>
                <w:szCs w:val="20"/>
              </w:rPr>
            </w:pPr>
            <w:r>
              <w:rPr>
                <w:sz w:val="20"/>
                <w:szCs w:val="20"/>
              </w:rPr>
              <w:t>74,28 – 75,72</w:t>
            </w:r>
          </w:p>
          <w:p w:rsidR="005D4964" w:rsidRDefault="00C052FA">
            <w:pPr>
              <w:spacing w:before="240"/>
              <w:ind w:left="0" w:right="100" w:firstLine="0"/>
              <w:jc w:val="center"/>
              <w:rPr>
                <w:sz w:val="20"/>
                <w:szCs w:val="20"/>
              </w:rPr>
            </w:pPr>
            <w:r>
              <w:rPr>
                <w:sz w:val="20"/>
                <w:szCs w:val="20"/>
              </w:rPr>
              <w:t>21,28 – 22,72</w:t>
            </w:r>
          </w:p>
        </w:tc>
      </w:tr>
      <w:tr w:rsidR="005D4964">
        <w:trPr>
          <w:trHeight w:val="564"/>
        </w:trPr>
        <w:tc>
          <w:tcPr>
            <w:tcW w:w="3570" w:type="dxa"/>
            <w:tcBorders>
              <w:top w:val="nil"/>
              <w:left w:val="nil"/>
              <w:bottom w:val="single" w:sz="8" w:space="0" w:color="666666"/>
              <w:right w:val="nil"/>
            </w:tcBorders>
            <w:tcMar>
              <w:top w:w="100" w:type="dxa"/>
              <w:left w:w="100" w:type="dxa"/>
              <w:bottom w:w="100" w:type="dxa"/>
              <w:right w:w="100" w:type="dxa"/>
            </w:tcMar>
          </w:tcPr>
          <w:p w:rsidR="005D4964" w:rsidRDefault="00C052FA">
            <w:pPr>
              <w:spacing w:before="240"/>
              <w:ind w:left="0" w:right="100" w:firstLine="0"/>
              <w:jc w:val="center"/>
              <w:rPr>
                <w:b/>
                <w:i/>
                <w:sz w:val="20"/>
                <w:szCs w:val="20"/>
              </w:rPr>
            </w:pPr>
            <w:r>
              <w:rPr>
                <w:b/>
                <w:i/>
                <w:sz w:val="20"/>
                <w:szCs w:val="20"/>
              </w:rPr>
              <w:t>Sexo</w:t>
            </w:r>
          </w:p>
        </w:tc>
        <w:tc>
          <w:tcPr>
            <w:tcW w:w="1860" w:type="dxa"/>
            <w:tcBorders>
              <w:top w:val="nil"/>
              <w:left w:val="nil"/>
              <w:bottom w:val="single" w:sz="8" w:space="0" w:color="666666"/>
              <w:right w:val="nil"/>
            </w:tcBorders>
            <w:tcMar>
              <w:top w:w="100" w:type="dxa"/>
              <w:left w:w="100" w:type="dxa"/>
              <w:bottom w:w="100" w:type="dxa"/>
              <w:right w:w="100" w:type="dxa"/>
            </w:tcMar>
          </w:tcPr>
          <w:p w:rsidR="005D4964" w:rsidRDefault="00C052FA">
            <w:pPr>
              <w:spacing w:before="240"/>
              <w:ind w:left="0" w:right="100" w:firstLine="0"/>
              <w:jc w:val="center"/>
              <w:rPr>
                <w:sz w:val="20"/>
                <w:szCs w:val="20"/>
              </w:rPr>
            </w:pPr>
            <w:r>
              <w:rPr>
                <w:sz w:val="20"/>
                <w:szCs w:val="20"/>
              </w:rPr>
              <w:t xml:space="preserve"> </w:t>
            </w:r>
          </w:p>
        </w:tc>
        <w:tc>
          <w:tcPr>
            <w:tcW w:w="3030" w:type="dxa"/>
            <w:tcBorders>
              <w:top w:val="nil"/>
              <w:left w:val="nil"/>
              <w:bottom w:val="single" w:sz="8" w:space="0" w:color="666666"/>
              <w:right w:val="nil"/>
            </w:tcBorders>
            <w:tcMar>
              <w:top w:w="100" w:type="dxa"/>
              <w:left w:w="100" w:type="dxa"/>
              <w:bottom w:w="100" w:type="dxa"/>
              <w:right w:w="100" w:type="dxa"/>
            </w:tcMar>
          </w:tcPr>
          <w:p w:rsidR="005D4964" w:rsidRDefault="00C052FA">
            <w:pPr>
              <w:spacing w:before="240"/>
              <w:ind w:left="0" w:right="100" w:firstLine="0"/>
              <w:jc w:val="center"/>
              <w:rPr>
                <w:sz w:val="20"/>
                <w:szCs w:val="20"/>
              </w:rPr>
            </w:pPr>
            <w:r>
              <w:rPr>
                <w:sz w:val="20"/>
                <w:szCs w:val="20"/>
              </w:rPr>
              <w:t xml:space="preserve"> </w:t>
            </w:r>
          </w:p>
        </w:tc>
      </w:tr>
      <w:tr w:rsidR="005D4964">
        <w:trPr>
          <w:trHeight w:val="1320"/>
        </w:trPr>
        <w:tc>
          <w:tcPr>
            <w:tcW w:w="3570" w:type="dxa"/>
            <w:tcBorders>
              <w:top w:val="nil"/>
              <w:left w:val="nil"/>
              <w:bottom w:val="single" w:sz="8" w:space="0" w:color="666666"/>
              <w:right w:val="nil"/>
            </w:tcBorders>
            <w:tcMar>
              <w:top w:w="100" w:type="dxa"/>
              <w:left w:w="100" w:type="dxa"/>
              <w:bottom w:w="100" w:type="dxa"/>
              <w:right w:w="100" w:type="dxa"/>
            </w:tcMar>
          </w:tcPr>
          <w:p w:rsidR="005D4964" w:rsidRDefault="00C052FA">
            <w:pPr>
              <w:spacing w:before="240"/>
              <w:ind w:left="0" w:right="100" w:firstLine="0"/>
              <w:jc w:val="center"/>
              <w:rPr>
                <w:sz w:val="20"/>
                <w:szCs w:val="20"/>
              </w:rPr>
            </w:pPr>
            <w:r>
              <w:rPr>
                <w:sz w:val="20"/>
                <w:szCs w:val="20"/>
              </w:rPr>
              <w:t>Masculino</w:t>
            </w:r>
          </w:p>
          <w:p w:rsidR="005D4964" w:rsidRDefault="00C052FA">
            <w:pPr>
              <w:spacing w:before="240"/>
              <w:ind w:left="0" w:right="100" w:firstLine="0"/>
              <w:jc w:val="center"/>
              <w:rPr>
                <w:sz w:val="20"/>
                <w:szCs w:val="20"/>
              </w:rPr>
            </w:pPr>
            <w:r>
              <w:rPr>
                <w:sz w:val="20"/>
                <w:szCs w:val="20"/>
              </w:rPr>
              <w:t>Femenino</w:t>
            </w:r>
          </w:p>
        </w:tc>
        <w:tc>
          <w:tcPr>
            <w:tcW w:w="1860" w:type="dxa"/>
            <w:tcBorders>
              <w:top w:val="nil"/>
              <w:left w:val="nil"/>
              <w:bottom w:val="single" w:sz="8" w:space="0" w:color="666666"/>
              <w:right w:val="nil"/>
            </w:tcBorders>
            <w:tcMar>
              <w:top w:w="100" w:type="dxa"/>
              <w:left w:w="100" w:type="dxa"/>
              <w:bottom w:w="100" w:type="dxa"/>
              <w:right w:w="100" w:type="dxa"/>
            </w:tcMar>
          </w:tcPr>
          <w:p w:rsidR="005D4964" w:rsidRDefault="00C052FA">
            <w:pPr>
              <w:spacing w:before="240"/>
              <w:ind w:left="0" w:right="100" w:firstLine="0"/>
              <w:jc w:val="center"/>
              <w:rPr>
                <w:sz w:val="20"/>
                <w:szCs w:val="20"/>
              </w:rPr>
            </w:pPr>
            <w:r>
              <w:rPr>
                <w:sz w:val="20"/>
                <w:szCs w:val="20"/>
              </w:rPr>
              <w:t>346 (33)</w:t>
            </w:r>
          </w:p>
          <w:p w:rsidR="005D4964" w:rsidRDefault="00C052FA">
            <w:pPr>
              <w:spacing w:before="240"/>
              <w:ind w:left="0" w:right="100" w:firstLine="0"/>
              <w:jc w:val="center"/>
              <w:rPr>
                <w:sz w:val="20"/>
                <w:szCs w:val="20"/>
              </w:rPr>
            </w:pPr>
            <w:r>
              <w:rPr>
                <w:sz w:val="20"/>
                <w:szCs w:val="20"/>
              </w:rPr>
              <w:t>689 (67)</w:t>
            </w:r>
          </w:p>
        </w:tc>
        <w:tc>
          <w:tcPr>
            <w:tcW w:w="3030" w:type="dxa"/>
            <w:tcBorders>
              <w:top w:val="nil"/>
              <w:left w:val="nil"/>
              <w:bottom w:val="single" w:sz="8" w:space="0" w:color="666666"/>
              <w:right w:val="nil"/>
            </w:tcBorders>
            <w:tcMar>
              <w:top w:w="100" w:type="dxa"/>
              <w:left w:w="100" w:type="dxa"/>
              <w:bottom w:w="100" w:type="dxa"/>
              <w:right w:w="100" w:type="dxa"/>
            </w:tcMar>
          </w:tcPr>
          <w:p w:rsidR="005D4964" w:rsidRDefault="00C052FA">
            <w:pPr>
              <w:spacing w:before="240"/>
              <w:ind w:left="0" w:right="100" w:firstLine="0"/>
              <w:jc w:val="center"/>
              <w:rPr>
                <w:sz w:val="20"/>
                <w:szCs w:val="20"/>
              </w:rPr>
            </w:pPr>
            <w:r>
              <w:rPr>
                <w:sz w:val="20"/>
                <w:szCs w:val="20"/>
              </w:rPr>
              <w:t>345,9 – 346,0</w:t>
            </w:r>
          </w:p>
          <w:p w:rsidR="005D4964" w:rsidRDefault="00C052FA">
            <w:pPr>
              <w:spacing w:before="240"/>
              <w:ind w:left="0" w:right="100" w:firstLine="0"/>
              <w:jc w:val="center"/>
              <w:rPr>
                <w:sz w:val="20"/>
                <w:szCs w:val="20"/>
              </w:rPr>
            </w:pPr>
            <w:r>
              <w:rPr>
                <w:sz w:val="20"/>
                <w:szCs w:val="20"/>
              </w:rPr>
              <w:t>688,9 – 689,0</w:t>
            </w:r>
          </w:p>
        </w:tc>
      </w:tr>
      <w:tr w:rsidR="005D4964">
        <w:trPr>
          <w:trHeight w:val="840"/>
        </w:trPr>
        <w:tc>
          <w:tcPr>
            <w:tcW w:w="3570" w:type="dxa"/>
            <w:tcBorders>
              <w:top w:val="nil"/>
              <w:left w:val="nil"/>
              <w:bottom w:val="single" w:sz="8" w:space="0" w:color="666666"/>
              <w:right w:val="nil"/>
            </w:tcBorders>
            <w:tcMar>
              <w:top w:w="100" w:type="dxa"/>
              <w:left w:w="100" w:type="dxa"/>
              <w:bottom w:w="100" w:type="dxa"/>
              <w:right w:w="100" w:type="dxa"/>
            </w:tcMar>
          </w:tcPr>
          <w:p w:rsidR="005D4964" w:rsidRDefault="00C052FA">
            <w:pPr>
              <w:spacing w:before="240"/>
              <w:ind w:left="0" w:right="100" w:firstLine="0"/>
              <w:jc w:val="center"/>
              <w:rPr>
                <w:b/>
                <w:i/>
                <w:sz w:val="20"/>
                <w:szCs w:val="20"/>
              </w:rPr>
            </w:pPr>
            <w:r>
              <w:rPr>
                <w:b/>
                <w:i/>
                <w:sz w:val="20"/>
                <w:szCs w:val="20"/>
              </w:rPr>
              <w:t>Nivel de estudio culminado</w:t>
            </w:r>
          </w:p>
        </w:tc>
        <w:tc>
          <w:tcPr>
            <w:tcW w:w="1860" w:type="dxa"/>
            <w:tcBorders>
              <w:top w:val="nil"/>
              <w:left w:val="nil"/>
              <w:bottom w:val="single" w:sz="8" w:space="0" w:color="666666"/>
              <w:right w:val="nil"/>
            </w:tcBorders>
            <w:tcMar>
              <w:top w:w="100" w:type="dxa"/>
              <w:left w:w="100" w:type="dxa"/>
              <w:bottom w:w="100" w:type="dxa"/>
              <w:right w:w="100" w:type="dxa"/>
            </w:tcMar>
          </w:tcPr>
          <w:p w:rsidR="005D4964" w:rsidRDefault="00C052FA">
            <w:pPr>
              <w:spacing w:before="240"/>
              <w:ind w:left="0" w:right="100" w:firstLine="0"/>
              <w:jc w:val="center"/>
              <w:rPr>
                <w:sz w:val="20"/>
                <w:szCs w:val="20"/>
              </w:rPr>
            </w:pPr>
            <w:r>
              <w:rPr>
                <w:sz w:val="20"/>
                <w:szCs w:val="20"/>
              </w:rPr>
              <w:t xml:space="preserve"> </w:t>
            </w:r>
          </w:p>
        </w:tc>
        <w:tc>
          <w:tcPr>
            <w:tcW w:w="3030" w:type="dxa"/>
            <w:tcBorders>
              <w:top w:val="nil"/>
              <w:left w:val="nil"/>
              <w:bottom w:val="single" w:sz="8" w:space="0" w:color="666666"/>
              <w:right w:val="nil"/>
            </w:tcBorders>
            <w:tcMar>
              <w:top w:w="100" w:type="dxa"/>
              <w:left w:w="100" w:type="dxa"/>
              <w:bottom w:w="100" w:type="dxa"/>
              <w:right w:w="100" w:type="dxa"/>
            </w:tcMar>
          </w:tcPr>
          <w:p w:rsidR="005D4964" w:rsidRDefault="00C052FA">
            <w:pPr>
              <w:spacing w:before="240"/>
              <w:ind w:left="0" w:right="100" w:firstLine="0"/>
              <w:jc w:val="center"/>
              <w:rPr>
                <w:sz w:val="20"/>
                <w:szCs w:val="20"/>
              </w:rPr>
            </w:pPr>
            <w:r>
              <w:rPr>
                <w:sz w:val="20"/>
                <w:szCs w:val="20"/>
              </w:rPr>
              <w:t xml:space="preserve"> </w:t>
            </w:r>
          </w:p>
        </w:tc>
      </w:tr>
      <w:tr w:rsidR="005D4964">
        <w:trPr>
          <w:trHeight w:val="2280"/>
        </w:trPr>
        <w:tc>
          <w:tcPr>
            <w:tcW w:w="3570" w:type="dxa"/>
            <w:tcBorders>
              <w:top w:val="nil"/>
              <w:left w:val="nil"/>
              <w:bottom w:val="single" w:sz="8" w:space="0" w:color="666666"/>
              <w:right w:val="nil"/>
            </w:tcBorders>
            <w:tcMar>
              <w:top w:w="100" w:type="dxa"/>
              <w:left w:w="100" w:type="dxa"/>
              <w:bottom w:w="100" w:type="dxa"/>
              <w:right w:w="100" w:type="dxa"/>
            </w:tcMar>
          </w:tcPr>
          <w:p w:rsidR="005D4964" w:rsidRDefault="00C052FA">
            <w:pPr>
              <w:spacing w:before="240"/>
              <w:ind w:left="0" w:right="100" w:firstLine="0"/>
              <w:jc w:val="center"/>
              <w:rPr>
                <w:sz w:val="20"/>
                <w:szCs w:val="20"/>
              </w:rPr>
            </w:pPr>
            <w:r>
              <w:rPr>
                <w:sz w:val="20"/>
                <w:szCs w:val="20"/>
              </w:rPr>
              <w:t>Universitario</w:t>
            </w:r>
          </w:p>
          <w:p w:rsidR="005D4964" w:rsidRDefault="00C052FA">
            <w:pPr>
              <w:spacing w:before="240"/>
              <w:ind w:left="0" w:right="100" w:firstLine="0"/>
              <w:jc w:val="center"/>
              <w:rPr>
                <w:sz w:val="20"/>
                <w:szCs w:val="20"/>
              </w:rPr>
            </w:pPr>
            <w:r>
              <w:rPr>
                <w:sz w:val="20"/>
                <w:szCs w:val="20"/>
              </w:rPr>
              <w:t>Medio</w:t>
            </w:r>
          </w:p>
          <w:p w:rsidR="005D4964" w:rsidRDefault="00C052FA">
            <w:pPr>
              <w:spacing w:before="240"/>
              <w:ind w:left="0" w:right="100" w:firstLine="0"/>
              <w:jc w:val="center"/>
              <w:rPr>
                <w:sz w:val="20"/>
                <w:szCs w:val="20"/>
              </w:rPr>
            </w:pPr>
            <w:r>
              <w:rPr>
                <w:sz w:val="20"/>
                <w:szCs w:val="20"/>
              </w:rPr>
              <w:t>Primario</w:t>
            </w:r>
          </w:p>
          <w:p w:rsidR="005D4964" w:rsidRDefault="00C052FA">
            <w:pPr>
              <w:spacing w:before="240"/>
              <w:ind w:left="0" w:right="100" w:firstLine="0"/>
              <w:jc w:val="center"/>
              <w:rPr>
                <w:sz w:val="20"/>
                <w:szCs w:val="20"/>
              </w:rPr>
            </w:pPr>
            <w:r>
              <w:rPr>
                <w:sz w:val="20"/>
                <w:szCs w:val="20"/>
              </w:rPr>
              <w:t>Ninguno</w:t>
            </w:r>
          </w:p>
        </w:tc>
        <w:tc>
          <w:tcPr>
            <w:tcW w:w="1860" w:type="dxa"/>
            <w:tcBorders>
              <w:top w:val="nil"/>
              <w:left w:val="nil"/>
              <w:bottom w:val="single" w:sz="8" w:space="0" w:color="666666"/>
              <w:right w:val="nil"/>
            </w:tcBorders>
            <w:tcMar>
              <w:top w:w="100" w:type="dxa"/>
              <w:left w:w="100" w:type="dxa"/>
              <w:bottom w:w="100" w:type="dxa"/>
              <w:right w:w="100" w:type="dxa"/>
            </w:tcMar>
          </w:tcPr>
          <w:p w:rsidR="005D4964" w:rsidRDefault="00C052FA">
            <w:pPr>
              <w:spacing w:before="240"/>
              <w:ind w:left="0" w:right="100" w:firstLine="0"/>
              <w:jc w:val="center"/>
              <w:rPr>
                <w:sz w:val="20"/>
                <w:szCs w:val="20"/>
              </w:rPr>
            </w:pPr>
            <w:r>
              <w:rPr>
                <w:sz w:val="20"/>
                <w:szCs w:val="20"/>
              </w:rPr>
              <w:t>706 (68)</w:t>
            </w:r>
          </w:p>
          <w:p w:rsidR="005D4964" w:rsidRDefault="00C052FA">
            <w:pPr>
              <w:spacing w:before="240"/>
              <w:ind w:left="0" w:right="100" w:firstLine="0"/>
              <w:jc w:val="center"/>
              <w:rPr>
                <w:sz w:val="20"/>
                <w:szCs w:val="20"/>
              </w:rPr>
            </w:pPr>
            <w:r>
              <w:rPr>
                <w:sz w:val="20"/>
                <w:szCs w:val="20"/>
              </w:rPr>
              <w:t>306 (30)</w:t>
            </w:r>
          </w:p>
          <w:p w:rsidR="005D4964" w:rsidRDefault="00C052FA">
            <w:pPr>
              <w:spacing w:before="240"/>
              <w:ind w:left="0" w:right="100" w:firstLine="0"/>
              <w:jc w:val="center"/>
              <w:rPr>
                <w:sz w:val="20"/>
                <w:szCs w:val="20"/>
              </w:rPr>
            </w:pPr>
            <w:r>
              <w:rPr>
                <w:sz w:val="20"/>
                <w:szCs w:val="20"/>
              </w:rPr>
              <w:t>19 (2)</w:t>
            </w:r>
          </w:p>
          <w:p w:rsidR="005D4964" w:rsidRDefault="00C052FA">
            <w:pPr>
              <w:spacing w:before="240"/>
              <w:ind w:left="0" w:right="100" w:firstLine="0"/>
              <w:jc w:val="center"/>
              <w:rPr>
                <w:sz w:val="20"/>
                <w:szCs w:val="20"/>
              </w:rPr>
            </w:pPr>
            <w:r>
              <w:rPr>
                <w:sz w:val="20"/>
                <w:szCs w:val="20"/>
              </w:rPr>
              <w:t>4 (0)</w:t>
            </w:r>
          </w:p>
        </w:tc>
        <w:tc>
          <w:tcPr>
            <w:tcW w:w="3030" w:type="dxa"/>
            <w:tcBorders>
              <w:top w:val="nil"/>
              <w:left w:val="nil"/>
              <w:bottom w:val="single" w:sz="8" w:space="0" w:color="666666"/>
              <w:right w:val="nil"/>
            </w:tcBorders>
            <w:tcMar>
              <w:top w:w="100" w:type="dxa"/>
              <w:left w:w="100" w:type="dxa"/>
              <w:bottom w:w="100" w:type="dxa"/>
              <w:right w:w="100" w:type="dxa"/>
            </w:tcMar>
          </w:tcPr>
          <w:p w:rsidR="005D4964" w:rsidRDefault="00C052FA">
            <w:pPr>
              <w:spacing w:before="240"/>
              <w:ind w:left="0" w:right="100" w:firstLine="0"/>
              <w:jc w:val="center"/>
              <w:rPr>
                <w:sz w:val="20"/>
                <w:szCs w:val="20"/>
              </w:rPr>
            </w:pPr>
            <w:r>
              <w:rPr>
                <w:sz w:val="20"/>
                <w:szCs w:val="20"/>
              </w:rPr>
              <w:t>705,97 – 706,03</w:t>
            </w:r>
          </w:p>
          <w:p w:rsidR="005D4964" w:rsidRDefault="00C052FA">
            <w:pPr>
              <w:spacing w:before="240"/>
              <w:ind w:left="0" w:right="100" w:firstLine="0"/>
              <w:jc w:val="center"/>
              <w:rPr>
                <w:sz w:val="20"/>
                <w:szCs w:val="20"/>
              </w:rPr>
            </w:pPr>
            <w:r>
              <w:rPr>
                <w:sz w:val="20"/>
                <w:szCs w:val="20"/>
              </w:rPr>
              <w:t>305,97 – 306,03</w:t>
            </w:r>
          </w:p>
          <w:p w:rsidR="005D4964" w:rsidRDefault="00C052FA">
            <w:pPr>
              <w:spacing w:before="240"/>
              <w:ind w:left="0" w:right="100" w:firstLine="0"/>
              <w:jc w:val="center"/>
              <w:rPr>
                <w:sz w:val="20"/>
                <w:szCs w:val="20"/>
              </w:rPr>
            </w:pPr>
            <w:r>
              <w:rPr>
                <w:sz w:val="20"/>
                <w:szCs w:val="20"/>
              </w:rPr>
              <w:t>18,28 – 19,03</w:t>
            </w:r>
          </w:p>
          <w:p w:rsidR="005D4964" w:rsidRDefault="00C052FA">
            <w:pPr>
              <w:spacing w:before="240"/>
              <w:ind w:left="0" w:right="100" w:firstLine="0"/>
              <w:jc w:val="center"/>
              <w:rPr>
                <w:sz w:val="20"/>
                <w:szCs w:val="20"/>
              </w:rPr>
            </w:pPr>
            <w:r>
              <w:rPr>
                <w:sz w:val="20"/>
                <w:szCs w:val="20"/>
              </w:rPr>
              <w:t>3,97 – 4,03</w:t>
            </w:r>
          </w:p>
        </w:tc>
      </w:tr>
      <w:tr w:rsidR="005D4964">
        <w:trPr>
          <w:trHeight w:val="840"/>
        </w:trPr>
        <w:tc>
          <w:tcPr>
            <w:tcW w:w="3570" w:type="dxa"/>
            <w:tcBorders>
              <w:top w:val="nil"/>
              <w:left w:val="nil"/>
              <w:bottom w:val="single" w:sz="8" w:space="0" w:color="666666"/>
              <w:right w:val="nil"/>
            </w:tcBorders>
            <w:tcMar>
              <w:top w:w="100" w:type="dxa"/>
              <w:left w:w="100" w:type="dxa"/>
              <w:bottom w:w="100" w:type="dxa"/>
              <w:right w:w="100" w:type="dxa"/>
            </w:tcMar>
          </w:tcPr>
          <w:p w:rsidR="005D4964" w:rsidRDefault="00C052FA">
            <w:pPr>
              <w:spacing w:before="240"/>
              <w:ind w:left="0" w:right="100" w:firstLine="0"/>
              <w:jc w:val="center"/>
              <w:rPr>
                <w:b/>
                <w:i/>
                <w:sz w:val="20"/>
                <w:szCs w:val="20"/>
              </w:rPr>
            </w:pPr>
            <w:r>
              <w:rPr>
                <w:b/>
                <w:i/>
                <w:sz w:val="20"/>
                <w:szCs w:val="20"/>
              </w:rPr>
              <w:t>Estado civil</w:t>
            </w:r>
          </w:p>
        </w:tc>
        <w:tc>
          <w:tcPr>
            <w:tcW w:w="1860" w:type="dxa"/>
            <w:tcBorders>
              <w:top w:val="nil"/>
              <w:left w:val="nil"/>
              <w:bottom w:val="single" w:sz="8" w:space="0" w:color="666666"/>
              <w:right w:val="nil"/>
            </w:tcBorders>
            <w:tcMar>
              <w:top w:w="100" w:type="dxa"/>
              <w:left w:w="100" w:type="dxa"/>
              <w:bottom w:w="100" w:type="dxa"/>
              <w:right w:w="100" w:type="dxa"/>
            </w:tcMar>
          </w:tcPr>
          <w:p w:rsidR="005D4964" w:rsidRDefault="00C052FA">
            <w:pPr>
              <w:spacing w:before="240"/>
              <w:ind w:left="0" w:right="100" w:firstLine="0"/>
              <w:jc w:val="center"/>
              <w:rPr>
                <w:sz w:val="20"/>
                <w:szCs w:val="20"/>
              </w:rPr>
            </w:pPr>
            <w:r>
              <w:rPr>
                <w:sz w:val="20"/>
                <w:szCs w:val="20"/>
              </w:rPr>
              <w:t xml:space="preserve"> </w:t>
            </w:r>
          </w:p>
        </w:tc>
        <w:tc>
          <w:tcPr>
            <w:tcW w:w="3030" w:type="dxa"/>
            <w:tcBorders>
              <w:top w:val="nil"/>
              <w:left w:val="nil"/>
              <w:bottom w:val="single" w:sz="8" w:space="0" w:color="666666"/>
              <w:right w:val="nil"/>
            </w:tcBorders>
            <w:tcMar>
              <w:top w:w="100" w:type="dxa"/>
              <w:left w:w="100" w:type="dxa"/>
              <w:bottom w:w="100" w:type="dxa"/>
              <w:right w:w="100" w:type="dxa"/>
            </w:tcMar>
          </w:tcPr>
          <w:p w:rsidR="005D4964" w:rsidRDefault="00C052FA">
            <w:pPr>
              <w:spacing w:before="240"/>
              <w:ind w:left="0" w:right="100" w:firstLine="0"/>
              <w:jc w:val="center"/>
              <w:rPr>
                <w:sz w:val="20"/>
                <w:szCs w:val="20"/>
              </w:rPr>
            </w:pPr>
            <w:r>
              <w:rPr>
                <w:sz w:val="20"/>
                <w:szCs w:val="20"/>
              </w:rPr>
              <w:t xml:space="preserve"> </w:t>
            </w:r>
          </w:p>
        </w:tc>
      </w:tr>
      <w:tr w:rsidR="005D4964" w:rsidTr="002E7DEA">
        <w:trPr>
          <w:trHeight w:val="25"/>
        </w:trPr>
        <w:tc>
          <w:tcPr>
            <w:tcW w:w="3570" w:type="dxa"/>
            <w:tcBorders>
              <w:top w:val="nil"/>
              <w:left w:val="nil"/>
              <w:bottom w:val="single" w:sz="8" w:space="0" w:color="666666"/>
              <w:right w:val="nil"/>
            </w:tcBorders>
            <w:tcMar>
              <w:top w:w="100" w:type="dxa"/>
              <w:left w:w="100" w:type="dxa"/>
              <w:bottom w:w="100" w:type="dxa"/>
              <w:right w:w="100" w:type="dxa"/>
            </w:tcMar>
          </w:tcPr>
          <w:p w:rsidR="005D4964" w:rsidRDefault="00C052FA">
            <w:pPr>
              <w:spacing w:before="240"/>
              <w:ind w:left="0" w:right="100" w:firstLine="0"/>
              <w:jc w:val="center"/>
              <w:rPr>
                <w:sz w:val="20"/>
                <w:szCs w:val="20"/>
              </w:rPr>
            </w:pPr>
            <w:r>
              <w:rPr>
                <w:sz w:val="20"/>
                <w:szCs w:val="20"/>
              </w:rPr>
              <w:t>Casados</w:t>
            </w:r>
          </w:p>
          <w:p w:rsidR="005D4964" w:rsidRDefault="00C052FA">
            <w:pPr>
              <w:spacing w:before="240"/>
              <w:ind w:left="0" w:right="100" w:firstLine="0"/>
              <w:jc w:val="center"/>
              <w:rPr>
                <w:sz w:val="20"/>
                <w:szCs w:val="20"/>
              </w:rPr>
            </w:pPr>
            <w:r>
              <w:rPr>
                <w:sz w:val="20"/>
                <w:szCs w:val="20"/>
              </w:rPr>
              <w:t>Divorciado/separado</w:t>
            </w:r>
          </w:p>
          <w:p w:rsidR="005D4964" w:rsidRDefault="00C052FA">
            <w:pPr>
              <w:spacing w:before="240"/>
              <w:ind w:left="0" w:right="100" w:firstLine="0"/>
              <w:jc w:val="center"/>
              <w:rPr>
                <w:sz w:val="20"/>
                <w:szCs w:val="20"/>
              </w:rPr>
            </w:pPr>
            <w:r>
              <w:rPr>
                <w:sz w:val="20"/>
                <w:szCs w:val="20"/>
              </w:rPr>
              <w:lastRenderedPageBreak/>
              <w:t>Soltero</w:t>
            </w:r>
          </w:p>
          <w:p w:rsidR="005D4964" w:rsidRDefault="00C052FA">
            <w:pPr>
              <w:spacing w:before="240"/>
              <w:ind w:left="0" w:right="100" w:firstLine="0"/>
              <w:jc w:val="center"/>
              <w:rPr>
                <w:sz w:val="20"/>
                <w:szCs w:val="20"/>
              </w:rPr>
            </w:pPr>
            <w:r>
              <w:rPr>
                <w:sz w:val="20"/>
                <w:szCs w:val="20"/>
              </w:rPr>
              <w:t>Unión libre</w:t>
            </w:r>
          </w:p>
          <w:p w:rsidR="005D4964" w:rsidRDefault="002E7DEA" w:rsidP="002E7DEA">
            <w:pPr>
              <w:spacing w:before="240"/>
              <w:ind w:left="0" w:right="100" w:firstLine="0"/>
              <w:jc w:val="center"/>
              <w:rPr>
                <w:sz w:val="20"/>
                <w:szCs w:val="20"/>
              </w:rPr>
            </w:pPr>
            <w:r>
              <w:rPr>
                <w:sz w:val="20"/>
                <w:szCs w:val="20"/>
              </w:rPr>
              <w:t>Viud</w:t>
            </w:r>
            <w:r w:rsidR="00C052FA">
              <w:rPr>
                <w:sz w:val="20"/>
                <w:szCs w:val="20"/>
              </w:rPr>
              <w:t xml:space="preserve"> </w:t>
            </w:r>
          </w:p>
        </w:tc>
        <w:tc>
          <w:tcPr>
            <w:tcW w:w="1860" w:type="dxa"/>
            <w:tcBorders>
              <w:top w:val="nil"/>
              <w:left w:val="nil"/>
              <w:bottom w:val="single" w:sz="8" w:space="0" w:color="666666"/>
              <w:right w:val="nil"/>
            </w:tcBorders>
            <w:tcMar>
              <w:top w:w="100" w:type="dxa"/>
              <w:left w:w="100" w:type="dxa"/>
              <w:bottom w:w="100" w:type="dxa"/>
              <w:right w:w="100" w:type="dxa"/>
            </w:tcMar>
          </w:tcPr>
          <w:p w:rsidR="005D4964" w:rsidRDefault="00C052FA">
            <w:pPr>
              <w:spacing w:before="240"/>
              <w:ind w:left="0" w:right="100" w:firstLine="0"/>
              <w:jc w:val="center"/>
              <w:rPr>
                <w:sz w:val="20"/>
                <w:szCs w:val="20"/>
              </w:rPr>
            </w:pPr>
            <w:r>
              <w:rPr>
                <w:sz w:val="20"/>
                <w:szCs w:val="20"/>
              </w:rPr>
              <w:lastRenderedPageBreak/>
              <w:t>172 (17)</w:t>
            </w:r>
          </w:p>
          <w:p w:rsidR="005D4964" w:rsidRDefault="00C052FA">
            <w:pPr>
              <w:spacing w:before="240"/>
              <w:ind w:left="0" w:right="100" w:firstLine="0"/>
              <w:jc w:val="center"/>
              <w:rPr>
                <w:sz w:val="20"/>
                <w:szCs w:val="20"/>
              </w:rPr>
            </w:pPr>
            <w:r>
              <w:rPr>
                <w:sz w:val="20"/>
                <w:szCs w:val="20"/>
              </w:rPr>
              <w:t>42 (4)</w:t>
            </w:r>
          </w:p>
          <w:p w:rsidR="005D4964" w:rsidRDefault="00C052FA">
            <w:pPr>
              <w:spacing w:before="240"/>
              <w:ind w:left="0" w:right="100" w:firstLine="0"/>
              <w:jc w:val="center"/>
              <w:rPr>
                <w:sz w:val="20"/>
                <w:szCs w:val="20"/>
              </w:rPr>
            </w:pPr>
            <w:r>
              <w:rPr>
                <w:sz w:val="20"/>
                <w:szCs w:val="20"/>
              </w:rPr>
              <w:lastRenderedPageBreak/>
              <w:t>620 (60)</w:t>
            </w:r>
          </w:p>
          <w:p w:rsidR="005D4964" w:rsidRDefault="00C052FA">
            <w:pPr>
              <w:spacing w:before="240"/>
              <w:ind w:left="0" w:right="100" w:firstLine="0"/>
              <w:jc w:val="center"/>
              <w:rPr>
                <w:sz w:val="20"/>
                <w:szCs w:val="20"/>
              </w:rPr>
            </w:pPr>
            <w:r>
              <w:rPr>
                <w:sz w:val="20"/>
                <w:szCs w:val="20"/>
              </w:rPr>
              <w:t>190 (18)</w:t>
            </w:r>
          </w:p>
          <w:p w:rsidR="005D4964" w:rsidRDefault="00C052FA">
            <w:pPr>
              <w:spacing w:before="240"/>
              <w:ind w:left="0" w:right="100" w:firstLine="0"/>
              <w:jc w:val="center"/>
              <w:rPr>
                <w:sz w:val="20"/>
                <w:szCs w:val="20"/>
              </w:rPr>
            </w:pPr>
            <w:r>
              <w:rPr>
                <w:sz w:val="20"/>
                <w:szCs w:val="20"/>
              </w:rPr>
              <w:t>11 (1)</w:t>
            </w:r>
          </w:p>
          <w:p w:rsidR="005D4964" w:rsidRDefault="00C052FA">
            <w:pPr>
              <w:spacing w:before="240"/>
              <w:ind w:left="0" w:right="100" w:firstLine="0"/>
              <w:jc w:val="center"/>
              <w:rPr>
                <w:sz w:val="20"/>
                <w:szCs w:val="20"/>
              </w:rPr>
            </w:pPr>
            <w:r>
              <w:rPr>
                <w:sz w:val="20"/>
                <w:szCs w:val="20"/>
              </w:rPr>
              <w:t xml:space="preserve"> </w:t>
            </w:r>
          </w:p>
        </w:tc>
        <w:tc>
          <w:tcPr>
            <w:tcW w:w="3030" w:type="dxa"/>
            <w:tcBorders>
              <w:top w:val="nil"/>
              <w:left w:val="nil"/>
              <w:bottom w:val="single" w:sz="8" w:space="0" w:color="666666"/>
              <w:right w:val="nil"/>
            </w:tcBorders>
            <w:tcMar>
              <w:top w:w="100" w:type="dxa"/>
              <w:left w:w="100" w:type="dxa"/>
              <w:bottom w:w="100" w:type="dxa"/>
              <w:right w:w="100" w:type="dxa"/>
            </w:tcMar>
          </w:tcPr>
          <w:p w:rsidR="005D4964" w:rsidRDefault="00C052FA">
            <w:pPr>
              <w:spacing w:before="240"/>
              <w:ind w:left="0" w:right="100" w:firstLine="0"/>
              <w:jc w:val="center"/>
              <w:rPr>
                <w:sz w:val="20"/>
                <w:szCs w:val="20"/>
              </w:rPr>
            </w:pPr>
            <w:r>
              <w:rPr>
                <w:sz w:val="20"/>
                <w:szCs w:val="20"/>
              </w:rPr>
              <w:lastRenderedPageBreak/>
              <w:t>171,93 – 172,07</w:t>
            </w:r>
          </w:p>
          <w:p w:rsidR="005D4964" w:rsidRDefault="00C052FA">
            <w:pPr>
              <w:spacing w:before="240"/>
              <w:ind w:left="0" w:right="100" w:firstLine="0"/>
              <w:jc w:val="center"/>
              <w:rPr>
                <w:sz w:val="20"/>
                <w:szCs w:val="20"/>
              </w:rPr>
            </w:pPr>
            <w:r>
              <w:rPr>
                <w:sz w:val="20"/>
                <w:szCs w:val="20"/>
              </w:rPr>
              <w:t>41,93 – 42,07</w:t>
            </w:r>
          </w:p>
          <w:p w:rsidR="005D4964" w:rsidRDefault="00C052FA">
            <w:pPr>
              <w:spacing w:before="240"/>
              <w:ind w:left="0" w:right="100" w:firstLine="0"/>
              <w:jc w:val="center"/>
              <w:rPr>
                <w:sz w:val="20"/>
                <w:szCs w:val="20"/>
              </w:rPr>
            </w:pPr>
            <w:r>
              <w:rPr>
                <w:sz w:val="20"/>
                <w:szCs w:val="20"/>
              </w:rPr>
              <w:lastRenderedPageBreak/>
              <w:t>619,93 – 620,07</w:t>
            </w:r>
          </w:p>
          <w:p w:rsidR="005D4964" w:rsidRDefault="00C052FA">
            <w:pPr>
              <w:spacing w:before="240"/>
              <w:ind w:left="0" w:right="100" w:firstLine="0"/>
              <w:jc w:val="center"/>
              <w:rPr>
                <w:sz w:val="20"/>
                <w:szCs w:val="20"/>
              </w:rPr>
            </w:pPr>
            <w:r>
              <w:rPr>
                <w:sz w:val="20"/>
                <w:szCs w:val="20"/>
              </w:rPr>
              <w:t>189,93 – 190,07</w:t>
            </w:r>
          </w:p>
          <w:p w:rsidR="005D4964" w:rsidRDefault="00C052FA">
            <w:pPr>
              <w:spacing w:before="240"/>
              <w:ind w:left="0" w:right="100" w:firstLine="0"/>
              <w:jc w:val="center"/>
              <w:rPr>
                <w:sz w:val="20"/>
                <w:szCs w:val="20"/>
              </w:rPr>
            </w:pPr>
            <w:r>
              <w:rPr>
                <w:sz w:val="20"/>
                <w:szCs w:val="20"/>
              </w:rPr>
              <w:t>10,93 – 11,07</w:t>
            </w:r>
          </w:p>
        </w:tc>
      </w:tr>
    </w:tbl>
    <w:p w:rsidR="005D4964" w:rsidRDefault="005D4964" w:rsidP="002E7DEA">
      <w:pPr>
        <w:ind w:left="0" w:firstLine="0"/>
      </w:pPr>
    </w:p>
    <w:p w:rsidR="005D4964" w:rsidRDefault="00C052FA">
      <w:pPr>
        <w:ind w:left="0" w:firstLine="0"/>
      </w:pPr>
      <w:r>
        <w:t>Igualmente, se realizó un análisis por cada una de las preguntas establecidas en el instrumento, como se puede observar en la tabla 2, en el cual el disfrutar las actividades normales del día se encuentra afectado en un 45%, siendo uno de los de mayor  con</w:t>
      </w:r>
      <w:r>
        <w:t>centración en menos de lo habitual y mucho menos de lo habitual.  Igualmente, se hace evidente que la dificultad en la concentración y las preocupaciones les han hecho perder el sueño estando el 40% de la muestra entre más que lo habitual y mucho más que l</w:t>
      </w:r>
      <w:r>
        <w:t xml:space="preserve">o habitual. El 36% de la muestra refiere sentirse poco feliz o deprimido, por otra parte, un 25% se asocia a que no pueden superar sus dificultades presentando problemas de concentración entre más que lo habitual y mucho más que lo habitual;  un 24% de la </w:t>
      </w:r>
      <w:r>
        <w:t xml:space="preserve">muestra ha manifestado sentirse menos feliz y mucho menos feliz de lo acostumbrado durante el confinamiento.   </w:t>
      </w:r>
    </w:p>
    <w:p w:rsidR="005D4964" w:rsidRDefault="005D4964">
      <w:pPr>
        <w:ind w:left="0" w:firstLine="0"/>
      </w:pPr>
    </w:p>
    <w:p w:rsidR="005D4964" w:rsidRDefault="00C052FA">
      <w:pPr>
        <w:spacing w:before="240" w:after="240"/>
        <w:ind w:left="0" w:firstLine="0"/>
        <w:jc w:val="center"/>
      </w:pPr>
      <w:r>
        <w:rPr>
          <w:b/>
          <w:sz w:val="20"/>
          <w:szCs w:val="20"/>
        </w:rPr>
        <w:t xml:space="preserve">Tabla 2.  </w:t>
      </w:r>
      <w:r>
        <w:rPr>
          <w:sz w:val="20"/>
          <w:szCs w:val="20"/>
        </w:rPr>
        <w:t>Resultados de cada una de las preguntas del Cuestionario de Salud general GHQ 12.</w:t>
      </w:r>
    </w:p>
    <w:tbl>
      <w:tblPr>
        <w:tblStyle w:val="a4"/>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420"/>
        <w:gridCol w:w="1320"/>
        <w:gridCol w:w="1290"/>
        <w:gridCol w:w="1230"/>
        <w:gridCol w:w="1605"/>
      </w:tblGrid>
      <w:tr w:rsidR="005D4964">
        <w:trPr>
          <w:trHeight w:val="785"/>
        </w:trPr>
        <w:tc>
          <w:tcPr>
            <w:tcW w:w="3420" w:type="dxa"/>
            <w:tcBorders>
              <w:top w:val="nil"/>
              <w:left w:val="nil"/>
              <w:bottom w:val="single" w:sz="8" w:space="0" w:color="000000"/>
              <w:right w:val="nil"/>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b/>
                <w:i/>
                <w:sz w:val="20"/>
                <w:szCs w:val="20"/>
              </w:rPr>
            </w:pPr>
            <w:r>
              <w:rPr>
                <w:b/>
                <w:i/>
                <w:sz w:val="20"/>
                <w:szCs w:val="20"/>
              </w:rPr>
              <w:t>Preguntas</w:t>
            </w:r>
          </w:p>
        </w:tc>
        <w:tc>
          <w:tcPr>
            <w:tcW w:w="5445" w:type="dxa"/>
            <w:gridSpan w:val="4"/>
            <w:tcBorders>
              <w:top w:val="nil"/>
              <w:left w:val="nil"/>
              <w:bottom w:val="single" w:sz="8" w:space="0" w:color="000000"/>
              <w:right w:val="nil"/>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b/>
                <w:i/>
                <w:sz w:val="20"/>
                <w:szCs w:val="20"/>
              </w:rPr>
            </w:pPr>
            <w:r>
              <w:rPr>
                <w:b/>
                <w:i/>
                <w:sz w:val="20"/>
                <w:szCs w:val="20"/>
              </w:rPr>
              <w:t>Resultados de cada pregunta según muestra</w:t>
            </w:r>
            <w:r>
              <w:rPr>
                <w:b/>
                <w:i/>
                <w:sz w:val="20"/>
                <w:szCs w:val="20"/>
              </w:rPr>
              <w:t xml:space="preserve"> y promedio [n (%)]</w:t>
            </w:r>
          </w:p>
        </w:tc>
      </w:tr>
      <w:tr w:rsidR="005D4964">
        <w:trPr>
          <w:trHeight w:val="896"/>
        </w:trPr>
        <w:tc>
          <w:tcPr>
            <w:tcW w:w="3420" w:type="dxa"/>
            <w:vMerge w:val="restart"/>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i/>
              </w:rPr>
            </w:pPr>
            <w:r>
              <w:rPr>
                <w:i/>
              </w:rPr>
              <w:t xml:space="preserve"> </w:t>
            </w:r>
          </w:p>
          <w:p w:rsidR="005D4964" w:rsidRDefault="00C052FA">
            <w:pPr>
              <w:spacing w:after="0" w:line="276" w:lineRule="auto"/>
              <w:ind w:left="-100" w:firstLine="0"/>
              <w:jc w:val="center"/>
              <w:rPr>
                <w:sz w:val="20"/>
                <w:szCs w:val="20"/>
              </w:rPr>
            </w:pPr>
            <w:r>
              <w:rPr>
                <w:sz w:val="20"/>
                <w:szCs w:val="20"/>
              </w:rPr>
              <w:t>¿Ha podido concentrarse bien en lo que hace?</w:t>
            </w:r>
          </w:p>
        </w:tc>
        <w:tc>
          <w:tcPr>
            <w:tcW w:w="1320" w:type="dxa"/>
            <w:tcBorders>
              <w:top w:val="nil"/>
              <w:left w:val="nil"/>
              <w:bottom w:val="nil"/>
              <w:right w:val="nil"/>
            </w:tcBorders>
            <w:shd w:val="clear" w:color="auto" w:fill="D9D9D9"/>
            <w:tcMar>
              <w:top w:w="100" w:type="dxa"/>
              <w:left w:w="100" w:type="dxa"/>
              <w:bottom w:w="100" w:type="dxa"/>
              <w:right w:w="100" w:type="dxa"/>
            </w:tcMar>
          </w:tcPr>
          <w:p w:rsidR="005D4964" w:rsidRDefault="00C052FA">
            <w:pPr>
              <w:spacing w:before="240" w:after="0" w:line="276" w:lineRule="auto"/>
              <w:ind w:left="0" w:firstLine="0"/>
              <w:rPr>
                <w:b/>
                <w:sz w:val="18"/>
                <w:szCs w:val="18"/>
              </w:rPr>
            </w:pPr>
            <w:r>
              <w:rPr>
                <w:b/>
                <w:sz w:val="18"/>
                <w:szCs w:val="18"/>
              </w:rPr>
              <w:t>Mejor que lo habitual</w:t>
            </w:r>
          </w:p>
        </w:tc>
        <w:tc>
          <w:tcPr>
            <w:tcW w:w="1290" w:type="dxa"/>
            <w:tcBorders>
              <w:top w:val="nil"/>
              <w:left w:val="nil"/>
              <w:bottom w:val="nil"/>
              <w:right w:val="nil"/>
            </w:tcBorders>
            <w:shd w:val="clear" w:color="auto" w:fill="D9D9D9"/>
            <w:tcMar>
              <w:top w:w="100" w:type="dxa"/>
              <w:left w:w="100" w:type="dxa"/>
              <w:bottom w:w="100" w:type="dxa"/>
              <w:right w:w="100" w:type="dxa"/>
            </w:tcMar>
          </w:tcPr>
          <w:p w:rsidR="005D4964" w:rsidRDefault="00C052FA">
            <w:pPr>
              <w:spacing w:after="0" w:line="276" w:lineRule="auto"/>
              <w:ind w:left="-100" w:firstLine="0"/>
              <w:jc w:val="center"/>
              <w:rPr>
                <w:b/>
                <w:sz w:val="18"/>
                <w:szCs w:val="18"/>
              </w:rPr>
            </w:pPr>
            <w:r>
              <w:rPr>
                <w:b/>
                <w:sz w:val="18"/>
                <w:szCs w:val="18"/>
              </w:rPr>
              <w:t>Igual que lo habitual</w:t>
            </w:r>
          </w:p>
        </w:tc>
        <w:tc>
          <w:tcPr>
            <w:tcW w:w="1230" w:type="dxa"/>
            <w:tcBorders>
              <w:top w:val="nil"/>
              <w:left w:val="nil"/>
              <w:bottom w:val="nil"/>
              <w:right w:val="nil"/>
            </w:tcBorders>
            <w:shd w:val="clear" w:color="auto" w:fill="D9D9D9"/>
            <w:tcMar>
              <w:top w:w="100" w:type="dxa"/>
              <w:left w:w="100" w:type="dxa"/>
              <w:bottom w:w="100" w:type="dxa"/>
              <w:right w:w="100" w:type="dxa"/>
            </w:tcMar>
          </w:tcPr>
          <w:p w:rsidR="005D4964" w:rsidRDefault="00C052FA">
            <w:pPr>
              <w:spacing w:after="0" w:line="276" w:lineRule="auto"/>
              <w:ind w:left="-100" w:firstLine="0"/>
              <w:jc w:val="center"/>
              <w:rPr>
                <w:b/>
                <w:sz w:val="18"/>
                <w:szCs w:val="18"/>
              </w:rPr>
            </w:pPr>
            <w:r>
              <w:rPr>
                <w:b/>
                <w:sz w:val="18"/>
                <w:szCs w:val="18"/>
              </w:rPr>
              <w:t>Menos que lo habitual</w:t>
            </w:r>
          </w:p>
        </w:tc>
        <w:tc>
          <w:tcPr>
            <w:tcW w:w="1605" w:type="dxa"/>
            <w:tcBorders>
              <w:top w:val="nil"/>
              <w:left w:val="nil"/>
              <w:bottom w:val="nil"/>
              <w:right w:val="nil"/>
            </w:tcBorders>
            <w:shd w:val="clear" w:color="auto" w:fill="D9D9D9"/>
            <w:tcMar>
              <w:top w:w="100" w:type="dxa"/>
              <w:left w:w="100" w:type="dxa"/>
              <w:bottom w:w="100" w:type="dxa"/>
              <w:right w:w="100" w:type="dxa"/>
            </w:tcMar>
          </w:tcPr>
          <w:p w:rsidR="005D4964" w:rsidRDefault="00C052FA">
            <w:pPr>
              <w:spacing w:after="0" w:line="276" w:lineRule="auto"/>
              <w:ind w:left="-100" w:firstLine="0"/>
              <w:jc w:val="center"/>
              <w:rPr>
                <w:b/>
                <w:sz w:val="18"/>
                <w:szCs w:val="18"/>
              </w:rPr>
            </w:pPr>
            <w:r>
              <w:rPr>
                <w:b/>
                <w:sz w:val="18"/>
                <w:szCs w:val="18"/>
              </w:rPr>
              <w:t>Mucho menos que lo habitual</w:t>
            </w:r>
          </w:p>
        </w:tc>
      </w:tr>
      <w:tr w:rsidR="005D4964">
        <w:trPr>
          <w:trHeight w:val="620"/>
        </w:trPr>
        <w:tc>
          <w:tcPr>
            <w:tcW w:w="34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4964" w:rsidRDefault="005D4964">
            <w:pPr>
              <w:spacing w:before="240" w:after="240"/>
              <w:ind w:left="0" w:firstLine="0"/>
              <w:jc w:val="center"/>
            </w:pPr>
          </w:p>
        </w:tc>
        <w:tc>
          <w:tcPr>
            <w:tcW w:w="1320" w:type="dxa"/>
            <w:tcBorders>
              <w:top w:val="nil"/>
              <w:left w:val="nil"/>
              <w:bottom w:val="single" w:sz="8" w:space="0" w:color="000000"/>
              <w:right w:val="nil"/>
            </w:tcBorders>
            <w:shd w:val="clear" w:color="auto" w:fill="auto"/>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b/>
                <w:sz w:val="18"/>
                <w:szCs w:val="18"/>
              </w:rPr>
              <w:t>[</w:t>
            </w:r>
            <w:r>
              <w:rPr>
                <w:sz w:val="18"/>
                <w:szCs w:val="18"/>
              </w:rPr>
              <w:t>111 (11)]</w:t>
            </w:r>
          </w:p>
        </w:tc>
        <w:tc>
          <w:tcPr>
            <w:tcW w:w="1290" w:type="dxa"/>
            <w:tcBorders>
              <w:top w:val="nil"/>
              <w:left w:val="nil"/>
              <w:bottom w:val="single" w:sz="8" w:space="0" w:color="000000"/>
              <w:right w:val="nil"/>
            </w:tcBorders>
            <w:shd w:val="clear" w:color="auto" w:fill="auto"/>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[511 (49)]</w:t>
            </w:r>
          </w:p>
        </w:tc>
        <w:tc>
          <w:tcPr>
            <w:tcW w:w="1230" w:type="dxa"/>
            <w:tcBorders>
              <w:top w:val="nil"/>
              <w:left w:val="nil"/>
              <w:bottom w:val="single" w:sz="8" w:space="0" w:color="000000"/>
              <w:right w:val="nil"/>
            </w:tcBorders>
            <w:shd w:val="clear" w:color="auto" w:fill="auto"/>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[345 (33)]</w:t>
            </w:r>
          </w:p>
        </w:tc>
        <w:tc>
          <w:tcPr>
            <w:tcW w:w="1605" w:type="dxa"/>
            <w:tcBorders>
              <w:top w:val="nil"/>
              <w:left w:val="nil"/>
              <w:bottom w:val="single" w:sz="8" w:space="0" w:color="000000"/>
              <w:right w:val="nil"/>
            </w:tcBorders>
            <w:shd w:val="clear" w:color="auto" w:fill="auto"/>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[68 (7)]</w:t>
            </w:r>
          </w:p>
        </w:tc>
      </w:tr>
      <w:tr w:rsidR="005D4964">
        <w:trPr>
          <w:trHeight w:val="755"/>
        </w:trPr>
        <w:tc>
          <w:tcPr>
            <w:tcW w:w="3420" w:type="dxa"/>
            <w:vMerge w:val="restart"/>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b/>
                <w:i/>
                <w:sz w:val="20"/>
                <w:szCs w:val="20"/>
              </w:rPr>
            </w:pPr>
            <w:r>
              <w:rPr>
                <w:b/>
                <w:i/>
                <w:sz w:val="20"/>
                <w:szCs w:val="20"/>
              </w:rPr>
              <w:t xml:space="preserve"> </w:t>
            </w:r>
          </w:p>
          <w:p w:rsidR="005D4964" w:rsidRDefault="00C052FA">
            <w:pPr>
              <w:spacing w:after="0" w:line="276" w:lineRule="auto"/>
              <w:ind w:left="-100" w:firstLine="0"/>
              <w:jc w:val="center"/>
              <w:rPr>
                <w:b/>
                <w:sz w:val="20"/>
                <w:szCs w:val="20"/>
              </w:rPr>
            </w:pPr>
            <w:r>
              <w:rPr>
                <w:b/>
                <w:sz w:val="20"/>
                <w:szCs w:val="20"/>
              </w:rPr>
              <w:t>¿</w:t>
            </w:r>
            <w:r>
              <w:rPr>
                <w:sz w:val="20"/>
                <w:szCs w:val="20"/>
              </w:rPr>
              <w:t>Sus preocupaciones le han hecho perder mucho el sueño</w:t>
            </w:r>
            <w:r>
              <w:rPr>
                <w:b/>
                <w:sz w:val="20"/>
                <w:szCs w:val="20"/>
              </w:rPr>
              <w:t>?</w:t>
            </w:r>
          </w:p>
        </w:tc>
        <w:tc>
          <w:tcPr>
            <w:tcW w:w="1320" w:type="dxa"/>
            <w:tcBorders>
              <w:top w:val="nil"/>
              <w:left w:val="nil"/>
              <w:bottom w:val="nil"/>
              <w:right w:val="nil"/>
            </w:tcBorders>
            <w:shd w:val="clear" w:color="auto" w:fill="D9D9D9"/>
            <w:tcMar>
              <w:top w:w="100" w:type="dxa"/>
              <w:left w:w="100" w:type="dxa"/>
              <w:bottom w:w="100" w:type="dxa"/>
              <w:right w:w="100" w:type="dxa"/>
            </w:tcMar>
          </w:tcPr>
          <w:p w:rsidR="005D4964" w:rsidRDefault="00C052FA">
            <w:pPr>
              <w:spacing w:after="0" w:line="276" w:lineRule="auto"/>
              <w:ind w:left="-100" w:firstLine="0"/>
              <w:jc w:val="center"/>
              <w:rPr>
                <w:b/>
                <w:sz w:val="18"/>
                <w:szCs w:val="18"/>
              </w:rPr>
            </w:pPr>
            <w:r>
              <w:rPr>
                <w:b/>
                <w:sz w:val="18"/>
                <w:szCs w:val="18"/>
              </w:rPr>
              <w:t>Mucho más que lo habitual</w:t>
            </w:r>
          </w:p>
        </w:tc>
        <w:tc>
          <w:tcPr>
            <w:tcW w:w="1290" w:type="dxa"/>
            <w:tcBorders>
              <w:top w:val="nil"/>
              <w:left w:val="nil"/>
              <w:bottom w:val="nil"/>
              <w:right w:val="nil"/>
            </w:tcBorders>
            <w:shd w:val="clear" w:color="auto" w:fill="D9D9D9"/>
            <w:tcMar>
              <w:top w:w="100" w:type="dxa"/>
              <w:left w:w="100" w:type="dxa"/>
              <w:bottom w:w="100" w:type="dxa"/>
              <w:right w:w="100" w:type="dxa"/>
            </w:tcMar>
          </w:tcPr>
          <w:p w:rsidR="005D4964" w:rsidRDefault="00C052FA">
            <w:pPr>
              <w:spacing w:after="0" w:line="276" w:lineRule="auto"/>
              <w:ind w:left="-100" w:firstLine="0"/>
              <w:jc w:val="center"/>
              <w:rPr>
                <w:b/>
                <w:sz w:val="18"/>
                <w:szCs w:val="18"/>
              </w:rPr>
            </w:pPr>
            <w:r>
              <w:rPr>
                <w:b/>
                <w:sz w:val="18"/>
                <w:szCs w:val="18"/>
              </w:rPr>
              <w:t>Más que lo habitual</w:t>
            </w:r>
          </w:p>
        </w:tc>
        <w:tc>
          <w:tcPr>
            <w:tcW w:w="1230" w:type="dxa"/>
            <w:tcBorders>
              <w:top w:val="nil"/>
              <w:left w:val="nil"/>
              <w:bottom w:val="nil"/>
              <w:right w:val="nil"/>
            </w:tcBorders>
            <w:shd w:val="clear" w:color="auto" w:fill="D9D9D9"/>
            <w:tcMar>
              <w:top w:w="100" w:type="dxa"/>
              <w:left w:w="100" w:type="dxa"/>
              <w:bottom w:w="100" w:type="dxa"/>
              <w:right w:w="100" w:type="dxa"/>
            </w:tcMar>
          </w:tcPr>
          <w:p w:rsidR="005D4964" w:rsidRDefault="00C052FA">
            <w:pPr>
              <w:spacing w:after="0" w:line="276" w:lineRule="auto"/>
              <w:ind w:left="-100" w:firstLine="0"/>
              <w:jc w:val="center"/>
              <w:rPr>
                <w:b/>
                <w:sz w:val="18"/>
                <w:szCs w:val="18"/>
              </w:rPr>
            </w:pPr>
            <w:r>
              <w:rPr>
                <w:b/>
                <w:sz w:val="18"/>
                <w:szCs w:val="18"/>
              </w:rPr>
              <w:t>Igual que lo habitual</w:t>
            </w:r>
          </w:p>
        </w:tc>
        <w:tc>
          <w:tcPr>
            <w:tcW w:w="1605" w:type="dxa"/>
            <w:tcBorders>
              <w:top w:val="nil"/>
              <w:left w:val="nil"/>
              <w:bottom w:val="nil"/>
              <w:right w:val="nil"/>
            </w:tcBorders>
            <w:shd w:val="clear" w:color="auto" w:fill="D9D9D9"/>
            <w:tcMar>
              <w:top w:w="100" w:type="dxa"/>
              <w:left w:w="100" w:type="dxa"/>
              <w:bottom w:w="100" w:type="dxa"/>
              <w:right w:w="100" w:type="dxa"/>
            </w:tcMar>
          </w:tcPr>
          <w:p w:rsidR="005D4964" w:rsidRDefault="00C052FA">
            <w:pPr>
              <w:spacing w:after="0" w:line="276" w:lineRule="auto"/>
              <w:ind w:left="-100" w:firstLine="0"/>
              <w:jc w:val="center"/>
              <w:rPr>
                <w:b/>
                <w:sz w:val="18"/>
                <w:szCs w:val="18"/>
              </w:rPr>
            </w:pPr>
            <w:r>
              <w:rPr>
                <w:b/>
                <w:sz w:val="18"/>
                <w:szCs w:val="18"/>
              </w:rPr>
              <w:t>No, en absoluto</w:t>
            </w:r>
          </w:p>
        </w:tc>
      </w:tr>
      <w:tr w:rsidR="005D4964">
        <w:trPr>
          <w:trHeight w:val="590"/>
        </w:trPr>
        <w:tc>
          <w:tcPr>
            <w:tcW w:w="34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4964" w:rsidRDefault="005D4964">
            <w:pPr>
              <w:spacing w:before="240" w:after="240"/>
              <w:ind w:left="0" w:firstLine="0"/>
              <w:jc w:val="center"/>
            </w:pPr>
          </w:p>
        </w:tc>
        <w:tc>
          <w:tcPr>
            <w:tcW w:w="1320" w:type="dxa"/>
            <w:tcBorders>
              <w:top w:val="nil"/>
              <w:left w:val="nil"/>
              <w:bottom w:val="nil"/>
              <w:right w:val="nil"/>
            </w:tcBorders>
            <w:shd w:val="clear" w:color="auto" w:fill="auto"/>
            <w:tcMar>
              <w:top w:w="100" w:type="dxa"/>
              <w:left w:w="100" w:type="dxa"/>
              <w:bottom w:w="100" w:type="dxa"/>
              <w:right w:w="100" w:type="dxa"/>
            </w:tcMar>
          </w:tcPr>
          <w:p w:rsidR="005D4964" w:rsidRDefault="00C052FA">
            <w:pPr>
              <w:spacing w:after="0" w:line="276" w:lineRule="auto"/>
              <w:ind w:left="-100" w:firstLine="0"/>
              <w:jc w:val="center"/>
              <w:rPr>
                <w:b/>
                <w:sz w:val="18"/>
                <w:szCs w:val="18"/>
              </w:rPr>
            </w:pPr>
            <w:r>
              <w:rPr>
                <w:sz w:val="18"/>
                <w:szCs w:val="18"/>
              </w:rPr>
              <w:t>[114 (11</w:t>
            </w:r>
            <w:r>
              <w:rPr>
                <w:b/>
                <w:sz w:val="18"/>
                <w:szCs w:val="18"/>
              </w:rPr>
              <w:t>)]</w:t>
            </w:r>
          </w:p>
        </w:tc>
        <w:tc>
          <w:tcPr>
            <w:tcW w:w="1290" w:type="dxa"/>
            <w:tcBorders>
              <w:top w:val="nil"/>
              <w:left w:val="nil"/>
              <w:bottom w:val="nil"/>
              <w:right w:val="nil"/>
            </w:tcBorders>
            <w:shd w:val="clear" w:color="auto" w:fill="auto"/>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[299 (29)]</w:t>
            </w:r>
          </w:p>
        </w:tc>
        <w:tc>
          <w:tcPr>
            <w:tcW w:w="1230" w:type="dxa"/>
            <w:tcBorders>
              <w:top w:val="nil"/>
              <w:left w:val="nil"/>
              <w:bottom w:val="nil"/>
              <w:right w:val="nil"/>
            </w:tcBorders>
            <w:shd w:val="clear" w:color="auto" w:fill="auto"/>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[351 (34)]</w:t>
            </w:r>
          </w:p>
        </w:tc>
        <w:tc>
          <w:tcPr>
            <w:tcW w:w="1605" w:type="dxa"/>
            <w:tcBorders>
              <w:top w:val="nil"/>
              <w:left w:val="nil"/>
              <w:bottom w:val="nil"/>
              <w:right w:val="nil"/>
            </w:tcBorders>
            <w:shd w:val="clear" w:color="auto" w:fill="auto"/>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[271 (26)]</w:t>
            </w:r>
          </w:p>
        </w:tc>
      </w:tr>
      <w:tr w:rsidR="005D4964">
        <w:trPr>
          <w:trHeight w:val="500"/>
        </w:trPr>
        <w:tc>
          <w:tcPr>
            <w:tcW w:w="34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sz w:val="20"/>
                <w:szCs w:val="20"/>
              </w:rPr>
            </w:pPr>
            <w:r>
              <w:rPr>
                <w:sz w:val="20"/>
                <w:szCs w:val="20"/>
              </w:rPr>
              <w:lastRenderedPageBreak/>
              <w:t>¿Se ha sentido poco feliz o deprimido?</w:t>
            </w:r>
          </w:p>
        </w:tc>
        <w:tc>
          <w:tcPr>
            <w:tcW w:w="1320" w:type="dxa"/>
            <w:tcBorders>
              <w:top w:val="nil"/>
              <w:left w:val="nil"/>
              <w:bottom w:val="nil"/>
              <w:right w:val="nil"/>
            </w:tcBorders>
            <w:shd w:val="clear" w:color="auto" w:fill="auto"/>
            <w:tcMar>
              <w:top w:w="100" w:type="dxa"/>
              <w:left w:w="100" w:type="dxa"/>
              <w:bottom w:w="100" w:type="dxa"/>
              <w:right w:w="100" w:type="dxa"/>
            </w:tcMar>
          </w:tcPr>
          <w:p w:rsidR="005D4964" w:rsidRDefault="00C052FA">
            <w:pPr>
              <w:spacing w:before="240" w:after="0" w:line="276" w:lineRule="auto"/>
              <w:ind w:left="0" w:firstLine="0"/>
              <w:jc w:val="center"/>
              <w:rPr>
                <w:sz w:val="18"/>
                <w:szCs w:val="18"/>
              </w:rPr>
            </w:pPr>
            <w:r>
              <w:rPr>
                <w:sz w:val="18"/>
                <w:szCs w:val="18"/>
              </w:rPr>
              <w:t>[112 (11)]</w:t>
            </w:r>
          </w:p>
        </w:tc>
        <w:tc>
          <w:tcPr>
            <w:tcW w:w="1290" w:type="dxa"/>
            <w:tcBorders>
              <w:top w:val="nil"/>
              <w:left w:val="nil"/>
              <w:bottom w:val="nil"/>
              <w:right w:val="nil"/>
            </w:tcBorders>
            <w:shd w:val="clear" w:color="auto" w:fill="auto"/>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[257 (25)]</w:t>
            </w:r>
          </w:p>
        </w:tc>
        <w:tc>
          <w:tcPr>
            <w:tcW w:w="1230" w:type="dxa"/>
            <w:tcBorders>
              <w:top w:val="nil"/>
              <w:left w:val="nil"/>
              <w:bottom w:val="nil"/>
              <w:right w:val="nil"/>
            </w:tcBorders>
            <w:shd w:val="clear" w:color="auto" w:fill="auto"/>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[383 (37)]</w:t>
            </w:r>
          </w:p>
        </w:tc>
        <w:tc>
          <w:tcPr>
            <w:tcW w:w="1605" w:type="dxa"/>
            <w:tcBorders>
              <w:top w:val="nil"/>
              <w:left w:val="nil"/>
              <w:bottom w:val="nil"/>
              <w:right w:val="nil"/>
            </w:tcBorders>
            <w:shd w:val="clear" w:color="auto" w:fill="auto"/>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[283 (27)]</w:t>
            </w:r>
          </w:p>
        </w:tc>
      </w:tr>
      <w:tr w:rsidR="005D4964">
        <w:trPr>
          <w:trHeight w:val="605"/>
        </w:trPr>
        <w:tc>
          <w:tcPr>
            <w:tcW w:w="34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sz w:val="20"/>
                <w:szCs w:val="20"/>
              </w:rPr>
            </w:pPr>
            <w:r>
              <w:rPr>
                <w:sz w:val="20"/>
                <w:szCs w:val="20"/>
              </w:rPr>
              <w:t>¿Ha perdido confianza en sí mismo/a?</w:t>
            </w:r>
          </w:p>
        </w:tc>
        <w:tc>
          <w:tcPr>
            <w:tcW w:w="1320" w:type="dxa"/>
            <w:tcBorders>
              <w:top w:val="nil"/>
              <w:left w:val="nil"/>
              <w:bottom w:val="nil"/>
              <w:right w:val="nil"/>
            </w:tcBorders>
            <w:shd w:val="clear" w:color="auto" w:fill="auto"/>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[61 (6)]</w:t>
            </w:r>
          </w:p>
        </w:tc>
        <w:tc>
          <w:tcPr>
            <w:tcW w:w="1290" w:type="dxa"/>
            <w:tcBorders>
              <w:top w:val="nil"/>
              <w:left w:val="nil"/>
              <w:bottom w:val="nil"/>
              <w:right w:val="nil"/>
            </w:tcBorders>
            <w:shd w:val="clear" w:color="auto" w:fill="auto"/>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[157 (15)]</w:t>
            </w:r>
          </w:p>
        </w:tc>
        <w:tc>
          <w:tcPr>
            <w:tcW w:w="1230" w:type="dxa"/>
            <w:tcBorders>
              <w:top w:val="nil"/>
              <w:left w:val="nil"/>
              <w:bottom w:val="nil"/>
              <w:right w:val="nil"/>
            </w:tcBorders>
            <w:shd w:val="clear" w:color="auto" w:fill="auto"/>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[278 (27)]</w:t>
            </w:r>
          </w:p>
        </w:tc>
        <w:tc>
          <w:tcPr>
            <w:tcW w:w="1605" w:type="dxa"/>
            <w:tcBorders>
              <w:top w:val="nil"/>
              <w:left w:val="nil"/>
              <w:bottom w:val="nil"/>
              <w:right w:val="nil"/>
            </w:tcBorders>
            <w:shd w:val="clear" w:color="auto" w:fill="auto"/>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[539 (52)]</w:t>
            </w:r>
          </w:p>
        </w:tc>
      </w:tr>
      <w:tr w:rsidR="005D4964">
        <w:trPr>
          <w:trHeight w:val="710"/>
        </w:trPr>
        <w:tc>
          <w:tcPr>
            <w:tcW w:w="34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sz w:val="20"/>
                <w:szCs w:val="20"/>
              </w:rPr>
            </w:pPr>
            <w:r>
              <w:rPr>
                <w:sz w:val="20"/>
                <w:szCs w:val="20"/>
              </w:rPr>
              <w:t>¿Ha pensado que usted es una persona que no vale para nada?</w:t>
            </w:r>
          </w:p>
        </w:tc>
        <w:tc>
          <w:tcPr>
            <w:tcW w:w="1320" w:type="dxa"/>
            <w:tcBorders>
              <w:top w:val="nil"/>
              <w:left w:val="nil"/>
              <w:bottom w:val="single" w:sz="8" w:space="0" w:color="000000"/>
              <w:right w:val="nil"/>
            </w:tcBorders>
            <w:shd w:val="clear" w:color="auto" w:fill="auto"/>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[42 (4)]</w:t>
            </w:r>
          </w:p>
        </w:tc>
        <w:tc>
          <w:tcPr>
            <w:tcW w:w="1290" w:type="dxa"/>
            <w:tcBorders>
              <w:top w:val="nil"/>
              <w:left w:val="nil"/>
              <w:bottom w:val="single" w:sz="8" w:space="0" w:color="000000"/>
              <w:right w:val="nil"/>
            </w:tcBorders>
            <w:shd w:val="clear" w:color="auto" w:fill="auto"/>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[86 (8)]</w:t>
            </w:r>
          </w:p>
        </w:tc>
        <w:tc>
          <w:tcPr>
            <w:tcW w:w="1230" w:type="dxa"/>
            <w:tcBorders>
              <w:top w:val="nil"/>
              <w:left w:val="nil"/>
              <w:bottom w:val="single" w:sz="8" w:space="0" w:color="000000"/>
              <w:right w:val="nil"/>
            </w:tcBorders>
            <w:shd w:val="clear" w:color="auto" w:fill="auto"/>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[157 (15)]</w:t>
            </w:r>
          </w:p>
        </w:tc>
        <w:tc>
          <w:tcPr>
            <w:tcW w:w="1605" w:type="dxa"/>
            <w:tcBorders>
              <w:top w:val="nil"/>
              <w:left w:val="nil"/>
              <w:bottom w:val="single" w:sz="8" w:space="0" w:color="000000"/>
              <w:right w:val="nil"/>
            </w:tcBorders>
            <w:shd w:val="clear" w:color="auto" w:fill="auto"/>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[750 (73)]</w:t>
            </w:r>
          </w:p>
        </w:tc>
      </w:tr>
      <w:tr w:rsidR="005D4964">
        <w:trPr>
          <w:trHeight w:val="695"/>
        </w:trPr>
        <w:tc>
          <w:tcPr>
            <w:tcW w:w="3420" w:type="dxa"/>
            <w:vMerge w:val="restart"/>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i/>
                <w:sz w:val="20"/>
                <w:szCs w:val="20"/>
              </w:rPr>
            </w:pPr>
            <w:r>
              <w:rPr>
                <w:i/>
                <w:sz w:val="20"/>
                <w:szCs w:val="20"/>
              </w:rPr>
              <w:t xml:space="preserve"> </w:t>
            </w:r>
          </w:p>
          <w:p w:rsidR="005D4964" w:rsidRDefault="00C052FA">
            <w:pPr>
              <w:spacing w:after="0" w:line="276" w:lineRule="auto"/>
              <w:ind w:left="-100" w:firstLine="0"/>
              <w:jc w:val="center"/>
              <w:rPr>
                <w:sz w:val="20"/>
                <w:szCs w:val="20"/>
              </w:rPr>
            </w:pPr>
            <w:r>
              <w:rPr>
                <w:sz w:val="20"/>
                <w:szCs w:val="20"/>
              </w:rPr>
              <w:t>¿Ha sentido que no puede superar sus dificultades</w:t>
            </w:r>
          </w:p>
        </w:tc>
        <w:tc>
          <w:tcPr>
            <w:tcW w:w="1320" w:type="dxa"/>
            <w:tcBorders>
              <w:top w:val="nil"/>
              <w:left w:val="nil"/>
              <w:bottom w:val="nil"/>
              <w:right w:val="nil"/>
            </w:tcBorders>
            <w:shd w:val="clear" w:color="auto" w:fill="D9D9D9"/>
            <w:tcMar>
              <w:top w:w="100" w:type="dxa"/>
              <w:left w:w="100" w:type="dxa"/>
              <w:bottom w:w="100" w:type="dxa"/>
              <w:right w:w="100" w:type="dxa"/>
            </w:tcMar>
          </w:tcPr>
          <w:p w:rsidR="005D4964" w:rsidRDefault="00C052FA">
            <w:pPr>
              <w:spacing w:after="0" w:line="276" w:lineRule="auto"/>
              <w:ind w:left="-100" w:firstLine="0"/>
              <w:jc w:val="center"/>
              <w:rPr>
                <w:b/>
                <w:sz w:val="18"/>
                <w:szCs w:val="18"/>
              </w:rPr>
            </w:pPr>
            <w:r>
              <w:rPr>
                <w:b/>
                <w:sz w:val="18"/>
                <w:szCs w:val="18"/>
              </w:rPr>
              <w:t>Mucho más que lo habitual</w:t>
            </w:r>
          </w:p>
        </w:tc>
        <w:tc>
          <w:tcPr>
            <w:tcW w:w="1290" w:type="dxa"/>
            <w:tcBorders>
              <w:top w:val="nil"/>
              <w:left w:val="nil"/>
              <w:bottom w:val="nil"/>
              <w:right w:val="nil"/>
            </w:tcBorders>
            <w:shd w:val="clear" w:color="auto" w:fill="D9D9D9"/>
            <w:tcMar>
              <w:top w:w="100" w:type="dxa"/>
              <w:left w:w="100" w:type="dxa"/>
              <w:bottom w:w="100" w:type="dxa"/>
              <w:right w:w="100" w:type="dxa"/>
            </w:tcMar>
          </w:tcPr>
          <w:p w:rsidR="005D4964" w:rsidRDefault="00C052FA">
            <w:pPr>
              <w:spacing w:after="0" w:line="276" w:lineRule="auto"/>
              <w:ind w:left="-100" w:firstLine="0"/>
              <w:jc w:val="center"/>
              <w:rPr>
                <w:b/>
                <w:sz w:val="18"/>
                <w:szCs w:val="18"/>
              </w:rPr>
            </w:pPr>
            <w:r>
              <w:rPr>
                <w:b/>
                <w:sz w:val="18"/>
                <w:szCs w:val="18"/>
              </w:rPr>
              <w:t>Más que lo habitual</w:t>
            </w:r>
          </w:p>
        </w:tc>
        <w:tc>
          <w:tcPr>
            <w:tcW w:w="1230" w:type="dxa"/>
            <w:tcBorders>
              <w:top w:val="nil"/>
              <w:left w:val="nil"/>
              <w:bottom w:val="nil"/>
              <w:right w:val="nil"/>
            </w:tcBorders>
            <w:shd w:val="clear" w:color="auto" w:fill="D9D9D9"/>
            <w:tcMar>
              <w:top w:w="100" w:type="dxa"/>
              <w:left w:w="100" w:type="dxa"/>
              <w:bottom w:w="100" w:type="dxa"/>
              <w:right w:w="100" w:type="dxa"/>
            </w:tcMar>
          </w:tcPr>
          <w:p w:rsidR="005D4964" w:rsidRDefault="00C052FA">
            <w:pPr>
              <w:spacing w:after="0" w:line="276" w:lineRule="auto"/>
              <w:ind w:left="-100" w:firstLine="0"/>
              <w:jc w:val="center"/>
              <w:rPr>
                <w:b/>
                <w:sz w:val="18"/>
                <w:szCs w:val="18"/>
              </w:rPr>
            </w:pPr>
            <w:r>
              <w:rPr>
                <w:b/>
                <w:sz w:val="18"/>
                <w:szCs w:val="18"/>
              </w:rPr>
              <w:t>Igual que lo habitual</w:t>
            </w:r>
          </w:p>
        </w:tc>
        <w:tc>
          <w:tcPr>
            <w:tcW w:w="1605" w:type="dxa"/>
            <w:tcBorders>
              <w:top w:val="nil"/>
              <w:left w:val="nil"/>
              <w:bottom w:val="nil"/>
              <w:right w:val="nil"/>
            </w:tcBorders>
            <w:shd w:val="clear" w:color="auto" w:fill="D9D9D9"/>
            <w:tcMar>
              <w:top w:w="100" w:type="dxa"/>
              <w:left w:w="100" w:type="dxa"/>
              <w:bottom w:w="100" w:type="dxa"/>
              <w:right w:w="100" w:type="dxa"/>
            </w:tcMar>
          </w:tcPr>
          <w:p w:rsidR="005D4964" w:rsidRDefault="00C052FA">
            <w:pPr>
              <w:spacing w:after="0" w:line="276" w:lineRule="auto"/>
              <w:ind w:left="-100" w:firstLine="0"/>
              <w:jc w:val="center"/>
              <w:rPr>
                <w:b/>
                <w:sz w:val="18"/>
                <w:szCs w:val="18"/>
              </w:rPr>
            </w:pPr>
            <w:r>
              <w:rPr>
                <w:b/>
                <w:sz w:val="18"/>
                <w:szCs w:val="18"/>
              </w:rPr>
              <w:t>No, en absoluto</w:t>
            </w:r>
          </w:p>
        </w:tc>
      </w:tr>
      <w:tr w:rsidR="005D4964">
        <w:trPr>
          <w:trHeight w:val="605"/>
        </w:trPr>
        <w:tc>
          <w:tcPr>
            <w:tcW w:w="34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4964" w:rsidRDefault="005D4964">
            <w:pPr>
              <w:spacing w:before="240" w:after="240"/>
              <w:ind w:left="0" w:firstLine="0"/>
              <w:jc w:val="center"/>
            </w:pPr>
          </w:p>
        </w:tc>
        <w:tc>
          <w:tcPr>
            <w:tcW w:w="1320" w:type="dxa"/>
            <w:tcBorders>
              <w:top w:val="nil"/>
              <w:left w:val="nil"/>
              <w:bottom w:val="single" w:sz="8" w:space="0" w:color="000000"/>
              <w:right w:val="nil"/>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[57 (5)]</w:t>
            </w:r>
          </w:p>
        </w:tc>
        <w:tc>
          <w:tcPr>
            <w:tcW w:w="1290" w:type="dxa"/>
            <w:tcBorders>
              <w:top w:val="nil"/>
              <w:left w:val="nil"/>
              <w:bottom w:val="single" w:sz="8" w:space="0" w:color="000000"/>
              <w:right w:val="nil"/>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[204 (20)]</w:t>
            </w:r>
          </w:p>
        </w:tc>
        <w:tc>
          <w:tcPr>
            <w:tcW w:w="1230" w:type="dxa"/>
            <w:tcBorders>
              <w:top w:val="nil"/>
              <w:left w:val="nil"/>
              <w:bottom w:val="single" w:sz="8" w:space="0" w:color="000000"/>
              <w:right w:val="nil"/>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[395 (38)]</w:t>
            </w:r>
          </w:p>
        </w:tc>
        <w:tc>
          <w:tcPr>
            <w:tcW w:w="1605" w:type="dxa"/>
            <w:tcBorders>
              <w:top w:val="nil"/>
              <w:left w:val="nil"/>
              <w:bottom w:val="single" w:sz="8" w:space="0" w:color="000000"/>
              <w:right w:val="nil"/>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[379 (37)]</w:t>
            </w:r>
          </w:p>
        </w:tc>
      </w:tr>
      <w:tr w:rsidR="005D4964">
        <w:trPr>
          <w:trHeight w:val="680"/>
        </w:trPr>
        <w:tc>
          <w:tcPr>
            <w:tcW w:w="3420" w:type="dxa"/>
            <w:vMerge w:val="restart"/>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i/>
                <w:sz w:val="20"/>
                <w:szCs w:val="20"/>
              </w:rPr>
            </w:pPr>
            <w:r>
              <w:rPr>
                <w:i/>
                <w:sz w:val="20"/>
                <w:szCs w:val="20"/>
              </w:rPr>
              <w:t xml:space="preserve"> </w:t>
            </w:r>
          </w:p>
          <w:p w:rsidR="005D4964" w:rsidRDefault="00C052FA">
            <w:pPr>
              <w:spacing w:after="0" w:line="276" w:lineRule="auto"/>
              <w:ind w:left="-100" w:firstLine="0"/>
              <w:jc w:val="center"/>
              <w:rPr>
                <w:sz w:val="20"/>
                <w:szCs w:val="20"/>
              </w:rPr>
            </w:pPr>
            <w:r>
              <w:rPr>
                <w:sz w:val="20"/>
                <w:szCs w:val="20"/>
              </w:rPr>
              <w:t>¿Ha sentido que está desempeñando un papel útil en la vida?</w:t>
            </w:r>
          </w:p>
        </w:tc>
        <w:tc>
          <w:tcPr>
            <w:tcW w:w="1320" w:type="dxa"/>
            <w:tcBorders>
              <w:top w:val="nil"/>
              <w:left w:val="nil"/>
              <w:bottom w:val="nil"/>
              <w:right w:val="nil"/>
            </w:tcBorders>
            <w:shd w:val="clear" w:color="auto" w:fill="D9D9D9"/>
            <w:tcMar>
              <w:top w:w="100" w:type="dxa"/>
              <w:left w:w="100" w:type="dxa"/>
              <w:bottom w:w="100" w:type="dxa"/>
              <w:right w:w="100" w:type="dxa"/>
            </w:tcMar>
          </w:tcPr>
          <w:p w:rsidR="005D4964" w:rsidRDefault="00C052FA">
            <w:pPr>
              <w:spacing w:after="0" w:line="276" w:lineRule="auto"/>
              <w:ind w:left="-100" w:firstLine="0"/>
              <w:jc w:val="center"/>
              <w:rPr>
                <w:b/>
                <w:sz w:val="18"/>
                <w:szCs w:val="18"/>
              </w:rPr>
            </w:pPr>
            <w:r>
              <w:rPr>
                <w:b/>
                <w:sz w:val="18"/>
                <w:szCs w:val="18"/>
              </w:rPr>
              <w:t>Más que lo habitual</w:t>
            </w:r>
          </w:p>
        </w:tc>
        <w:tc>
          <w:tcPr>
            <w:tcW w:w="1290" w:type="dxa"/>
            <w:tcBorders>
              <w:top w:val="nil"/>
              <w:left w:val="nil"/>
              <w:bottom w:val="nil"/>
              <w:right w:val="nil"/>
            </w:tcBorders>
            <w:shd w:val="clear" w:color="auto" w:fill="D9D9D9"/>
            <w:tcMar>
              <w:top w:w="100" w:type="dxa"/>
              <w:left w:w="100" w:type="dxa"/>
              <w:bottom w:w="100" w:type="dxa"/>
              <w:right w:w="100" w:type="dxa"/>
            </w:tcMar>
          </w:tcPr>
          <w:p w:rsidR="005D4964" w:rsidRDefault="00C052FA">
            <w:pPr>
              <w:spacing w:after="0" w:line="276" w:lineRule="auto"/>
              <w:ind w:left="-100" w:firstLine="0"/>
              <w:jc w:val="center"/>
              <w:rPr>
                <w:b/>
                <w:sz w:val="18"/>
                <w:szCs w:val="18"/>
              </w:rPr>
            </w:pPr>
            <w:r>
              <w:rPr>
                <w:b/>
                <w:sz w:val="18"/>
                <w:szCs w:val="18"/>
              </w:rPr>
              <w:t>Igual que lo habitual</w:t>
            </w:r>
          </w:p>
        </w:tc>
        <w:tc>
          <w:tcPr>
            <w:tcW w:w="1230" w:type="dxa"/>
            <w:tcBorders>
              <w:top w:val="nil"/>
              <w:left w:val="nil"/>
              <w:bottom w:val="nil"/>
              <w:right w:val="nil"/>
            </w:tcBorders>
            <w:shd w:val="clear" w:color="auto" w:fill="D9D9D9"/>
            <w:tcMar>
              <w:top w:w="100" w:type="dxa"/>
              <w:left w:w="100" w:type="dxa"/>
              <w:bottom w:w="100" w:type="dxa"/>
              <w:right w:w="100" w:type="dxa"/>
            </w:tcMar>
          </w:tcPr>
          <w:p w:rsidR="005D4964" w:rsidRDefault="00C052FA">
            <w:pPr>
              <w:spacing w:after="0" w:line="276" w:lineRule="auto"/>
              <w:ind w:left="-100" w:firstLine="0"/>
              <w:jc w:val="center"/>
              <w:rPr>
                <w:b/>
                <w:sz w:val="18"/>
                <w:szCs w:val="18"/>
              </w:rPr>
            </w:pPr>
            <w:r>
              <w:rPr>
                <w:b/>
                <w:sz w:val="18"/>
                <w:szCs w:val="18"/>
              </w:rPr>
              <w:t>Menos que lo habitual</w:t>
            </w:r>
          </w:p>
        </w:tc>
        <w:tc>
          <w:tcPr>
            <w:tcW w:w="1605" w:type="dxa"/>
            <w:tcBorders>
              <w:top w:val="nil"/>
              <w:left w:val="nil"/>
              <w:bottom w:val="nil"/>
              <w:right w:val="nil"/>
            </w:tcBorders>
            <w:shd w:val="clear" w:color="auto" w:fill="D9D9D9"/>
            <w:tcMar>
              <w:top w:w="100" w:type="dxa"/>
              <w:left w:w="100" w:type="dxa"/>
              <w:bottom w:w="100" w:type="dxa"/>
              <w:right w:w="100" w:type="dxa"/>
            </w:tcMar>
          </w:tcPr>
          <w:p w:rsidR="005D4964" w:rsidRDefault="00C052FA">
            <w:pPr>
              <w:spacing w:after="0" w:line="276" w:lineRule="auto"/>
              <w:ind w:left="-100" w:firstLine="0"/>
              <w:jc w:val="center"/>
              <w:rPr>
                <w:b/>
                <w:sz w:val="18"/>
                <w:szCs w:val="18"/>
              </w:rPr>
            </w:pPr>
            <w:r>
              <w:rPr>
                <w:b/>
                <w:sz w:val="18"/>
                <w:szCs w:val="18"/>
              </w:rPr>
              <w:t>Mucho menos que lo habitual</w:t>
            </w:r>
          </w:p>
        </w:tc>
      </w:tr>
      <w:tr w:rsidR="005D4964">
        <w:trPr>
          <w:trHeight w:val="680"/>
        </w:trPr>
        <w:tc>
          <w:tcPr>
            <w:tcW w:w="34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4964" w:rsidRDefault="005D4964">
            <w:pPr>
              <w:spacing w:before="240" w:after="240"/>
              <w:ind w:left="0" w:firstLine="0"/>
              <w:jc w:val="center"/>
            </w:pPr>
          </w:p>
        </w:tc>
        <w:tc>
          <w:tcPr>
            <w:tcW w:w="1320" w:type="dxa"/>
            <w:tcBorders>
              <w:top w:val="nil"/>
              <w:left w:val="nil"/>
              <w:bottom w:val="nil"/>
              <w:right w:val="nil"/>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[236 (23)]</w:t>
            </w:r>
          </w:p>
        </w:tc>
        <w:tc>
          <w:tcPr>
            <w:tcW w:w="1290" w:type="dxa"/>
            <w:tcBorders>
              <w:top w:val="nil"/>
              <w:left w:val="nil"/>
              <w:bottom w:val="nil"/>
              <w:right w:val="nil"/>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[506 (49)]</w:t>
            </w:r>
          </w:p>
        </w:tc>
        <w:tc>
          <w:tcPr>
            <w:tcW w:w="1230" w:type="dxa"/>
            <w:tcBorders>
              <w:top w:val="nil"/>
              <w:left w:val="nil"/>
              <w:bottom w:val="nil"/>
              <w:right w:val="nil"/>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[213 (20)]</w:t>
            </w:r>
          </w:p>
        </w:tc>
        <w:tc>
          <w:tcPr>
            <w:tcW w:w="1605" w:type="dxa"/>
            <w:tcBorders>
              <w:top w:val="nil"/>
              <w:left w:val="nil"/>
              <w:bottom w:val="nil"/>
              <w:right w:val="nil"/>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[80 (8)]</w:t>
            </w:r>
          </w:p>
        </w:tc>
      </w:tr>
      <w:tr w:rsidR="005D4964">
        <w:trPr>
          <w:trHeight w:val="710"/>
        </w:trPr>
        <w:tc>
          <w:tcPr>
            <w:tcW w:w="34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sz w:val="20"/>
                <w:szCs w:val="20"/>
              </w:rPr>
            </w:pPr>
            <w:r>
              <w:rPr>
                <w:sz w:val="20"/>
                <w:szCs w:val="20"/>
              </w:rPr>
              <w:t>¿Ha sido capaz de disfrutar de sus actividades normales de cada día?</w:t>
            </w:r>
          </w:p>
        </w:tc>
        <w:tc>
          <w:tcPr>
            <w:tcW w:w="1320" w:type="dxa"/>
            <w:tcBorders>
              <w:top w:val="nil"/>
              <w:left w:val="nil"/>
              <w:bottom w:val="single" w:sz="8" w:space="0" w:color="000000"/>
              <w:right w:val="nil"/>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[171 (17)]</w:t>
            </w:r>
          </w:p>
        </w:tc>
        <w:tc>
          <w:tcPr>
            <w:tcW w:w="1290" w:type="dxa"/>
            <w:tcBorders>
              <w:top w:val="nil"/>
              <w:left w:val="nil"/>
              <w:bottom w:val="single" w:sz="8" w:space="0" w:color="000000"/>
              <w:right w:val="nil"/>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[393 (11)]</w:t>
            </w:r>
          </w:p>
        </w:tc>
        <w:tc>
          <w:tcPr>
            <w:tcW w:w="1230" w:type="dxa"/>
            <w:tcBorders>
              <w:top w:val="nil"/>
              <w:left w:val="nil"/>
              <w:bottom w:val="single" w:sz="8" w:space="0" w:color="000000"/>
              <w:right w:val="nil"/>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[354 (34)]</w:t>
            </w:r>
          </w:p>
        </w:tc>
        <w:tc>
          <w:tcPr>
            <w:tcW w:w="1605" w:type="dxa"/>
            <w:tcBorders>
              <w:top w:val="nil"/>
              <w:left w:val="nil"/>
              <w:bottom w:val="single" w:sz="8" w:space="0" w:color="000000"/>
              <w:right w:val="nil"/>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[117 (11)]</w:t>
            </w:r>
          </w:p>
        </w:tc>
      </w:tr>
      <w:tr w:rsidR="005D4964">
        <w:trPr>
          <w:trHeight w:val="740"/>
        </w:trPr>
        <w:tc>
          <w:tcPr>
            <w:tcW w:w="3420" w:type="dxa"/>
            <w:vMerge w:val="restart"/>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i/>
                <w:sz w:val="20"/>
                <w:szCs w:val="20"/>
              </w:rPr>
            </w:pPr>
            <w:r>
              <w:rPr>
                <w:i/>
                <w:sz w:val="20"/>
                <w:szCs w:val="20"/>
              </w:rPr>
              <w:t xml:space="preserve"> </w:t>
            </w:r>
          </w:p>
          <w:p w:rsidR="005D4964" w:rsidRDefault="00C052FA">
            <w:pPr>
              <w:spacing w:after="0" w:line="276" w:lineRule="auto"/>
              <w:ind w:left="-100" w:firstLine="0"/>
              <w:jc w:val="center"/>
              <w:rPr>
                <w:sz w:val="20"/>
                <w:szCs w:val="20"/>
              </w:rPr>
            </w:pPr>
            <w:r>
              <w:rPr>
                <w:sz w:val="20"/>
                <w:szCs w:val="20"/>
              </w:rPr>
              <w:t>¿Se ha sentido capaz de tomar decisiones?</w:t>
            </w:r>
          </w:p>
        </w:tc>
        <w:tc>
          <w:tcPr>
            <w:tcW w:w="1320" w:type="dxa"/>
            <w:tcBorders>
              <w:top w:val="nil"/>
              <w:left w:val="nil"/>
              <w:bottom w:val="nil"/>
              <w:right w:val="nil"/>
            </w:tcBorders>
            <w:shd w:val="clear" w:color="auto" w:fill="D9D9D9"/>
            <w:tcMar>
              <w:top w:w="100" w:type="dxa"/>
              <w:left w:w="100" w:type="dxa"/>
              <w:bottom w:w="100" w:type="dxa"/>
              <w:right w:w="100" w:type="dxa"/>
            </w:tcMar>
          </w:tcPr>
          <w:p w:rsidR="005D4964" w:rsidRDefault="00C052FA">
            <w:pPr>
              <w:spacing w:after="0" w:line="276" w:lineRule="auto"/>
              <w:ind w:left="-100" w:firstLine="0"/>
              <w:jc w:val="center"/>
              <w:rPr>
                <w:b/>
                <w:sz w:val="18"/>
                <w:szCs w:val="18"/>
              </w:rPr>
            </w:pPr>
            <w:r>
              <w:rPr>
                <w:b/>
                <w:sz w:val="18"/>
                <w:szCs w:val="18"/>
              </w:rPr>
              <w:t>Más capaz que lo habitual</w:t>
            </w:r>
          </w:p>
        </w:tc>
        <w:tc>
          <w:tcPr>
            <w:tcW w:w="1290" w:type="dxa"/>
            <w:tcBorders>
              <w:top w:val="nil"/>
              <w:left w:val="nil"/>
              <w:bottom w:val="nil"/>
              <w:right w:val="nil"/>
            </w:tcBorders>
            <w:shd w:val="clear" w:color="auto" w:fill="D9D9D9"/>
            <w:tcMar>
              <w:top w:w="100" w:type="dxa"/>
              <w:left w:w="100" w:type="dxa"/>
              <w:bottom w:w="100" w:type="dxa"/>
              <w:right w:w="100" w:type="dxa"/>
            </w:tcMar>
          </w:tcPr>
          <w:p w:rsidR="005D4964" w:rsidRDefault="00C052FA">
            <w:pPr>
              <w:spacing w:after="0" w:line="276" w:lineRule="auto"/>
              <w:ind w:left="-100" w:firstLine="0"/>
              <w:jc w:val="center"/>
              <w:rPr>
                <w:b/>
                <w:sz w:val="18"/>
                <w:szCs w:val="18"/>
              </w:rPr>
            </w:pPr>
            <w:r>
              <w:rPr>
                <w:b/>
                <w:sz w:val="18"/>
                <w:szCs w:val="18"/>
              </w:rPr>
              <w:t>Igual que lo habitual</w:t>
            </w:r>
          </w:p>
        </w:tc>
        <w:tc>
          <w:tcPr>
            <w:tcW w:w="1230" w:type="dxa"/>
            <w:tcBorders>
              <w:top w:val="nil"/>
              <w:left w:val="nil"/>
              <w:bottom w:val="nil"/>
              <w:right w:val="nil"/>
            </w:tcBorders>
            <w:shd w:val="clear" w:color="auto" w:fill="D9D9D9"/>
            <w:tcMar>
              <w:top w:w="100" w:type="dxa"/>
              <w:left w:w="100" w:type="dxa"/>
              <w:bottom w:w="100" w:type="dxa"/>
              <w:right w:w="100" w:type="dxa"/>
            </w:tcMar>
          </w:tcPr>
          <w:p w:rsidR="005D4964" w:rsidRDefault="00C052FA">
            <w:pPr>
              <w:spacing w:after="0" w:line="276" w:lineRule="auto"/>
              <w:ind w:left="-100" w:firstLine="0"/>
              <w:jc w:val="center"/>
              <w:rPr>
                <w:b/>
                <w:sz w:val="18"/>
                <w:szCs w:val="18"/>
              </w:rPr>
            </w:pPr>
            <w:r>
              <w:rPr>
                <w:b/>
                <w:sz w:val="18"/>
                <w:szCs w:val="18"/>
              </w:rPr>
              <w:t>Menos capaz que lo habitual</w:t>
            </w:r>
          </w:p>
        </w:tc>
        <w:tc>
          <w:tcPr>
            <w:tcW w:w="1605" w:type="dxa"/>
            <w:tcBorders>
              <w:top w:val="nil"/>
              <w:left w:val="nil"/>
              <w:bottom w:val="nil"/>
              <w:right w:val="nil"/>
            </w:tcBorders>
            <w:shd w:val="clear" w:color="auto" w:fill="D9D9D9"/>
            <w:tcMar>
              <w:top w:w="100" w:type="dxa"/>
              <w:left w:w="100" w:type="dxa"/>
              <w:bottom w:w="100" w:type="dxa"/>
              <w:right w:w="100" w:type="dxa"/>
            </w:tcMar>
          </w:tcPr>
          <w:p w:rsidR="005D4964" w:rsidRDefault="00C052FA">
            <w:pPr>
              <w:spacing w:after="0" w:line="276" w:lineRule="auto"/>
              <w:ind w:left="-100" w:firstLine="0"/>
              <w:jc w:val="center"/>
              <w:rPr>
                <w:b/>
                <w:sz w:val="18"/>
                <w:szCs w:val="18"/>
              </w:rPr>
            </w:pPr>
            <w:r>
              <w:rPr>
                <w:b/>
                <w:sz w:val="18"/>
                <w:szCs w:val="18"/>
              </w:rPr>
              <w:t>Mucho menos capaz que lo habitual</w:t>
            </w:r>
          </w:p>
        </w:tc>
      </w:tr>
      <w:tr w:rsidR="005D4964">
        <w:trPr>
          <w:trHeight w:val="545"/>
        </w:trPr>
        <w:tc>
          <w:tcPr>
            <w:tcW w:w="34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4964" w:rsidRDefault="005D4964">
            <w:pPr>
              <w:spacing w:before="240" w:after="240"/>
              <w:ind w:left="0" w:firstLine="0"/>
              <w:jc w:val="center"/>
            </w:pPr>
          </w:p>
        </w:tc>
        <w:tc>
          <w:tcPr>
            <w:tcW w:w="1320" w:type="dxa"/>
            <w:tcBorders>
              <w:top w:val="nil"/>
              <w:left w:val="nil"/>
              <w:bottom w:val="nil"/>
              <w:right w:val="nil"/>
            </w:tcBorders>
            <w:shd w:val="clear" w:color="auto" w:fill="auto"/>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[227 (22)]</w:t>
            </w:r>
          </w:p>
        </w:tc>
        <w:tc>
          <w:tcPr>
            <w:tcW w:w="1290" w:type="dxa"/>
            <w:tcBorders>
              <w:top w:val="nil"/>
              <w:left w:val="nil"/>
              <w:bottom w:val="nil"/>
              <w:right w:val="nil"/>
            </w:tcBorders>
            <w:shd w:val="clear" w:color="auto" w:fill="auto"/>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[620 (60)]</w:t>
            </w:r>
          </w:p>
        </w:tc>
        <w:tc>
          <w:tcPr>
            <w:tcW w:w="1230" w:type="dxa"/>
            <w:tcBorders>
              <w:top w:val="nil"/>
              <w:left w:val="nil"/>
              <w:bottom w:val="nil"/>
              <w:right w:val="nil"/>
            </w:tcBorders>
            <w:shd w:val="clear" w:color="auto" w:fill="auto"/>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[152 (15)]</w:t>
            </w:r>
          </w:p>
        </w:tc>
        <w:tc>
          <w:tcPr>
            <w:tcW w:w="1605" w:type="dxa"/>
            <w:tcBorders>
              <w:top w:val="nil"/>
              <w:left w:val="nil"/>
              <w:bottom w:val="nil"/>
              <w:right w:val="nil"/>
            </w:tcBorders>
            <w:shd w:val="clear" w:color="auto" w:fill="auto"/>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[35 (3)]</w:t>
            </w:r>
          </w:p>
        </w:tc>
      </w:tr>
      <w:tr w:rsidR="005D4964">
        <w:trPr>
          <w:trHeight w:val="755"/>
        </w:trPr>
        <w:tc>
          <w:tcPr>
            <w:tcW w:w="34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sz w:val="20"/>
                <w:szCs w:val="20"/>
              </w:rPr>
            </w:pPr>
            <w:r>
              <w:rPr>
                <w:sz w:val="20"/>
                <w:szCs w:val="20"/>
              </w:rPr>
              <w:t>¿Ha sido capaz de hacer frente adecuadamente a sus problemas?</w:t>
            </w:r>
          </w:p>
        </w:tc>
        <w:tc>
          <w:tcPr>
            <w:tcW w:w="1320" w:type="dxa"/>
            <w:tcBorders>
              <w:top w:val="nil"/>
              <w:left w:val="nil"/>
              <w:bottom w:val="single" w:sz="8" w:space="0" w:color="000000"/>
              <w:right w:val="nil"/>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[181 (17)]</w:t>
            </w:r>
          </w:p>
        </w:tc>
        <w:tc>
          <w:tcPr>
            <w:tcW w:w="1290" w:type="dxa"/>
            <w:tcBorders>
              <w:top w:val="nil"/>
              <w:left w:val="nil"/>
              <w:bottom w:val="single" w:sz="8" w:space="0" w:color="000000"/>
              <w:right w:val="nil"/>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[630 (61)]</w:t>
            </w:r>
          </w:p>
        </w:tc>
        <w:tc>
          <w:tcPr>
            <w:tcW w:w="1230" w:type="dxa"/>
            <w:tcBorders>
              <w:top w:val="nil"/>
              <w:left w:val="nil"/>
              <w:bottom w:val="single" w:sz="8" w:space="0" w:color="000000"/>
              <w:right w:val="nil"/>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[197 (19)]</w:t>
            </w:r>
          </w:p>
        </w:tc>
        <w:tc>
          <w:tcPr>
            <w:tcW w:w="1605" w:type="dxa"/>
            <w:tcBorders>
              <w:top w:val="nil"/>
              <w:left w:val="nil"/>
              <w:bottom w:val="single" w:sz="8" w:space="0" w:color="000000"/>
              <w:right w:val="nil"/>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[27 (3)]</w:t>
            </w:r>
          </w:p>
        </w:tc>
      </w:tr>
      <w:tr w:rsidR="005D4964">
        <w:trPr>
          <w:trHeight w:val="620"/>
        </w:trPr>
        <w:tc>
          <w:tcPr>
            <w:tcW w:w="3420" w:type="dxa"/>
            <w:vMerge w:val="restart"/>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sz w:val="20"/>
                <w:szCs w:val="20"/>
              </w:rPr>
            </w:pPr>
            <w:r>
              <w:rPr>
                <w:b/>
                <w:sz w:val="20"/>
                <w:szCs w:val="20"/>
              </w:rPr>
              <w:t>¿</w:t>
            </w:r>
            <w:r>
              <w:rPr>
                <w:sz w:val="20"/>
                <w:szCs w:val="20"/>
              </w:rPr>
              <w:t>Se siente razonablemente feliz considerando todas las circunstancias?</w:t>
            </w:r>
          </w:p>
        </w:tc>
        <w:tc>
          <w:tcPr>
            <w:tcW w:w="1320" w:type="dxa"/>
            <w:tcBorders>
              <w:top w:val="nil"/>
              <w:left w:val="nil"/>
              <w:bottom w:val="nil"/>
              <w:right w:val="nil"/>
            </w:tcBorders>
            <w:shd w:val="clear" w:color="auto" w:fill="D9D9D9"/>
            <w:tcMar>
              <w:top w:w="100" w:type="dxa"/>
              <w:left w:w="100" w:type="dxa"/>
              <w:bottom w:w="100" w:type="dxa"/>
              <w:right w:w="100" w:type="dxa"/>
            </w:tcMar>
          </w:tcPr>
          <w:p w:rsidR="005D4964" w:rsidRDefault="00C052FA">
            <w:pPr>
              <w:spacing w:after="0" w:line="276" w:lineRule="auto"/>
              <w:ind w:left="-100" w:firstLine="0"/>
              <w:jc w:val="center"/>
              <w:rPr>
                <w:b/>
                <w:sz w:val="18"/>
                <w:szCs w:val="18"/>
              </w:rPr>
            </w:pPr>
            <w:r>
              <w:rPr>
                <w:b/>
                <w:sz w:val="18"/>
                <w:szCs w:val="18"/>
              </w:rPr>
              <w:t>Más feliz que lo habitual</w:t>
            </w:r>
          </w:p>
        </w:tc>
        <w:tc>
          <w:tcPr>
            <w:tcW w:w="1290" w:type="dxa"/>
            <w:tcBorders>
              <w:top w:val="nil"/>
              <w:left w:val="nil"/>
              <w:bottom w:val="nil"/>
              <w:right w:val="nil"/>
            </w:tcBorders>
            <w:shd w:val="clear" w:color="auto" w:fill="D9D9D9"/>
            <w:tcMar>
              <w:top w:w="100" w:type="dxa"/>
              <w:left w:w="100" w:type="dxa"/>
              <w:bottom w:w="100" w:type="dxa"/>
              <w:right w:w="100" w:type="dxa"/>
            </w:tcMar>
          </w:tcPr>
          <w:p w:rsidR="005D4964" w:rsidRDefault="00C052FA">
            <w:pPr>
              <w:spacing w:after="0" w:line="276" w:lineRule="auto"/>
              <w:ind w:left="-100" w:firstLine="0"/>
              <w:jc w:val="center"/>
              <w:rPr>
                <w:b/>
                <w:sz w:val="18"/>
                <w:szCs w:val="18"/>
              </w:rPr>
            </w:pPr>
            <w:r>
              <w:rPr>
                <w:b/>
                <w:sz w:val="18"/>
                <w:szCs w:val="18"/>
              </w:rPr>
              <w:t>Igual que lo habitual</w:t>
            </w:r>
          </w:p>
        </w:tc>
        <w:tc>
          <w:tcPr>
            <w:tcW w:w="1230" w:type="dxa"/>
            <w:tcBorders>
              <w:top w:val="nil"/>
              <w:left w:val="nil"/>
              <w:bottom w:val="nil"/>
              <w:right w:val="nil"/>
            </w:tcBorders>
            <w:shd w:val="clear" w:color="auto" w:fill="D9D9D9"/>
            <w:tcMar>
              <w:top w:w="100" w:type="dxa"/>
              <w:left w:w="100" w:type="dxa"/>
              <w:bottom w:w="100" w:type="dxa"/>
              <w:right w:w="100" w:type="dxa"/>
            </w:tcMar>
          </w:tcPr>
          <w:p w:rsidR="005D4964" w:rsidRDefault="00C052FA">
            <w:pPr>
              <w:spacing w:after="0" w:line="276" w:lineRule="auto"/>
              <w:ind w:left="-100" w:firstLine="0"/>
              <w:jc w:val="center"/>
              <w:rPr>
                <w:b/>
                <w:sz w:val="18"/>
                <w:szCs w:val="18"/>
              </w:rPr>
            </w:pPr>
            <w:r>
              <w:rPr>
                <w:b/>
                <w:sz w:val="18"/>
                <w:szCs w:val="18"/>
              </w:rPr>
              <w:t>Menos feliz que lo habitual</w:t>
            </w:r>
          </w:p>
        </w:tc>
        <w:tc>
          <w:tcPr>
            <w:tcW w:w="1605" w:type="dxa"/>
            <w:tcBorders>
              <w:top w:val="nil"/>
              <w:left w:val="nil"/>
              <w:bottom w:val="nil"/>
              <w:right w:val="nil"/>
            </w:tcBorders>
            <w:shd w:val="clear" w:color="auto" w:fill="D9D9D9"/>
            <w:tcMar>
              <w:top w:w="100" w:type="dxa"/>
              <w:left w:w="100" w:type="dxa"/>
              <w:bottom w:w="100" w:type="dxa"/>
              <w:right w:w="100" w:type="dxa"/>
            </w:tcMar>
          </w:tcPr>
          <w:p w:rsidR="005D4964" w:rsidRDefault="00C052FA">
            <w:pPr>
              <w:spacing w:after="0" w:line="276" w:lineRule="auto"/>
              <w:ind w:left="-100" w:firstLine="0"/>
              <w:jc w:val="center"/>
              <w:rPr>
                <w:b/>
                <w:sz w:val="18"/>
                <w:szCs w:val="18"/>
              </w:rPr>
            </w:pPr>
            <w:r>
              <w:rPr>
                <w:b/>
                <w:sz w:val="18"/>
                <w:szCs w:val="18"/>
              </w:rPr>
              <w:t>Mucho menos feliz de lo habitual</w:t>
            </w:r>
          </w:p>
        </w:tc>
      </w:tr>
      <w:tr w:rsidR="005D4964">
        <w:trPr>
          <w:trHeight w:val="650"/>
        </w:trPr>
        <w:tc>
          <w:tcPr>
            <w:tcW w:w="34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4964" w:rsidRDefault="005D4964">
            <w:pPr>
              <w:spacing w:before="240" w:after="240"/>
              <w:ind w:left="0" w:firstLine="0"/>
              <w:jc w:val="center"/>
            </w:pPr>
          </w:p>
        </w:tc>
        <w:tc>
          <w:tcPr>
            <w:tcW w:w="1320" w:type="dxa"/>
            <w:tcBorders>
              <w:top w:val="nil"/>
              <w:left w:val="nil"/>
              <w:bottom w:val="single" w:sz="8" w:space="0" w:color="000000"/>
              <w:right w:val="nil"/>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[220 (21)]</w:t>
            </w:r>
          </w:p>
        </w:tc>
        <w:tc>
          <w:tcPr>
            <w:tcW w:w="1290" w:type="dxa"/>
            <w:tcBorders>
              <w:top w:val="nil"/>
              <w:left w:val="nil"/>
              <w:bottom w:val="single" w:sz="8" w:space="0" w:color="000000"/>
              <w:right w:val="nil"/>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[567 (55)]</w:t>
            </w:r>
          </w:p>
        </w:tc>
        <w:tc>
          <w:tcPr>
            <w:tcW w:w="1230" w:type="dxa"/>
            <w:tcBorders>
              <w:top w:val="nil"/>
              <w:left w:val="nil"/>
              <w:bottom w:val="single" w:sz="8" w:space="0" w:color="000000"/>
              <w:right w:val="nil"/>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[206 (20)]</w:t>
            </w:r>
          </w:p>
        </w:tc>
        <w:tc>
          <w:tcPr>
            <w:tcW w:w="1605" w:type="dxa"/>
            <w:tcBorders>
              <w:top w:val="nil"/>
              <w:left w:val="nil"/>
              <w:bottom w:val="single" w:sz="8" w:space="0" w:color="000000"/>
              <w:right w:val="nil"/>
            </w:tcBorders>
            <w:shd w:val="clear" w:color="auto" w:fill="FFFFFF"/>
            <w:tcMar>
              <w:top w:w="100" w:type="dxa"/>
              <w:left w:w="100" w:type="dxa"/>
              <w:bottom w:w="100" w:type="dxa"/>
              <w:right w:w="100" w:type="dxa"/>
            </w:tcMar>
          </w:tcPr>
          <w:p w:rsidR="005D4964" w:rsidRDefault="00C052FA">
            <w:pPr>
              <w:spacing w:after="0" w:line="276" w:lineRule="auto"/>
              <w:ind w:left="-100" w:firstLine="0"/>
              <w:jc w:val="center"/>
              <w:rPr>
                <w:sz w:val="18"/>
                <w:szCs w:val="18"/>
              </w:rPr>
            </w:pPr>
            <w:r>
              <w:rPr>
                <w:sz w:val="18"/>
                <w:szCs w:val="18"/>
              </w:rPr>
              <w:t>[42 (4)]</w:t>
            </w:r>
          </w:p>
        </w:tc>
      </w:tr>
    </w:tbl>
    <w:p w:rsidR="005D4964" w:rsidRDefault="005D4964">
      <w:pPr>
        <w:spacing w:before="240" w:after="240"/>
        <w:ind w:left="0" w:firstLine="0"/>
        <w:jc w:val="center"/>
      </w:pPr>
    </w:p>
    <w:p w:rsidR="005D4964" w:rsidRDefault="00C052FA">
      <w:pPr>
        <w:spacing w:before="240" w:after="240"/>
        <w:ind w:left="0" w:firstLine="0"/>
        <w:jc w:val="center"/>
      </w:pPr>
      <w:r>
        <w:t>Este instrumento también permite identificar, a partir de la sumatoria de las preguntas 3 dimensiones que son: estrategias de afrontamiento, autoestima y estrés.  Para su comprensión y determinación se realizó la sumatoria de los ítems preestablecidos y en</w:t>
      </w:r>
      <w:r>
        <w:t xml:space="preserve"> su totalidad    permitió identificar el nivel desajuste de la siguiente manera: (0% - 25%) bajo desajuste, </w:t>
      </w:r>
      <w:r>
        <w:lastRenderedPageBreak/>
        <w:t>(26% -50%) desajuste medio, (51% -75%) alto desajuste. En general se identificó, de acuerdo a la tabla 3, que la dimensión donde existe alto y medio</w:t>
      </w:r>
      <w:r>
        <w:t xml:space="preserve"> desajuste es la autoestima. La dimensión de bajo desajuste está en la de habilidades de afrontamiento. </w:t>
      </w:r>
    </w:p>
    <w:p w:rsidR="005D4964" w:rsidRDefault="005D4964">
      <w:pPr>
        <w:rPr>
          <w:b/>
          <w:sz w:val="20"/>
          <w:szCs w:val="20"/>
        </w:rPr>
      </w:pPr>
    </w:p>
    <w:p w:rsidR="005D4964" w:rsidRDefault="00C052FA">
      <w:pPr>
        <w:jc w:val="center"/>
      </w:pPr>
      <w:r>
        <w:rPr>
          <w:b/>
          <w:sz w:val="20"/>
          <w:szCs w:val="20"/>
        </w:rPr>
        <w:t xml:space="preserve">Tabla 3. </w:t>
      </w:r>
      <w:r>
        <w:rPr>
          <w:sz w:val="20"/>
          <w:szCs w:val="20"/>
        </w:rPr>
        <w:t>Descripción del promedio porcentual de cada una de las dimensiones y el nivel de desajuste</w:t>
      </w:r>
    </w:p>
    <w:p w:rsidR="005D4964" w:rsidRDefault="005D4964"/>
    <w:tbl>
      <w:tblPr>
        <w:tblStyle w:val="a5"/>
        <w:tblW w:w="83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30"/>
        <w:gridCol w:w="1950"/>
        <w:gridCol w:w="1275"/>
        <w:gridCol w:w="2355"/>
        <w:gridCol w:w="375"/>
      </w:tblGrid>
      <w:tr w:rsidR="005D4964">
        <w:trPr>
          <w:trHeight w:val="593"/>
        </w:trPr>
        <w:tc>
          <w:tcPr>
            <w:tcW w:w="2430" w:type="dxa"/>
            <w:tcBorders>
              <w:top w:val="single" w:sz="8" w:space="0" w:color="666666"/>
              <w:left w:val="nil"/>
              <w:bottom w:val="single" w:sz="8" w:space="0" w:color="000000"/>
              <w:right w:val="single" w:sz="8" w:space="0" w:color="000000"/>
            </w:tcBorders>
            <w:tcMar>
              <w:top w:w="100" w:type="dxa"/>
              <w:left w:w="100" w:type="dxa"/>
              <w:bottom w:w="100" w:type="dxa"/>
              <w:right w:w="100" w:type="dxa"/>
            </w:tcMar>
          </w:tcPr>
          <w:p w:rsidR="005D4964" w:rsidRDefault="00C052FA">
            <w:pPr>
              <w:spacing w:before="240" w:after="0" w:line="276" w:lineRule="auto"/>
              <w:ind w:left="0" w:firstLine="0"/>
              <w:jc w:val="center"/>
              <w:rPr>
                <w:b/>
                <w:sz w:val="20"/>
                <w:szCs w:val="20"/>
              </w:rPr>
            </w:pPr>
            <w:r>
              <w:rPr>
                <w:b/>
                <w:sz w:val="20"/>
                <w:szCs w:val="20"/>
              </w:rPr>
              <w:t>Nivel de Desajuste</w:t>
            </w:r>
          </w:p>
        </w:tc>
        <w:tc>
          <w:tcPr>
            <w:tcW w:w="5580" w:type="dxa"/>
            <w:gridSpan w:val="3"/>
            <w:tcBorders>
              <w:top w:val="single" w:sz="8" w:space="0" w:color="666666"/>
              <w:left w:val="nil"/>
              <w:bottom w:val="single" w:sz="8" w:space="0" w:color="000000"/>
              <w:right w:val="nil"/>
            </w:tcBorders>
            <w:tcMar>
              <w:top w:w="100" w:type="dxa"/>
              <w:left w:w="100" w:type="dxa"/>
              <w:bottom w:w="100" w:type="dxa"/>
              <w:right w:w="100" w:type="dxa"/>
            </w:tcMar>
          </w:tcPr>
          <w:p w:rsidR="005D4964" w:rsidRDefault="00C052FA">
            <w:pPr>
              <w:spacing w:after="0" w:line="276" w:lineRule="auto"/>
              <w:ind w:left="-100" w:firstLine="0"/>
              <w:jc w:val="center"/>
              <w:rPr>
                <w:b/>
                <w:sz w:val="20"/>
                <w:szCs w:val="20"/>
              </w:rPr>
            </w:pPr>
            <w:r>
              <w:rPr>
                <w:b/>
                <w:sz w:val="20"/>
                <w:szCs w:val="20"/>
              </w:rPr>
              <w:t>Dimensiones del cuestionario de salud general GHQ 12</w:t>
            </w:r>
          </w:p>
        </w:tc>
        <w:tc>
          <w:tcPr>
            <w:tcW w:w="375" w:type="dxa"/>
            <w:tcBorders>
              <w:top w:val="nil"/>
              <w:left w:val="nil"/>
              <w:bottom w:val="nil"/>
              <w:right w:val="nil"/>
            </w:tcBorders>
            <w:shd w:val="clear" w:color="auto" w:fill="auto"/>
            <w:tcMar>
              <w:top w:w="100" w:type="dxa"/>
              <w:left w:w="100" w:type="dxa"/>
              <w:bottom w:w="100" w:type="dxa"/>
              <w:right w:w="100" w:type="dxa"/>
            </w:tcMar>
          </w:tcPr>
          <w:p w:rsidR="005D4964" w:rsidRDefault="00C052FA">
            <w:pPr>
              <w:spacing w:before="240" w:after="240"/>
              <w:ind w:left="0" w:firstLine="0"/>
            </w:pPr>
            <w:r>
              <w:t xml:space="preserve"> </w:t>
            </w:r>
          </w:p>
        </w:tc>
      </w:tr>
      <w:tr w:rsidR="005D4964">
        <w:trPr>
          <w:trHeight w:val="960"/>
        </w:trPr>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D4964" w:rsidRDefault="005D4964"/>
        </w:tc>
        <w:tc>
          <w:tcPr>
            <w:tcW w:w="1950" w:type="dxa"/>
            <w:tcBorders>
              <w:top w:val="nil"/>
              <w:left w:val="nil"/>
              <w:bottom w:val="single" w:sz="8" w:space="0" w:color="000000"/>
              <w:right w:val="nil"/>
            </w:tcBorders>
            <w:shd w:val="clear" w:color="auto" w:fill="auto"/>
            <w:tcMar>
              <w:top w:w="100" w:type="dxa"/>
              <w:left w:w="100" w:type="dxa"/>
              <w:bottom w:w="100" w:type="dxa"/>
              <w:right w:w="100" w:type="dxa"/>
            </w:tcMar>
          </w:tcPr>
          <w:p w:rsidR="005D4964" w:rsidRDefault="00C052FA">
            <w:pPr>
              <w:spacing w:after="0" w:line="276" w:lineRule="auto"/>
              <w:ind w:left="-100" w:firstLine="0"/>
              <w:jc w:val="center"/>
              <w:rPr>
                <w:b/>
                <w:sz w:val="20"/>
                <w:szCs w:val="20"/>
              </w:rPr>
            </w:pPr>
            <w:r>
              <w:rPr>
                <w:b/>
                <w:sz w:val="20"/>
                <w:szCs w:val="20"/>
              </w:rPr>
              <w:t>Estrategias de</w:t>
            </w:r>
          </w:p>
          <w:p w:rsidR="005D4964" w:rsidRDefault="00C052FA">
            <w:pPr>
              <w:spacing w:after="0" w:line="276" w:lineRule="auto"/>
              <w:ind w:left="-100" w:firstLine="0"/>
              <w:jc w:val="center"/>
              <w:rPr>
                <w:b/>
                <w:sz w:val="20"/>
                <w:szCs w:val="20"/>
              </w:rPr>
            </w:pPr>
            <w:r>
              <w:rPr>
                <w:b/>
                <w:sz w:val="20"/>
                <w:szCs w:val="20"/>
              </w:rPr>
              <w:t>afrontamiento</w:t>
            </w:r>
          </w:p>
          <w:p w:rsidR="005D4964" w:rsidRDefault="00C052FA">
            <w:pPr>
              <w:spacing w:after="0" w:line="276" w:lineRule="auto"/>
              <w:ind w:left="-100" w:firstLine="0"/>
              <w:jc w:val="center"/>
              <w:rPr>
                <w:b/>
                <w:sz w:val="20"/>
                <w:szCs w:val="20"/>
              </w:rPr>
            </w:pPr>
            <w:r>
              <w:rPr>
                <w:b/>
                <w:sz w:val="20"/>
                <w:szCs w:val="20"/>
              </w:rPr>
              <w:t>[n (%)]</w:t>
            </w:r>
          </w:p>
        </w:tc>
        <w:tc>
          <w:tcPr>
            <w:tcW w:w="1275" w:type="dxa"/>
            <w:tcBorders>
              <w:top w:val="nil"/>
              <w:left w:val="nil"/>
              <w:bottom w:val="single" w:sz="8" w:space="0" w:color="000000"/>
              <w:right w:val="nil"/>
            </w:tcBorders>
            <w:shd w:val="clear" w:color="auto" w:fill="auto"/>
            <w:tcMar>
              <w:top w:w="100" w:type="dxa"/>
              <w:left w:w="100" w:type="dxa"/>
              <w:bottom w:w="100" w:type="dxa"/>
              <w:right w:w="100" w:type="dxa"/>
            </w:tcMar>
          </w:tcPr>
          <w:p w:rsidR="005D4964" w:rsidRDefault="00C052FA">
            <w:pPr>
              <w:spacing w:after="0" w:line="276" w:lineRule="auto"/>
              <w:ind w:left="-100" w:firstLine="0"/>
              <w:jc w:val="center"/>
              <w:rPr>
                <w:b/>
                <w:sz w:val="20"/>
                <w:szCs w:val="20"/>
              </w:rPr>
            </w:pPr>
            <w:r>
              <w:rPr>
                <w:b/>
                <w:sz w:val="20"/>
                <w:szCs w:val="20"/>
              </w:rPr>
              <w:t>Autoestima</w:t>
            </w:r>
          </w:p>
          <w:p w:rsidR="005D4964" w:rsidRDefault="00C052FA">
            <w:pPr>
              <w:spacing w:after="0" w:line="276" w:lineRule="auto"/>
              <w:ind w:left="-100" w:firstLine="0"/>
              <w:jc w:val="center"/>
              <w:rPr>
                <w:b/>
                <w:sz w:val="20"/>
                <w:szCs w:val="20"/>
              </w:rPr>
            </w:pPr>
            <w:r>
              <w:rPr>
                <w:b/>
                <w:sz w:val="20"/>
                <w:szCs w:val="20"/>
              </w:rPr>
              <w:t>[n (%)]</w:t>
            </w:r>
          </w:p>
        </w:tc>
        <w:tc>
          <w:tcPr>
            <w:tcW w:w="2355" w:type="dxa"/>
            <w:tcBorders>
              <w:top w:val="nil"/>
              <w:left w:val="nil"/>
              <w:bottom w:val="single" w:sz="8" w:space="0" w:color="000000"/>
              <w:right w:val="nil"/>
            </w:tcBorders>
            <w:shd w:val="clear" w:color="auto" w:fill="auto"/>
            <w:tcMar>
              <w:top w:w="20" w:type="dxa"/>
              <w:left w:w="20" w:type="dxa"/>
              <w:bottom w:w="20" w:type="dxa"/>
              <w:right w:w="20" w:type="dxa"/>
            </w:tcMar>
          </w:tcPr>
          <w:p w:rsidR="005D4964" w:rsidRDefault="00C052FA">
            <w:pPr>
              <w:spacing w:after="0" w:line="276" w:lineRule="auto"/>
              <w:ind w:left="-100" w:firstLine="0"/>
              <w:jc w:val="center"/>
              <w:rPr>
                <w:b/>
                <w:sz w:val="20"/>
                <w:szCs w:val="20"/>
              </w:rPr>
            </w:pPr>
            <w:r>
              <w:rPr>
                <w:b/>
                <w:sz w:val="20"/>
                <w:szCs w:val="20"/>
              </w:rPr>
              <w:t>Estrés</w:t>
            </w:r>
          </w:p>
          <w:p w:rsidR="005D4964" w:rsidRDefault="00C052FA">
            <w:pPr>
              <w:spacing w:before="240" w:after="240" w:line="276" w:lineRule="auto"/>
              <w:ind w:left="0" w:firstLine="0"/>
              <w:jc w:val="center"/>
              <w:rPr>
                <w:b/>
                <w:sz w:val="20"/>
                <w:szCs w:val="20"/>
              </w:rPr>
            </w:pPr>
            <w:r>
              <w:rPr>
                <w:b/>
                <w:sz w:val="20"/>
                <w:szCs w:val="20"/>
              </w:rPr>
              <w:t>[n (%)]</w:t>
            </w:r>
          </w:p>
        </w:tc>
        <w:tc>
          <w:tcPr>
            <w:tcW w:w="375" w:type="dxa"/>
            <w:tcBorders>
              <w:top w:val="nil"/>
              <w:left w:val="nil"/>
              <w:bottom w:val="single" w:sz="8" w:space="0" w:color="000000"/>
              <w:right w:val="nil"/>
            </w:tcBorders>
            <w:shd w:val="clear" w:color="auto" w:fill="auto"/>
            <w:tcMar>
              <w:top w:w="100" w:type="dxa"/>
              <w:left w:w="100" w:type="dxa"/>
              <w:bottom w:w="100" w:type="dxa"/>
              <w:right w:w="100" w:type="dxa"/>
            </w:tcMar>
          </w:tcPr>
          <w:p w:rsidR="005D4964" w:rsidRDefault="00C052FA">
            <w:pPr>
              <w:spacing w:before="240" w:after="240"/>
              <w:ind w:left="0" w:firstLine="0"/>
            </w:pPr>
            <w:r>
              <w:t xml:space="preserve"> </w:t>
            </w:r>
          </w:p>
        </w:tc>
      </w:tr>
      <w:tr w:rsidR="005D4964">
        <w:trPr>
          <w:trHeight w:val="465"/>
        </w:trPr>
        <w:tc>
          <w:tcPr>
            <w:tcW w:w="2430" w:type="dxa"/>
            <w:tcBorders>
              <w:top w:val="nil"/>
              <w:left w:val="nil"/>
              <w:bottom w:val="nil"/>
              <w:right w:val="single" w:sz="8" w:space="0" w:color="000000"/>
            </w:tcBorders>
            <w:shd w:val="clear" w:color="auto" w:fill="C5E0B3"/>
            <w:tcMar>
              <w:top w:w="100" w:type="dxa"/>
              <w:left w:w="100" w:type="dxa"/>
              <w:bottom w:w="100" w:type="dxa"/>
              <w:right w:w="100" w:type="dxa"/>
            </w:tcMar>
          </w:tcPr>
          <w:p w:rsidR="005D4964" w:rsidRDefault="00C052FA">
            <w:pPr>
              <w:spacing w:after="0" w:line="276" w:lineRule="auto"/>
              <w:ind w:left="-100" w:firstLine="0"/>
              <w:jc w:val="center"/>
              <w:rPr>
                <w:b/>
                <w:i/>
                <w:sz w:val="20"/>
                <w:szCs w:val="20"/>
              </w:rPr>
            </w:pPr>
            <w:r>
              <w:rPr>
                <w:b/>
                <w:i/>
                <w:sz w:val="20"/>
                <w:szCs w:val="20"/>
              </w:rPr>
              <w:t>Bajo desajuste</w:t>
            </w:r>
          </w:p>
        </w:tc>
        <w:tc>
          <w:tcPr>
            <w:tcW w:w="1950" w:type="dxa"/>
            <w:tcBorders>
              <w:top w:val="nil"/>
              <w:left w:val="nil"/>
              <w:bottom w:val="nil"/>
              <w:right w:val="nil"/>
            </w:tcBorders>
            <w:shd w:val="clear" w:color="auto" w:fill="C5E0B3"/>
            <w:tcMar>
              <w:top w:w="100" w:type="dxa"/>
              <w:left w:w="100" w:type="dxa"/>
              <w:bottom w:w="100" w:type="dxa"/>
              <w:right w:w="100" w:type="dxa"/>
            </w:tcMar>
          </w:tcPr>
          <w:p w:rsidR="005D4964" w:rsidRDefault="00C052FA">
            <w:pPr>
              <w:spacing w:after="0" w:line="276" w:lineRule="auto"/>
              <w:ind w:left="-100" w:firstLine="0"/>
              <w:jc w:val="center"/>
              <w:rPr>
                <w:sz w:val="20"/>
                <w:szCs w:val="20"/>
              </w:rPr>
            </w:pPr>
            <w:r>
              <w:rPr>
                <w:sz w:val="20"/>
                <w:szCs w:val="20"/>
              </w:rPr>
              <w:t>734 (70)</w:t>
            </w:r>
          </w:p>
        </w:tc>
        <w:tc>
          <w:tcPr>
            <w:tcW w:w="1275" w:type="dxa"/>
            <w:tcBorders>
              <w:top w:val="nil"/>
              <w:left w:val="nil"/>
              <w:bottom w:val="nil"/>
              <w:right w:val="nil"/>
            </w:tcBorders>
            <w:shd w:val="clear" w:color="auto" w:fill="C5E0B3"/>
            <w:tcMar>
              <w:top w:w="100" w:type="dxa"/>
              <w:left w:w="100" w:type="dxa"/>
              <w:bottom w:w="100" w:type="dxa"/>
              <w:right w:w="100" w:type="dxa"/>
            </w:tcMar>
          </w:tcPr>
          <w:p w:rsidR="005D4964" w:rsidRDefault="00C052FA">
            <w:pPr>
              <w:spacing w:after="0" w:line="276" w:lineRule="auto"/>
              <w:ind w:left="-100" w:firstLine="0"/>
              <w:jc w:val="center"/>
              <w:rPr>
                <w:sz w:val="20"/>
                <w:szCs w:val="20"/>
              </w:rPr>
            </w:pPr>
            <w:r>
              <w:rPr>
                <w:sz w:val="20"/>
                <w:szCs w:val="20"/>
              </w:rPr>
              <w:t>520 (50)</w:t>
            </w:r>
          </w:p>
        </w:tc>
        <w:tc>
          <w:tcPr>
            <w:tcW w:w="2730" w:type="dxa"/>
            <w:gridSpan w:val="2"/>
            <w:tcBorders>
              <w:top w:val="nil"/>
              <w:left w:val="nil"/>
              <w:bottom w:val="nil"/>
              <w:right w:val="nil"/>
            </w:tcBorders>
            <w:shd w:val="clear" w:color="auto" w:fill="C5E0B3"/>
            <w:tcMar>
              <w:top w:w="100" w:type="dxa"/>
              <w:left w:w="100" w:type="dxa"/>
              <w:bottom w:w="100" w:type="dxa"/>
              <w:right w:w="100" w:type="dxa"/>
            </w:tcMar>
          </w:tcPr>
          <w:p w:rsidR="005D4964" w:rsidRDefault="00C052FA">
            <w:pPr>
              <w:spacing w:after="0" w:line="276" w:lineRule="auto"/>
              <w:ind w:left="-100" w:firstLine="0"/>
              <w:jc w:val="center"/>
              <w:rPr>
                <w:sz w:val="20"/>
                <w:szCs w:val="20"/>
              </w:rPr>
            </w:pPr>
            <w:r>
              <w:rPr>
                <w:sz w:val="20"/>
                <w:szCs w:val="20"/>
              </w:rPr>
              <w:t>704 (68)</w:t>
            </w:r>
          </w:p>
        </w:tc>
      </w:tr>
      <w:tr w:rsidR="005D4964">
        <w:trPr>
          <w:trHeight w:val="450"/>
        </w:trPr>
        <w:tc>
          <w:tcPr>
            <w:tcW w:w="2430" w:type="dxa"/>
            <w:tcBorders>
              <w:top w:val="nil"/>
              <w:left w:val="nil"/>
              <w:bottom w:val="nil"/>
              <w:right w:val="single" w:sz="8" w:space="0" w:color="000000"/>
            </w:tcBorders>
            <w:shd w:val="clear" w:color="auto" w:fill="FFD243"/>
            <w:tcMar>
              <w:top w:w="100" w:type="dxa"/>
              <w:left w:w="100" w:type="dxa"/>
              <w:bottom w:w="100" w:type="dxa"/>
              <w:right w:w="100" w:type="dxa"/>
            </w:tcMar>
          </w:tcPr>
          <w:p w:rsidR="005D4964" w:rsidRDefault="00C052FA">
            <w:pPr>
              <w:spacing w:after="0" w:line="276" w:lineRule="auto"/>
              <w:ind w:left="-100" w:firstLine="0"/>
              <w:jc w:val="center"/>
              <w:rPr>
                <w:b/>
                <w:i/>
                <w:sz w:val="20"/>
                <w:szCs w:val="20"/>
              </w:rPr>
            </w:pPr>
            <w:r>
              <w:rPr>
                <w:b/>
                <w:i/>
                <w:sz w:val="20"/>
                <w:szCs w:val="20"/>
              </w:rPr>
              <w:t>Desajuste medio</w:t>
            </w:r>
          </w:p>
        </w:tc>
        <w:tc>
          <w:tcPr>
            <w:tcW w:w="1950" w:type="dxa"/>
            <w:tcBorders>
              <w:top w:val="nil"/>
              <w:left w:val="nil"/>
              <w:bottom w:val="nil"/>
              <w:right w:val="nil"/>
            </w:tcBorders>
            <w:shd w:val="clear" w:color="auto" w:fill="FFD243"/>
            <w:tcMar>
              <w:top w:w="100" w:type="dxa"/>
              <w:left w:w="100" w:type="dxa"/>
              <w:bottom w:w="100" w:type="dxa"/>
              <w:right w:w="100" w:type="dxa"/>
            </w:tcMar>
          </w:tcPr>
          <w:p w:rsidR="005D4964" w:rsidRDefault="00C052FA">
            <w:pPr>
              <w:spacing w:after="0" w:line="276" w:lineRule="auto"/>
              <w:ind w:left="-100" w:firstLine="0"/>
              <w:jc w:val="center"/>
              <w:rPr>
                <w:sz w:val="20"/>
                <w:szCs w:val="20"/>
              </w:rPr>
            </w:pPr>
            <w:r>
              <w:rPr>
                <w:sz w:val="20"/>
                <w:szCs w:val="20"/>
              </w:rPr>
              <w:t>242 (23)</w:t>
            </w:r>
          </w:p>
        </w:tc>
        <w:tc>
          <w:tcPr>
            <w:tcW w:w="1275" w:type="dxa"/>
            <w:tcBorders>
              <w:top w:val="nil"/>
              <w:left w:val="nil"/>
              <w:bottom w:val="nil"/>
              <w:right w:val="nil"/>
            </w:tcBorders>
            <w:shd w:val="clear" w:color="auto" w:fill="FFD243"/>
            <w:tcMar>
              <w:top w:w="100" w:type="dxa"/>
              <w:left w:w="100" w:type="dxa"/>
              <w:bottom w:w="100" w:type="dxa"/>
              <w:right w:w="100" w:type="dxa"/>
            </w:tcMar>
          </w:tcPr>
          <w:p w:rsidR="005D4964" w:rsidRDefault="00C052FA">
            <w:pPr>
              <w:spacing w:after="0" w:line="276" w:lineRule="auto"/>
              <w:ind w:left="-100" w:firstLine="0"/>
              <w:jc w:val="center"/>
              <w:rPr>
                <w:sz w:val="20"/>
                <w:szCs w:val="20"/>
              </w:rPr>
            </w:pPr>
            <w:r>
              <w:rPr>
                <w:sz w:val="20"/>
                <w:szCs w:val="20"/>
              </w:rPr>
              <w:t>430 (41)</w:t>
            </w:r>
          </w:p>
        </w:tc>
        <w:tc>
          <w:tcPr>
            <w:tcW w:w="2730" w:type="dxa"/>
            <w:gridSpan w:val="2"/>
            <w:tcBorders>
              <w:top w:val="nil"/>
              <w:left w:val="nil"/>
              <w:bottom w:val="nil"/>
              <w:right w:val="nil"/>
            </w:tcBorders>
            <w:shd w:val="clear" w:color="auto" w:fill="FFD243"/>
            <w:tcMar>
              <w:top w:w="100" w:type="dxa"/>
              <w:left w:w="100" w:type="dxa"/>
              <w:bottom w:w="100" w:type="dxa"/>
              <w:right w:w="100" w:type="dxa"/>
            </w:tcMar>
          </w:tcPr>
          <w:p w:rsidR="005D4964" w:rsidRDefault="00C052FA">
            <w:pPr>
              <w:spacing w:after="0" w:line="276" w:lineRule="auto"/>
              <w:ind w:left="-100" w:firstLine="0"/>
              <w:jc w:val="center"/>
              <w:rPr>
                <w:sz w:val="20"/>
                <w:szCs w:val="20"/>
              </w:rPr>
            </w:pPr>
            <w:r>
              <w:rPr>
                <w:sz w:val="20"/>
                <w:szCs w:val="20"/>
              </w:rPr>
              <w:t>283 (27)</w:t>
            </w:r>
          </w:p>
        </w:tc>
      </w:tr>
      <w:tr w:rsidR="005D4964">
        <w:trPr>
          <w:trHeight w:val="450"/>
        </w:trPr>
        <w:tc>
          <w:tcPr>
            <w:tcW w:w="2430" w:type="dxa"/>
            <w:tcBorders>
              <w:top w:val="nil"/>
              <w:left w:val="nil"/>
              <w:bottom w:val="single" w:sz="12" w:space="0" w:color="000000"/>
              <w:right w:val="single" w:sz="8" w:space="0" w:color="000000"/>
            </w:tcBorders>
            <w:shd w:val="clear" w:color="auto" w:fill="FDC9BF"/>
            <w:tcMar>
              <w:top w:w="100" w:type="dxa"/>
              <w:left w:w="100" w:type="dxa"/>
              <w:bottom w:w="100" w:type="dxa"/>
              <w:right w:w="100" w:type="dxa"/>
            </w:tcMar>
          </w:tcPr>
          <w:p w:rsidR="005D4964" w:rsidRDefault="00C052FA">
            <w:pPr>
              <w:spacing w:after="0" w:line="276" w:lineRule="auto"/>
              <w:ind w:left="-100" w:firstLine="0"/>
              <w:jc w:val="center"/>
              <w:rPr>
                <w:b/>
                <w:i/>
                <w:sz w:val="20"/>
                <w:szCs w:val="20"/>
              </w:rPr>
            </w:pPr>
            <w:r>
              <w:rPr>
                <w:b/>
                <w:i/>
                <w:sz w:val="20"/>
                <w:szCs w:val="20"/>
              </w:rPr>
              <w:t>Alto desajuste</w:t>
            </w:r>
          </w:p>
        </w:tc>
        <w:tc>
          <w:tcPr>
            <w:tcW w:w="1950" w:type="dxa"/>
            <w:tcBorders>
              <w:top w:val="nil"/>
              <w:left w:val="nil"/>
              <w:bottom w:val="single" w:sz="12" w:space="0" w:color="000000"/>
              <w:right w:val="nil"/>
            </w:tcBorders>
            <w:shd w:val="clear" w:color="auto" w:fill="FDC9BF"/>
            <w:tcMar>
              <w:top w:w="100" w:type="dxa"/>
              <w:left w:w="100" w:type="dxa"/>
              <w:bottom w:w="100" w:type="dxa"/>
              <w:right w:w="100" w:type="dxa"/>
            </w:tcMar>
          </w:tcPr>
          <w:p w:rsidR="005D4964" w:rsidRDefault="00C052FA">
            <w:pPr>
              <w:spacing w:after="0" w:line="276" w:lineRule="auto"/>
              <w:ind w:left="-100" w:firstLine="0"/>
              <w:jc w:val="center"/>
              <w:rPr>
                <w:sz w:val="20"/>
                <w:szCs w:val="20"/>
              </w:rPr>
            </w:pPr>
            <w:r>
              <w:rPr>
                <w:sz w:val="20"/>
                <w:szCs w:val="20"/>
              </w:rPr>
              <w:t>59 (4)</w:t>
            </w:r>
          </w:p>
        </w:tc>
        <w:tc>
          <w:tcPr>
            <w:tcW w:w="1275" w:type="dxa"/>
            <w:tcBorders>
              <w:top w:val="nil"/>
              <w:left w:val="nil"/>
              <w:bottom w:val="single" w:sz="12" w:space="0" w:color="000000"/>
              <w:right w:val="nil"/>
            </w:tcBorders>
            <w:shd w:val="clear" w:color="auto" w:fill="FDC9BF"/>
            <w:tcMar>
              <w:top w:w="100" w:type="dxa"/>
              <w:left w:w="100" w:type="dxa"/>
              <w:bottom w:w="100" w:type="dxa"/>
              <w:right w:w="100" w:type="dxa"/>
            </w:tcMar>
          </w:tcPr>
          <w:p w:rsidR="005D4964" w:rsidRDefault="00C052FA">
            <w:pPr>
              <w:spacing w:after="0" w:line="276" w:lineRule="auto"/>
              <w:ind w:left="-100" w:firstLine="0"/>
              <w:jc w:val="center"/>
              <w:rPr>
                <w:sz w:val="20"/>
                <w:szCs w:val="20"/>
              </w:rPr>
            </w:pPr>
            <w:r>
              <w:rPr>
                <w:sz w:val="20"/>
                <w:szCs w:val="20"/>
              </w:rPr>
              <w:t>85 (9)</w:t>
            </w:r>
          </w:p>
        </w:tc>
        <w:tc>
          <w:tcPr>
            <w:tcW w:w="2730" w:type="dxa"/>
            <w:gridSpan w:val="2"/>
            <w:tcBorders>
              <w:top w:val="nil"/>
              <w:left w:val="nil"/>
              <w:bottom w:val="single" w:sz="12" w:space="0" w:color="000000"/>
              <w:right w:val="nil"/>
            </w:tcBorders>
            <w:shd w:val="clear" w:color="auto" w:fill="FDC9BF"/>
            <w:tcMar>
              <w:top w:w="100" w:type="dxa"/>
              <w:left w:w="100" w:type="dxa"/>
              <w:bottom w:w="100" w:type="dxa"/>
              <w:right w:w="100" w:type="dxa"/>
            </w:tcMar>
          </w:tcPr>
          <w:p w:rsidR="005D4964" w:rsidRDefault="00C052FA">
            <w:pPr>
              <w:spacing w:after="0" w:line="276" w:lineRule="auto"/>
              <w:ind w:left="-100" w:firstLine="0"/>
              <w:jc w:val="center"/>
              <w:rPr>
                <w:sz w:val="20"/>
                <w:szCs w:val="20"/>
              </w:rPr>
            </w:pPr>
            <w:r>
              <w:rPr>
                <w:sz w:val="20"/>
                <w:szCs w:val="20"/>
              </w:rPr>
              <w:t>48 (5)</w:t>
            </w:r>
          </w:p>
        </w:tc>
      </w:tr>
    </w:tbl>
    <w:p w:rsidR="005D4964" w:rsidRDefault="005D4964"/>
    <w:p w:rsidR="005D4964" w:rsidRDefault="00C052FA">
      <w:r>
        <w:t>Finalmente, se hizo correlación de Pearson entre las dimensiones y como se puede observar en la tabla 4, existe una alta correlación entre estrategia de afrontamiento y autoestima, lo cual indica que existe una relación directa entre estas dimensiones.</w:t>
      </w:r>
    </w:p>
    <w:p w:rsidR="005D4964" w:rsidRDefault="00C052FA">
      <w:pPr>
        <w:jc w:val="center"/>
      </w:pPr>
      <w:r>
        <w:t xml:space="preserve">  </w:t>
      </w:r>
      <w:r>
        <w:rPr>
          <w:b/>
          <w:sz w:val="20"/>
          <w:szCs w:val="20"/>
        </w:rPr>
        <w:t>T</w:t>
      </w:r>
      <w:r>
        <w:rPr>
          <w:b/>
          <w:sz w:val="20"/>
          <w:szCs w:val="20"/>
        </w:rPr>
        <w:t xml:space="preserve">abla 4. </w:t>
      </w:r>
      <w:r>
        <w:rPr>
          <w:sz w:val="20"/>
          <w:szCs w:val="20"/>
        </w:rPr>
        <w:t>Matriz de índice de correlación de Pearson (r) entre las dimensiones GHQ12.</w:t>
      </w:r>
    </w:p>
    <w:tbl>
      <w:tblPr>
        <w:tblStyle w:val="a6"/>
        <w:tblW w:w="82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60"/>
        <w:gridCol w:w="1560"/>
        <w:gridCol w:w="2085"/>
      </w:tblGrid>
      <w:tr w:rsidR="005D4964">
        <w:trPr>
          <w:trHeight w:val="750"/>
        </w:trPr>
        <w:tc>
          <w:tcPr>
            <w:tcW w:w="4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5D4964" w:rsidRDefault="00C052FA">
            <w:pPr>
              <w:spacing w:after="0" w:line="276" w:lineRule="auto"/>
              <w:ind w:left="-120" w:firstLine="0"/>
              <w:jc w:val="center"/>
              <w:rPr>
                <w:b/>
                <w:i/>
                <w:sz w:val="20"/>
                <w:szCs w:val="20"/>
              </w:rPr>
            </w:pPr>
            <w:r>
              <w:rPr>
                <w:b/>
                <w:i/>
                <w:sz w:val="20"/>
                <w:szCs w:val="20"/>
              </w:rPr>
              <w:t>Dimensiones del cuestionario de</w:t>
            </w:r>
          </w:p>
          <w:p w:rsidR="005D4964" w:rsidRDefault="00C052FA">
            <w:pPr>
              <w:spacing w:after="0" w:line="276" w:lineRule="auto"/>
              <w:ind w:left="-120" w:firstLine="0"/>
              <w:jc w:val="center"/>
              <w:rPr>
                <w:b/>
                <w:i/>
                <w:sz w:val="20"/>
                <w:szCs w:val="20"/>
              </w:rPr>
            </w:pPr>
            <w:r>
              <w:rPr>
                <w:b/>
                <w:i/>
                <w:sz w:val="20"/>
                <w:szCs w:val="20"/>
              </w:rPr>
              <w:t>Salud general GHQ 12</w:t>
            </w:r>
          </w:p>
        </w:tc>
        <w:tc>
          <w:tcPr>
            <w:tcW w:w="1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5D4964" w:rsidRDefault="00C052FA">
            <w:pPr>
              <w:spacing w:after="0" w:line="276" w:lineRule="auto"/>
              <w:ind w:left="-120" w:firstLine="0"/>
              <w:jc w:val="center"/>
              <w:rPr>
                <w:b/>
                <w:sz w:val="20"/>
                <w:szCs w:val="20"/>
              </w:rPr>
            </w:pPr>
            <w:r>
              <w:rPr>
                <w:b/>
                <w:sz w:val="20"/>
                <w:szCs w:val="20"/>
              </w:rPr>
              <w:t>Coeficiente Pearson (r)</w:t>
            </w:r>
          </w:p>
        </w:tc>
        <w:tc>
          <w:tcPr>
            <w:tcW w:w="2085" w:type="dxa"/>
            <w:tcBorders>
              <w:top w:val="nil"/>
              <w:left w:val="nil"/>
              <w:bottom w:val="single" w:sz="8" w:space="0" w:color="000000"/>
              <w:right w:val="nil"/>
            </w:tcBorders>
            <w:shd w:val="clear" w:color="auto" w:fill="FFFFFF"/>
            <w:tcMar>
              <w:top w:w="100" w:type="dxa"/>
              <w:left w:w="100" w:type="dxa"/>
              <w:bottom w:w="100" w:type="dxa"/>
              <w:right w:w="100" w:type="dxa"/>
            </w:tcMar>
          </w:tcPr>
          <w:p w:rsidR="005D4964" w:rsidRDefault="00C052FA">
            <w:pPr>
              <w:spacing w:after="0" w:line="276" w:lineRule="auto"/>
              <w:ind w:left="-120" w:firstLine="0"/>
              <w:jc w:val="center"/>
              <w:rPr>
                <w:b/>
                <w:sz w:val="20"/>
                <w:szCs w:val="20"/>
              </w:rPr>
            </w:pPr>
            <w:r>
              <w:rPr>
                <w:b/>
                <w:sz w:val="20"/>
                <w:szCs w:val="20"/>
              </w:rPr>
              <w:t>Nivel de Correlación</w:t>
            </w:r>
          </w:p>
        </w:tc>
      </w:tr>
      <w:tr w:rsidR="005D4964">
        <w:trPr>
          <w:trHeight w:val="605"/>
        </w:trPr>
        <w:tc>
          <w:tcPr>
            <w:tcW w:w="4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5D4964" w:rsidRDefault="00C052FA">
            <w:pPr>
              <w:spacing w:after="0" w:line="276" w:lineRule="auto"/>
              <w:ind w:left="-120" w:firstLine="0"/>
              <w:jc w:val="center"/>
              <w:rPr>
                <w:i/>
                <w:sz w:val="20"/>
                <w:szCs w:val="20"/>
              </w:rPr>
            </w:pPr>
            <w:r>
              <w:rPr>
                <w:i/>
                <w:sz w:val="20"/>
                <w:szCs w:val="20"/>
              </w:rPr>
              <w:t xml:space="preserve"> Estrategia de afrontamiento Vs Autoestima</w:t>
            </w:r>
          </w:p>
        </w:tc>
        <w:tc>
          <w:tcPr>
            <w:tcW w:w="1560"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rsidR="005D4964" w:rsidRDefault="00C052FA">
            <w:pPr>
              <w:spacing w:after="0" w:line="276" w:lineRule="auto"/>
              <w:ind w:left="-120" w:firstLine="0"/>
              <w:jc w:val="center"/>
              <w:rPr>
                <w:sz w:val="20"/>
                <w:szCs w:val="20"/>
              </w:rPr>
            </w:pPr>
            <w:r>
              <w:rPr>
                <w:sz w:val="20"/>
                <w:szCs w:val="20"/>
              </w:rPr>
              <w:t>0,77</w:t>
            </w:r>
          </w:p>
        </w:tc>
        <w:tc>
          <w:tcPr>
            <w:tcW w:w="2085" w:type="dxa"/>
            <w:tcBorders>
              <w:top w:val="nil"/>
              <w:left w:val="nil"/>
              <w:bottom w:val="single" w:sz="8" w:space="0" w:color="000000"/>
              <w:right w:val="nil"/>
            </w:tcBorders>
            <w:shd w:val="clear" w:color="auto" w:fill="CCCCCC"/>
            <w:tcMar>
              <w:top w:w="100" w:type="dxa"/>
              <w:left w:w="100" w:type="dxa"/>
              <w:bottom w:w="100" w:type="dxa"/>
              <w:right w:w="100" w:type="dxa"/>
            </w:tcMar>
          </w:tcPr>
          <w:p w:rsidR="005D4964" w:rsidRDefault="00C052FA">
            <w:pPr>
              <w:spacing w:after="0" w:line="276" w:lineRule="auto"/>
              <w:ind w:left="-120" w:firstLine="0"/>
              <w:jc w:val="center"/>
              <w:rPr>
                <w:sz w:val="20"/>
                <w:szCs w:val="20"/>
              </w:rPr>
            </w:pPr>
            <w:r>
              <w:rPr>
                <w:sz w:val="20"/>
                <w:szCs w:val="20"/>
              </w:rPr>
              <w:t>Alta</w:t>
            </w:r>
          </w:p>
        </w:tc>
      </w:tr>
      <w:tr w:rsidR="005D4964">
        <w:trPr>
          <w:trHeight w:val="485"/>
        </w:trPr>
        <w:tc>
          <w:tcPr>
            <w:tcW w:w="4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5D4964" w:rsidRDefault="00C052FA">
            <w:pPr>
              <w:spacing w:after="0" w:line="276" w:lineRule="auto"/>
              <w:ind w:left="-120" w:firstLine="0"/>
              <w:jc w:val="center"/>
              <w:rPr>
                <w:i/>
                <w:sz w:val="20"/>
                <w:szCs w:val="20"/>
              </w:rPr>
            </w:pPr>
            <w:r>
              <w:rPr>
                <w:i/>
                <w:sz w:val="20"/>
                <w:szCs w:val="20"/>
              </w:rPr>
              <w:t>Autoestima Vs Estrés</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5D4964" w:rsidRDefault="00C052FA">
            <w:pPr>
              <w:spacing w:after="0" w:line="276" w:lineRule="auto"/>
              <w:ind w:left="-120" w:firstLine="0"/>
              <w:jc w:val="center"/>
              <w:rPr>
                <w:sz w:val="20"/>
                <w:szCs w:val="20"/>
              </w:rPr>
            </w:pPr>
            <w:r>
              <w:rPr>
                <w:sz w:val="20"/>
                <w:szCs w:val="20"/>
              </w:rPr>
              <w:t>0,66</w:t>
            </w:r>
          </w:p>
        </w:tc>
        <w:tc>
          <w:tcPr>
            <w:tcW w:w="2085" w:type="dxa"/>
            <w:tcBorders>
              <w:top w:val="nil"/>
              <w:left w:val="nil"/>
              <w:bottom w:val="single" w:sz="8" w:space="0" w:color="000000"/>
              <w:right w:val="nil"/>
            </w:tcBorders>
            <w:tcMar>
              <w:top w:w="100" w:type="dxa"/>
              <w:left w:w="100" w:type="dxa"/>
              <w:bottom w:w="100" w:type="dxa"/>
              <w:right w:w="100" w:type="dxa"/>
            </w:tcMar>
          </w:tcPr>
          <w:p w:rsidR="005D4964" w:rsidRDefault="00C052FA">
            <w:pPr>
              <w:spacing w:after="0" w:line="276" w:lineRule="auto"/>
              <w:ind w:left="-120" w:firstLine="0"/>
              <w:jc w:val="center"/>
              <w:rPr>
                <w:sz w:val="20"/>
                <w:szCs w:val="20"/>
              </w:rPr>
            </w:pPr>
            <w:r>
              <w:rPr>
                <w:sz w:val="20"/>
                <w:szCs w:val="20"/>
              </w:rPr>
              <w:t>Alta</w:t>
            </w:r>
          </w:p>
        </w:tc>
      </w:tr>
      <w:tr w:rsidR="005D4964">
        <w:trPr>
          <w:trHeight w:val="500"/>
        </w:trPr>
        <w:tc>
          <w:tcPr>
            <w:tcW w:w="4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5D4964" w:rsidRDefault="00C052FA">
            <w:pPr>
              <w:spacing w:after="0" w:line="276" w:lineRule="auto"/>
              <w:ind w:left="-120" w:firstLine="0"/>
              <w:jc w:val="center"/>
              <w:rPr>
                <w:i/>
                <w:sz w:val="20"/>
                <w:szCs w:val="20"/>
              </w:rPr>
            </w:pPr>
            <w:r>
              <w:rPr>
                <w:i/>
                <w:sz w:val="20"/>
                <w:szCs w:val="20"/>
              </w:rPr>
              <w:t>Estrategia de afrontamiento Vs Estrés</w:t>
            </w:r>
          </w:p>
        </w:tc>
        <w:tc>
          <w:tcPr>
            <w:tcW w:w="1560"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rsidR="005D4964" w:rsidRDefault="00C052FA">
            <w:pPr>
              <w:spacing w:after="0" w:line="276" w:lineRule="auto"/>
              <w:ind w:left="-120" w:firstLine="0"/>
              <w:jc w:val="center"/>
              <w:rPr>
                <w:sz w:val="20"/>
                <w:szCs w:val="20"/>
              </w:rPr>
            </w:pPr>
            <w:r>
              <w:rPr>
                <w:sz w:val="20"/>
                <w:szCs w:val="20"/>
              </w:rPr>
              <w:t>0,55</w:t>
            </w:r>
          </w:p>
        </w:tc>
        <w:tc>
          <w:tcPr>
            <w:tcW w:w="2085" w:type="dxa"/>
            <w:tcBorders>
              <w:top w:val="nil"/>
              <w:left w:val="nil"/>
              <w:bottom w:val="single" w:sz="8" w:space="0" w:color="000000"/>
              <w:right w:val="nil"/>
            </w:tcBorders>
            <w:shd w:val="clear" w:color="auto" w:fill="CCCCCC"/>
            <w:tcMar>
              <w:top w:w="100" w:type="dxa"/>
              <w:left w:w="100" w:type="dxa"/>
              <w:bottom w:w="100" w:type="dxa"/>
              <w:right w:w="100" w:type="dxa"/>
            </w:tcMar>
          </w:tcPr>
          <w:p w:rsidR="005D4964" w:rsidRDefault="00C052FA">
            <w:pPr>
              <w:spacing w:after="0" w:line="276" w:lineRule="auto"/>
              <w:ind w:left="-120" w:firstLine="0"/>
              <w:jc w:val="center"/>
              <w:rPr>
                <w:sz w:val="20"/>
                <w:szCs w:val="20"/>
              </w:rPr>
            </w:pPr>
            <w:r>
              <w:rPr>
                <w:sz w:val="20"/>
                <w:szCs w:val="20"/>
              </w:rPr>
              <w:t>Moderada</w:t>
            </w:r>
          </w:p>
        </w:tc>
      </w:tr>
    </w:tbl>
    <w:p w:rsidR="005D4964" w:rsidRDefault="005D4964">
      <w:pPr>
        <w:rPr>
          <w:b/>
        </w:rPr>
      </w:pPr>
    </w:p>
    <w:p w:rsidR="005D4964" w:rsidRDefault="00C052FA">
      <w:r>
        <w:rPr>
          <w:b/>
          <w:color w:val="000000"/>
        </w:rPr>
        <w:lastRenderedPageBreak/>
        <w:t>Discusión y conclusiones</w:t>
      </w:r>
    </w:p>
    <w:p w:rsidR="005D4964" w:rsidRDefault="00C052FA">
      <w:r>
        <w:t>Siendo coherente con los estudios que se han evidenciado durante la pandemia, como el realizado por Brooks, et al (2020) en donde compararon cinco estudios relacionados con las respuestas psicológicas emitidas por las personas durante el aislamiento preven</w:t>
      </w:r>
      <w:r>
        <w:t>tivo, se identificó que las respuestas o síntomas más comunes son: estrés, agotamiento, desapegos de los demás, ansiedad, irritabilidad, insomnio, falta de concentración, indecisión y deficiente desempeño laboral. Teniendo en cuenta los resultados de la in</w:t>
      </w:r>
      <w:r>
        <w:t>vestigación mencionada anteriormente se hace evidente la importancia de estudiar las repercusiones e impacto psicológico que genera el confinamiento preventivo en la población colombiana.</w:t>
      </w:r>
    </w:p>
    <w:p w:rsidR="005D4964" w:rsidRDefault="00C052FA">
      <w:r>
        <w:t>Dado lo anterior, se logró identificar que el 40% de la población re</w:t>
      </w:r>
      <w:r>
        <w:t>spondió que el nivel de concentración es menos o mucho menos de lo habitual y presenta dificultades para dormir debido a las preocupaciones experimentadas durante el aislamiento preventivo, lo cual se relaciona con lo postulado por Ramírez, Fontecha y Esco</w:t>
      </w:r>
      <w:r>
        <w:t>bar (2020), referente a los efectos del aislamiento en el sueño de los colombianos durante la pandemia, donde la mayoría de las personas presentaban insomnio severo.</w:t>
      </w:r>
    </w:p>
    <w:p w:rsidR="005D4964" w:rsidRDefault="00C052FA">
      <w:r>
        <w:t>Según el DSM-V (2014), el insomnio es una insatisfacción con la cantidad o calidad del sue</w:t>
      </w:r>
      <w:r>
        <w:t xml:space="preserve">ño que se acompaña con dificultad para conciliar o mantener el mismo, generando un malestar clínicamente significativo y una perturbación en la funcionalidad laboral, social o de otras áreas del individuo. </w:t>
      </w:r>
    </w:p>
    <w:p w:rsidR="005D4964" w:rsidRDefault="00C052FA">
      <w:r>
        <w:t>El sueño como proceso fisiológico desempeña un pa</w:t>
      </w:r>
      <w:r>
        <w:t>pel fundamental dadas sus funciones, donde se destaca el fortalecimiento del sistema inmune, reparación de diferentes sistemas corporales, consolidación de la memoria, regulación hormonal, descanso, entre otras, convirtiéndose en un indicador  de salud y b</w:t>
      </w:r>
      <w:r>
        <w:t>ienestar  que influye en la calidad de  vida de las personas (Avendaño, et al, 2020), proporciona bienestar emocional y previene la ansiedad y depresión (Ruffa, Diez, y Liparoti, 2020), dado que la falta de descanso puede desencadenar deficiencias en atenc</w:t>
      </w:r>
      <w:r>
        <w:t>ión y concentración (Cubel citado en Lucas, 2013), que se relaciona directamente con los resultados obtenidos en esta investigación.</w:t>
      </w:r>
    </w:p>
    <w:p w:rsidR="005D4964" w:rsidRDefault="00C052FA">
      <w:r>
        <w:t>En cuanto al estado de ánimo, el 36% de la población reportó sentirse poco feliz o deprimido, sin embargo, referente al íte</w:t>
      </w:r>
      <w:r>
        <w:t xml:space="preserve">m de sentirse razonablemente feliz considerando </w:t>
      </w:r>
      <w:r>
        <w:lastRenderedPageBreak/>
        <w:t xml:space="preserve">las circunstancias el 24% reportó sentirse menos feliz, el 55% igual que lo habitual y un 21% más feliz que lo habitual. </w:t>
      </w:r>
    </w:p>
    <w:p w:rsidR="005D4964" w:rsidRDefault="00C052FA">
      <w:pPr>
        <w:rPr>
          <w:color w:val="FF0000"/>
        </w:rPr>
      </w:pPr>
      <w:r>
        <w:t>De acuerdo a Novoa y Pirela (2020) mantener la felicidad a pesar de las diversas situa</w:t>
      </w:r>
      <w:r>
        <w:t>ciones que se presentan en la vida cotidiana, ayuda a los individuos a la resolución de los problemas, así como un adecuado afrontamiento de la adversidad y/o dificultades, por lo cual es importante reconocer las emociones positivas, fortalezas y debilidad</w:t>
      </w:r>
      <w:r>
        <w:t>es del individuo y cómo mejorarlas. Además, Harrar (2020) afirma que la felicidad ayuda a crear y mantener la resiliencia emocional de cada persona de forma intuitiva, superando una problemática con un poco menos de desaliento, más cordura y perspectiva en</w:t>
      </w:r>
      <w:r>
        <w:t xml:space="preserve"> esta época de pandemia.</w:t>
      </w:r>
    </w:p>
    <w:p w:rsidR="005D4964" w:rsidRDefault="00C052FA">
      <w:r>
        <w:t>Así mismo, el estudio presenta una comparación visible entre los niveles de autoestima obtenidos durante la cuarentena, dado que la mitad de la población estudiada presentó un desajuste en su autoestima. Rodríguez (Citado en Bermúd</w:t>
      </w:r>
      <w:r>
        <w:t>ez, 2018) establece una relación directa entre baja autoestima y bienestar emocional, ya que las dificultades de aceptación generan emociones negativas.</w:t>
      </w:r>
    </w:p>
    <w:p w:rsidR="005D4964" w:rsidRDefault="00C052FA">
      <w:r>
        <w:t>Así mismo, Branden (sf) alude que la persona con baja autoestima se centra en los aspectos negativos, l</w:t>
      </w:r>
      <w:r>
        <w:t>o que genera resistencia al momento de enfrentar eventos o situaciones desfavorables. Lo anterior es comparable con lo expuesto por Dolan y García (2020) quienes indican que la autoestima suele estar asociada a los niveles de estrés presentados por el indi</w:t>
      </w:r>
      <w:r>
        <w:t>viduo puesto que las personas que manifiestan mayor malestar emocional durante la crisis del COVID-19, son las que tienen la autoestima relativamente baja en comparación con aquellas que de alguna u otra manera presentan un control alto-moderado del estrés</w:t>
      </w:r>
      <w:r>
        <w:t xml:space="preserve"> en tiempos de cuarentena. </w:t>
      </w:r>
    </w:p>
    <w:p w:rsidR="005D4964" w:rsidRDefault="00C052FA">
      <w:r>
        <w:t xml:space="preserve">Con lo anterior, se da paso al estudio y análisis de la percepción de estar desempeñando un papel útil en la vida, donde solo el 28% ha sentido que está desempeñando un papel útil en la vida, menos y mucho menos de lo habitual, </w:t>
      </w:r>
      <w:r>
        <w:t xml:space="preserve">mientras que el 72% reportó sentirse igual que lo habitual o más que lo habitual. </w:t>
      </w:r>
    </w:p>
    <w:p w:rsidR="005D4964" w:rsidRDefault="00C052FA">
      <w:r>
        <w:t>Angelucci, Cañoto y Hernández (2017) mencionan que sentirse bien y desempeñar un papel útil en la vida, hace que las personas sean capaces de tomar decisiones y disfrutar de</w:t>
      </w:r>
      <w:r>
        <w:t xml:space="preserve"> las actividades de cada día, aunque de acuerdo al resultado obtenido un 45% de la muestra disfruta menos o mucho menos de lo habitual las actividades diarias. </w:t>
      </w:r>
    </w:p>
    <w:p w:rsidR="005D4964" w:rsidRDefault="00C052FA">
      <w:r>
        <w:lastRenderedPageBreak/>
        <w:t>Esto, a su vez, se relaciona con la dificultad en tomar decisiones, ya que si las personas no d</w:t>
      </w:r>
      <w:r>
        <w:t>enotan una sensación de bienestar, no podrán disfrutar de su vida, teniendo en cuenta que un 18% se ha sentido menos o mucho menos capaz que lo habitual en cuanto a tomar decisiones, un 25% más capaz que lo habitual y un 60% igual que lo habitual.</w:t>
      </w:r>
    </w:p>
    <w:p w:rsidR="005D4964" w:rsidRDefault="00C052FA">
      <w:r>
        <w:t>Por lo t</w:t>
      </w:r>
      <w:r>
        <w:t>anto, de acuerdo a Gallegosa et al (2020), las personas necesitan una sensación de bienestar en su vida para desempeñarse óptimamente, de lo contrario al percibir un ambiente inseguro se incrementa la incertidumbre, así como la dificultad en tomar decision</w:t>
      </w:r>
      <w:r>
        <w:t>es.</w:t>
      </w:r>
    </w:p>
    <w:p w:rsidR="005D4964" w:rsidRDefault="00C052FA">
      <w:r>
        <w:t xml:space="preserve"> Además, como lo menciona </w:t>
      </w:r>
      <w:r>
        <w:rPr>
          <w:color w:val="000000"/>
        </w:rPr>
        <w:t>Galindo, et al, (2020)</w:t>
      </w:r>
      <w:r>
        <w:t xml:space="preserve"> la situación actual de pandemia se presenta como un factor estresante que interrumpe la interacción social y desarrollo de las actividades cotidianas, amenazando la salud física y psicológica; se encontró que un 25% menciona que, más o mucho más que lo ha</w:t>
      </w:r>
      <w:r>
        <w:t>bitual ha sentido que no puede superar sus dificultades, un 37% no en absoluto y un 38% igual que lo habitual.</w:t>
      </w:r>
    </w:p>
    <w:p w:rsidR="005D4964" w:rsidRDefault="00C052FA">
      <w:r>
        <w:t>Por estas razones, cabe mencionar que las personas que presentan estrés y angustia suelen mostrar un deterioro en su funcionamiento social y ocup</w:t>
      </w:r>
      <w:r>
        <w:t>acional</w:t>
      </w:r>
      <w:r>
        <w:rPr>
          <w:highlight w:val="white"/>
        </w:rPr>
        <w:t xml:space="preserve"> (</w:t>
      </w:r>
      <w:r>
        <w:t>Ramírez, et al, 2020), acompañado de emociones negativas como la ansiedad, depresión e indignación, disminuyendo las emociones positivas como felicidad y satisfacción.</w:t>
      </w:r>
    </w:p>
    <w:p w:rsidR="005D4964" w:rsidRDefault="00C052FA">
      <w:pPr>
        <w:rPr>
          <w:highlight w:val="cyan"/>
        </w:rPr>
      </w:pPr>
      <w:r>
        <w:t>Este tipo de emociones suelen presentarse en mayor medida en mujeres y personas</w:t>
      </w:r>
      <w:r>
        <w:t xml:space="preserve"> entre los 18 y 30 años generando la pérdida del disfrute de las actividades que se realizan (Huarcaya, 2020),  lo cual se evidencia en los resultados obtenidos en esta investigación, donde un 45% de la población estudiada menciona disfrutar menos y mucho </w:t>
      </w:r>
      <w:r>
        <w:t>menos que lo habitual sus actividades normales de cada día, un 17% más que lo habitual y finalmente un 38% de la población encuestada menciona que igual que lo habitual.</w:t>
      </w:r>
    </w:p>
    <w:p w:rsidR="005D4964" w:rsidRDefault="00C052FA">
      <w:pPr>
        <w:rPr>
          <w:color w:val="000000"/>
        </w:rPr>
      </w:pPr>
      <w:r>
        <w:rPr>
          <w:color w:val="000000"/>
        </w:rPr>
        <w:t>Por último, cabe mencionar que las estrategias de afrontamiento, según Uribe et al (20</w:t>
      </w:r>
      <w:r>
        <w:rPr>
          <w:color w:val="000000"/>
        </w:rPr>
        <w:t xml:space="preserve">18), se correlacionan con el bienestar psicológico, ya que el uso de estrategias funcionales permite afrontar determinadas situaciones de manera satisfactoria, contribuyendo al bienestar psicosocial de quienes las usan. </w:t>
      </w:r>
    </w:p>
    <w:p w:rsidR="005D4964" w:rsidRDefault="00C052FA">
      <w:r>
        <w:rPr>
          <w:color w:val="000000"/>
        </w:rPr>
        <w:t>En relación al aislamiento preventi</w:t>
      </w:r>
      <w:r>
        <w:rPr>
          <w:color w:val="000000"/>
        </w:rPr>
        <w:t xml:space="preserve">vo, se identificó que el 71% de la muestra  tiene bajo desajuste, el </w:t>
      </w:r>
      <w:r>
        <w:t>2</w:t>
      </w:r>
      <w:r>
        <w:rPr>
          <w:color w:val="000000"/>
        </w:rPr>
        <w:t xml:space="preserve">3% tiene desajuste medio y solo el 6% presenta alto desajuste, esto, en congruencia con lo expuesto por </w:t>
      </w:r>
      <w:r>
        <w:rPr>
          <w:color w:val="212121"/>
        </w:rPr>
        <w:t>Mohammadzadeh et al (2020),</w:t>
      </w:r>
      <w:r>
        <w:rPr>
          <w:color w:val="000000"/>
        </w:rPr>
        <w:t xml:space="preserve"> en su estudio sobre el </w:t>
      </w:r>
      <w:r>
        <w:rPr>
          <w:color w:val="000000"/>
        </w:rPr>
        <w:lastRenderedPageBreak/>
        <w:t>nivel de ansiedad y las estrate</w:t>
      </w:r>
      <w:r>
        <w:rPr>
          <w:color w:val="000000"/>
        </w:rPr>
        <w:t>gias de afrontamiento implementadas durante la pandemia de COVID-19, mencionó que l</w:t>
      </w:r>
      <w:r>
        <w:t>a estrategia de afrontamiento más usada fue la centrada en el problema, seguida de la estrategia centrada en las emociones, y por último, la estrategia de afrontamiento basada en evitación.</w:t>
      </w:r>
    </w:p>
    <w:p w:rsidR="005D4964" w:rsidRDefault="00C052FA">
      <w:r>
        <w:t>Baloran (2020), identificó que las estrategias de afrontamiento en</w:t>
      </w:r>
      <w:r>
        <w:t xml:space="preserve"> la población estudiantil durante la pandemia son: evitar salir a lugares públicos y realizar actividades de relajación como deporte o meditación, evitar noticas relacionadas con las muertes por COVID-19, expresar emociones mediante llanto y gritos; por lo</w:t>
      </w:r>
      <w:r>
        <w:t xml:space="preserve"> que se deduce que las estrategias de afrontamiento usadas en la situación sanitaria actual tienden a ser de bajo desajuste.</w:t>
      </w:r>
    </w:p>
    <w:p w:rsidR="005D4964" w:rsidRDefault="00C052FA">
      <w:pPr>
        <w:rPr>
          <w:color w:val="000000"/>
        </w:rPr>
      </w:pPr>
      <w:r>
        <w:t>Así mismo, el estrés presentado en tiempos de cuarentena se refleja de la siguiente manera en los encuestados: el 32% presenta un g</w:t>
      </w:r>
      <w:r>
        <w:t>rado moderado- severo de estrés, en concordancia al estudio de caso de Qiu et al (Citado en Taylor et al, 2020) en el que identificó que el 25% de la población general de China ha experimentado niveles moderados a severos de síntomas relacionados con el es</w:t>
      </w:r>
      <w:r>
        <w:t>trés o ansiedad en respuesta al COVID-19.</w:t>
      </w:r>
    </w:p>
    <w:p w:rsidR="005D4964" w:rsidRDefault="00C052FA">
      <w:pPr>
        <w:ind w:firstLine="708"/>
      </w:pPr>
      <w:r>
        <w:t>En conclusión, el confinamiento por COVID -19 se presentó como una situación inesperada generando un cambio significativo en la rutina de las personas, impactando en la salud mental y afectando la calidad de vida e</w:t>
      </w:r>
      <w:r>
        <w:t>n las áreas social, laboral, académico y emocional.</w:t>
      </w:r>
    </w:p>
    <w:p w:rsidR="005D4964" w:rsidRDefault="00C052FA">
      <w:pPr>
        <w:ind w:firstLine="708"/>
      </w:pPr>
      <w:r>
        <w:t>Consecuentemente, se evidencia un aumento en los sentimientos negativos como tristeza, desesperanza, pérdida de confianza en sí mismo, incertidumbre, preocupaciones, dificultad para tomar decisiones y afr</w:t>
      </w:r>
      <w:r>
        <w:t xml:space="preserve">ontar situaciones, así como la pérdida del sueño y percepción de no poder superar las dificultades. </w:t>
      </w:r>
    </w:p>
    <w:p w:rsidR="005D4964" w:rsidRDefault="00C052FA">
      <w:pPr>
        <w:ind w:firstLine="708"/>
      </w:pPr>
      <w:r>
        <w:t xml:space="preserve">Estos factores pueden ser considerados como precipitantes o predisponentes en diversos trastornos mentales como ansiedad y depresión, los cuales requieren </w:t>
      </w:r>
      <w:r>
        <w:t>una adecuada atención; por lo cual es necesario rescatar y tener en cuenta la importancia de la salud mental de los colombianos, dado que esta última ayuda a afrontar las situaciones adversas de una manera resiliente, en pro de una buena adaptación ante lo</w:t>
      </w:r>
      <w:r>
        <w:t>s cambios que se puedan presentar.</w:t>
      </w:r>
    </w:p>
    <w:p w:rsidR="005D4964" w:rsidRDefault="00C052FA">
      <w:pPr>
        <w:ind w:firstLine="708"/>
      </w:pPr>
      <w:bookmarkStart w:id="3" w:name="_heading=h.rzbcs3rj2280" w:colFirst="0" w:colLast="0"/>
      <w:bookmarkEnd w:id="3"/>
      <w:r>
        <w:lastRenderedPageBreak/>
        <w:t xml:space="preserve">Además, cabe mencionar que la inversión en estudios e investigaciones frente a salud mental es fundamental para identificar y brindar estrategias que sean funcionales a las personas en situaciones o fenómenos como el que </w:t>
      </w:r>
      <w:r>
        <w:t xml:space="preserve">se está presentando actualmente. </w:t>
      </w:r>
    </w:p>
    <w:p w:rsidR="005D4964" w:rsidRDefault="00C052FA">
      <w:pPr>
        <w:spacing w:line="480" w:lineRule="auto"/>
        <w:jc w:val="center"/>
        <w:rPr>
          <w:b/>
        </w:rPr>
      </w:pPr>
      <w:r>
        <w:rPr>
          <w:b/>
        </w:rPr>
        <w:t>Referencias</w:t>
      </w:r>
    </w:p>
    <w:p w:rsidR="005D4964" w:rsidRDefault="00C052FA">
      <w:pPr>
        <w:pBdr>
          <w:top w:val="nil"/>
          <w:left w:val="nil"/>
          <w:bottom w:val="nil"/>
          <w:right w:val="nil"/>
          <w:between w:val="nil"/>
        </w:pBdr>
        <w:spacing w:line="480" w:lineRule="auto"/>
        <w:ind w:left="0" w:hanging="425"/>
        <w:rPr>
          <w:color w:val="000000"/>
        </w:rPr>
      </w:pPr>
      <w:r>
        <w:rPr>
          <w:color w:val="000000"/>
        </w:rPr>
        <w:t xml:space="preserve">Angelucci, L., Cañoto, Y. y Hernández, M. (2017). Influencia del estilo de vida, el sexo, la edad y    el IMC sobre la salud física y psicológica en jóvenes universitarios. </w:t>
      </w:r>
      <w:r>
        <w:rPr>
          <w:i/>
          <w:color w:val="000000"/>
        </w:rPr>
        <w:t>Avances en Psicología Latinoamericana</w:t>
      </w:r>
      <w:r>
        <w:rPr>
          <w:i/>
          <w:color w:val="000000"/>
        </w:rPr>
        <w:t>, 35</w:t>
      </w:r>
      <w:r>
        <w:rPr>
          <w:color w:val="000000"/>
        </w:rPr>
        <w:t xml:space="preserve">(3) 531- 546. </w:t>
      </w:r>
      <w:hyperlink r:id="rId8">
        <w:r>
          <w:rPr>
            <w:color w:val="0563C1"/>
            <w:u w:val="single"/>
          </w:rPr>
          <w:t>https://webcache.googleusercontent.com/sear</w:t>
        </w:r>
        <w:r>
          <w:rPr>
            <w:color w:val="0563C1"/>
            <w:u w:val="single"/>
          </w:rPr>
          <w:t>ch?q=cache:Jp6gRgV2CAoJ:https://revistas.urosario.edu.co/index.php/apl/article/download/4454/3939%253B+&amp;cd=1&amp;hl=es-419&amp;ct=clnk&amp;gl=co</w:t>
        </w:r>
      </w:hyperlink>
    </w:p>
    <w:p w:rsidR="005D4964" w:rsidRDefault="00C052FA">
      <w:pPr>
        <w:pBdr>
          <w:top w:val="nil"/>
          <w:left w:val="nil"/>
          <w:bottom w:val="nil"/>
          <w:right w:val="nil"/>
          <w:between w:val="nil"/>
        </w:pBdr>
        <w:spacing w:line="480" w:lineRule="auto"/>
        <w:ind w:left="0" w:hanging="425"/>
        <w:rPr>
          <w:color w:val="000000"/>
        </w:rPr>
      </w:pPr>
      <w:r>
        <w:rPr>
          <w:color w:val="000000"/>
        </w:rPr>
        <w:t>Asociación Estadounidense de Psiquiatría (2014). Manual diagnóstico y estadístico de los trastornos mentales (DSM-5) (Quint</w:t>
      </w:r>
      <w:r>
        <w:rPr>
          <w:color w:val="000000"/>
        </w:rPr>
        <w:t>a edición). Madrid: Editorial Médica Panamericana. ISBN 978-8-4983-5810-0.</w:t>
      </w:r>
    </w:p>
    <w:p w:rsidR="005D4964" w:rsidRDefault="00C052FA">
      <w:pPr>
        <w:pBdr>
          <w:top w:val="nil"/>
          <w:left w:val="nil"/>
          <w:bottom w:val="nil"/>
          <w:right w:val="nil"/>
          <w:between w:val="nil"/>
        </w:pBdr>
        <w:spacing w:line="480" w:lineRule="auto"/>
        <w:ind w:left="0" w:hanging="425"/>
        <w:rPr>
          <w:color w:val="000000"/>
        </w:rPr>
      </w:pPr>
      <w:r>
        <w:rPr>
          <w:color w:val="000000"/>
        </w:rPr>
        <w:t xml:space="preserve">Avendaño, L., Cerda, S., Giadach, C., Hernández, A., León, P., Menéndez, P., Mesa, T., Ortega, P., Riffo, C. (2020). Recomendaciones para un buen dormir </w:t>
      </w:r>
      <w:r>
        <w:t>durante la cuarentena</w:t>
      </w:r>
      <w:r>
        <w:rPr>
          <w:color w:val="000000"/>
        </w:rPr>
        <w:t xml:space="preserve"> por CO</w:t>
      </w:r>
      <w:r>
        <w:rPr>
          <w:color w:val="000000"/>
        </w:rPr>
        <w:t xml:space="preserve">VID-19. Abril 2020. </w:t>
      </w:r>
      <w:r>
        <w:rPr>
          <w:i/>
          <w:color w:val="000000"/>
        </w:rPr>
        <w:t>Revista chilena de pediatría, 91</w:t>
      </w:r>
      <w:r>
        <w:rPr>
          <w:color w:val="000000"/>
        </w:rPr>
        <w:t xml:space="preserve"> (7), 94. </w:t>
      </w:r>
      <w:hyperlink r:id="rId9">
        <w:r>
          <w:rPr>
            <w:color w:val="0563C1"/>
            <w:u w:val="single"/>
          </w:rPr>
          <w:t>https://scielo.conicyt.cl/pdf/rcp/v91n7/0370-4106-rcp-01008.pdf</w:t>
        </w:r>
      </w:hyperlink>
    </w:p>
    <w:p w:rsidR="005D4964" w:rsidRDefault="00C052FA">
      <w:pPr>
        <w:pBdr>
          <w:top w:val="nil"/>
          <w:left w:val="nil"/>
          <w:bottom w:val="nil"/>
          <w:right w:val="nil"/>
          <w:between w:val="nil"/>
        </w:pBdr>
        <w:spacing w:line="480" w:lineRule="auto"/>
        <w:ind w:left="0" w:hanging="425"/>
        <w:rPr>
          <w:color w:val="000000"/>
        </w:rPr>
      </w:pPr>
      <w:r w:rsidRPr="00D56501">
        <w:rPr>
          <w:color w:val="000000"/>
          <w:lang w:val="en-US"/>
        </w:rPr>
        <w:t xml:space="preserve">Baloran, E. (2020). </w:t>
      </w:r>
      <w:r w:rsidRPr="00D56501">
        <w:rPr>
          <w:color w:val="333333"/>
          <w:lang w:val="en-US"/>
        </w:rPr>
        <w:t>Knowledge, Attitudes, Anxie</w:t>
      </w:r>
      <w:r w:rsidRPr="00D56501">
        <w:rPr>
          <w:color w:val="333333"/>
          <w:lang w:val="en-US"/>
        </w:rPr>
        <w:t xml:space="preserve">ty, and Coping Strategies of Students during COVID-19 Pandemic. </w:t>
      </w:r>
      <w:r>
        <w:rPr>
          <w:i/>
          <w:color w:val="333333"/>
        </w:rPr>
        <w:t>International Perspectives on Stress &amp; Coping,</w:t>
      </w:r>
      <w:r>
        <w:rPr>
          <w:color w:val="333333"/>
        </w:rPr>
        <w:t xml:space="preserve"> 28, 635-642. </w:t>
      </w:r>
      <w:hyperlink r:id="rId10">
        <w:r>
          <w:rPr>
            <w:color w:val="006DB4"/>
            <w:u w:val="single"/>
          </w:rPr>
          <w:t>https://doi.org/10.1080/15325024.2020.1769300</w:t>
        </w:r>
      </w:hyperlink>
    </w:p>
    <w:p w:rsidR="005D4964" w:rsidRDefault="00C052FA">
      <w:pPr>
        <w:pBdr>
          <w:top w:val="nil"/>
          <w:left w:val="nil"/>
          <w:bottom w:val="nil"/>
          <w:right w:val="nil"/>
          <w:between w:val="nil"/>
        </w:pBdr>
        <w:spacing w:line="480" w:lineRule="auto"/>
        <w:ind w:left="0" w:hanging="425"/>
        <w:rPr>
          <w:color w:val="000000"/>
        </w:rPr>
      </w:pPr>
      <w:r>
        <w:rPr>
          <w:color w:val="000000"/>
        </w:rPr>
        <w:t xml:space="preserve">Bermúdez, V. (2018). Ansiedad, depresión, estrés y autoestima en la adolescencia. Relación, implicaciones y consecuencias en la educación privada. </w:t>
      </w:r>
      <w:r>
        <w:rPr>
          <w:i/>
          <w:color w:val="000000"/>
        </w:rPr>
        <w:t>Cuestiones Pedagógicas, 26,</w:t>
      </w:r>
      <w:r>
        <w:rPr>
          <w:color w:val="000000"/>
        </w:rPr>
        <w:t xml:space="preserve"> 37-52. </w:t>
      </w:r>
      <w:hyperlink r:id="rId11">
        <w:r>
          <w:rPr>
            <w:color w:val="0563C1"/>
            <w:u w:val="single"/>
          </w:rPr>
          <w:t>http://institucional.us.es/revistas/cuestiones/26/03.%20MO%2003_26%20DEFINITIVO.pdf</w:t>
        </w:r>
      </w:hyperlink>
    </w:p>
    <w:p w:rsidR="005D4964" w:rsidRPr="00D56501" w:rsidRDefault="00C052FA">
      <w:pPr>
        <w:pBdr>
          <w:top w:val="nil"/>
          <w:left w:val="nil"/>
          <w:bottom w:val="nil"/>
          <w:right w:val="nil"/>
          <w:between w:val="nil"/>
        </w:pBdr>
        <w:spacing w:line="480" w:lineRule="auto"/>
        <w:ind w:left="0" w:hanging="425"/>
        <w:rPr>
          <w:color w:val="000000"/>
          <w:lang w:val="en-US"/>
        </w:rPr>
      </w:pPr>
      <w:r>
        <w:rPr>
          <w:color w:val="000000"/>
        </w:rPr>
        <w:lastRenderedPageBreak/>
        <w:t xml:space="preserve"> Branden, N. (sf). Desarrollo de la autoestima. </w:t>
      </w:r>
      <w:r w:rsidRPr="00D56501">
        <w:rPr>
          <w:color w:val="000000"/>
          <w:lang w:val="en-US"/>
        </w:rPr>
        <w:t xml:space="preserve">[Archivo PDF].  </w:t>
      </w:r>
      <w:hyperlink r:id="rId12">
        <w:r w:rsidRPr="00D56501">
          <w:rPr>
            <w:color w:val="0563C1"/>
            <w:u w:val="single"/>
            <w:lang w:val="en-US"/>
          </w:rPr>
          <w:t>https://www.gitanos.org/publicaciones/guiapromocionmujeres/pdf/04.pdf</w:t>
        </w:r>
      </w:hyperlink>
      <w:r w:rsidRPr="00D56501">
        <w:rPr>
          <w:color w:val="000000"/>
          <w:lang w:val="en-US"/>
        </w:rPr>
        <w:t>.</w:t>
      </w:r>
    </w:p>
    <w:p w:rsidR="005D4964" w:rsidRDefault="00C052FA">
      <w:pPr>
        <w:pBdr>
          <w:top w:val="nil"/>
          <w:left w:val="nil"/>
          <w:bottom w:val="nil"/>
          <w:right w:val="nil"/>
          <w:between w:val="nil"/>
        </w:pBdr>
        <w:spacing w:line="480" w:lineRule="auto"/>
        <w:ind w:left="0" w:hanging="425"/>
        <w:rPr>
          <w:color w:val="000000"/>
        </w:rPr>
      </w:pPr>
      <w:r w:rsidRPr="00D56501">
        <w:rPr>
          <w:color w:val="000000"/>
          <w:lang w:val="en-US"/>
        </w:rPr>
        <w:t xml:space="preserve">Brabete, Andrea C. (2014). </w:t>
      </w:r>
      <w:r>
        <w:rPr>
          <w:color w:val="000000"/>
        </w:rPr>
        <w:t>El Cuestionario de Salud General de 12 ítems (GHQ-12): estudio de tradu</w:t>
      </w:r>
      <w:r>
        <w:rPr>
          <w:color w:val="000000"/>
        </w:rPr>
        <w:t xml:space="preserve">cción y adaptación de la versión rumana. Revista Iberoamericana de Diagnóstico y Evaluación - e Avaliação Psicológica, 1(37),11-29 [fecha de Consulta 28 de Octubre de 2020]. ISSN: 1135-3848. Disponible en:   </w:t>
      </w:r>
      <w:hyperlink r:id="rId13">
        <w:r>
          <w:rPr>
            <w:color w:val="1155CC"/>
            <w:u w:val="single"/>
          </w:rPr>
          <w:t>https://www.redalyc.org/articulo.oa?id=4596/459645433002</w:t>
        </w:r>
      </w:hyperlink>
      <w:r>
        <w:rPr>
          <w:color w:val="000000"/>
        </w:rPr>
        <w:t>.</w:t>
      </w:r>
    </w:p>
    <w:p w:rsidR="005D4964" w:rsidRDefault="00C052FA">
      <w:pPr>
        <w:pBdr>
          <w:top w:val="nil"/>
          <w:left w:val="nil"/>
          <w:bottom w:val="nil"/>
          <w:right w:val="nil"/>
          <w:between w:val="nil"/>
        </w:pBdr>
        <w:spacing w:line="480" w:lineRule="auto"/>
        <w:ind w:left="0" w:hanging="425"/>
        <w:rPr>
          <w:color w:val="000000"/>
        </w:rPr>
      </w:pPr>
      <w:r w:rsidRPr="00D56501">
        <w:rPr>
          <w:color w:val="000000"/>
          <w:lang w:val="en-US"/>
        </w:rPr>
        <w:t>Brooks, S., Webster, R., Smith, L., Woodland, L., Wessely, S., F., Greenberg, N., Rubin, J. (2020). The psychological impact of quarantine and how to reduce it: rapid rev</w:t>
      </w:r>
      <w:r w:rsidRPr="00D56501">
        <w:rPr>
          <w:color w:val="000000"/>
          <w:lang w:val="en-US"/>
        </w:rPr>
        <w:t xml:space="preserve">iew of the evidence. </w:t>
      </w:r>
      <w:r>
        <w:rPr>
          <w:color w:val="000000"/>
        </w:rPr>
        <w:t>The lancet, 395, 912–20. DOI:</w:t>
      </w:r>
      <w:hyperlink r:id="rId14">
        <w:r>
          <w:rPr>
            <w:color w:val="1155CC"/>
            <w:u w:val="single"/>
          </w:rPr>
          <w:t>https://doi.org/10.1016/S0140-6736(20)30460-8</w:t>
        </w:r>
      </w:hyperlink>
    </w:p>
    <w:p w:rsidR="005D4964" w:rsidRPr="00D56501" w:rsidRDefault="00C052FA">
      <w:pPr>
        <w:pBdr>
          <w:top w:val="nil"/>
          <w:left w:val="nil"/>
          <w:bottom w:val="nil"/>
          <w:right w:val="nil"/>
          <w:between w:val="nil"/>
        </w:pBdr>
        <w:spacing w:line="480" w:lineRule="auto"/>
        <w:ind w:left="0" w:hanging="425"/>
        <w:rPr>
          <w:lang w:val="en-US"/>
        </w:rPr>
      </w:pPr>
      <w:r>
        <w:t xml:space="preserve">Congreso de la República de Colombia. 2006. Ley 1090 de 2006. </w:t>
      </w:r>
      <w:r w:rsidRPr="00D56501">
        <w:rPr>
          <w:lang w:val="en-US"/>
        </w:rPr>
        <w:t xml:space="preserve">Available at: </w:t>
      </w:r>
      <w:hyperlink r:id="rId15">
        <w:r w:rsidRPr="00D56501">
          <w:rPr>
            <w:color w:val="1155CC"/>
            <w:u w:val="single"/>
            <w:lang w:val="en-US"/>
          </w:rPr>
          <w:t>http://www.secretariasenado.gov.co/senado/basedoc/ley_1090_2006.html</w:t>
        </w:r>
      </w:hyperlink>
    </w:p>
    <w:p w:rsidR="005D4964" w:rsidRPr="00D56501" w:rsidRDefault="00C052FA">
      <w:pPr>
        <w:pBdr>
          <w:top w:val="nil"/>
          <w:left w:val="nil"/>
          <w:bottom w:val="nil"/>
          <w:right w:val="nil"/>
          <w:between w:val="nil"/>
        </w:pBdr>
        <w:spacing w:line="480" w:lineRule="auto"/>
        <w:ind w:left="0" w:hanging="425"/>
        <w:rPr>
          <w:color w:val="000000"/>
          <w:lang w:val="en-US"/>
        </w:rPr>
      </w:pPr>
      <w:r>
        <w:rPr>
          <w:color w:val="000000"/>
        </w:rPr>
        <w:t>Dolan, S., García, S. (13 de Mayo 2020). Covid-19, Estrés, Auto-Estima, Valores y bienestar psicológico: ¿Cómo evaluar los riesgos de estar deprimido, ansioso o, incluso de suicidarse</w:t>
      </w:r>
      <w:r>
        <w:rPr>
          <w:i/>
          <w:color w:val="000000"/>
        </w:rPr>
        <w:t xml:space="preserve">?  </w:t>
      </w:r>
      <w:r w:rsidRPr="00D56501">
        <w:rPr>
          <w:i/>
          <w:color w:val="000000"/>
          <w:lang w:val="en-US"/>
        </w:rPr>
        <w:t xml:space="preserve">The European Business Review. </w:t>
      </w:r>
      <w:hyperlink r:id="rId16">
        <w:r w:rsidRPr="00D56501">
          <w:rPr>
            <w:color w:val="0563C1"/>
            <w:u w:val="single"/>
            <w:lang w:val="en-US"/>
          </w:rPr>
          <w:t>https://globalfutureofwork.com/wp-content/uploads/2020/05/POST_27_05_es_Covid-19-estres.pdf</w:t>
        </w:r>
      </w:hyperlink>
      <w:r w:rsidRPr="00D56501">
        <w:rPr>
          <w:i/>
          <w:color w:val="0000FF"/>
          <w:u w:val="single"/>
          <w:lang w:val="en-US"/>
        </w:rPr>
        <w:t> </w:t>
      </w:r>
    </w:p>
    <w:p w:rsidR="005D4964" w:rsidRDefault="00C052FA">
      <w:pPr>
        <w:pBdr>
          <w:top w:val="nil"/>
          <w:left w:val="nil"/>
          <w:bottom w:val="nil"/>
          <w:right w:val="nil"/>
          <w:between w:val="nil"/>
        </w:pBdr>
        <w:spacing w:line="480" w:lineRule="auto"/>
        <w:ind w:left="0" w:hanging="425"/>
        <w:rPr>
          <w:color w:val="000000"/>
        </w:rPr>
      </w:pPr>
      <w:r>
        <w:rPr>
          <w:color w:val="000000"/>
        </w:rPr>
        <w:t xml:space="preserve">Galindo, O., Ramírez, M., Costas, R., Mendoza, L., Calderillo, G. y Meneses, A. (2020). Síntomas de ansiedad, depresión y conductas de autocuidado durante la pandemia de COVID 19 en la población general. </w:t>
      </w:r>
      <w:r>
        <w:rPr>
          <w:i/>
          <w:color w:val="000000"/>
        </w:rPr>
        <w:t>Gaceta Médica de México, 156,</w:t>
      </w:r>
      <w:r>
        <w:rPr>
          <w:color w:val="000000"/>
        </w:rPr>
        <w:t xml:space="preserve"> (4) 298- 305. </w:t>
      </w:r>
      <w:hyperlink r:id="rId17" w:anchor="page=45">
        <w:r>
          <w:rPr>
            <w:color w:val="0563C1"/>
            <w:u w:val="single"/>
          </w:rPr>
          <w:t>https://www.gacetamedicademexico.com/portadas/gmm_20_156_4.pdf#page=45</w:t>
        </w:r>
      </w:hyperlink>
    </w:p>
    <w:p w:rsidR="005D4964" w:rsidRDefault="00C052FA">
      <w:pPr>
        <w:pBdr>
          <w:top w:val="nil"/>
          <w:left w:val="nil"/>
          <w:bottom w:val="nil"/>
          <w:right w:val="nil"/>
          <w:between w:val="nil"/>
        </w:pBdr>
        <w:spacing w:line="480" w:lineRule="auto"/>
        <w:ind w:left="0" w:hanging="425"/>
        <w:rPr>
          <w:color w:val="000000"/>
        </w:rPr>
      </w:pPr>
      <w:r>
        <w:rPr>
          <w:color w:val="000000"/>
        </w:rPr>
        <w:t>Gallegosa, G., Zalaquettd, C., Luna, S., Mazo, R., Ortiz, B., Penagos, J., Portillo, N., Torres, I</w:t>
      </w:r>
      <w:r>
        <w:rPr>
          <w:color w:val="000000"/>
        </w:rPr>
        <w:t xml:space="preserve">., Urzúak, A., Morgan, M., Polancom, F., Florezn, A. y Lopes, R. (2020). Cómo afrontar la pandemia del coronavirus (covid-19) en las américas: recomendaciones y líneas de acción sobre salud mental. </w:t>
      </w:r>
      <w:r>
        <w:rPr>
          <w:i/>
          <w:color w:val="000000"/>
        </w:rPr>
        <w:t>Revista Interamericana de Psicología/Interamerican Journal</w:t>
      </w:r>
      <w:r>
        <w:rPr>
          <w:i/>
          <w:color w:val="000000"/>
        </w:rPr>
        <w:t xml:space="preserve"> of </w:t>
      </w:r>
      <w:r>
        <w:rPr>
          <w:i/>
          <w:color w:val="000000"/>
        </w:rPr>
        <w:lastRenderedPageBreak/>
        <w:t xml:space="preserve">Psychology 54, </w:t>
      </w:r>
      <w:r>
        <w:rPr>
          <w:color w:val="000000"/>
        </w:rPr>
        <w:t xml:space="preserve">1, 1-28. </w:t>
      </w:r>
      <w:hyperlink r:id="rId18">
        <w:r>
          <w:rPr>
            <w:color w:val="0563C1"/>
            <w:u w:val="single"/>
          </w:rPr>
          <w:t>http://biblioteca.puntoedu.edu.ar/bitstream/handle/2133/18298/coping-</w:t>
        </w:r>
        <w:r>
          <w:rPr>
            <w:color w:val="0563C1"/>
            <w:u w:val="single"/>
          </w:rPr>
          <w:t>coronavirus-covid-19-americas-mental-health.pdf?sequence=3&amp;isAllowed=y</w:t>
        </w:r>
      </w:hyperlink>
    </w:p>
    <w:p w:rsidR="005D4964" w:rsidRPr="00D56501" w:rsidRDefault="00C052FA">
      <w:pPr>
        <w:pBdr>
          <w:top w:val="nil"/>
          <w:left w:val="nil"/>
          <w:bottom w:val="nil"/>
          <w:right w:val="nil"/>
          <w:between w:val="nil"/>
        </w:pBdr>
        <w:spacing w:line="480" w:lineRule="auto"/>
        <w:ind w:left="0" w:hanging="425"/>
        <w:rPr>
          <w:color w:val="000000"/>
          <w:lang w:val="en-US"/>
        </w:rPr>
      </w:pPr>
      <w:r>
        <w:rPr>
          <w:color w:val="000000"/>
        </w:rPr>
        <w:t xml:space="preserve">Harrar, S. (16 de junio 2020). </w:t>
      </w:r>
      <w:r>
        <w:rPr>
          <w:i/>
          <w:color w:val="000000"/>
        </w:rPr>
        <w:t>Lecciones para encontrar felicidad en los tiempos difíciles.</w:t>
      </w:r>
      <w:r>
        <w:rPr>
          <w:color w:val="000000"/>
        </w:rPr>
        <w:t xml:space="preserve"> </w:t>
      </w:r>
      <w:r w:rsidRPr="00D56501">
        <w:rPr>
          <w:color w:val="000000"/>
          <w:lang w:val="en-US"/>
        </w:rPr>
        <w:t xml:space="preserve">AARP. </w:t>
      </w:r>
      <w:hyperlink r:id="rId19">
        <w:r w:rsidRPr="00D56501">
          <w:rPr>
            <w:color w:val="0563C1"/>
            <w:u w:val="single"/>
            <w:lang w:val="en-US"/>
          </w:rPr>
          <w:t>https://www.aarp.org/espanol/salud/vida-saludable/info-2020/encontrar-la-felicidad-en-tiempos-dificiles.html</w:t>
        </w:r>
      </w:hyperlink>
    </w:p>
    <w:p w:rsidR="005D4964" w:rsidRDefault="00C052FA">
      <w:pPr>
        <w:pBdr>
          <w:top w:val="nil"/>
          <w:left w:val="nil"/>
          <w:bottom w:val="nil"/>
          <w:right w:val="nil"/>
          <w:between w:val="nil"/>
        </w:pBdr>
        <w:spacing w:line="480" w:lineRule="auto"/>
        <w:ind w:left="0" w:hanging="425"/>
        <w:rPr>
          <w:color w:val="000000"/>
        </w:rPr>
      </w:pPr>
      <w:r>
        <w:rPr>
          <w:color w:val="000000"/>
        </w:rPr>
        <w:t xml:space="preserve">Huarcaya, J. (2020). Consideraciones sobre la salud mental en la pandemia de COVID-19. </w:t>
      </w:r>
      <w:r>
        <w:rPr>
          <w:i/>
          <w:color w:val="000000"/>
        </w:rPr>
        <w:t>Salud Pública. 37</w:t>
      </w:r>
      <w:r>
        <w:rPr>
          <w:color w:val="000000"/>
        </w:rPr>
        <w:t>(2</w:t>
      </w:r>
      <w:r>
        <w:rPr>
          <w:color w:val="000000"/>
        </w:rPr>
        <w:t xml:space="preserve">): 327-34. </w:t>
      </w:r>
      <w:hyperlink r:id="rId20">
        <w:r>
          <w:rPr>
            <w:color w:val="0563C1"/>
            <w:u w:val="single"/>
          </w:rPr>
          <w:t>https://rpmesp.ins.gob.pe/index.php/rpmesp/article/view/5419/3537</w:t>
        </w:r>
      </w:hyperlink>
    </w:p>
    <w:p w:rsidR="005D4964" w:rsidRDefault="00C052FA">
      <w:pPr>
        <w:pBdr>
          <w:top w:val="nil"/>
          <w:left w:val="nil"/>
          <w:bottom w:val="nil"/>
          <w:right w:val="nil"/>
          <w:between w:val="nil"/>
        </w:pBdr>
        <w:spacing w:line="480" w:lineRule="auto"/>
        <w:ind w:left="0" w:hanging="425"/>
        <w:rPr>
          <w:color w:val="000000"/>
        </w:rPr>
      </w:pPr>
      <w:r>
        <w:rPr>
          <w:color w:val="000000"/>
        </w:rPr>
        <w:t>Lucas, F. (2013). Investigación sobre la relación entre el sueño y el rendimiento escolar en B</w:t>
      </w:r>
      <w:r>
        <w:rPr>
          <w:color w:val="000000"/>
        </w:rPr>
        <w:t xml:space="preserve">adajoz. [Trabajo de grado, Universidad Internacional de la Rioja]. </w:t>
      </w:r>
      <w:hyperlink r:id="rId21">
        <w:r>
          <w:rPr>
            <w:color w:val="0563C1"/>
            <w:u w:val="single"/>
          </w:rPr>
          <w:t>https://reunir.unir.net/bitstream/handle/123456789/2259/LucasSanchez.pdf?s</w:t>
        </w:r>
        <w:r>
          <w:rPr>
            <w:color w:val="0563C1"/>
            <w:u w:val="single"/>
          </w:rPr>
          <w:t>equence=1&amp;isAllowed=y</w:t>
        </w:r>
      </w:hyperlink>
    </w:p>
    <w:p w:rsidR="005D4964" w:rsidRPr="00D56501" w:rsidRDefault="00C052FA">
      <w:pPr>
        <w:pBdr>
          <w:top w:val="nil"/>
          <w:left w:val="nil"/>
          <w:bottom w:val="nil"/>
          <w:right w:val="nil"/>
          <w:between w:val="nil"/>
        </w:pBdr>
        <w:spacing w:line="480" w:lineRule="auto"/>
        <w:ind w:left="0" w:hanging="425"/>
        <w:rPr>
          <w:lang w:val="en-US"/>
        </w:rPr>
      </w:pPr>
      <w:r>
        <w:rPr>
          <w:color w:val="000000"/>
        </w:rPr>
        <w:t xml:space="preserve">Mera, A., Tabares, E., Montoya, S., Muñoz, D., y Monsalve, F. (2020). Recomendaciones prácticas para evitar el desacondicionamiento físico durante el confinamiento por la pandemia asociada a COVID-19. </w:t>
      </w:r>
      <w:r>
        <w:rPr>
          <w:i/>
          <w:color w:val="000000"/>
        </w:rPr>
        <w:t xml:space="preserve">Univ. Salud. </w:t>
      </w:r>
      <w:r w:rsidRPr="00D56501">
        <w:rPr>
          <w:i/>
          <w:color w:val="000000"/>
          <w:lang w:val="en-US"/>
        </w:rPr>
        <w:t>22</w:t>
      </w:r>
      <w:r w:rsidRPr="00D56501">
        <w:rPr>
          <w:color w:val="000000"/>
          <w:lang w:val="en-US"/>
        </w:rPr>
        <w:t xml:space="preserve">(2):166-177. DOI: </w:t>
      </w:r>
      <w:hyperlink r:id="rId22">
        <w:r w:rsidRPr="00D56501">
          <w:rPr>
            <w:color w:val="0563C1"/>
            <w:u w:val="single"/>
            <w:lang w:val="en-US"/>
          </w:rPr>
          <w:t>https://doi.org/10.22267/rus.202202.188</w:t>
        </w:r>
      </w:hyperlink>
      <w:r w:rsidRPr="00D56501">
        <w:rPr>
          <w:color w:val="000000"/>
          <w:lang w:val="en-US"/>
        </w:rPr>
        <w:t>. </w:t>
      </w:r>
    </w:p>
    <w:p w:rsidR="005D4964" w:rsidRDefault="00C052FA">
      <w:pPr>
        <w:pBdr>
          <w:top w:val="nil"/>
          <w:left w:val="nil"/>
          <w:bottom w:val="nil"/>
          <w:right w:val="nil"/>
          <w:between w:val="nil"/>
        </w:pBdr>
        <w:spacing w:line="480" w:lineRule="auto"/>
        <w:ind w:left="0" w:hanging="425"/>
        <w:rPr>
          <w:color w:val="212121"/>
        </w:rPr>
      </w:pPr>
      <w:r w:rsidRPr="00D56501">
        <w:rPr>
          <w:color w:val="212121"/>
          <w:lang w:val="en-US"/>
        </w:rPr>
        <w:t xml:space="preserve">Microsoft 365. Excel (2007 version). [PC software]. </w:t>
      </w:r>
      <w:r>
        <w:rPr>
          <w:color w:val="212121"/>
        </w:rPr>
        <w:t>Microsoft Corporation.</w:t>
      </w:r>
    </w:p>
    <w:p w:rsidR="005D4964" w:rsidRDefault="00C052FA">
      <w:pPr>
        <w:pBdr>
          <w:top w:val="nil"/>
          <w:left w:val="nil"/>
          <w:bottom w:val="nil"/>
          <w:right w:val="nil"/>
          <w:between w:val="nil"/>
        </w:pBdr>
        <w:spacing w:line="480" w:lineRule="auto"/>
        <w:ind w:left="0" w:hanging="425"/>
        <w:rPr>
          <w:color w:val="212121"/>
        </w:rPr>
      </w:pPr>
      <w:r>
        <w:rPr>
          <w:color w:val="212121"/>
        </w:rPr>
        <w:t xml:space="preserve">Ministerio de Comercio, Industria y Turismo. 2013. Decreto número 1377 de 2013. </w:t>
      </w:r>
      <w:r>
        <w:rPr>
          <w:color w:val="212121"/>
        </w:rPr>
        <w:t xml:space="preserve">República de Colombia. Available at: </w:t>
      </w:r>
      <w:hyperlink r:id="rId23">
        <w:r>
          <w:rPr>
            <w:color w:val="1155CC"/>
            <w:u w:val="single"/>
          </w:rPr>
          <w:t>https://wsp.presidencia.gov.co/Normativa/Decretos/2013/Documents/JUNIO/</w:t>
        </w:r>
        <w:r>
          <w:rPr>
            <w:color w:val="1155CC"/>
            <w:u w:val="single"/>
          </w:rPr>
          <w:t>27/DECRETO%201377%20DEL%2027%20DE%20JUNIO%20DE%202013.pdf</w:t>
        </w:r>
      </w:hyperlink>
    </w:p>
    <w:p w:rsidR="005D4964" w:rsidRPr="00D56501" w:rsidRDefault="00C052FA">
      <w:pPr>
        <w:pBdr>
          <w:top w:val="nil"/>
          <w:left w:val="nil"/>
          <w:bottom w:val="nil"/>
          <w:right w:val="nil"/>
          <w:between w:val="nil"/>
        </w:pBdr>
        <w:spacing w:line="480" w:lineRule="auto"/>
        <w:ind w:left="0" w:hanging="425"/>
        <w:rPr>
          <w:color w:val="212121"/>
          <w:lang w:val="en-US"/>
        </w:rPr>
      </w:pPr>
      <w:r>
        <w:rPr>
          <w:color w:val="212121"/>
        </w:rPr>
        <w:t xml:space="preserve">Ministerio de Salud de la República de Colombia. Artículo 11 de la Resolución 008430 de 1993. </w:t>
      </w:r>
      <w:r w:rsidRPr="00D56501">
        <w:rPr>
          <w:color w:val="212121"/>
          <w:lang w:val="en-US"/>
        </w:rPr>
        <w:t xml:space="preserve">Available at: </w:t>
      </w:r>
      <w:hyperlink r:id="rId24">
        <w:r w:rsidRPr="00D56501">
          <w:rPr>
            <w:color w:val="1155CC"/>
            <w:u w:val="single"/>
            <w:lang w:val="en-US"/>
          </w:rPr>
          <w:t>https://www.minsalud.gov.co/sites/rid/Lists/BibliotecaDigital/RIDE/DE/DIJ/RESOLUCION-8430-DE-1993.PDF</w:t>
        </w:r>
      </w:hyperlink>
      <w:r w:rsidRPr="00D56501">
        <w:rPr>
          <w:color w:val="212121"/>
          <w:lang w:val="en-US"/>
        </w:rPr>
        <w:t>.</w:t>
      </w:r>
    </w:p>
    <w:p w:rsidR="005D4964" w:rsidRDefault="00C052FA">
      <w:pPr>
        <w:pBdr>
          <w:top w:val="nil"/>
          <w:left w:val="nil"/>
          <w:bottom w:val="nil"/>
          <w:right w:val="nil"/>
          <w:between w:val="nil"/>
        </w:pBdr>
        <w:spacing w:line="480" w:lineRule="auto"/>
        <w:ind w:left="0" w:hanging="425"/>
        <w:rPr>
          <w:color w:val="000000"/>
        </w:rPr>
      </w:pPr>
      <w:r>
        <w:rPr>
          <w:color w:val="000000"/>
          <w:highlight w:val="white"/>
        </w:rPr>
        <w:t xml:space="preserve">Ministerio de Salud y Protección Social. (2018). Política Nacional de Salud Mental. </w:t>
      </w:r>
      <w:hyperlink r:id="rId25">
        <w:r>
          <w:rPr>
            <w:color w:val="0563C1"/>
            <w:highlight w:val="white"/>
            <w:u w:val="single"/>
          </w:rPr>
          <w:t>https://www.minsalud.gov.co/Normatividad_Nuevo/Resoluci%C3%B3n%20No.%204886%20de%202018.pdf</w:t>
        </w:r>
      </w:hyperlink>
    </w:p>
    <w:p w:rsidR="005D4964" w:rsidRDefault="00C052FA">
      <w:pPr>
        <w:pBdr>
          <w:top w:val="nil"/>
          <w:left w:val="nil"/>
          <w:bottom w:val="nil"/>
          <w:right w:val="nil"/>
          <w:between w:val="nil"/>
        </w:pBdr>
        <w:spacing w:line="480" w:lineRule="auto"/>
        <w:ind w:left="0" w:hanging="425"/>
        <w:rPr>
          <w:color w:val="000000"/>
        </w:rPr>
      </w:pPr>
      <w:r>
        <w:rPr>
          <w:color w:val="000000"/>
        </w:rPr>
        <w:t>Ministerio de Salud. (2020). ABECÉ Nuevo Coronavirus (C</w:t>
      </w:r>
      <w:r>
        <w:rPr>
          <w:color w:val="000000"/>
        </w:rPr>
        <w:t xml:space="preserve">ovid-19) de China. </w:t>
      </w:r>
      <w:hyperlink r:id="rId26">
        <w:r>
          <w:rPr>
            <w:color w:val="0563C1"/>
            <w:u w:val="single"/>
          </w:rPr>
          <w:t>https://www.minsalud.gov.co/sites/rid/Lists/BibliotecaDigital/RIDE/VS/PP/ET/abece-coronavirus.pdf</w:t>
        </w:r>
      </w:hyperlink>
    </w:p>
    <w:p w:rsidR="005D4964" w:rsidRDefault="00C052FA">
      <w:pPr>
        <w:pBdr>
          <w:top w:val="nil"/>
          <w:left w:val="nil"/>
          <w:bottom w:val="nil"/>
          <w:right w:val="nil"/>
          <w:between w:val="nil"/>
        </w:pBdr>
        <w:spacing w:line="480" w:lineRule="auto"/>
        <w:ind w:left="0" w:hanging="425"/>
        <w:rPr>
          <w:color w:val="000000"/>
        </w:rPr>
      </w:pPr>
      <w:r>
        <w:rPr>
          <w:color w:val="000000"/>
        </w:rPr>
        <w:t>Ministerio de Sanidad,</w:t>
      </w:r>
      <w:r>
        <w:rPr>
          <w:color w:val="000000"/>
        </w:rPr>
        <w:t xml:space="preserve"> Secretaria de Estado de Sanidad y la Dirección general de salud pública, calidad e innovación. (2020). Enfermedad por coronavirus, COVID-19. 1-85. </w:t>
      </w:r>
      <w:hyperlink r:id="rId27">
        <w:r>
          <w:rPr>
            <w:color w:val="0563C1"/>
            <w:u w:val="single"/>
          </w:rPr>
          <w:t>https://www.mscbs.gob.es/profesionales/saludPublica/ccayes/alertasActual/nCov/documentos/ITCoronavirus.pdf</w:t>
        </w:r>
      </w:hyperlink>
    </w:p>
    <w:p w:rsidR="005D4964" w:rsidRDefault="00C052FA">
      <w:pPr>
        <w:pBdr>
          <w:top w:val="nil"/>
          <w:left w:val="nil"/>
          <w:bottom w:val="nil"/>
          <w:right w:val="nil"/>
          <w:between w:val="nil"/>
        </w:pBdr>
        <w:spacing w:line="480" w:lineRule="auto"/>
        <w:ind w:left="0" w:hanging="425"/>
        <w:rPr>
          <w:color w:val="000000"/>
        </w:rPr>
      </w:pPr>
      <w:r>
        <w:rPr>
          <w:color w:val="000000"/>
          <w:highlight w:val="white"/>
        </w:rPr>
        <w:t xml:space="preserve">Minsalud. (2020). </w:t>
      </w:r>
      <w:r>
        <w:rPr>
          <w:i/>
          <w:color w:val="000000"/>
          <w:highlight w:val="white"/>
        </w:rPr>
        <w:t>Lineamientos Técnicos para el Cuidado de la Salud Mental de Personas con COVID-19 y sus Familias (Allegados).</w:t>
      </w:r>
      <w:r>
        <w:rPr>
          <w:color w:val="000000"/>
          <w:highlight w:val="white"/>
        </w:rPr>
        <w:t xml:space="preserve"> </w:t>
      </w:r>
      <w:hyperlink r:id="rId28">
        <w:r>
          <w:rPr>
            <w:color w:val="1155CC"/>
            <w:highlight w:val="white"/>
            <w:u w:val="single"/>
          </w:rPr>
          <w:t>https://www.minsalud.gov.co/sites/rid/Lists/BibliotecaDigital/RIDE/VS/PP/lineamientos-cuidado-sm-personas-covid-19.pdf</w:t>
        </w:r>
      </w:hyperlink>
      <w:r>
        <w:rPr>
          <w:color w:val="000000"/>
          <w:highlight w:val="white"/>
        </w:rPr>
        <w:t> </w:t>
      </w:r>
    </w:p>
    <w:p w:rsidR="005D4964" w:rsidRDefault="00C052FA">
      <w:pPr>
        <w:pBdr>
          <w:top w:val="nil"/>
          <w:left w:val="nil"/>
          <w:bottom w:val="nil"/>
          <w:right w:val="nil"/>
          <w:between w:val="nil"/>
        </w:pBdr>
        <w:spacing w:line="480" w:lineRule="auto"/>
        <w:ind w:left="0" w:hanging="425"/>
        <w:rPr>
          <w:color w:val="000000"/>
        </w:rPr>
      </w:pPr>
      <w:r>
        <w:rPr>
          <w:color w:val="000000"/>
        </w:rPr>
        <w:t xml:space="preserve">Mohammadzadeh, F.,  Delshad, A.,  Khosravan, S., Bazeli, J., Armanmehr, V., Et al. (2020). </w:t>
      </w:r>
      <w:r w:rsidRPr="00D56501">
        <w:rPr>
          <w:color w:val="000000"/>
          <w:lang w:val="en-US"/>
        </w:rPr>
        <w:t xml:space="preserve">Anxiety Severity Levels and Coping Strategies during the COVID-19 Pandemic among People Aged 15 Years and Above in Gonabad, Iran. </w:t>
      </w:r>
      <w:r w:rsidRPr="00D56501">
        <w:rPr>
          <w:i/>
          <w:color w:val="000000"/>
          <w:lang w:val="en-US"/>
        </w:rPr>
        <w:t xml:space="preserve">Archives of iranian medice academy </w:t>
      </w:r>
      <w:r w:rsidRPr="00D56501">
        <w:rPr>
          <w:i/>
          <w:color w:val="000000"/>
          <w:lang w:val="en-US"/>
        </w:rPr>
        <w:t>of nedical sciences, I.R. Iran, 23</w:t>
      </w:r>
      <w:r w:rsidRPr="00D56501">
        <w:rPr>
          <w:color w:val="000000"/>
          <w:lang w:val="en-US"/>
        </w:rPr>
        <w:t xml:space="preserve"> (9), 633-63. </w:t>
      </w:r>
      <w:hyperlink r:id="rId29">
        <w:r>
          <w:rPr>
            <w:color w:val="23527C"/>
            <w:u w:val="single"/>
          </w:rPr>
          <w:t>10.34172/aim.2020.76</w:t>
        </w:r>
      </w:hyperlink>
      <w:r>
        <w:rPr>
          <w:color w:val="000000"/>
        </w:rPr>
        <w:t> </w:t>
      </w:r>
    </w:p>
    <w:p w:rsidR="005D4964" w:rsidRDefault="00C052FA">
      <w:pPr>
        <w:pBdr>
          <w:top w:val="nil"/>
          <w:left w:val="nil"/>
          <w:bottom w:val="nil"/>
          <w:right w:val="nil"/>
          <w:between w:val="nil"/>
        </w:pBdr>
        <w:spacing w:line="480" w:lineRule="auto"/>
        <w:ind w:left="0" w:hanging="425"/>
        <w:rPr>
          <w:color w:val="000000"/>
        </w:rPr>
      </w:pPr>
      <w:r>
        <w:rPr>
          <w:color w:val="000000"/>
          <w:highlight w:val="white"/>
        </w:rPr>
        <w:t>Novoa, J y Pirela, A. (2020). Acompañamiento desde una ética de la vida. Para educar en tiempos de pandemia. Utopía y praxis latin</w:t>
      </w:r>
      <w:r>
        <w:rPr>
          <w:color w:val="000000"/>
          <w:highlight w:val="white"/>
        </w:rPr>
        <w:t xml:space="preserve">oamericana: </w:t>
      </w:r>
      <w:r>
        <w:rPr>
          <w:i/>
          <w:color w:val="000000"/>
          <w:highlight w:val="white"/>
        </w:rPr>
        <w:t>Revista Internacional de Filosofía Iberoamericana y Teoría social 4</w:t>
      </w:r>
      <w:r>
        <w:rPr>
          <w:color w:val="000000"/>
          <w:highlight w:val="white"/>
        </w:rPr>
        <w:t xml:space="preserve"> 11-24 </w:t>
      </w:r>
      <w:hyperlink r:id="rId30">
        <w:r>
          <w:rPr>
            <w:color w:val="0563C1"/>
            <w:highlight w:val="white"/>
            <w:u w:val="single"/>
          </w:rPr>
          <w:t>https://dialnet.unirioja.es/servlet/articulo?codigo=7523185</w:t>
        </w:r>
      </w:hyperlink>
    </w:p>
    <w:p w:rsidR="005D4964" w:rsidRDefault="00C052FA">
      <w:pPr>
        <w:pBdr>
          <w:top w:val="nil"/>
          <w:left w:val="nil"/>
          <w:bottom w:val="nil"/>
          <w:right w:val="nil"/>
          <w:between w:val="nil"/>
        </w:pBdr>
        <w:spacing w:line="480" w:lineRule="auto"/>
        <w:ind w:left="0" w:hanging="425"/>
        <w:rPr>
          <w:color w:val="000000"/>
        </w:rPr>
      </w:pPr>
      <w:r>
        <w:rPr>
          <w:color w:val="000000"/>
        </w:rPr>
        <w:lastRenderedPageBreak/>
        <w:t xml:space="preserve">Organización Mundial de la Salud. OMS. (2020), Coronavirus. 2020 de </w:t>
      </w:r>
      <w:hyperlink r:id="rId31">
        <w:r>
          <w:rPr>
            <w:color w:val="0563C1"/>
            <w:u w:val="single"/>
          </w:rPr>
          <w:t>https://www.who.int/es/health-topics/coronavirus</w:t>
        </w:r>
      </w:hyperlink>
      <w:r>
        <w:rPr>
          <w:color w:val="0563C1"/>
          <w:u w:val="single"/>
        </w:rPr>
        <w:t> </w:t>
      </w:r>
    </w:p>
    <w:p w:rsidR="005D4964" w:rsidRDefault="00C052FA">
      <w:pPr>
        <w:pBdr>
          <w:top w:val="nil"/>
          <w:left w:val="nil"/>
          <w:bottom w:val="nil"/>
          <w:right w:val="nil"/>
          <w:between w:val="nil"/>
        </w:pBdr>
        <w:spacing w:line="480" w:lineRule="auto"/>
        <w:ind w:left="0" w:hanging="425"/>
        <w:rPr>
          <w:color w:val="000000"/>
        </w:rPr>
      </w:pPr>
      <w:r>
        <w:rPr>
          <w:color w:val="000000"/>
        </w:rPr>
        <w:t xml:space="preserve">Ramírez, J., Castro, D., Lerma, C. Yela, F., Escobar, F. (2020). </w:t>
      </w:r>
      <w:r>
        <w:rPr>
          <w:i/>
          <w:color w:val="000000"/>
        </w:rPr>
        <w:t>CONSE</w:t>
      </w:r>
      <w:r>
        <w:rPr>
          <w:i/>
          <w:color w:val="000000"/>
        </w:rPr>
        <w:t>CUENCIAS DE LA PANDEMIA COVID 19 EN LA SALUD.</w:t>
      </w:r>
      <w:r>
        <w:rPr>
          <w:color w:val="000000"/>
        </w:rPr>
        <w:t xml:space="preserve"> Obtenido de Scielo:</w:t>
      </w:r>
      <w:hyperlink r:id="rId32">
        <w:r>
          <w:rPr>
            <w:color w:val="000000"/>
            <w:u w:val="single"/>
          </w:rPr>
          <w:t xml:space="preserve"> </w:t>
        </w:r>
      </w:hyperlink>
      <w:hyperlink r:id="rId33">
        <w:r>
          <w:rPr>
            <w:color w:val="1155CC"/>
            <w:u w:val="single"/>
          </w:rPr>
          <w:t>https://</w:t>
        </w:r>
        <w:r>
          <w:rPr>
            <w:color w:val="1155CC"/>
            <w:u w:val="single"/>
          </w:rPr>
          <w:t>preprints.scielo.org/index.php/scielo/preprint/download/303/358</w:t>
        </w:r>
      </w:hyperlink>
      <w:r>
        <w:rPr>
          <w:color w:val="1155CC"/>
          <w:u w:val="single"/>
        </w:rPr>
        <w:t> </w:t>
      </w:r>
    </w:p>
    <w:p w:rsidR="005D4964" w:rsidRDefault="00C052FA">
      <w:pPr>
        <w:pBdr>
          <w:top w:val="nil"/>
          <w:left w:val="nil"/>
          <w:bottom w:val="nil"/>
          <w:right w:val="nil"/>
          <w:between w:val="nil"/>
        </w:pBdr>
        <w:spacing w:line="480" w:lineRule="auto"/>
        <w:ind w:left="0" w:hanging="425"/>
        <w:rPr>
          <w:color w:val="000000"/>
        </w:rPr>
      </w:pPr>
      <w:r>
        <w:rPr>
          <w:color w:val="000000"/>
        </w:rPr>
        <w:t xml:space="preserve">Ramírez, J., Fontecha, J.,  y Escobar, F. (2020). Efectos del aislamiento social en el sueño durante la pandemia Covid-19. Universidad Nacional de Colombia, Bogotá D.C, Colombia </w:t>
      </w:r>
      <w:hyperlink r:id="rId34">
        <w:r>
          <w:rPr>
            <w:color w:val="0563C1"/>
            <w:u w:val="single"/>
          </w:rPr>
          <w:t>https://www.researchgate.net/publication/342298891_EFECTOS_DEL_AISLAMIENTO_SOCIAL_EN_EL_SUENO_DURANTE_LA_PANDEMIA_CO</w:t>
        </w:r>
        <w:r>
          <w:rPr>
            <w:color w:val="0563C1"/>
            <w:u w:val="single"/>
          </w:rPr>
          <w:t>VID-19</w:t>
        </w:r>
      </w:hyperlink>
    </w:p>
    <w:p w:rsidR="005D4964" w:rsidRDefault="00C052FA">
      <w:pPr>
        <w:pBdr>
          <w:top w:val="nil"/>
          <w:left w:val="nil"/>
          <w:bottom w:val="nil"/>
          <w:right w:val="nil"/>
          <w:between w:val="nil"/>
        </w:pBdr>
        <w:spacing w:line="480" w:lineRule="auto"/>
        <w:ind w:left="0" w:hanging="425"/>
        <w:rPr>
          <w:color w:val="000000"/>
        </w:rPr>
      </w:pPr>
      <w:r>
        <w:rPr>
          <w:color w:val="000000"/>
        </w:rPr>
        <w:t xml:space="preserve">Rubio, I., Badia, J., Mora, M., Quirós, A., Rodríguez, J y Balibrea, J. (2020). COVID-19: conceptos clave para el cirujano. Cirugía Española. 98 (2) 310-319. </w:t>
      </w:r>
      <w:hyperlink r:id="rId35">
        <w:r>
          <w:rPr>
            <w:color w:val="0563C1"/>
            <w:u w:val="single"/>
          </w:rPr>
          <w:t>http</w:t>
        </w:r>
        <w:r>
          <w:rPr>
            <w:color w:val="0563C1"/>
            <w:u w:val="single"/>
          </w:rPr>
          <w:t>s://www.sciencedirect.com/science/article/pii/S0009739X20301172</w:t>
        </w:r>
      </w:hyperlink>
    </w:p>
    <w:p w:rsidR="005D4964" w:rsidRDefault="00C052FA">
      <w:pPr>
        <w:pBdr>
          <w:top w:val="nil"/>
          <w:left w:val="nil"/>
          <w:bottom w:val="nil"/>
          <w:right w:val="nil"/>
          <w:between w:val="nil"/>
        </w:pBdr>
        <w:spacing w:line="480" w:lineRule="auto"/>
        <w:ind w:left="0" w:hanging="425"/>
        <w:rPr>
          <w:color w:val="000000"/>
        </w:rPr>
      </w:pPr>
      <w:r>
        <w:rPr>
          <w:color w:val="000000"/>
        </w:rPr>
        <w:t xml:space="preserve">Ruffa, E., Diez, J., y Liparoti, P. (2020) Recomendaciones para un sueño saludable en situación de pandemia. </w:t>
      </w:r>
      <w:r>
        <w:rPr>
          <w:i/>
          <w:color w:val="000000"/>
        </w:rPr>
        <w:t>Grupo de trabajo de medicina del sueño y cronobiología.</w:t>
      </w:r>
      <w:r>
        <w:rPr>
          <w:color w:val="000000"/>
        </w:rPr>
        <w:t xml:space="preserve"> 1 –9 </w:t>
      </w:r>
      <w:hyperlink r:id="rId36">
        <w:r>
          <w:rPr>
            <w:color w:val="0563C1"/>
            <w:u w:val="single"/>
          </w:rPr>
          <w:t>https://www.apsa.org.ar/docs/sueniosaludable.pdf</w:t>
        </w:r>
      </w:hyperlink>
    </w:p>
    <w:p w:rsidR="005D4964" w:rsidRPr="00D56501" w:rsidRDefault="00C052FA">
      <w:pPr>
        <w:pBdr>
          <w:top w:val="nil"/>
          <w:left w:val="nil"/>
          <w:bottom w:val="nil"/>
          <w:right w:val="nil"/>
          <w:between w:val="nil"/>
        </w:pBdr>
        <w:spacing w:line="480" w:lineRule="auto"/>
        <w:ind w:left="0" w:hanging="425"/>
        <w:rPr>
          <w:color w:val="000000"/>
          <w:lang w:val="en-US"/>
        </w:rPr>
      </w:pPr>
      <w:r w:rsidRPr="00D56501">
        <w:rPr>
          <w:color w:val="000000"/>
          <w:lang w:val="en-US"/>
        </w:rPr>
        <w:t>Taylor, S., Laundry, C., Paluszek, M., Fergus, T., McKay, D. (</w:t>
      </w:r>
      <w:r w:rsidRPr="00D56501">
        <w:rPr>
          <w:color w:val="1C1D1E"/>
          <w:lang w:val="en-US"/>
        </w:rPr>
        <w:t>2020</w:t>
      </w:r>
      <w:r w:rsidRPr="00D56501">
        <w:rPr>
          <w:color w:val="000000"/>
          <w:lang w:val="en-US"/>
        </w:rPr>
        <w:t xml:space="preserve">). COVID stress syndrome: Concept, structure, and correlates. </w:t>
      </w:r>
      <w:r w:rsidRPr="00D56501">
        <w:rPr>
          <w:i/>
          <w:color w:val="000000"/>
          <w:lang w:val="en-US"/>
        </w:rPr>
        <w:t xml:space="preserve">Depress Anxiety, 37, </w:t>
      </w:r>
      <w:r w:rsidRPr="00D56501">
        <w:rPr>
          <w:color w:val="000000"/>
          <w:lang w:val="en-US"/>
        </w:rPr>
        <w:t xml:space="preserve">706–714. </w:t>
      </w:r>
      <w:hyperlink r:id="rId37">
        <w:r w:rsidRPr="00D56501">
          <w:rPr>
            <w:color w:val="0563C1"/>
            <w:u w:val="single"/>
            <w:lang w:val="en-US"/>
          </w:rPr>
          <w:t>https://onlinelibrary.wiley.com/doi/epdf/10.1002/da.23071</w:t>
        </w:r>
      </w:hyperlink>
    </w:p>
    <w:p w:rsidR="005D4964" w:rsidRDefault="00C052FA">
      <w:pPr>
        <w:pBdr>
          <w:top w:val="nil"/>
          <w:left w:val="nil"/>
          <w:bottom w:val="nil"/>
          <w:right w:val="nil"/>
          <w:between w:val="nil"/>
        </w:pBdr>
        <w:spacing w:line="480" w:lineRule="auto"/>
        <w:ind w:left="0" w:hanging="425"/>
        <w:rPr>
          <w:color w:val="000000"/>
        </w:rPr>
      </w:pPr>
      <w:r w:rsidRPr="00D56501">
        <w:rPr>
          <w:color w:val="000000"/>
          <w:lang w:val="en-US"/>
        </w:rPr>
        <w:t>Ûosiü</w:t>
      </w:r>
      <w:r w:rsidRPr="00D56501">
        <w:rPr>
          <w:color w:val="000000"/>
          <w:highlight w:val="white"/>
          <w:lang w:val="en-US"/>
        </w:rPr>
        <w:t xml:space="preserve">,K., Popoviü, S.,  Šarlija, M., Kesedžiü, I. (2020). IMPACT OF HUMAN DISASTERS AND COVID-19 PANDEMIC ON MENTAL HEALTH: POTENTIAL OF DIGITAL PSYCHIATRY. </w:t>
      </w:r>
      <w:r>
        <w:rPr>
          <w:i/>
          <w:color w:val="000000"/>
          <w:highlight w:val="white"/>
        </w:rPr>
        <w:t>Psychiatria Danubina,</w:t>
      </w:r>
      <w:r>
        <w:rPr>
          <w:color w:val="000000"/>
          <w:highlight w:val="white"/>
        </w:rPr>
        <w:t xml:space="preserve"> 32, (1), 25-31.</w:t>
      </w:r>
      <w:r>
        <w:rPr>
          <w:color w:val="000000"/>
        </w:rPr>
        <w:t xml:space="preserve"> </w:t>
      </w:r>
      <w:hyperlink r:id="rId38">
        <w:r>
          <w:rPr>
            <w:color w:val="0563C1"/>
            <w:u w:val="single"/>
          </w:rPr>
          <w:t>http://www.psychiatria-danubina.com/UserDocsImages/pdf/dnb_vol32_no1/dnb_vol32_no1_25.pdf</w:t>
        </w:r>
      </w:hyperlink>
      <w:r>
        <w:rPr>
          <w:color w:val="000000"/>
        </w:rPr>
        <w:t> </w:t>
      </w:r>
    </w:p>
    <w:p w:rsidR="005D4964" w:rsidRPr="00D56501" w:rsidRDefault="00C052FA">
      <w:pPr>
        <w:pBdr>
          <w:top w:val="nil"/>
          <w:left w:val="nil"/>
          <w:bottom w:val="nil"/>
          <w:right w:val="nil"/>
          <w:between w:val="nil"/>
        </w:pBdr>
        <w:spacing w:line="480" w:lineRule="auto"/>
        <w:ind w:left="0" w:hanging="425"/>
        <w:rPr>
          <w:lang w:val="en-US"/>
        </w:rPr>
      </w:pPr>
      <w:r w:rsidRPr="00D56501">
        <w:rPr>
          <w:lang w:val="en-US"/>
        </w:rPr>
        <w:lastRenderedPageBreak/>
        <w:t xml:space="preserve">UNESCO 2005. Universal Declaration on Bioethics and Human Rights. UNESCO.ORG. 19 October 2005. Available at: </w:t>
      </w:r>
      <w:hyperlink r:id="rId39">
        <w:r w:rsidRPr="00D56501">
          <w:rPr>
            <w:color w:val="1155CC"/>
            <w:u w:val="single"/>
            <w:lang w:val="en-US"/>
          </w:rPr>
          <w:t>http://portal.unesco.org/en/ev.php-URL_ID=31058&amp;URL_DO=DO_TOPIC&amp;URL_SECTION=201.html</w:t>
        </w:r>
      </w:hyperlink>
    </w:p>
    <w:p w:rsidR="005D4964" w:rsidRPr="00D56501" w:rsidRDefault="00C052FA">
      <w:pPr>
        <w:pBdr>
          <w:top w:val="nil"/>
          <w:left w:val="nil"/>
          <w:bottom w:val="nil"/>
          <w:right w:val="nil"/>
          <w:between w:val="nil"/>
        </w:pBdr>
        <w:spacing w:line="480" w:lineRule="auto"/>
        <w:ind w:left="0" w:hanging="425"/>
        <w:rPr>
          <w:color w:val="000000"/>
          <w:lang w:val="en-US"/>
        </w:rPr>
      </w:pPr>
      <w:r>
        <w:rPr>
          <w:color w:val="000000"/>
        </w:rPr>
        <w:t>Uribe, A., Ramos, I., Villamil., I., Palacio, J. (2018). La importanc</w:t>
      </w:r>
      <w:r>
        <w:rPr>
          <w:color w:val="000000"/>
        </w:rPr>
        <w:t xml:space="preserve">ia de las estrategias de afrontamiento en el bienestar psicológico en una muestra escolarizada de adolescentes. </w:t>
      </w:r>
      <w:r w:rsidRPr="00D56501">
        <w:rPr>
          <w:i/>
          <w:color w:val="000000"/>
          <w:lang w:val="en-US"/>
        </w:rPr>
        <w:t>Psicogente 21</w:t>
      </w:r>
      <w:r w:rsidRPr="00D56501">
        <w:rPr>
          <w:color w:val="000000"/>
          <w:lang w:val="en-US"/>
        </w:rPr>
        <w:t xml:space="preserve">(40), 440-457. </w:t>
      </w:r>
      <w:hyperlink r:id="rId40">
        <w:r w:rsidRPr="00D56501">
          <w:rPr>
            <w:color w:val="0563C1"/>
            <w:u w:val="single"/>
            <w:lang w:val="en-US"/>
          </w:rPr>
          <w:t>https://doi.org/10.17081/psico.21.40.3082</w:t>
        </w:r>
      </w:hyperlink>
      <w:r w:rsidRPr="00D56501">
        <w:rPr>
          <w:color w:val="000000"/>
          <w:lang w:val="en-US"/>
        </w:rPr>
        <w:t> </w:t>
      </w:r>
    </w:p>
    <w:p w:rsidR="005D4964" w:rsidRPr="00D56501" w:rsidRDefault="00C052FA">
      <w:pPr>
        <w:pBdr>
          <w:top w:val="nil"/>
          <w:left w:val="nil"/>
          <w:bottom w:val="nil"/>
          <w:right w:val="nil"/>
          <w:between w:val="nil"/>
        </w:pBdr>
        <w:spacing w:line="480" w:lineRule="auto"/>
        <w:ind w:left="0" w:hanging="425"/>
        <w:rPr>
          <w:color w:val="000000"/>
          <w:lang w:val="en-US"/>
        </w:rPr>
      </w:pPr>
      <w:r w:rsidRPr="00D56501">
        <w:rPr>
          <w:color w:val="000000"/>
          <w:lang w:val="en-US"/>
        </w:rPr>
        <w:t xml:space="preserve">Vindegaard, N., Eriksen, M. (2020). COVID-19 pandemic and mental health consequences: Systematic review of the current evidence. </w:t>
      </w:r>
      <w:r w:rsidRPr="00D56501">
        <w:rPr>
          <w:i/>
          <w:color w:val="000000"/>
          <w:lang w:val="en-US"/>
        </w:rPr>
        <w:t>Brain, Behavior, and Immunity</w:t>
      </w:r>
      <w:r w:rsidRPr="00D56501">
        <w:rPr>
          <w:color w:val="000000"/>
          <w:lang w:val="en-US"/>
        </w:rPr>
        <w:t xml:space="preserve">, 89(1), 531-542.  </w:t>
      </w:r>
      <w:hyperlink r:id="rId41">
        <w:r w:rsidRPr="00D56501">
          <w:rPr>
            <w:color w:val="0563C1"/>
            <w:u w:val="single"/>
            <w:lang w:val="en-US"/>
          </w:rPr>
          <w:t>https://doi.org/10</w:t>
        </w:r>
        <w:r w:rsidRPr="00D56501">
          <w:rPr>
            <w:color w:val="0563C1"/>
            <w:u w:val="single"/>
            <w:lang w:val="en-US"/>
          </w:rPr>
          <w:t>.1016/j.bbi.2020.05.048</w:t>
        </w:r>
      </w:hyperlink>
    </w:p>
    <w:p w:rsidR="005D4964" w:rsidRPr="00D56501" w:rsidRDefault="00C052FA">
      <w:pPr>
        <w:pBdr>
          <w:top w:val="nil"/>
          <w:left w:val="nil"/>
          <w:bottom w:val="nil"/>
          <w:right w:val="nil"/>
          <w:between w:val="nil"/>
        </w:pBdr>
        <w:spacing w:line="480" w:lineRule="auto"/>
        <w:ind w:left="0" w:hanging="425"/>
        <w:rPr>
          <w:color w:val="000000"/>
          <w:lang w:val="en-US"/>
        </w:rPr>
      </w:pPr>
      <w:r w:rsidRPr="00D56501">
        <w:rPr>
          <w:color w:val="000000"/>
          <w:highlight w:val="white"/>
          <w:lang w:val="en-US"/>
        </w:rPr>
        <w:t>Wang, C., Pan, R.,</w:t>
      </w:r>
      <w:r w:rsidRPr="00D56501">
        <w:rPr>
          <w:color w:val="000000"/>
          <w:sz w:val="14"/>
          <w:szCs w:val="14"/>
          <w:highlight w:val="white"/>
          <w:vertAlign w:val="superscript"/>
          <w:lang w:val="en-US"/>
        </w:rPr>
        <w:t xml:space="preserve"> </w:t>
      </w:r>
      <w:r w:rsidRPr="00D56501">
        <w:rPr>
          <w:color w:val="000000"/>
          <w:highlight w:val="white"/>
          <w:lang w:val="en-US"/>
        </w:rPr>
        <w:t xml:space="preserve"> Wan, X., </w:t>
      </w:r>
      <w:r w:rsidRPr="00D56501">
        <w:rPr>
          <w:color w:val="000000"/>
          <w:sz w:val="14"/>
          <w:szCs w:val="14"/>
          <w:highlight w:val="white"/>
          <w:vertAlign w:val="superscript"/>
          <w:lang w:val="en-US"/>
        </w:rPr>
        <w:t> </w:t>
      </w:r>
      <w:r w:rsidRPr="00D56501">
        <w:rPr>
          <w:color w:val="000000"/>
          <w:highlight w:val="white"/>
          <w:lang w:val="en-US"/>
        </w:rPr>
        <w:t>Tan, Y., Xu, L. (2020). Immediate Psychological Responses and Associated Factors during the Initial Stage of the 2019 Coronavirus Disease</w:t>
      </w:r>
      <w:r w:rsidRPr="00D56501">
        <w:rPr>
          <w:i/>
          <w:color w:val="000000"/>
          <w:highlight w:val="white"/>
          <w:lang w:val="en-US"/>
        </w:rPr>
        <w:t xml:space="preserve"> (COVID-19) Epidemic among the General Population in China. </w:t>
      </w:r>
      <w:r w:rsidRPr="00D56501">
        <w:rPr>
          <w:color w:val="000000"/>
          <w:highlight w:val="white"/>
          <w:lang w:val="en-US"/>
        </w:rPr>
        <w:t>Envir</w:t>
      </w:r>
      <w:r w:rsidRPr="00D56501">
        <w:rPr>
          <w:color w:val="000000"/>
          <w:highlight w:val="white"/>
          <w:lang w:val="en-US"/>
        </w:rPr>
        <w:t>onmental Research and Public Health, 17, 17-29. 10.3390/ijerph17051729</w:t>
      </w:r>
    </w:p>
    <w:p w:rsidR="005D4964" w:rsidRPr="00D56501" w:rsidRDefault="00C052FA">
      <w:pPr>
        <w:pBdr>
          <w:top w:val="nil"/>
          <w:left w:val="nil"/>
          <w:bottom w:val="nil"/>
          <w:right w:val="nil"/>
          <w:between w:val="nil"/>
        </w:pBdr>
        <w:spacing w:line="480" w:lineRule="auto"/>
        <w:ind w:left="0" w:hanging="425"/>
        <w:rPr>
          <w:color w:val="000000"/>
          <w:lang w:val="en-US"/>
        </w:rPr>
      </w:pPr>
      <w:r w:rsidRPr="00D56501">
        <w:rPr>
          <w:color w:val="000000"/>
          <w:lang w:val="en-US"/>
        </w:rPr>
        <w:t>Womenshealth. (</w:t>
      </w:r>
      <w:r w:rsidRPr="00D56501">
        <w:rPr>
          <w:color w:val="333333"/>
          <w:lang w:val="en-US"/>
        </w:rPr>
        <w:t>14 de marzo de 2019</w:t>
      </w:r>
      <w:r w:rsidRPr="00D56501">
        <w:rPr>
          <w:color w:val="000000"/>
          <w:lang w:val="en-US"/>
        </w:rPr>
        <w:t xml:space="preserve">). </w:t>
      </w:r>
      <w:r>
        <w:rPr>
          <w:i/>
          <w:color w:val="000000"/>
        </w:rPr>
        <w:t>El estrés y tu salud</w:t>
      </w:r>
      <w:r>
        <w:rPr>
          <w:color w:val="000000"/>
        </w:rPr>
        <w:t xml:space="preserve">. </w:t>
      </w:r>
      <w:r w:rsidRPr="00D56501">
        <w:rPr>
          <w:color w:val="000000"/>
          <w:lang w:val="en-US"/>
        </w:rPr>
        <w:t xml:space="preserve">Womenshealth. </w:t>
      </w:r>
      <w:hyperlink r:id="rId42">
        <w:r w:rsidRPr="00D56501">
          <w:rPr>
            <w:color w:val="0563C1"/>
            <w:u w:val="single"/>
            <w:lang w:val="en-US"/>
          </w:rPr>
          <w:t>https://espanol.womenshealth.gov/mental-health/good-mental-health/stress-and-your-health</w:t>
        </w:r>
      </w:hyperlink>
      <w:r w:rsidRPr="00D56501">
        <w:rPr>
          <w:color w:val="000000"/>
          <w:lang w:val="en-US"/>
        </w:rPr>
        <w:t> </w:t>
      </w:r>
    </w:p>
    <w:p w:rsidR="005D4964" w:rsidRPr="002E7DEA" w:rsidRDefault="00C052FA">
      <w:pPr>
        <w:pBdr>
          <w:top w:val="nil"/>
          <w:left w:val="nil"/>
          <w:bottom w:val="nil"/>
          <w:right w:val="nil"/>
          <w:between w:val="nil"/>
        </w:pBdr>
        <w:spacing w:line="480" w:lineRule="auto"/>
        <w:ind w:left="0" w:hanging="425"/>
        <w:rPr>
          <w:lang w:val="en-US"/>
        </w:rPr>
      </w:pPr>
      <w:r w:rsidRPr="00D56501">
        <w:rPr>
          <w:lang w:val="en-US"/>
        </w:rPr>
        <w:t xml:space="preserve">World Medical Association 2020. Wma Declaration Of Helsinki – Ethical Principles For Medical Research Involving Human Subjects. </w:t>
      </w:r>
      <w:r w:rsidRPr="002E7DEA">
        <w:rPr>
          <w:lang w:val="en-US"/>
        </w:rPr>
        <w:t>2020 The World Medical Association, In</w:t>
      </w:r>
      <w:r w:rsidRPr="002E7DEA">
        <w:rPr>
          <w:lang w:val="en-US"/>
        </w:rPr>
        <w:t xml:space="preserve">c. Available at: </w:t>
      </w:r>
      <w:hyperlink r:id="rId43">
        <w:r w:rsidRPr="002E7DEA">
          <w:rPr>
            <w:color w:val="1155CC"/>
            <w:u w:val="single"/>
            <w:lang w:val="en-US"/>
          </w:rPr>
          <w:t>https://www.wma.net/policies-post/wma-declaration-of-helsinki-ethical-principles-for-medical</w:t>
        </w:r>
        <w:r w:rsidRPr="002E7DEA">
          <w:rPr>
            <w:color w:val="1155CC"/>
            <w:u w:val="single"/>
            <w:lang w:val="en-US"/>
          </w:rPr>
          <w:t>-research-involving-human-subjects/</w:t>
        </w:r>
      </w:hyperlink>
    </w:p>
    <w:p w:rsidR="005D4964" w:rsidRPr="002E7DEA" w:rsidRDefault="005D4964">
      <w:pPr>
        <w:pBdr>
          <w:top w:val="nil"/>
          <w:left w:val="nil"/>
          <w:bottom w:val="nil"/>
          <w:right w:val="nil"/>
          <w:between w:val="nil"/>
        </w:pBdr>
        <w:spacing w:line="480" w:lineRule="auto"/>
        <w:ind w:left="0" w:hanging="425"/>
        <w:rPr>
          <w:lang w:val="en-US"/>
        </w:rPr>
      </w:pPr>
    </w:p>
    <w:p w:rsidR="005D4964" w:rsidRPr="002E7DEA" w:rsidRDefault="005D4964">
      <w:pPr>
        <w:pBdr>
          <w:top w:val="nil"/>
          <w:left w:val="nil"/>
          <w:bottom w:val="nil"/>
          <w:right w:val="nil"/>
          <w:between w:val="nil"/>
        </w:pBdr>
        <w:spacing w:line="480" w:lineRule="auto"/>
        <w:ind w:left="0" w:hanging="425"/>
        <w:rPr>
          <w:lang w:val="en-US"/>
        </w:rPr>
      </w:pPr>
    </w:p>
    <w:p w:rsidR="005D4964" w:rsidRPr="002E7DEA" w:rsidRDefault="005D4964">
      <w:pPr>
        <w:spacing w:line="480" w:lineRule="auto"/>
        <w:ind w:left="425" w:hanging="425"/>
        <w:rPr>
          <w:lang w:val="en-US"/>
        </w:rPr>
      </w:pPr>
    </w:p>
    <w:sectPr w:rsidR="005D4964" w:rsidRPr="002E7DEA" w:rsidSect="00D56501">
      <w:headerReference w:type="default" r:id="rId44"/>
      <w:footerReference w:type="default" r:id="rId45"/>
      <w:pgSz w:w="11906" w:h="16838"/>
      <w:pgMar w:top="1418" w:right="1418" w:bottom="1418" w:left="1418" w:header="709" w:footer="709" w:gutter="0"/>
      <w:pgNumType w:start="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2FA" w:rsidRDefault="00C052FA">
      <w:pPr>
        <w:spacing w:after="0" w:line="240" w:lineRule="auto"/>
      </w:pPr>
      <w:r>
        <w:separator/>
      </w:r>
    </w:p>
  </w:endnote>
  <w:endnote w:type="continuationSeparator" w:id="0">
    <w:p w:rsidR="00C052FA" w:rsidRDefault="00C05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964" w:rsidRDefault="005D4964">
    <w:pPr>
      <w:pBdr>
        <w:top w:val="nil"/>
        <w:left w:val="nil"/>
        <w:bottom w:val="nil"/>
        <w:right w:val="nil"/>
        <w:between w:val="nil"/>
      </w:pBdr>
      <w:tabs>
        <w:tab w:val="center" w:pos="4419"/>
        <w:tab w:val="right" w:pos="8838"/>
      </w:tabs>
      <w:spacing w:after="0" w:line="240" w:lineRule="auto"/>
      <w:jc w:val="right"/>
      <w:rPr>
        <w:color w:val="000000"/>
      </w:rPr>
    </w:pPr>
  </w:p>
  <w:p w:rsidR="005D4964" w:rsidRDefault="005D496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2FA" w:rsidRDefault="00C052FA">
      <w:pPr>
        <w:spacing w:after="0" w:line="240" w:lineRule="auto"/>
      </w:pPr>
      <w:r>
        <w:separator/>
      </w:r>
    </w:p>
  </w:footnote>
  <w:footnote w:type="continuationSeparator" w:id="0">
    <w:p w:rsidR="00C052FA" w:rsidRDefault="00C05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964" w:rsidRDefault="00C052FA">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sidR="00D56501">
      <w:rPr>
        <w:color w:val="000000"/>
      </w:rPr>
      <w:fldChar w:fldCharType="separate"/>
    </w:r>
    <w:r w:rsidR="003B0BF6">
      <w:rPr>
        <w:noProof/>
        <w:color w:val="000000"/>
      </w:rPr>
      <w:t>1</w:t>
    </w:r>
    <w:r>
      <w:rPr>
        <w:color w:val="000000"/>
      </w:rPr>
      <w:fldChar w:fldCharType="end"/>
    </w:r>
  </w:p>
  <w:p w:rsidR="005D4964" w:rsidRDefault="005D4964">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964"/>
    <w:rsid w:val="002E7DEA"/>
    <w:rsid w:val="003B0BF6"/>
    <w:rsid w:val="005D4964"/>
    <w:rsid w:val="00C052FA"/>
    <w:rsid w:val="00D56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61CD1"/>
  <w15:docId w15:val="{2BD647A7-6E78-4A69-93DC-AA50B799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n-US" w:bidi="ar-SA"/>
      </w:rPr>
    </w:rPrDefault>
    <w:pPrDefault>
      <w:pPr>
        <w:spacing w:after="160" w:line="360" w:lineRule="auto"/>
        <w:ind w:left="397"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FD"/>
  </w:style>
  <w:style w:type="paragraph" w:styleId="Ttulo1">
    <w:name w:val="heading 1"/>
    <w:basedOn w:val="Normal"/>
    <w:next w:val="Normal"/>
    <w:link w:val="Ttulo1Car"/>
    <w:uiPriority w:val="9"/>
    <w:qFormat/>
    <w:rsid w:val="004D6B1B"/>
    <w:pPr>
      <w:keepNext/>
      <w:keepLines/>
      <w:spacing w:before="480" w:after="480"/>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4D6B1B"/>
    <w:pPr>
      <w:keepNext/>
      <w:keepLines/>
      <w:spacing w:before="520" w:after="480"/>
      <w:outlineLvl w:val="1"/>
    </w:pPr>
    <w:rPr>
      <w:rFonts w:eastAsiaTheme="majorEastAsia" w:cstheme="majorBidi"/>
      <w:b/>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NormalTable0">
    <w:name w:val="Normal Table0"/>
    <w:tblPr>
      <w:tblCellMar>
        <w:top w:w="0" w:type="dxa"/>
        <w:left w:w="0" w:type="dxa"/>
        <w:bottom w:w="0" w:type="dxa"/>
        <w:right w:w="0" w:type="dxa"/>
      </w:tblCellMar>
    </w:tblPr>
  </w:style>
  <w:style w:type="character" w:styleId="Hipervnculo">
    <w:name w:val="Hyperlink"/>
    <w:basedOn w:val="Fuentedeprrafopredeter"/>
    <w:uiPriority w:val="99"/>
    <w:unhideWhenUsed/>
    <w:rsid w:val="00D07C04"/>
    <w:rPr>
      <w:color w:val="0563C1" w:themeColor="hyperlink"/>
      <w:u w:val="single"/>
    </w:rPr>
  </w:style>
  <w:style w:type="paragraph" w:customStyle="1" w:styleId="referenciasAPA">
    <w:name w:val="referencias APA"/>
    <w:basedOn w:val="Normal"/>
    <w:link w:val="referenciasAPACar"/>
    <w:qFormat/>
    <w:rsid w:val="00D07C04"/>
    <w:pPr>
      <w:spacing w:after="100" w:afterAutospacing="1"/>
      <w:ind w:left="425" w:hanging="425"/>
      <w:jc w:val="both"/>
    </w:pPr>
  </w:style>
  <w:style w:type="character" w:customStyle="1" w:styleId="referenciasAPACar">
    <w:name w:val="referencias APA Car"/>
    <w:basedOn w:val="Fuentedeprrafopredeter"/>
    <w:link w:val="referenciasAPA"/>
    <w:rsid w:val="00D07C04"/>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D07C04"/>
    <w:rPr>
      <w:sz w:val="16"/>
      <w:szCs w:val="16"/>
    </w:rPr>
  </w:style>
  <w:style w:type="paragraph" w:styleId="Textocomentario">
    <w:name w:val="annotation text"/>
    <w:basedOn w:val="Normal"/>
    <w:link w:val="TextocomentarioCar"/>
    <w:uiPriority w:val="99"/>
    <w:semiHidden/>
    <w:unhideWhenUsed/>
    <w:rsid w:val="00D07C0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07C04"/>
    <w:rPr>
      <w:rFonts w:ascii="Times New Roman" w:hAnsi="Times New Roman"/>
      <w:sz w:val="20"/>
      <w:szCs w:val="20"/>
    </w:rPr>
  </w:style>
  <w:style w:type="paragraph" w:styleId="Textodeglobo">
    <w:name w:val="Balloon Text"/>
    <w:basedOn w:val="Normal"/>
    <w:link w:val="TextodegloboCar"/>
    <w:uiPriority w:val="99"/>
    <w:semiHidden/>
    <w:unhideWhenUsed/>
    <w:rsid w:val="00D07C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7C04"/>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D731F8"/>
    <w:rPr>
      <w:b/>
      <w:bCs/>
    </w:rPr>
  </w:style>
  <w:style w:type="character" w:customStyle="1" w:styleId="AsuntodelcomentarioCar">
    <w:name w:val="Asunto del comentario Car"/>
    <w:basedOn w:val="TextocomentarioCar"/>
    <w:link w:val="Asuntodelcomentario"/>
    <w:uiPriority w:val="99"/>
    <w:semiHidden/>
    <w:rsid w:val="00D731F8"/>
    <w:rPr>
      <w:rFonts w:ascii="Times New Roman" w:hAnsi="Times New Roman"/>
      <w:b/>
      <w:bCs/>
      <w:sz w:val="20"/>
      <w:szCs w:val="20"/>
    </w:rPr>
  </w:style>
  <w:style w:type="character" w:customStyle="1" w:styleId="preflabel">
    <w:name w:val="preflabel"/>
    <w:basedOn w:val="Fuentedeprrafopredeter"/>
    <w:rsid w:val="00D731F8"/>
  </w:style>
  <w:style w:type="character" w:customStyle="1" w:styleId="Mencinsinresolver1">
    <w:name w:val="Mención sin resolver1"/>
    <w:basedOn w:val="Fuentedeprrafopredeter"/>
    <w:uiPriority w:val="99"/>
    <w:semiHidden/>
    <w:unhideWhenUsed/>
    <w:rsid w:val="00717899"/>
    <w:rPr>
      <w:color w:val="605E5C"/>
      <w:shd w:val="clear" w:color="auto" w:fill="E1DFDD"/>
    </w:rPr>
  </w:style>
  <w:style w:type="paragraph" w:styleId="Prrafodelista">
    <w:name w:val="List Paragraph"/>
    <w:basedOn w:val="Normal"/>
    <w:uiPriority w:val="34"/>
    <w:qFormat/>
    <w:rsid w:val="00014DA0"/>
    <w:pPr>
      <w:ind w:left="720"/>
      <w:contextualSpacing/>
    </w:pPr>
  </w:style>
  <w:style w:type="table" w:styleId="Tablaconcuadrcula">
    <w:name w:val="Table Grid"/>
    <w:basedOn w:val="Tablanormal"/>
    <w:uiPriority w:val="39"/>
    <w:rsid w:val="00D46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C20B76"/>
    <w:rPr>
      <w:color w:val="808080"/>
    </w:rPr>
  </w:style>
  <w:style w:type="paragraph" w:styleId="Descripcin">
    <w:name w:val="caption"/>
    <w:basedOn w:val="Normal"/>
    <w:next w:val="Normal"/>
    <w:uiPriority w:val="35"/>
    <w:unhideWhenUsed/>
    <w:qFormat/>
    <w:rsid w:val="00F128DE"/>
    <w:pPr>
      <w:spacing w:after="200" w:line="240" w:lineRule="auto"/>
    </w:pPr>
    <w:rPr>
      <w:i/>
      <w:iCs/>
      <w:color w:val="44546A" w:themeColor="text2"/>
      <w:sz w:val="18"/>
      <w:szCs w:val="18"/>
    </w:rPr>
  </w:style>
  <w:style w:type="paragraph" w:styleId="Encabezado">
    <w:name w:val="header"/>
    <w:basedOn w:val="Normal"/>
    <w:link w:val="EncabezadoCar"/>
    <w:uiPriority w:val="99"/>
    <w:unhideWhenUsed/>
    <w:rsid w:val="00671D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1D94"/>
    <w:rPr>
      <w:rFonts w:ascii="Times New Roman" w:hAnsi="Times New Roman"/>
      <w:sz w:val="24"/>
    </w:rPr>
  </w:style>
  <w:style w:type="paragraph" w:styleId="Piedepgina">
    <w:name w:val="footer"/>
    <w:basedOn w:val="Normal"/>
    <w:link w:val="PiedepginaCar"/>
    <w:uiPriority w:val="99"/>
    <w:unhideWhenUsed/>
    <w:rsid w:val="00671D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1D94"/>
    <w:rPr>
      <w:rFonts w:ascii="Times New Roman" w:hAnsi="Times New Roman"/>
      <w:sz w:val="24"/>
    </w:rPr>
  </w:style>
  <w:style w:type="character" w:customStyle="1" w:styleId="Mencinsinresolver2">
    <w:name w:val="Mención sin resolver2"/>
    <w:basedOn w:val="Fuentedeprrafopredeter"/>
    <w:uiPriority w:val="99"/>
    <w:semiHidden/>
    <w:unhideWhenUsed/>
    <w:rsid w:val="00B00220"/>
    <w:rPr>
      <w:color w:val="605E5C"/>
      <w:shd w:val="clear" w:color="auto" w:fill="E1DFDD"/>
    </w:rPr>
  </w:style>
  <w:style w:type="character" w:customStyle="1" w:styleId="jsgrdq">
    <w:name w:val="jsgrdq"/>
    <w:basedOn w:val="Fuentedeprrafopredeter"/>
    <w:rsid w:val="00A40563"/>
  </w:style>
  <w:style w:type="paragraph" w:styleId="TDC1">
    <w:name w:val="toc 1"/>
    <w:basedOn w:val="Normal"/>
    <w:next w:val="Normal"/>
    <w:autoRedefine/>
    <w:uiPriority w:val="39"/>
    <w:unhideWhenUsed/>
    <w:rsid w:val="00DB1F76"/>
    <w:pPr>
      <w:spacing w:after="100" w:line="276" w:lineRule="auto"/>
      <w:ind w:left="0" w:firstLine="0"/>
    </w:pPr>
    <w:rPr>
      <w:rFonts w:asciiTheme="minorHAnsi" w:eastAsiaTheme="minorEastAsia" w:hAnsiTheme="minorHAnsi"/>
      <w:sz w:val="22"/>
      <w:lang w:val="es-MX" w:eastAsia="es-MX"/>
    </w:rPr>
  </w:style>
  <w:style w:type="paragraph" w:styleId="TDC2">
    <w:name w:val="toc 2"/>
    <w:basedOn w:val="Normal"/>
    <w:next w:val="Normal"/>
    <w:autoRedefine/>
    <w:uiPriority w:val="39"/>
    <w:unhideWhenUsed/>
    <w:rsid w:val="00DB1F76"/>
    <w:pPr>
      <w:spacing w:after="100" w:line="276" w:lineRule="auto"/>
      <w:ind w:left="220" w:firstLine="0"/>
    </w:pPr>
    <w:rPr>
      <w:rFonts w:asciiTheme="minorHAnsi" w:eastAsiaTheme="minorEastAsia" w:hAnsiTheme="minorHAnsi"/>
      <w:sz w:val="22"/>
      <w:lang w:val="es-MX" w:eastAsia="es-MX"/>
    </w:rPr>
  </w:style>
  <w:style w:type="paragraph" w:styleId="TDC3">
    <w:name w:val="toc 3"/>
    <w:basedOn w:val="Normal"/>
    <w:next w:val="Normal"/>
    <w:autoRedefine/>
    <w:uiPriority w:val="39"/>
    <w:semiHidden/>
    <w:unhideWhenUsed/>
    <w:rsid w:val="00DB1F76"/>
    <w:pPr>
      <w:spacing w:after="100" w:line="276" w:lineRule="auto"/>
      <w:ind w:left="440" w:firstLine="0"/>
    </w:pPr>
    <w:rPr>
      <w:rFonts w:asciiTheme="minorHAnsi" w:eastAsiaTheme="minorEastAsia" w:hAnsiTheme="minorHAnsi"/>
      <w:sz w:val="22"/>
      <w:lang w:val="es-MX" w:eastAsia="es-MX"/>
    </w:rPr>
  </w:style>
  <w:style w:type="character" w:customStyle="1" w:styleId="Ttulo1Car">
    <w:name w:val="Título 1 Car"/>
    <w:basedOn w:val="Fuentedeprrafopredeter"/>
    <w:link w:val="Ttulo1"/>
    <w:uiPriority w:val="9"/>
    <w:rsid w:val="004D6B1B"/>
    <w:rPr>
      <w:rFonts w:ascii="Times New Roman" w:eastAsiaTheme="majorEastAsia" w:hAnsi="Times New Roman" w:cstheme="majorBidi"/>
      <w:b/>
      <w:sz w:val="24"/>
      <w:szCs w:val="32"/>
    </w:rPr>
  </w:style>
  <w:style w:type="paragraph" w:styleId="TtuloTDC">
    <w:name w:val="TOC Heading"/>
    <w:basedOn w:val="Ttulo1"/>
    <w:next w:val="Normal"/>
    <w:uiPriority w:val="39"/>
    <w:unhideWhenUsed/>
    <w:qFormat/>
    <w:rsid w:val="00DB1F76"/>
    <w:pPr>
      <w:spacing w:line="276" w:lineRule="auto"/>
      <w:ind w:left="0" w:firstLine="0"/>
      <w:outlineLvl w:val="9"/>
    </w:pPr>
    <w:rPr>
      <w:b w:val="0"/>
      <w:bCs/>
      <w:sz w:val="28"/>
      <w:szCs w:val="28"/>
      <w:lang w:eastAsia="es-CO"/>
    </w:rPr>
  </w:style>
  <w:style w:type="character" w:customStyle="1" w:styleId="Ttulo2Car">
    <w:name w:val="Título 2 Car"/>
    <w:basedOn w:val="Fuentedeprrafopredeter"/>
    <w:link w:val="Ttulo2"/>
    <w:uiPriority w:val="9"/>
    <w:rsid w:val="004D6B1B"/>
    <w:rPr>
      <w:rFonts w:ascii="Times New Roman" w:eastAsiaTheme="majorEastAsia" w:hAnsi="Times New Roman" w:cstheme="majorBidi"/>
      <w:b/>
      <w:sz w:val="24"/>
      <w:szCs w:val="26"/>
    </w:rPr>
  </w:style>
  <w:style w:type="paragraph" w:styleId="Sinespaciado">
    <w:name w:val="No Spacing"/>
    <w:uiPriority w:val="1"/>
    <w:qFormat/>
    <w:rsid w:val="004D6B1B"/>
    <w:pPr>
      <w:spacing w:after="0" w:line="240" w:lineRule="auto"/>
    </w:pPr>
  </w:style>
  <w:style w:type="paragraph" w:styleId="Tabladeilustraciones">
    <w:name w:val="table of figures"/>
    <w:basedOn w:val="Normal"/>
    <w:next w:val="Normal"/>
    <w:uiPriority w:val="99"/>
    <w:unhideWhenUsed/>
    <w:rsid w:val="006878FF"/>
    <w:pPr>
      <w:spacing w:after="0"/>
      <w:ind w:left="0"/>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815B85"/>
    <w:pPr>
      <w:spacing w:before="100" w:beforeAutospacing="1" w:after="100" w:afterAutospacing="1" w:line="240" w:lineRule="auto"/>
      <w:ind w:left="0" w:firstLine="0"/>
    </w:pPr>
    <w:rPr>
      <w:lang w:val="es-ES"/>
    </w:rPr>
  </w:style>
  <w:style w:type="character" w:styleId="Textoennegrita">
    <w:name w:val="Strong"/>
    <w:basedOn w:val="Fuentedeprrafopredeter"/>
    <w:uiPriority w:val="22"/>
    <w:qFormat/>
    <w:rsid w:val="00815B85"/>
    <w:rPr>
      <w:b/>
      <w:bCs/>
    </w:rPr>
  </w:style>
  <w:style w:type="character" w:styleId="Hipervnculovisitado">
    <w:name w:val="FollowedHyperlink"/>
    <w:basedOn w:val="Fuentedeprrafopredeter"/>
    <w:uiPriority w:val="99"/>
    <w:semiHidden/>
    <w:unhideWhenUsed/>
    <w:rsid w:val="0037313A"/>
    <w:rPr>
      <w:color w:val="954F72" w:themeColor="followedHyperlink"/>
      <w:u w:val="single"/>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styleId="Tablanormal2">
    <w:name w:val="Plain Table 2"/>
    <w:basedOn w:val="Tablanormal"/>
    <w:uiPriority w:val="42"/>
    <w:rsid w:val="00A1173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ebcache.googleusercontent.com/search?q=cache:Jp6gRgV2CAoJ:https://revistas.urosario.edu.co/index.php/apl/article/download/4454/3939%253B+&amp;cd=1&amp;hl=es-419&amp;ct=clnk&amp;gl=co" TargetMode="External"/><Relationship Id="rId13" Type="http://schemas.openxmlformats.org/officeDocument/2006/relationships/hyperlink" Target="https://www.redalyc.org/articulo.oa?id=4596/459645433002" TargetMode="External"/><Relationship Id="rId18" Type="http://schemas.openxmlformats.org/officeDocument/2006/relationships/hyperlink" Target="http://biblioteca.puntoedu.edu.ar/bitstream/handle/2133/18298/coping-coronavirus-covid-19-americas-mental-health.pdf?sequence=3&amp;isAllowed=y" TargetMode="External"/><Relationship Id="rId26" Type="http://schemas.openxmlformats.org/officeDocument/2006/relationships/hyperlink" Target="https://www.minsalud.gov.co/sites/rid/Lists/BibliotecaDigital/RIDE/VS/PP/ET/abece-coronavirus.pdf" TargetMode="External"/><Relationship Id="rId39" Type="http://schemas.openxmlformats.org/officeDocument/2006/relationships/hyperlink" Target="http://portal.unesco.org/en/ev.php-URL_ID=31058&amp;URL_DO=DO_TOPIC&amp;URL_SECTION=201.html" TargetMode="External"/><Relationship Id="rId3" Type="http://schemas.openxmlformats.org/officeDocument/2006/relationships/settings" Target="settings.xml"/><Relationship Id="rId21" Type="http://schemas.openxmlformats.org/officeDocument/2006/relationships/hyperlink" Target="https://reunir.unir.net/bitstream/handle/123456789/2259/LucasSanchez.pdf?sequence=1&amp;isAllowed=y" TargetMode="External"/><Relationship Id="rId34" Type="http://schemas.openxmlformats.org/officeDocument/2006/relationships/hyperlink" Target="https://www.researchgate.net/publication/342298891_EFECTOS_DEL_AISLAMIENTO_SOCIAL_EN_EL_SUENO_DURANTE_LA_PANDEMIA_COVID-19" TargetMode="External"/><Relationship Id="rId42" Type="http://schemas.openxmlformats.org/officeDocument/2006/relationships/hyperlink" Target="https://espanol.womenshealth.gov/mental-health/good-mental-health/stress-and-your-health" TargetMode="External"/><Relationship Id="rId47" Type="http://schemas.openxmlformats.org/officeDocument/2006/relationships/theme" Target="theme/theme1.xml"/><Relationship Id="rId7" Type="http://schemas.openxmlformats.org/officeDocument/2006/relationships/hyperlink" Target="https://pubmed.ncbi.nlm.nih.gov/?term=Kesed%C5%BEi%C4%87+I&amp;cauthor_id=32303026" TargetMode="External"/><Relationship Id="rId12" Type="http://schemas.openxmlformats.org/officeDocument/2006/relationships/hyperlink" Target="https://www.gitanos.org/publicaciones/guiapromocionmujeres/pdf/04.pdf" TargetMode="External"/><Relationship Id="rId17" Type="http://schemas.openxmlformats.org/officeDocument/2006/relationships/hyperlink" Target="https://www.gacetamedicademexico.com/portadas/gmm_20_156_4.pdf" TargetMode="External"/><Relationship Id="rId25" Type="http://schemas.openxmlformats.org/officeDocument/2006/relationships/hyperlink" Target="https://www.minsalud.gov.co/Normatividad_Nuevo/Resoluci%C3%B3n%20No.%204886%20de%202018.pdf" TargetMode="External"/><Relationship Id="rId33" Type="http://schemas.openxmlformats.org/officeDocument/2006/relationships/hyperlink" Target="https://preprints.scielo.org/index.php/scielo/preprint/download/303/358" TargetMode="External"/><Relationship Id="rId38" Type="http://schemas.openxmlformats.org/officeDocument/2006/relationships/hyperlink" Target="http://www.psychiatria-danubina.com/UserDocsImages/pdf/dnb_vol32_no1/dnb_vol32_no1_25.pdf"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lobalfutureofwork.com/wp-content/uploads/2020/05/POST_27_05_es_Covid-19-estres.pdf" TargetMode="External"/><Relationship Id="rId20" Type="http://schemas.openxmlformats.org/officeDocument/2006/relationships/hyperlink" Target="https://rpmesp.ins.gob.pe/index.php/rpmesp/article/view/5419/3537" TargetMode="External"/><Relationship Id="rId29" Type="http://schemas.openxmlformats.org/officeDocument/2006/relationships/hyperlink" Target="https://doi.org/10.34172/aim.2020.76" TargetMode="External"/><Relationship Id="rId41" Type="http://schemas.openxmlformats.org/officeDocument/2006/relationships/hyperlink" Target="https://doi.org/10.1016/j.bbi.2020.05.04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institucional.us.es/revistas/cuestiones/26/03.%20MO%2003_26%20DEFINITIVO.pdf" TargetMode="External"/><Relationship Id="rId24" Type="http://schemas.openxmlformats.org/officeDocument/2006/relationships/hyperlink" Target="https://www.minsalud.gov.co/sites/rid/Lists/BibliotecaDigital/RIDE/DE/DIJ/RESOLUCION-8430-DE-1993.PDF" TargetMode="External"/><Relationship Id="rId32" Type="http://schemas.openxmlformats.org/officeDocument/2006/relationships/hyperlink" Target="https://preprints.scielo.org/index.php/scielo/preprint/download/303/358" TargetMode="External"/><Relationship Id="rId37" Type="http://schemas.openxmlformats.org/officeDocument/2006/relationships/hyperlink" Target="https://onlinelibrary.wiley.com/doi/epdf/10.1002/da.23071" TargetMode="External"/><Relationship Id="rId40" Type="http://schemas.openxmlformats.org/officeDocument/2006/relationships/hyperlink" Target="https://doi.org/10.17081/psico.21.40.3082"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ecretariasenado.gov.co/senado/basedoc/ley_1090_2006.html" TargetMode="External"/><Relationship Id="rId23" Type="http://schemas.openxmlformats.org/officeDocument/2006/relationships/hyperlink" Target="https://wsp.presidencia.gov.co/Normativa/Decretos/2013/Documents/JUNIO/27/DECRETO%201377%20DEL%2027%20DE%20JUNIO%20DE%202013.pdf" TargetMode="External"/><Relationship Id="rId28" Type="http://schemas.openxmlformats.org/officeDocument/2006/relationships/hyperlink" Target="https://www.minsalud.gov.co/sites/rid/Lists/BibliotecaDigital/RIDE/VS/PP/lineamientos-cuidado-sm-personas-covid-19.pdf" TargetMode="External"/><Relationship Id="rId36" Type="http://schemas.openxmlformats.org/officeDocument/2006/relationships/hyperlink" Target="https://www.apsa.org.ar/docs/sueniosaludable.pdf" TargetMode="External"/><Relationship Id="rId10" Type="http://schemas.openxmlformats.org/officeDocument/2006/relationships/hyperlink" Target="https://doi.org/10.1080/15325024.2020.1769300" TargetMode="External"/><Relationship Id="rId19" Type="http://schemas.openxmlformats.org/officeDocument/2006/relationships/hyperlink" Target="https://www.aarp.org/espanol/salud/vida-saludable/info-2020/encontrar-la-felicidad-en-tiempos-dificiles.html" TargetMode="External"/><Relationship Id="rId31" Type="http://schemas.openxmlformats.org/officeDocument/2006/relationships/hyperlink" Target="https://www.who.int/es/health-topics/coronavirus"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cielo.conicyt.cl/pdf/rcp/v91n7/0370-4106-rcp-01008.pdf" TargetMode="External"/><Relationship Id="rId14" Type="http://schemas.openxmlformats.org/officeDocument/2006/relationships/hyperlink" Target="https://doi.org/10.1016/S0140-6736(20)30460-8" TargetMode="External"/><Relationship Id="rId22" Type="http://schemas.openxmlformats.org/officeDocument/2006/relationships/hyperlink" Target="https://doi.org/10.22267/rus.202202.188" TargetMode="External"/><Relationship Id="rId27" Type="http://schemas.openxmlformats.org/officeDocument/2006/relationships/hyperlink" Target="https://www.mscbs.gob.es/profesionales/saludPublica/ccayes/alertasActual/nCov/documentos/ITCoronavirus.pdf" TargetMode="External"/><Relationship Id="rId30" Type="http://schemas.openxmlformats.org/officeDocument/2006/relationships/hyperlink" Target="https://dialnet.unirioja.es/servlet/articulo?codigo=7523185" TargetMode="External"/><Relationship Id="rId35" Type="http://schemas.openxmlformats.org/officeDocument/2006/relationships/hyperlink" Target="https://www.sciencedirect.com/science/article/pii/S0009739X20301172" TargetMode="External"/><Relationship Id="rId43" Type="http://schemas.openxmlformats.org/officeDocument/2006/relationships/hyperlink" Target="https://www.wma.net/policies-post/wma-declaration-of-helsinki-ethical-principles-for-medical-research-involving-human-subject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YIE0NybrSvvDabzcmBqnCjfGMA==">AMUW2mX3z53U1o5oKtEKbht9/FkldtpHK5JzSErqDWS2TFptAho8DhxBBTQErV/kRUf191fIPO+vyWYFLQbazfUhCUXSqLIJk3wkU4ICc0BRp4CCc3J4e5U4ZdzThJcZeFTjUw0gHsBaTUtjT2Bvg5/YxhSBp+xmBZAB6sirgYO+zNjXkyzxkC6EQF3CmXBek7msdJCMuJOwqCTH+l1kTt2o/V+bOvLxhbANzeelNMAMqtOuUYwDocFBnXCMOG3ABpgzBMcAXvJ+cNglRKFD+Ba6VRKz2Cj+T+tPFRmAO+shZ7IPuLdM3sfAY5a4b4sZMBOO7yRHI729xHINyebMqlNwaqjJMDrvTaJYkJBonanUGk4WKDnvzTXGclrjvFjTH/z/ghk++ooJKbyF7YYolicqN76CnHyrcJIbMAEpFpgrwZ2CNnsL32+8TPl8+lfc04mQ2bAI4/6HApQEvgsnUhr7Cj4EMGW9Sy/LvVUD8dK/11Gj12J3WaU5nlgpBehmXMT9uyIf1Nhy/S/MLf//9qwoJm19BVGQZ6WUxkQpLW/bmr0sk3aPMF5P44q7I8TuV28izI/XFW8/PGqmVEirCZCY0zyhBzQCuqcqZ1Q4AglPfDwT4e9TMmM4WBLW8NfNAKLlx9Hs4R0p8F991O1qJw1sscGUzkoyaj3Vvp1ys6bDBx6MWFH1/IBPUGKC5TQ6bUmtOuOqy6jP9Jh0hJ7zkII6S610Whzs3FzTH4GaZmLQezCiNayOLlt3jsCSuLhfi5OFRt4VzSup8zeVQ09176JBY7GTdI/orQ3hgQCwugVlCrMcylfQlIjKgvjB6Y0zR0kvOLhtcEVEalK0SB7ZYzQo+FqJkx/7yyMWdNSZx1VgJPp11w6IjmkuUfTIF3MEGlMOZ6o3XVRhytvR2RvuphaPiiVBo5UwSmHvXja5Vf2HpjzaSiAec6mKx7NGH4lfw/gfIP53FjCTFY7xhiPWT0oTFf8qyCvxgRqxxuYwBhaqrpmTTKhvt2lmiP71G1R8RvfsSh4R5RZYuRaK+DhWUcQ8/Ao6s9ylWXupwoiCU29NEdcMxMNqQ0fR8EcozfYDsMMR49kam+TVX9X5NO8pUUWEvi1edKX84j3O+w0jfdT38IeQ3QtfOXuCernfrMNxQoO/A0xh7IEPi2W54ySP0T3yDsLHv83G/SpfpJuwQZCpRSU110xKT+uRmIYtDxUN0xD2gMOM2MzrRfcK2r4IWmxmtq2GrkyuEb7INjLva4Q80t8vbqyjYR+uk/N1DIumFvapwj66qzasshinH04qnT89qZCgHSfon9TSFzjKBYXjLHumaSpnBwmg41ZHgPWY6BYQUKQOturSD14mipy+8WOn7Vs2BivS05M1b/PLWyDg/DLxZIvirRCLDJrBqcqRp3nmfNNGHJulsvzgTYKQn+3S+Qe282crvO0vM2cgGVUnfNj1V35SleAGTTyTfOsdsMQUn26CtzyXDzLfa4MkxQhOaBQZD2Gi/jz8ejjq82UpmqBJ0hVMjUtTBeoImEDPUyLapVMMEafhwS2MFNWWki/hKfYShq7eS6LALrNfQP9Ld7UpMJzhVI80YjXKVK7u3kHrBNhy12NpbPNgjpyKGwxq59qIckxgVVLt96EIVAdNKhxP9kFReejPKomQrQkkmBa9+NCcmopdI+UQXGpqJFGZpQS+gpEtOa4wUf5Dd+OPoJxNDwi2Kn+e9xp+KTmKWA4wk1UaVUMbsIeDj3Yjc7Mhoajsp2zc7SmKyo2lkEOn45d7IDQD1mFSZSJYhNZXHrfJa5WAlV++iw4YjMRmP7cA+ZKZ1jfLrQ37LMw0SXivnIOujN6XP5qM0pqrwsdHWJysRWjY8WPQqyj/9C16f7eua7iIv+9/px9stpagQYdGo5iDRxAT5qp5kqNpESoMrTWiVBOyrPdXRqntsrPuDTHN/xoiqrJn+0jQaNgTj/0z8w3RK7+66h7FTFsCTVMYDRrk+BThxx8NvSf/dzGcT4hDND6/VaGg44df7YpqyRMkhAUNBDXmQKKmjbopniLIiHA23B6tcpfzBMqmmdZllVSfvsUd/2Jimw/FaVmTulYwidgJw7nsW1rLLTM9l587htQINAWNmKhRaH7LsdoR2cy6J8bvdOUKr0JT8xURpki3KNX77LobZhAOM+G6pKnYnysmnn1qfliDF5g5JOycCfWDgW5+eKaOoWVYSNmnaW/WKxtuDk+PKG59w11Gt6zOYnRm2XYR0fPnLw/NSHbFw2G2qrxKV5kQK6vSA0hoeRKgQ1a9CXMxHOg64A7nhT4YNgsgL7o5Gs0qQICnThHeS7wB1aVEDgdfojO/6FKAv4Ou62lkA/oabmhYIgYaYepkZbt1ndpvC3aE9E77u6qyY0sw+ZE9AH0L3pcAcUy2r2W+1I3bC12CH2Qhd43JRVwLvkeigVPM7BOWJzmfw0d20tJchorCS8BRJReFWz+Cev5Wh4J1e+VLAWU6bTb9goyn++TjrP6gOp5JjGmIL1ZhNF2JzUvogPsC9YVnXZ8Tc0pZUKpOQsbQ6GPOAJd3UMHdLbHsnOWV6Wy9g2BgL4ISwnnlZ2Zo0iw8XqFcE/kEh0z9FmkkGXfzFXtnGEjVMXHKUFzBOBilpOu+ERK49a55paVHI2fS42TfmVqiVz1C8cKWI38Yg1zz/3UiImUWL0WirdzH6AMR7vnUiJwZgtRFXMOrOZNiIo9wwu+Ey3UbOFrbbr50BiNWnpZuQyioDfsS9Ec4D2EXj5OuqPtEilzMcwWRkb9HBdXKE5Khn3UlfVRJPyNQHGcICnVhIa4eTFnGi6OdwXuNfTVjDmdzHRh8NQJt59NrOcMjoM5wpPli4SNuWuy3RnnJxrMimfQ5ewBld2Tk/7X7W1opvZGSI8lIyaOhmnKxixrtdIcYKZj3T9gRcS35LGF+gFMAb8h99i2yg3XvLa4PtpMRAifWsgprMYYvhlChwNlaefSoGKfILUK18UqiNLYAP9amPsy5QgT4MmB+Z8esBrPt/nEY+OI/hldoItkzRsJuImMyndnfoulGC2xDPnZKUC5TS8dJ0vh/2BUwDr+MpYYfqKVUqfAXKX+Azw3Lgw1NJBBA+yHuuuQDV5itakhbGBmcqm+MWVNGeKGIraNxK//lsftGBuZkL7z0tsjpcFU4ZCsMmwgql/u6MAZrQuYceidmkXXnaTBtHf+XEqpK/+gM4xu87DQNq6N4i6ANHdndhnVFMu3PmS2dh1WTrAXU9Vzn6I84zqX8IxPTv+mxMcVzMOBYe40/a00tDHuy4Dg9Bj5HeE4HltB1V4vJf2iL/lN1CLltJa1rDZX5Lbzlecs+oXeVZXUoExTh7oEBRBgAQJX0Fk7oGQQBbjtx2X7l/wiq7WcopPSjBJ2a9jrxTk38I850JjX1vDZkDKvJM//wWTYMT9eGrlNAEqtVRbt6/epQ1Kcrj64+CDb28/JM7CAeYItYXzGqf++xgrBUG2gj8NUHCT+O6AkTcL4DTp2cOal4nhBotmd/RU0rogvYGmqZ7toivvENnJunMdyye6PFp/TaOAp1mX7eXdC5x9uXDHteeZ5a/IzEaJYWOtlYg+LtIPw9FHWZVgKJfup9PBczxVCA2kHEyrYiQ3YJ4GEtnFOJWjaF6OtsKtxdU+hA6ufp3OgdUCrgjtjCoH0aN9eOJhKItsphxd2wZogDOjMr9V+SJsTaSAin0m+W59v/c6syBEUk6hzKAkiMfdUJGehGdL33QWSpaMDdunYwnBHwrt4Vnwq0tcAupi2do3ONWMIZ8MUcELyPumn++NnRPOer9SP0R1iNmuzp5xk2he9dhZtj0zMHk8EEYafOmZE7KvTGcFjI3YTo9j5STZgty/uzdey3v5ZQqDKKA10fJcd9cOfFNbNdOOZqtNZN8W5ObEQTWEy+lbVf72tLK2Ypdc4R83ZbkVmiH/L8MsM+kk9o7BTdnJUflkHSCOic9L8zjDGfShS1VlcuI6X4tfzlEVbEvuWKejF77O3fncCdJIi0R3hwp77MAZTYI4Skjy8R9kCx7ys9GnTyLObSjC18CkvDOY/jwRkXY3XAx5Iily9IdjrlnZeWwbkfPHmrHpu05RFm99hC3n6H9NZvqC9WgqCe+9WwwN11L4Hed/dtDrE6znCBSRk+rhj+cCIOKg3NObPGY7lzVNIDJNggD5Yza2mQ3mKyOcflaj98tsSmV8BFoAJnLwB66lpyjz0tqPiub0MLc2eYaG8sbXFlvIOCKfx5NKq2Z9t4hpHjKpYSR9wmDlZDa9q10P1va3uiw1dLPjfZBhlJK8xuARDnWhLJ8SLbD49utU8j5VnIk8D42gahcf+orGalH9byG2D9ehVxY43WHO/skC4j5rEUCmQd95V9lgMBzIYyuPS8FLK04FDQzKFQQLkC5aDx5Xw8wQUwcWmR/jbdU9y/5FKs23Zx8tMUTYNWLchPKrXNEH8WI5ejejk9LjWLxoeyJiPKginFX539A03A45nGTmhSNl4ckxLzAAMSu4PIRhFi1YXnU/WonH3mGI8g1xNOEhq/VBAWldAyUjBiTEcKkZG0ArDqACcldia+iEzqKppzuGYV29KUfbnrxkneLcWA2BrQosOR2uDDo3CEkWezUfOFWtWT/TI33QzH6ttn6PJBmhT5GB0cnSCOrScINfvRLnn7RTOFxNh0ENR5/TZKrfBKD5QmH/0rw+qdqAQKsF9E/43Nhs4+itXNyhkbCTaKfx7yCT9OZdfQR/gojMBYOHWWzJUMiWbZtwxwUEBG8Z8q5Bw2fXW46723Vh7nfUNqj4Selu17Veak1VKaZtIjVIH1/PKi17HQ7UGDREUYzQbNtZdlrTkfjR0SoNOm8+QjJvI4REF/KEqDtW50XMsyK6C8VuAlfFVYMaOZO9QyNNW1U3d2xrDvxGUP6vj+CeeZBH9DoOt4NyFfLx3rywky6uiKM+iKv/WVBQ5hFCmggxmSrMcS4urN74uen8vRcrd9f7yuxuTYNc4Lh6MghGRvbUTKce9KM1scKKrryuVW34sESQINz7KkvVhxvAHHgWRTtv4RRCmCAqmKro+QNPG3lsooE2tqAdxqEdweNbWAfqzJsxGlW8jMdGP0c3DLM1TP11ppElk/+WA3rOC8enFrMOqdBQ8LqLfaeaVdgbrCKhzOV3swsaUC134OImJgvG9tGWTyT3AvRxWQ6Pq9oBi8SQrBbg7Hxu1jRywImF0zDek/OCfU9amD1qMasS7lbF9H9OaG3icFNeI8YshjAUfpOW0qvNzctH5k1lZBcanSr9AJPlUox7XADZ0R6IJ8tKNufcpLOU4hE/W7K0zGLFbWw/ZWzgyMebVloGVX9lrIsJ2MbukJwADERI/XXSu52/PWRR02NrHM1yQhUbcXYFbSuKmH96YuB9a73rX8J6BO3KiMmt+LUtB/SR0FO0N49kCxbd76yXHEajoLIMGaOg/1VTq9ooJpQRvsWGrIA8Huq4SV6smy9ZAc7PVoRG6AYRDMeaCCKgNkIRy9DfbKbc8HzqFA42tArX1fVCBeqLSU1S/viYY7JqIQ8v7PgF/0vYMTSQ7WEmwTXM9aDnvuY1DelI5DwSJiZX//U7umM1Ldt91i4E4MOPMUtil3FrKdjuu8wFEs/mYr85SG9b8lKE0l7iDWinwfxHWzibwYSVvtdD28htn/nPcShaBlvxkwk9SG0XPdLY9DyKhTwYO9qYUxvbnS2BhXyBKmuOg+KeDkRSnOyqRX8aJfsYoyapcVmsHVjhpOVMNV9IwybXy3d3mH1hewSfLU4+QB34cMcLJ6mN89Pa0iyI8ZLUCjfA25UW17qZL+AnApqdFEfkxHaQe7TAMoZiPn9YfSObyp70vyV4f8AyBJu5E3dz9evFOWAbezvxLdIeyk9jwI5LNAw5pezYNvzNemM/X7c49yiJRMwFX7CAm2+s7W+LdAeAYKG8xacVfPZHPuEuuMFPtWItDdQFcs2Buj1yOY6so+Lr904pNODuJijzF3uJdHtuEpy4bSbknIYGocJUn1YliEMO2zEILRdi0Q7pJ+dzbV34G7cr67qnoQUXgXADhTLQT+bXXt5MpyXdRFHQX8dYFhB2sGuNdh/SIuA67wNl4JH6lOFjSjuLg/3IyGUxGMqOg/L8waV9hTalMz1oQ6dqqfhUvj1Bshz29u48uujrow+SFizYWaWDUvJMcsgQ9yJyVzx2Z2PfEhm4fGXVoYcGtutRvBnUwTVr1E47L8rrG+vnpnTRxgn4ilzsOuzuZAKUleUsuOqR+EfFub5AfA7KFZEKX0AWtg9wfAZztcw17AwzvzfN2jFPMUDFFywrOEKjEgKgFA6RpynwoYQGnu9CC2fIHd0N9naFVajHrRLLb3jl5Z/1woQ0Qym3zP+fBX+hvTKr/uVhg9msJGgJOl+fNqD9PJXZca8XzmzpBb0ojNlTYu8Hj0zLJ5KzMiUO6FKegktpDYqrAemzEhVKu8dr4ZW88FLxMwaql8R3LElPKJNMavuoN7/HWfaZbSlAwdlDgh7RA62iOJOxN/ChkeMxyZb2kGao3+cuTMdTrZzAoBQtLG2fN+pqQNrPdkULsJNG2uJUOnO7MDU7LV53CG3cKeSM58BihWiIo2r5FZ9RSJzglztTv7+fnFemE2sQQzvvTVDa9t59lZA6v1deWpVyRpBEdzSS+M5VP8VxDzsbQTxtELVm+MHzFtAL16J1+oereCzP6BrzBnK/2Prd/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6143</Words>
  <Characters>35019</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ESTUDIANTES IBEROAMERICANA</dc:creator>
  <cp:lastModifiedBy>Usuario</cp:lastModifiedBy>
  <cp:revision>2</cp:revision>
  <dcterms:created xsi:type="dcterms:W3CDTF">2020-11-12T18:36:00Z</dcterms:created>
  <dcterms:modified xsi:type="dcterms:W3CDTF">2020-11-12T18:36:00Z</dcterms:modified>
</cp:coreProperties>
</file>