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17092" w14:textId="77777777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F776D">
        <w:rPr>
          <w:rFonts w:ascii="Times New Roman" w:hAnsi="Times New Roman" w:cs="Times New Roman"/>
          <w:b/>
          <w:bCs/>
          <w:sz w:val="24"/>
          <w:szCs w:val="24"/>
        </w:rPr>
        <w:t>Sex differences in alcohol and tobacco use in Ecuadorian college students</w:t>
      </w:r>
    </w:p>
    <w:p w14:paraId="4D585958" w14:textId="77777777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869AC" w14:textId="2AC233F8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7274B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Diferencias por sexo en e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l consumo de alcohol y tabaco en universitarios del Ecuador</w:t>
      </w:r>
    </w:p>
    <w:p w14:paraId="775081DD" w14:textId="6692F424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2EAD08D5" w14:textId="455F05E4" w:rsidR="00357F70" w:rsidRP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</w:pPr>
      <w:r w:rsidRPr="00357F70">
        <w:rPr>
          <w:rFonts w:ascii="Times New Roman" w:hAnsi="Times New Roman" w:cs="Times New Roman"/>
          <w:sz w:val="24"/>
          <w:szCs w:val="24"/>
          <w:lang w:val="uz-Cyrl-UZ"/>
        </w:rPr>
        <w:t>Diego Vaca-Quintana</w:t>
      </w: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1</w:t>
      </w:r>
      <w:r w:rsidRPr="00357F70">
        <w:rPr>
          <w:rFonts w:ascii="Times New Roman" w:hAnsi="Times New Roman" w:cs="Times New Roman"/>
          <w:sz w:val="24"/>
          <w:szCs w:val="24"/>
          <w:lang w:val="uz-Cyrl-UZ"/>
        </w:rPr>
        <w:t>, Christian Bassante</w:t>
      </w: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2</w:t>
      </w:r>
      <w:r w:rsidRPr="00357F70">
        <w:rPr>
          <w:rFonts w:ascii="Times New Roman" w:hAnsi="Times New Roman" w:cs="Times New Roman"/>
          <w:sz w:val="24"/>
          <w:szCs w:val="24"/>
          <w:lang w:val="uz-Cyrl-UZ"/>
        </w:rPr>
        <w:t>, Rodrigo Moreta-Herrera</w:t>
      </w: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2, 3</w:t>
      </w:r>
      <w:r w:rsidRPr="00357F70">
        <w:rPr>
          <w:rFonts w:ascii="Times New Roman" w:hAnsi="Times New Roman" w:cs="Times New Roman"/>
          <w:sz w:val="24"/>
          <w:szCs w:val="24"/>
          <w:lang w:val="uz-Cyrl-UZ"/>
        </w:rPr>
        <w:t>, Marie-France Merlyn-Sacoto</w:t>
      </w: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2</w:t>
      </w:r>
      <w:r w:rsidRPr="00357F70">
        <w:rPr>
          <w:rFonts w:ascii="Times New Roman" w:hAnsi="Times New Roman" w:cs="Times New Roman"/>
          <w:sz w:val="24"/>
          <w:szCs w:val="24"/>
          <w:lang w:val="uz-Cyrl-UZ"/>
        </w:rPr>
        <w:t>, Carlos L</w:t>
      </w:r>
      <w:r>
        <w:rPr>
          <w:rFonts w:ascii="Times New Roman" w:hAnsi="Times New Roman" w:cs="Times New Roman"/>
          <w:sz w:val="24"/>
          <w:szCs w:val="24"/>
          <w:lang w:val="uz-Cyrl-UZ"/>
        </w:rPr>
        <w:t>ó</w:t>
      </w:r>
      <w:r w:rsidRPr="00357F70">
        <w:rPr>
          <w:rFonts w:ascii="Times New Roman" w:hAnsi="Times New Roman" w:cs="Times New Roman"/>
          <w:sz w:val="24"/>
          <w:szCs w:val="24"/>
          <w:lang w:val="uz-Cyrl-UZ"/>
        </w:rPr>
        <w:t>pez-Barrionuevo</w:t>
      </w: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4</w:t>
      </w:r>
      <w:r w:rsidRPr="00357F70">
        <w:rPr>
          <w:rFonts w:ascii="Times New Roman" w:hAnsi="Times New Roman" w:cs="Times New Roman"/>
          <w:sz w:val="24"/>
          <w:szCs w:val="24"/>
          <w:lang w:val="uz-Cyrl-UZ"/>
        </w:rPr>
        <w:t xml:space="preserve"> &amp; Belén Porras</w:t>
      </w: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5</w:t>
      </w:r>
    </w:p>
    <w:p w14:paraId="3A18E0F1" w14:textId="677A616E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5CF897AB" w14:textId="1ABEC192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1</w:t>
      </w:r>
      <w:r>
        <w:rPr>
          <w:rFonts w:ascii="Times New Roman" w:hAnsi="Times New Roman" w:cs="Times New Roman"/>
          <w:sz w:val="24"/>
          <w:szCs w:val="24"/>
          <w:lang w:val="uz-Cyrl-UZ"/>
        </w:rPr>
        <w:t>Universidad Tecnológica Indoamérica, Ecuador</w:t>
      </w:r>
    </w:p>
    <w:p w14:paraId="2314B9E9" w14:textId="648CA0E5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2</w:t>
      </w:r>
      <w:r>
        <w:rPr>
          <w:rFonts w:ascii="Times New Roman" w:hAnsi="Times New Roman" w:cs="Times New Roman"/>
          <w:sz w:val="24"/>
          <w:szCs w:val="24"/>
          <w:lang w:val="uz-Cyrl-UZ"/>
        </w:rPr>
        <w:t>Pontificia Universidad Católica del Ecuador</w:t>
      </w:r>
    </w:p>
    <w:p w14:paraId="02054A83" w14:textId="1A91ED3A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3</w:t>
      </w:r>
      <w:r>
        <w:rPr>
          <w:rFonts w:ascii="Times New Roman" w:hAnsi="Times New Roman" w:cs="Times New Roman"/>
          <w:sz w:val="24"/>
          <w:szCs w:val="24"/>
          <w:lang w:val="uz-Cyrl-UZ"/>
        </w:rPr>
        <w:t>Universitat de Girona, España</w:t>
      </w:r>
    </w:p>
    <w:p w14:paraId="136C4762" w14:textId="77777777" w:rsid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4</w:t>
      </w:r>
      <w:r>
        <w:rPr>
          <w:rFonts w:ascii="Times New Roman" w:hAnsi="Times New Roman" w:cs="Times New Roman"/>
          <w:sz w:val="24"/>
          <w:szCs w:val="24"/>
          <w:lang w:val="uz-Cyrl-UZ"/>
        </w:rPr>
        <w:t>Universidad Regional Autónoma de los Andes, Ecuador</w:t>
      </w:r>
    </w:p>
    <w:p w14:paraId="11961658" w14:textId="2D1EABB5" w:rsidR="00357F70" w:rsidRPr="00357F70" w:rsidRDefault="00357F70" w:rsidP="008A641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357F70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5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Universidad </w:t>
      </w:r>
      <w:r w:rsidRPr="00357F70">
        <w:rPr>
          <w:rFonts w:ascii="Times New Roman" w:hAnsi="Times New Roman" w:cs="Times New Roman"/>
          <w:sz w:val="24"/>
          <w:szCs w:val="24"/>
          <w:lang w:val="uz-Cyrl-UZ"/>
        </w:rPr>
        <w:t>Internacional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de Valencia, España</w:t>
      </w:r>
    </w:p>
    <w:p w14:paraId="7A0A850F" w14:textId="77777777" w:rsidR="003B7B77" w:rsidRPr="008A6419" w:rsidRDefault="003B7B77" w:rsidP="00FF5B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218C2F3F" w14:textId="52C8DE59" w:rsidR="005661BD" w:rsidRPr="00EF776D" w:rsidRDefault="00406CDF" w:rsidP="00FF5B0E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96766CB" w14:textId="439BF57F" w:rsidR="00880C1C" w:rsidRPr="005173E8" w:rsidRDefault="005173E8" w:rsidP="00FF5B0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Background: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776D">
        <w:rPr>
          <w:rFonts w:ascii="Times New Roman" w:hAnsi="Times New Roman" w:cs="Times New Roman"/>
          <w:sz w:val="24"/>
          <w:szCs w:val="24"/>
        </w:rPr>
        <w:t xml:space="preserve">lcohol and tobacco remain the most consumed substances </w:t>
      </w:r>
      <w:r>
        <w:rPr>
          <w:rFonts w:ascii="Times New Roman" w:hAnsi="Times New Roman" w:cs="Times New Roman"/>
          <w:sz w:val="24"/>
          <w:szCs w:val="24"/>
        </w:rPr>
        <w:t xml:space="preserve">despite consequences in human health. </w:t>
      </w:r>
      <w:r w:rsidRPr="005173E8">
        <w:rPr>
          <w:rFonts w:ascii="Times New Roman" w:hAnsi="Times New Roman" w:cs="Times New Roman"/>
          <w:sz w:val="24"/>
          <w:szCs w:val="24"/>
        </w:rPr>
        <w:t>Although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3E8">
        <w:rPr>
          <w:rFonts w:ascii="Times New Roman" w:hAnsi="Times New Roman" w:cs="Times New Roman"/>
          <w:sz w:val="24"/>
          <w:szCs w:val="24"/>
        </w:rPr>
        <w:t>the National Institutes of Health (NIH) have encourage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173E8">
        <w:rPr>
          <w:rFonts w:ascii="Times New Roman" w:hAnsi="Times New Roman" w:cs="Times New Roman"/>
          <w:sz w:val="24"/>
          <w:szCs w:val="24"/>
        </w:rPr>
        <w:t xml:space="preserve"> the examination of sex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3E8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173E8">
        <w:rPr>
          <w:rFonts w:ascii="Times New Roman" w:hAnsi="Times New Roman" w:cs="Times New Roman"/>
          <w:sz w:val="24"/>
          <w:szCs w:val="24"/>
        </w:rPr>
        <w:t>way to improve scientific reproducibility</w:t>
      </w:r>
      <w:r>
        <w:rPr>
          <w:rFonts w:ascii="Times New Roman" w:hAnsi="Times New Roman" w:cs="Times New Roman"/>
          <w:sz w:val="24"/>
          <w:szCs w:val="24"/>
        </w:rPr>
        <w:t xml:space="preserve">, Ecuadorian studies regarding this topic are scarce in scientific literature.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2A7A" w:rsidRPr="00EF7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</w:t>
      </w:r>
      <w:r w:rsidR="00094BD5" w:rsidRPr="00EF776D">
        <w:rPr>
          <w:rFonts w:ascii="Times New Roman" w:hAnsi="Times New Roman" w:cs="Times New Roman"/>
          <w:sz w:val="24"/>
          <w:szCs w:val="24"/>
        </w:rPr>
        <w:t>eport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levels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sex differences, and sex as a risk factor </w:t>
      </w:r>
      <w:r w:rsidRPr="00EF776D">
        <w:rPr>
          <w:rFonts w:ascii="Times New Roman" w:hAnsi="Times New Roman" w:cs="Times New Roman"/>
          <w:sz w:val="24"/>
          <w:szCs w:val="24"/>
        </w:rPr>
        <w:t>in alcohol and tobacco consumption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 in a sample of </w:t>
      </w:r>
      <w:r w:rsidR="00FE5D3F" w:rsidRPr="00EF776D">
        <w:rPr>
          <w:rFonts w:ascii="Times New Roman" w:hAnsi="Times New Roman" w:cs="Times New Roman"/>
          <w:sz w:val="24"/>
          <w:szCs w:val="24"/>
        </w:rPr>
        <w:t>Ecuadorian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 college students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2A7A" w:rsidRPr="00EF776D">
        <w:rPr>
          <w:rFonts w:ascii="Times New Roman" w:hAnsi="Times New Roman" w:cs="Times New Roman"/>
          <w:sz w:val="24"/>
          <w:szCs w:val="24"/>
        </w:rPr>
        <w:t xml:space="preserve"> A d</w:t>
      </w:r>
      <w:r w:rsidR="00880C1C" w:rsidRPr="00EF776D">
        <w:rPr>
          <w:rFonts w:ascii="Times New Roman" w:hAnsi="Times New Roman" w:cs="Times New Roman"/>
          <w:sz w:val="24"/>
          <w:szCs w:val="24"/>
        </w:rPr>
        <w:t>escriptive</w:t>
      </w:r>
      <w:r w:rsidR="00094BD5" w:rsidRPr="00EF776D">
        <w:rPr>
          <w:rFonts w:ascii="Times New Roman" w:hAnsi="Times New Roman" w:cs="Times New Roman"/>
          <w:sz w:val="24"/>
          <w:szCs w:val="24"/>
        </w:rPr>
        <w:t xml:space="preserve"> and 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comparative study </w:t>
      </w:r>
      <w:r w:rsidR="00024601" w:rsidRPr="00EF776D">
        <w:rPr>
          <w:rFonts w:ascii="Times New Roman" w:hAnsi="Times New Roman" w:cs="Times New Roman"/>
          <w:sz w:val="24"/>
          <w:szCs w:val="24"/>
        </w:rPr>
        <w:t xml:space="preserve">applying the 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Alcohol Use Disorders Identification Test (AUDIT) and the </w:t>
      </w:r>
      <w:r w:rsidR="00FF5B0E" w:rsidRPr="00EF776D">
        <w:rPr>
          <w:rFonts w:ascii="Times New Roman" w:hAnsi="Times New Roman" w:cs="Times New Roman"/>
          <w:sz w:val="24"/>
          <w:szCs w:val="24"/>
        </w:rPr>
        <w:t>Questionnaire to Classify the Level of Tobacco Consumption in Young People</w:t>
      </w:r>
      <w:r w:rsidR="007757E8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80C1C" w:rsidRPr="00EF776D">
        <w:rPr>
          <w:rFonts w:ascii="Times New Roman" w:hAnsi="Times New Roman" w:cs="Times New Roman"/>
          <w:sz w:val="24"/>
          <w:szCs w:val="24"/>
        </w:rPr>
        <w:t>(C4)</w:t>
      </w:r>
      <w:r w:rsidR="00FE5D3F" w:rsidRPr="00EF776D">
        <w:rPr>
          <w:rFonts w:ascii="Times New Roman" w:hAnsi="Times New Roman" w:cs="Times New Roman"/>
          <w:sz w:val="24"/>
          <w:szCs w:val="24"/>
        </w:rPr>
        <w:t xml:space="preserve"> as assessment tools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Sample: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546 </w:t>
      </w:r>
      <w:r w:rsidR="00FE5D3F" w:rsidRPr="00EF776D">
        <w:rPr>
          <w:rFonts w:ascii="Times New Roman" w:hAnsi="Times New Roman" w:cs="Times New Roman"/>
          <w:sz w:val="24"/>
          <w:szCs w:val="24"/>
        </w:rPr>
        <w:t xml:space="preserve">college </w:t>
      </w:r>
      <w:r w:rsidR="00880C1C" w:rsidRPr="00EF776D">
        <w:rPr>
          <w:rFonts w:ascii="Times New Roman" w:hAnsi="Times New Roman" w:cs="Times New Roman"/>
          <w:sz w:val="24"/>
          <w:szCs w:val="24"/>
        </w:rPr>
        <w:t>students (69.1% women and 30.9% men), between 17 and 41 years old (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= 21.3 years; </w:t>
      </w:r>
      <w:r w:rsidR="002B6AFA" w:rsidRPr="00EF776D">
        <w:rPr>
          <w:rFonts w:ascii="Times New Roman" w:hAnsi="Times New Roman" w:cs="Times New Roman"/>
          <w:sz w:val="24"/>
          <w:szCs w:val="24"/>
        </w:rPr>
        <w:t>SD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= 2.6) from four 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universities located in </w:t>
      </w:r>
      <w:r w:rsidR="00880C1C" w:rsidRPr="00EF776D">
        <w:rPr>
          <w:rFonts w:ascii="Times New Roman" w:hAnsi="Times New Roman" w:cs="Times New Roman"/>
          <w:sz w:val="24"/>
          <w:szCs w:val="24"/>
        </w:rPr>
        <w:t>Ambato and Quito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cities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C20FB" w:rsidRPr="00EF776D">
        <w:rPr>
          <w:rFonts w:ascii="Times New Roman" w:hAnsi="Times New Roman" w:cs="Times New Roman"/>
          <w:sz w:val="24"/>
          <w:szCs w:val="24"/>
        </w:rPr>
        <w:t>C</w:t>
      </w:r>
      <w:r w:rsidR="00880C1C" w:rsidRPr="00EF776D">
        <w:rPr>
          <w:rFonts w:ascii="Times New Roman" w:hAnsi="Times New Roman" w:cs="Times New Roman"/>
          <w:sz w:val="24"/>
          <w:szCs w:val="24"/>
        </w:rPr>
        <w:t>onsumption of alcohol and tobacco</w:t>
      </w:r>
      <w:r w:rsidR="0022108D" w:rsidRPr="00EF776D">
        <w:rPr>
          <w:rFonts w:ascii="Times New Roman" w:hAnsi="Times New Roman" w:cs="Times New Roman"/>
          <w:sz w:val="24"/>
          <w:szCs w:val="24"/>
        </w:rPr>
        <w:t xml:space="preserve"> shows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low</w:t>
      </w:r>
      <w:r w:rsidR="0022108D" w:rsidRPr="00EF776D">
        <w:rPr>
          <w:rFonts w:ascii="Times New Roman" w:hAnsi="Times New Roman" w:cs="Times New Roman"/>
          <w:sz w:val="24"/>
          <w:szCs w:val="24"/>
        </w:rPr>
        <w:t xml:space="preserve"> levels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among </w:t>
      </w:r>
      <w:r w:rsidR="0022108D" w:rsidRPr="00EF776D">
        <w:rPr>
          <w:rFonts w:ascii="Times New Roman" w:hAnsi="Times New Roman" w:cs="Times New Roman"/>
          <w:sz w:val="24"/>
          <w:szCs w:val="24"/>
        </w:rPr>
        <w:t>the sample.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There are sex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differences in alcohol use </w:t>
      </w:r>
      <w:r w:rsidR="00880C1C" w:rsidRPr="00EF776D">
        <w:rPr>
          <w:rFonts w:ascii="Times New Roman" w:hAnsi="Times New Roman" w:cs="Times New Roman"/>
          <w:sz w:val="24"/>
          <w:szCs w:val="24"/>
        </w:rPr>
        <w:t>(t = 5.14; p &lt;.05) and tobacco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use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(t = 5.6; p &lt;.05), with higher consumption 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among 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men. Men 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are </w:t>
      </w:r>
      <w:r w:rsidR="00880C1C" w:rsidRPr="00EF776D">
        <w:rPr>
          <w:rFonts w:ascii="Times New Roman" w:hAnsi="Times New Roman" w:cs="Times New Roman"/>
          <w:sz w:val="24"/>
          <w:szCs w:val="24"/>
        </w:rPr>
        <w:t>more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likely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than women </w:t>
      </w:r>
      <w:r w:rsidR="000A1E12" w:rsidRPr="00EF776D">
        <w:rPr>
          <w:rFonts w:ascii="Times New Roman" w:hAnsi="Times New Roman" w:cs="Times New Roman"/>
          <w:sz w:val="24"/>
          <w:szCs w:val="24"/>
        </w:rPr>
        <w:t>to engage in alcohol and tobacco risky use with OR = 2.1</w:t>
      </w:r>
      <w:r w:rsidR="00FF5B0E" w:rsidRPr="00EF776D">
        <w:rPr>
          <w:rFonts w:ascii="Times New Roman" w:hAnsi="Times New Roman" w:cs="Times New Roman"/>
          <w:sz w:val="24"/>
          <w:szCs w:val="24"/>
        </w:rPr>
        <w:t>; 95% CI [1.45 – 3.11]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and OR = 3</w:t>
      </w:r>
      <w:r w:rsidR="00FF5B0E" w:rsidRPr="00EF776D">
        <w:rPr>
          <w:rFonts w:ascii="Times New Roman" w:hAnsi="Times New Roman" w:cs="Times New Roman"/>
          <w:sz w:val="24"/>
          <w:szCs w:val="24"/>
        </w:rPr>
        <w:t xml:space="preserve"> 95% CI [2.01 – 4.37]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880C1C" w:rsidRPr="00EF776D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E52A7A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A</w:t>
      </w:r>
      <w:r w:rsidR="00880C1C" w:rsidRPr="00EF776D">
        <w:rPr>
          <w:rFonts w:ascii="Times New Roman" w:hAnsi="Times New Roman" w:cs="Times New Roman"/>
          <w:sz w:val="24"/>
          <w:szCs w:val="24"/>
        </w:rPr>
        <w:t>lcohol and tobacco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use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is generalized among the </w:t>
      </w:r>
      <w:r w:rsidR="003C20FB" w:rsidRPr="00EF776D">
        <w:rPr>
          <w:rFonts w:ascii="Times New Roman" w:hAnsi="Times New Roman" w:cs="Times New Roman"/>
          <w:sz w:val="24"/>
          <w:szCs w:val="24"/>
        </w:rPr>
        <w:t>sample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and sex is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a</w:t>
      </w:r>
      <w:r w:rsidR="00880C1C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C20FB" w:rsidRPr="00EF776D">
        <w:rPr>
          <w:rFonts w:ascii="Times New Roman" w:hAnsi="Times New Roman" w:cs="Times New Roman"/>
          <w:sz w:val="24"/>
          <w:szCs w:val="24"/>
        </w:rPr>
        <w:t>key factor in both the increas</w:t>
      </w:r>
      <w:r w:rsidR="000A1E12" w:rsidRPr="00EF776D">
        <w:rPr>
          <w:rFonts w:ascii="Times New Roman" w:hAnsi="Times New Roman" w:cs="Times New Roman"/>
          <w:sz w:val="24"/>
          <w:szCs w:val="24"/>
        </w:rPr>
        <w:t>e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in </w:t>
      </w:r>
      <w:r w:rsidR="003C20FB" w:rsidRPr="00EF776D">
        <w:rPr>
          <w:rFonts w:ascii="Times New Roman" w:hAnsi="Times New Roman" w:cs="Times New Roman"/>
          <w:sz w:val="24"/>
          <w:szCs w:val="24"/>
        </w:rPr>
        <w:t>consumption and</w:t>
      </w:r>
      <w:r w:rsidR="000A1E12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C20FB" w:rsidRPr="00EF776D">
        <w:rPr>
          <w:rFonts w:ascii="Times New Roman" w:hAnsi="Times New Roman" w:cs="Times New Roman"/>
          <w:sz w:val="24"/>
          <w:szCs w:val="24"/>
        </w:rPr>
        <w:t xml:space="preserve">further development </w:t>
      </w:r>
      <w:r w:rsidR="009467B0" w:rsidRPr="00EF776D">
        <w:rPr>
          <w:rFonts w:ascii="Times New Roman" w:hAnsi="Times New Roman" w:cs="Times New Roman"/>
          <w:sz w:val="24"/>
          <w:szCs w:val="24"/>
        </w:rPr>
        <w:t xml:space="preserve">of risky </w:t>
      </w:r>
      <w:r w:rsidR="000A1E12" w:rsidRPr="00EF776D">
        <w:rPr>
          <w:rFonts w:ascii="Times New Roman" w:hAnsi="Times New Roman" w:cs="Times New Roman"/>
          <w:sz w:val="24"/>
          <w:szCs w:val="24"/>
        </w:rPr>
        <w:t>use</w:t>
      </w:r>
      <w:r w:rsidR="009467B0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7C6798C0" w14:textId="21F25EFD" w:rsidR="005661BD" w:rsidRPr="00EF776D" w:rsidRDefault="00880C1C" w:rsidP="00FF5B0E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="005661BD" w:rsidRPr="00EF77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61B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06CDF" w:rsidRPr="00EF776D">
        <w:rPr>
          <w:rFonts w:ascii="Times New Roman" w:hAnsi="Times New Roman" w:cs="Times New Roman"/>
          <w:i/>
          <w:iCs/>
          <w:sz w:val="24"/>
          <w:szCs w:val="24"/>
        </w:rPr>
        <w:t>Alcoholism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467B0" w:rsidRPr="00EF776D">
        <w:rPr>
          <w:rFonts w:ascii="Times New Roman" w:hAnsi="Times New Roman" w:cs="Times New Roman"/>
          <w:i/>
          <w:iCs/>
          <w:sz w:val="24"/>
          <w:szCs w:val="24"/>
        </w:rPr>
        <w:t xml:space="preserve"> comparative analysis,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EC025F" w:rsidRPr="00EF776D">
        <w:rPr>
          <w:rFonts w:ascii="Times New Roman" w:hAnsi="Times New Roman" w:cs="Times New Roman"/>
          <w:i/>
          <w:iCs/>
          <w:sz w:val="24"/>
          <w:szCs w:val="24"/>
        </w:rPr>
        <w:t>rug abuse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>, se</w:t>
      </w:r>
      <w:r w:rsidR="00406CDF" w:rsidRPr="00EF776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5173E8">
        <w:rPr>
          <w:rFonts w:ascii="Times New Roman" w:hAnsi="Times New Roman" w:cs="Times New Roman"/>
          <w:i/>
          <w:iCs/>
          <w:sz w:val="24"/>
          <w:szCs w:val="24"/>
        </w:rPr>
        <w:t xml:space="preserve"> differences</w:t>
      </w:r>
      <w:r w:rsidR="005661BD" w:rsidRPr="00EF77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06CDF" w:rsidRPr="00EF776D">
        <w:rPr>
          <w:rFonts w:ascii="Times New Roman" w:hAnsi="Times New Roman" w:cs="Times New Roman"/>
          <w:i/>
          <w:iCs/>
          <w:sz w:val="24"/>
          <w:szCs w:val="24"/>
        </w:rPr>
        <w:t>smoking</w:t>
      </w:r>
    </w:p>
    <w:p w14:paraId="40A5D1A6" w14:textId="585850EE" w:rsidR="005661BD" w:rsidRDefault="005661BD" w:rsidP="00FF5B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7082AA" w14:textId="22DCC3C4" w:rsidR="008A6419" w:rsidRPr="008A6419" w:rsidRDefault="008A6419" w:rsidP="008A6419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Resumen</w:t>
      </w:r>
    </w:p>
    <w:p w14:paraId="3047EB80" w14:textId="65D747E1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alcohol y el tabaco siguen siendo las sustancias más consumidas a pesar de las consecuencias para la salud humana. Si bien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Institutos Nacionales de Salud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los Estados Unidos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(NIH) han fomentado el examen de las diferencias sexuales como una forma de mejorar la reproducibilidad científica, los estudios ecuatorianos sobre este tema son escasos en la literatura científica.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Objetivo: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Informar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niveles, diferencias de sexo y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sexo como factor de riesgo en el consumo de alcohol y tabaco en una muestra de estudiantes universitarios ecuatorianos.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Método: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Estudio descriptivo y comparativo aplicando el Test de Identificación de Trastornos por Consumo de Alcohol (AUDIT) y el Cuestionario de Clasificación del Nivel de Consumo de Tabaco en Jóvenes (C4) como herramientas de evaluación.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Muestra: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546 estudiantes universitarios (69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1% mujeres y 30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9% hombres), entre 17 y 41 años (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X̄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= 21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3 años; 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DE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= 2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6) de cuatro universidades ubicadas en las ciudades de Ambato y Quito.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El consumo de alcohol y tabaco presenta niveles bajos en la muestra. Existen diferencias por sexo en el consumo de alcohol (t = 5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14; p&lt; 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05) y el consumo de tabaco (t= 5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60; p&lt; 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05), con mayor consumo entre los hombres. Los hombres son más propensos que las mujeres a consumir alcohol y tabaco con un OR= 2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1; IC del 95% [1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45 </w:t>
      </w:r>
      <w:r>
        <w:rPr>
          <w:rFonts w:ascii="Times New Roman" w:hAnsi="Times New Roman" w:cs="Times New Roman"/>
          <w:sz w:val="24"/>
          <w:szCs w:val="24"/>
          <w:lang w:val="es-MX"/>
        </w:rPr>
        <w:t>–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>11] y OR= 3 IC del 95% [2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01 </w:t>
      </w:r>
      <w:r>
        <w:rPr>
          <w:rFonts w:ascii="Times New Roman" w:hAnsi="Times New Roman" w:cs="Times New Roman"/>
          <w:sz w:val="24"/>
          <w:szCs w:val="24"/>
          <w:lang w:val="es-MX"/>
        </w:rPr>
        <w:t>–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37]. </w:t>
      </w: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Conclusión: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El consumo de alcohol y tabaco está generalizado entre la muestra y el sexo es un factor clave tanto en el aumento del consumo como en el mayor desarrollo del consumo de riesgo.</w:t>
      </w:r>
    </w:p>
    <w:p w14:paraId="15BF8020" w14:textId="77777777" w:rsidR="008A6419" w:rsidRDefault="008A6419" w:rsidP="008A6419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42FE54A" w14:textId="5D169C63" w:rsidR="005423D4" w:rsidRPr="008A6419" w:rsidRDefault="008A6419" w:rsidP="008A6419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8A6419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 w:rsidRPr="008A641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Alcohol, consumo, diferencia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s por </w:t>
      </w:r>
      <w:r w:rsidRPr="008A6419">
        <w:rPr>
          <w:rFonts w:ascii="Times New Roman" w:hAnsi="Times New Roman" w:cs="Times New Roman"/>
          <w:i/>
          <w:iCs/>
          <w:sz w:val="24"/>
          <w:szCs w:val="24"/>
          <w:lang w:val="es-MX"/>
        </w:rPr>
        <w:t>sexo, estudiantes, tabaco</w:t>
      </w:r>
    </w:p>
    <w:p w14:paraId="2DAA08F4" w14:textId="34A9CC31" w:rsidR="005423D4" w:rsidRPr="008A6419" w:rsidRDefault="005423D4" w:rsidP="005173E8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710B4F5C" w14:textId="77777777" w:rsidR="005173E8" w:rsidRPr="008A6419" w:rsidRDefault="005173E8" w:rsidP="005173E8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4C176D76" w14:textId="2D4523FF" w:rsidR="00CB268A" w:rsidRPr="00EF776D" w:rsidRDefault="00A33C1D" w:rsidP="00DA107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4510731"/>
      <w:r w:rsidRPr="00EF776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487F77C" w14:textId="678A8BA2" w:rsidR="00EC7813" w:rsidRPr="00EF776D" w:rsidRDefault="00E134CA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According to the World Health Organization</w:t>
      </w:r>
      <w:r w:rsidR="000F578C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E848DD" w:rsidRPr="00EF776D">
        <w:rPr>
          <w:rFonts w:ascii="Times New Roman" w:hAnsi="Times New Roman" w:cs="Times New Roman"/>
          <w:sz w:val="24"/>
          <w:szCs w:val="24"/>
        </w:rPr>
        <w:t>(WHO, 2018, 2019)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E848D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</w:rPr>
        <w:t>both alcohol and tobacco</w:t>
      </w:r>
      <w:r w:rsidR="009B481D" w:rsidRPr="00EF776D">
        <w:rPr>
          <w:rFonts w:ascii="Times New Roman" w:hAnsi="Times New Roman" w:cs="Times New Roman"/>
          <w:sz w:val="24"/>
          <w:szCs w:val="24"/>
        </w:rPr>
        <w:t xml:space="preserve"> remain the most consumed substances among humans</w:t>
      </w:r>
      <w:r w:rsidR="00410BFD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7C2877" w:rsidRPr="00EF776D">
        <w:rPr>
          <w:rFonts w:ascii="Times New Roman" w:hAnsi="Times New Roman" w:cs="Times New Roman"/>
          <w:sz w:val="24"/>
          <w:szCs w:val="24"/>
        </w:rPr>
        <w:t>including teenagers and young adults</w:t>
      </w:r>
      <w:r w:rsidR="00410BFD" w:rsidRPr="00EF776D">
        <w:rPr>
          <w:rFonts w:ascii="Times New Roman" w:hAnsi="Times New Roman" w:cs="Times New Roman"/>
          <w:sz w:val="24"/>
          <w:szCs w:val="24"/>
        </w:rPr>
        <w:t xml:space="preserve"> (Castro-Sánchez</w:t>
      </w:r>
      <w:r w:rsidR="00DF3B41" w:rsidRPr="00EF776D">
        <w:rPr>
          <w:rFonts w:ascii="Times New Roman" w:hAnsi="Times New Roman" w:cs="Times New Roman"/>
          <w:sz w:val="24"/>
          <w:szCs w:val="24"/>
        </w:rPr>
        <w:t xml:space="preserve"> et al.</w:t>
      </w:r>
      <w:r w:rsidR="00410BFD" w:rsidRPr="00EF776D">
        <w:rPr>
          <w:rFonts w:ascii="Times New Roman" w:hAnsi="Times New Roman" w:cs="Times New Roman"/>
          <w:sz w:val="24"/>
          <w:szCs w:val="24"/>
        </w:rPr>
        <w:t>, 2017; Moreta-Herrera</w:t>
      </w:r>
      <w:r w:rsidR="005173E8">
        <w:rPr>
          <w:rFonts w:ascii="Times New Roman" w:hAnsi="Times New Roman" w:cs="Times New Roman"/>
          <w:sz w:val="24"/>
          <w:szCs w:val="24"/>
        </w:rPr>
        <w:t xml:space="preserve"> et al., </w:t>
      </w:r>
      <w:r w:rsidR="00410BFD" w:rsidRPr="00EF776D">
        <w:rPr>
          <w:rFonts w:ascii="Times New Roman" w:hAnsi="Times New Roman" w:cs="Times New Roman"/>
          <w:sz w:val="24"/>
          <w:szCs w:val="24"/>
        </w:rPr>
        <w:t xml:space="preserve">2018). </w:t>
      </w:r>
      <w:r w:rsidR="00EC781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10BFD" w:rsidRPr="00EF776D">
        <w:rPr>
          <w:rFonts w:ascii="Times New Roman" w:hAnsi="Times New Roman" w:cs="Times New Roman"/>
          <w:sz w:val="24"/>
          <w:szCs w:val="24"/>
        </w:rPr>
        <w:t>T</w:t>
      </w:r>
      <w:r w:rsidR="00EC7813" w:rsidRPr="00EF776D">
        <w:rPr>
          <w:rFonts w:ascii="Times New Roman" w:hAnsi="Times New Roman" w:cs="Times New Roman"/>
          <w:sz w:val="24"/>
          <w:szCs w:val="24"/>
        </w:rPr>
        <w:t>hese stimulants are</w:t>
      </w:r>
      <w:r w:rsidR="00BC592A" w:rsidRPr="00EF776D">
        <w:rPr>
          <w:rFonts w:ascii="Times New Roman" w:hAnsi="Times New Roman" w:cs="Times New Roman"/>
          <w:sz w:val="24"/>
          <w:szCs w:val="24"/>
        </w:rPr>
        <w:t xml:space="preserve"> considered</w:t>
      </w:r>
      <w:r w:rsidR="005173E8">
        <w:rPr>
          <w:rFonts w:ascii="Times New Roman" w:hAnsi="Times New Roman" w:cs="Times New Roman"/>
          <w:sz w:val="24"/>
          <w:szCs w:val="24"/>
        </w:rPr>
        <w:t xml:space="preserve"> </w:t>
      </w:r>
      <w:r w:rsidR="00BC592A" w:rsidRPr="00EF776D">
        <w:rPr>
          <w:rFonts w:ascii="Times New Roman" w:hAnsi="Times New Roman" w:cs="Times New Roman"/>
          <w:sz w:val="24"/>
          <w:szCs w:val="24"/>
        </w:rPr>
        <w:t>risk factors in the develo</w:t>
      </w:r>
      <w:r w:rsidR="001B2CFA" w:rsidRPr="00EF776D">
        <w:rPr>
          <w:rFonts w:ascii="Times New Roman" w:hAnsi="Times New Roman" w:cs="Times New Roman"/>
          <w:sz w:val="24"/>
          <w:szCs w:val="24"/>
        </w:rPr>
        <w:t xml:space="preserve">pment </w:t>
      </w:r>
      <w:r w:rsidR="00BC592A" w:rsidRPr="00EF776D">
        <w:rPr>
          <w:rFonts w:ascii="Times New Roman" w:hAnsi="Times New Roman" w:cs="Times New Roman"/>
          <w:sz w:val="24"/>
          <w:szCs w:val="24"/>
        </w:rPr>
        <w:t>of serious</w:t>
      </w:r>
      <w:r w:rsidR="00CD4E9E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61D0B" w:rsidRPr="00EF776D">
        <w:rPr>
          <w:rFonts w:ascii="Times New Roman" w:hAnsi="Times New Roman" w:cs="Times New Roman"/>
          <w:sz w:val="24"/>
          <w:szCs w:val="24"/>
        </w:rPr>
        <w:t xml:space="preserve">diseases such as breast, colorectum, liver, esophagus, head and neck cancer </w:t>
      </w:r>
      <w:sdt>
        <w:sdtPr>
          <w:rPr>
            <w:rFonts w:ascii="Times New Roman" w:hAnsi="Times New Roman" w:cs="Times New Roman"/>
            <w:sz w:val="24"/>
            <w:szCs w:val="24"/>
          </w:rPr>
          <w:id w:val="2046250339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(Zang, et al., 2015)</w:t>
          </w:r>
        </w:sdtContent>
      </w:sdt>
      <w:r w:rsidR="00F106F9" w:rsidRPr="00EF776D">
        <w:rPr>
          <w:rFonts w:ascii="Times New Roman" w:hAnsi="Times New Roman" w:cs="Times New Roman"/>
          <w:sz w:val="24"/>
          <w:szCs w:val="24"/>
        </w:rPr>
        <w:t>.</w:t>
      </w:r>
      <w:r w:rsidR="00031956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52073" w:rsidRPr="00EF776D">
        <w:rPr>
          <w:rFonts w:ascii="Times New Roman" w:hAnsi="Times New Roman" w:cs="Times New Roman"/>
          <w:sz w:val="24"/>
          <w:szCs w:val="24"/>
        </w:rPr>
        <w:t>Alcohol, in</w:t>
      </w:r>
      <w:r w:rsidR="001B2CFA" w:rsidRPr="00EF776D">
        <w:rPr>
          <w:rFonts w:ascii="Times New Roman" w:hAnsi="Times New Roman" w:cs="Times New Roman"/>
          <w:sz w:val="24"/>
          <w:szCs w:val="24"/>
        </w:rPr>
        <w:t xml:space="preserve"> its own right, is accountable for mor</w:t>
      </w:r>
      <w:r w:rsidR="004C399E" w:rsidRPr="00EF776D">
        <w:rPr>
          <w:rFonts w:ascii="Times New Roman" w:hAnsi="Times New Roman" w:cs="Times New Roman"/>
          <w:sz w:val="24"/>
          <w:szCs w:val="24"/>
        </w:rPr>
        <w:t>e</w:t>
      </w:r>
      <w:r w:rsidR="001B2CFA" w:rsidRPr="00EF776D">
        <w:rPr>
          <w:rFonts w:ascii="Times New Roman" w:hAnsi="Times New Roman" w:cs="Times New Roman"/>
          <w:sz w:val="24"/>
          <w:szCs w:val="24"/>
        </w:rPr>
        <w:t xml:space="preserve"> than 60 diseases such as </w:t>
      </w:r>
      <w:r w:rsidR="004C399E" w:rsidRPr="00EF776D">
        <w:rPr>
          <w:rFonts w:ascii="Times New Roman" w:hAnsi="Times New Roman" w:cs="Times New Roman"/>
          <w:sz w:val="24"/>
          <w:szCs w:val="24"/>
        </w:rPr>
        <w:t>liver, heart</w:t>
      </w:r>
      <w:r w:rsidR="005173E8">
        <w:rPr>
          <w:rFonts w:ascii="Times New Roman" w:hAnsi="Times New Roman" w:cs="Times New Roman"/>
          <w:sz w:val="24"/>
          <w:szCs w:val="24"/>
        </w:rPr>
        <w:t xml:space="preserve">, and </w:t>
      </w:r>
      <w:r w:rsidR="005173E8" w:rsidRPr="00EF776D">
        <w:rPr>
          <w:rFonts w:ascii="Times New Roman" w:hAnsi="Times New Roman" w:cs="Times New Roman"/>
          <w:sz w:val="24"/>
          <w:szCs w:val="24"/>
        </w:rPr>
        <w:t>gastrointestinal disease</w:t>
      </w:r>
      <w:r w:rsidR="004C399E" w:rsidRPr="00EF776D">
        <w:rPr>
          <w:rFonts w:ascii="Times New Roman" w:hAnsi="Times New Roman" w:cs="Times New Roman"/>
          <w:sz w:val="24"/>
          <w:szCs w:val="24"/>
        </w:rPr>
        <w:t>,</w:t>
      </w:r>
      <w:r w:rsidR="005173E8">
        <w:rPr>
          <w:rFonts w:ascii="Times New Roman" w:hAnsi="Times New Roman" w:cs="Times New Roman"/>
          <w:sz w:val="24"/>
          <w:szCs w:val="24"/>
        </w:rPr>
        <w:t xml:space="preserve"> as well as for</w:t>
      </w:r>
      <w:r w:rsidR="004C399E" w:rsidRPr="00EF776D">
        <w:rPr>
          <w:rFonts w:ascii="Times New Roman" w:hAnsi="Times New Roman" w:cs="Times New Roman"/>
          <w:sz w:val="24"/>
          <w:szCs w:val="24"/>
        </w:rPr>
        <w:t xml:space="preserve"> strokes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4C399E" w:rsidRPr="00EF776D">
        <w:rPr>
          <w:rFonts w:ascii="Times New Roman" w:hAnsi="Times New Roman" w:cs="Times New Roman"/>
          <w:sz w:val="24"/>
          <w:szCs w:val="24"/>
        </w:rPr>
        <w:t xml:space="preserve"> and mental disorders </w:t>
      </w:r>
      <w:r w:rsidR="000A4586" w:rsidRPr="00EF776D">
        <w:rPr>
          <w:rFonts w:ascii="Times New Roman" w:hAnsi="Times New Roman" w:cs="Times New Roman"/>
          <w:sz w:val="24"/>
          <w:szCs w:val="24"/>
        </w:rPr>
        <w:t>(Connor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0A4586" w:rsidRPr="00EF776D">
        <w:rPr>
          <w:rFonts w:ascii="Times New Roman" w:hAnsi="Times New Roman" w:cs="Times New Roman"/>
          <w:sz w:val="24"/>
          <w:szCs w:val="24"/>
        </w:rPr>
        <w:t>, 2016)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. Tobacco, on the other hand, is responsible for 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ischemic heart disease, chronic </w:t>
      </w:r>
      <w:r w:rsidR="000A4586" w:rsidRPr="00EF776D">
        <w:rPr>
          <w:rFonts w:ascii="Times New Roman" w:hAnsi="Times New Roman" w:cs="Times New Roman"/>
          <w:sz w:val="24"/>
          <w:szCs w:val="24"/>
        </w:rPr>
        <w:lastRenderedPageBreak/>
        <w:t>obstructive pulmonary disease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 and 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early death and disability, </w:t>
      </w:r>
      <w:r w:rsidR="000A4586" w:rsidRPr="00EF776D">
        <w:rPr>
          <w:rFonts w:ascii="Times New Roman" w:hAnsi="Times New Roman" w:cs="Times New Roman"/>
          <w:sz w:val="24"/>
          <w:szCs w:val="24"/>
        </w:rPr>
        <w:t>causing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 11.5 million deaths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 only</w:t>
      </w:r>
      <w:r w:rsidR="00487E6B" w:rsidRPr="00EF776D">
        <w:rPr>
          <w:rFonts w:ascii="Times New Roman" w:hAnsi="Times New Roman" w:cs="Times New Roman"/>
          <w:sz w:val="24"/>
          <w:szCs w:val="24"/>
        </w:rPr>
        <w:t xml:space="preserve"> in 2015</w:t>
      </w:r>
      <w:r w:rsidR="000A4586" w:rsidRPr="00EF776D">
        <w:rPr>
          <w:rFonts w:ascii="Times New Roman" w:hAnsi="Times New Roman" w:cs="Times New Roman"/>
          <w:sz w:val="24"/>
          <w:szCs w:val="24"/>
        </w:rPr>
        <w:t xml:space="preserve"> (WHO, 2020)</w:t>
      </w:r>
      <w:r w:rsidR="00216F8B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1E20A961" w14:textId="3041CE0D" w:rsidR="00A87B99" w:rsidRDefault="0085071E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Alcohol and tobacco use not only have a deep impact on human health,</w:t>
      </w:r>
      <w:r w:rsidR="005173E8">
        <w:rPr>
          <w:rFonts w:ascii="Times New Roman" w:hAnsi="Times New Roman" w:cs="Times New Roman"/>
          <w:sz w:val="24"/>
          <w:szCs w:val="24"/>
        </w:rPr>
        <w:t xml:space="preserve"> but</w:t>
      </w:r>
      <w:r w:rsidRPr="00EF776D">
        <w:rPr>
          <w:rFonts w:ascii="Times New Roman" w:hAnsi="Times New Roman" w:cs="Times New Roman"/>
          <w:sz w:val="24"/>
          <w:szCs w:val="24"/>
        </w:rPr>
        <w:t xml:space="preserve"> it also affects the economy of countries</w:t>
      </w:r>
      <w:r w:rsidR="004E267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</w:rPr>
        <w:t xml:space="preserve">due to the high costs of treatments </w:t>
      </w:r>
      <w:r w:rsidR="005173E8">
        <w:rPr>
          <w:rFonts w:ascii="Times New Roman" w:hAnsi="Times New Roman" w:cs="Times New Roman"/>
          <w:sz w:val="24"/>
          <w:szCs w:val="24"/>
        </w:rPr>
        <w:t>of a</w:t>
      </w:r>
      <w:r w:rsidRPr="00EF776D">
        <w:rPr>
          <w:rFonts w:ascii="Times New Roman" w:hAnsi="Times New Roman" w:cs="Times New Roman"/>
          <w:sz w:val="24"/>
          <w:szCs w:val="24"/>
        </w:rPr>
        <w:t xml:space="preserve">lcohol </w:t>
      </w:r>
      <w:r w:rsidR="004E2673" w:rsidRPr="00EF776D">
        <w:rPr>
          <w:rFonts w:ascii="Times New Roman" w:hAnsi="Times New Roman" w:cs="Times New Roman"/>
          <w:sz w:val="24"/>
          <w:szCs w:val="24"/>
        </w:rPr>
        <w:t>u</w:t>
      </w:r>
      <w:r w:rsidRPr="00EF776D">
        <w:rPr>
          <w:rFonts w:ascii="Times New Roman" w:hAnsi="Times New Roman" w:cs="Times New Roman"/>
          <w:sz w:val="24"/>
          <w:szCs w:val="24"/>
        </w:rPr>
        <w:t xml:space="preserve">se </w:t>
      </w:r>
      <w:r w:rsidR="004E2673" w:rsidRPr="00EF776D">
        <w:rPr>
          <w:rFonts w:ascii="Times New Roman" w:hAnsi="Times New Roman" w:cs="Times New Roman"/>
          <w:sz w:val="24"/>
          <w:szCs w:val="24"/>
        </w:rPr>
        <w:t>d</w:t>
      </w:r>
      <w:r w:rsidRPr="00EF776D">
        <w:rPr>
          <w:rFonts w:ascii="Times New Roman" w:hAnsi="Times New Roman" w:cs="Times New Roman"/>
          <w:sz w:val="24"/>
          <w:szCs w:val="24"/>
        </w:rPr>
        <w:t xml:space="preserve">isorders (AUD) </w:t>
      </w:r>
      <w:r w:rsidR="004E2673" w:rsidRPr="00EF776D">
        <w:rPr>
          <w:rFonts w:ascii="Times New Roman" w:hAnsi="Times New Roman" w:cs="Times New Roman"/>
          <w:sz w:val="24"/>
          <w:szCs w:val="24"/>
        </w:rPr>
        <w:t xml:space="preserve">and tobacco addiction, </w:t>
      </w:r>
      <w:r w:rsidRPr="00EF776D">
        <w:rPr>
          <w:rFonts w:ascii="Times New Roman" w:hAnsi="Times New Roman" w:cs="Times New Roman"/>
          <w:sz w:val="24"/>
          <w:szCs w:val="24"/>
        </w:rPr>
        <w:t xml:space="preserve">which is </w:t>
      </w:r>
      <w:r w:rsidR="00A25EC6" w:rsidRPr="00EF776D">
        <w:rPr>
          <w:rFonts w:ascii="Times New Roman" w:hAnsi="Times New Roman" w:cs="Times New Roman"/>
          <w:sz w:val="24"/>
          <w:szCs w:val="24"/>
        </w:rPr>
        <w:t>especially</w:t>
      </w:r>
      <w:r w:rsidRPr="00EF776D">
        <w:rPr>
          <w:rFonts w:ascii="Times New Roman" w:hAnsi="Times New Roman" w:cs="Times New Roman"/>
          <w:sz w:val="24"/>
          <w:szCs w:val="24"/>
        </w:rPr>
        <w:t xml:space="preserve"> problematic in developing countries </w:t>
      </w:r>
      <w:r w:rsidR="004E2673" w:rsidRPr="00EF776D">
        <w:rPr>
          <w:rFonts w:ascii="Times New Roman" w:hAnsi="Times New Roman" w:cs="Times New Roman"/>
          <w:sz w:val="24"/>
          <w:szCs w:val="24"/>
        </w:rPr>
        <w:t>(Goodchild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4E2673" w:rsidRPr="00EF776D">
        <w:rPr>
          <w:rFonts w:ascii="Times New Roman" w:hAnsi="Times New Roman" w:cs="Times New Roman"/>
          <w:sz w:val="24"/>
          <w:szCs w:val="24"/>
        </w:rPr>
        <w:t>, 2017).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E2673" w:rsidRPr="00EF776D">
        <w:rPr>
          <w:rFonts w:ascii="Times New Roman" w:hAnsi="Times New Roman" w:cs="Times New Roman"/>
          <w:sz w:val="24"/>
          <w:szCs w:val="24"/>
        </w:rPr>
        <w:t>Therefore,</w:t>
      </w:r>
      <w:r w:rsidR="00A872D7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4E2673" w:rsidRPr="00EF776D">
        <w:rPr>
          <w:rFonts w:ascii="Times New Roman" w:hAnsi="Times New Roman" w:cs="Times New Roman"/>
          <w:sz w:val="24"/>
          <w:szCs w:val="24"/>
        </w:rPr>
        <w:t>there is a growing need to understand addictive behavior, especially in Latin America where</w:t>
      </w:r>
      <w:r w:rsidR="00A872D7" w:rsidRPr="00EF776D">
        <w:rPr>
          <w:rFonts w:ascii="Times New Roman" w:hAnsi="Times New Roman" w:cs="Times New Roman"/>
          <w:sz w:val="24"/>
          <w:szCs w:val="24"/>
        </w:rPr>
        <w:t xml:space="preserve"> research tends to be limited and epidemiological </w:t>
      </w:r>
      <w:r w:rsidR="004E2673" w:rsidRPr="00EF776D">
        <w:rPr>
          <w:rFonts w:ascii="Times New Roman" w:hAnsi="Times New Roman" w:cs="Times New Roman"/>
          <w:sz w:val="24"/>
          <w:szCs w:val="24"/>
        </w:rPr>
        <w:t>studies are scarce</w:t>
      </w:r>
      <w:r w:rsidR="00A872D7" w:rsidRPr="00EF77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72D7" w:rsidRPr="00EF776D">
        <w:rPr>
          <w:rFonts w:ascii="Times New Roman" w:hAnsi="Times New Roman" w:cs="Times New Roman"/>
          <w:sz w:val="24"/>
          <w:szCs w:val="24"/>
        </w:rPr>
        <w:t>Cremonte</w:t>
      </w:r>
      <w:proofErr w:type="spellEnd"/>
      <w:r w:rsidR="00A872D7" w:rsidRPr="00EF776D">
        <w:rPr>
          <w:rFonts w:ascii="Times New Roman" w:hAnsi="Times New Roman" w:cs="Times New Roman"/>
          <w:sz w:val="24"/>
          <w:szCs w:val="24"/>
        </w:rPr>
        <w:t xml:space="preserve">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A872D7" w:rsidRPr="00EF776D">
        <w:rPr>
          <w:rFonts w:ascii="Times New Roman" w:hAnsi="Times New Roman" w:cs="Times New Roman"/>
          <w:sz w:val="24"/>
          <w:szCs w:val="24"/>
        </w:rPr>
        <w:t>, 2016)</w:t>
      </w:r>
      <w:r w:rsidR="004E2673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3F42BB6D" w14:textId="77777777" w:rsidR="008A6419" w:rsidRPr="00EF776D" w:rsidRDefault="008A6419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2035" w14:textId="3565D171" w:rsidR="00737B80" w:rsidRPr="00EF776D" w:rsidRDefault="00737B80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Alcohol and Tobacco prevalence</w:t>
      </w:r>
    </w:p>
    <w:p w14:paraId="5A4DBCC0" w14:textId="1B03AB49" w:rsidR="005B3944" w:rsidRPr="00EF776D" w:rsidRDefault="002351E1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In the year 2016, 2.348 billion people worldwide aged 15 years and above were current drinkers, this represents 43% of the global population within this age group. Prevalence of alcohol consumption surpasses half of the population in three WHO regions;</w:t>
      </w:r>
      <w:r w:rsidR="00C321D8" w:rsidRPr="00EF776D">
        <w:rPr>
          <w:rFonts w:ascii="Times New Roman" w:hAnsi="Times New Roman" w:cs="Times New Roman"/>
          <w:sz w:val="24"/>
          <w:szCs w:val="24"/>
        </w:rPr>
        <w:t xml:space="preserve"> the European Region (EUR) with 59.9% of current drinkers, the Region of the Americas (AMR) with 54.1%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C321D8" w:rsidRPr="00EF776D">
        <w:rPr>
          <w:rFonts w:ascii="Times New Roman" w:hAnsi="Times New Roman" w:cs="Times New Roman"/>
          <w:sz w:val="24"/>
          <w:szCs w:val="24"/>
        </w:rPr>
        <w:t xml:space="preserve"> and the Western Pacific Region (WPR) with 53.8% (WHO, 2018).</w:t>
      </w:r>
      <w:r w:rsidRPr="00EF77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AFF1FD" w14:textId="491BA78F" w:rsidR="005B3944" w:rsidRPr="00FC0D34" w:rsidRDefault="007F0806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34">
        <w:rPr>
          <w:rFonts w:ascii="Times New Roman" w:hAnsi="Times New Roman" w:cs="Times New Roman"/>
          <w:sz w:val="24"/>
          <w:szCs w:val="24"/>
        </w:rPr>
        <w:t>T</w:t>
      </w:r>
      <w:r w:rsidR="005B3944" w:rsidRPr="00FC0D34">
        <w:rPr>
          <w:rFonts w:ascii="Times New Roman" w:hAnsi="Times New Roman" w:cs="Times New Roman"/>
          <w:sz w:val="24"/>
          <w:szCs w:val="24"/>
        </w:rPr>
        <w:t xml:space="preserve">he American continent has one of the highest </w:t>
      </w:r>
      <w:proofErr w:type="spellStart"/>
      <w:r w:rsidR="005B3944" w:rsidRPr="00FC0D34">
        <w:rPr>
          <w:rFonts w:ascii="Times New Roman" w:hAnsi="Times New Roman" w:cs="Times New Roman"/>
          <w:sz w:val="24"/>
          <w:szCs w:val="24"/>
        </w:rPr>
        <w:t>prevalence</w:t>
      </w:r>
      <w:r w:rsidR="005173E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B3944" w:rsidRPr="00FC0D34">
        <w:rPr>
          <w:rFonts w:ascii="Times New Roman" w:hAnsi="Times New Roman" w:cs="Times New Roman"/>
          <w:sz w:val="24"/>
          <w:szCs w:val="24"/>
        </w:rPr>
        <w:t xml:space="preserve"> of alcohol consumption in the world.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For example, in </w:t>
      </w:r>
      <w:r w:rsidR="005B3944" w:rsidRPr="00FC0D34">
        <w:rPr>
          <w:rFonts w:ascii="Times New Roman" w:hAnsi="Times New Roman" w:cs="Times New Roman"/>
          <w:sz w:val="24"/>
          <w:szCs w:val="24"/>
        </w:rPr>
        <w:t>the United States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512479" w:rsidRPr="00FC0D34">
        <w:rPr>
          <w:rFonts w:ascii="Times New Roman" w:hAnsi="Times New Roman" w:cs="Times New Roman"/>
          <w:sz w:val="24"/>
          <w:szCs w:val="24"/>
        </w:rPr>
        <w:t xml:space="preserve"> 59.9%</w:t>
      </w:r>
      <w:r w:rsidR="005B394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512479" w:rsidRPr="00FC0D34">
        <w:rPr>
          <w:rFonts w:ascii="Times New Roman" w:hAnsi="Times New Roman" w:cs="Times New Roman"/>
          <w:sz w:val="24"/>
          <w:szCs w:val="24"/>
        </w:rPr>
        <w:t>of the population aged 15 years onwards consume alcohol, and this figure has increased by 0.3% each year</w:t>
      </w:r>
      <w:r w:rsidR="00E857B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5173E8">
        <w:rPr>
          <w:rFonts w:ascii="Times New Roman" w:hAnsi="Times New Roman" w:cs="Times New Roman"/>
          <w:sz w:val="24"/>
          <w:szCs w:val="24"/>
        </w:rPr>
        <w:t>from</w:t>
      </w:r>
      <w:r w:rsidR="005A78F2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E857B4" w:rsidRPr="00FC0D34">
        <w:rPr>
          <w:rFonts w:ascii="Times New Roman" w:hAnsi="Times New Roman" w:cs="Times New Roman"/>
          <w:sz w:val="24"/>
          <w:szCs w:val="24"/>
        </w:rPr>
        <w:t xml:space="preserve">2000 until </w:t>
      </w:r>
      <w:r w:rsidR="00512479" w:rsidRPr="00FC0D34">
        <w:rPr>
          <w:rFonts w:ascii="Times New Roman" w:hAnsi="Times New Roman" w:cs="Times New Roman"/>
          <w:sz w:val="24"/>
          <w:szCs w:val="24"/>
        </w:rPr>
        <w:t xml:space="preserve">2017 </w:t>
      </w:r>
      <w:r w:rsidR="00A1344D" w:rsidRPr="00FC0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1344D" w:rsidRPr="00FC0D34">
        <w:rPr>
          <w:rFonts w:ascii="Times New Roman" w:hAnsi="Times New Roman" w:cs="Times New Roman"/>
          <w:sz w:val="24"/>
          <w:szCs w:val="24"/>
        </w:rPr>
        <w:t>Grucza</w:t>
      </w:r>
      <w:proofErr w:type="spellEnd"/>
      <w:r w:rsidR="00A1344D" w:rsidRPr="00FC0D34">
        <w:rPr>
          <w:rFonts w:ascii="Times New Roman" w:hAnsi="Times New Roman" w:cs="Times New Roman"/>
          <w:sz w:val="24"/>
          <w:szCs w:val="24"/>
        </w:rPr>
        <w:t xml:space="preserve"> et al, 2018). Countries such as Uruguay, Argentina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A1344D" w:rsidRPr="00FC0D34">
        <w:rPr>
          <w:rFonts w:ascii="Times New Roman" w:hAnsi="Times New Roman" w:cs="Times New Roman"/>
          <w:sz w:val="24"/>
          <w:szCs w:val="24"/>
        </w:rPr>
        <w:t xml:space="preserve"> and Chile, also display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a </w:t>
      </w:r>
      <w:r w:rsidR="00A1344D" w:rsidRPr="00FC0D34">
        <w:rPr>
          <w:rFonts w:ascii="Times New Roman" w:hAnsi="Times New Roman" w:cs="Times New Roman"/>
          <w:sz w:val="24"/>
          <w:szCs w:val="24"/>
        </w:rPr>
        <w:t>high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 rate of alcohol </w:t>
      </w:r>
      <w:r w:rsidR="00E857B4" w:rsidRPr="00FC0D34">
        <w:rPr>
          <w:rFonts w:ascii="Times New Roman" w:hAnsi="Times New Roman" w:cs="Times New Roman"/>
          <w:sz w:val="24"/>
          <w:szCs w:val="24"/>
        </w:rPr>
        <w:t>use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 among people</w:t>
      </w:r>
      <w:r w:rsidR="00E857B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15 years or older, with a prevalence of </w:t>
      </w:r>
      <w:r w:rsidR="00A1344D" w:rsidRPr="00FC0D34">
        <w:rPr>
          <w:rFonts w:ascii="Times New Roman" w:hAnsi="Times New Roman" w:cs="Times New Roman"/>
          <w:sz w:val="24"/>
          <w:szCs w:val="24"/>
        </w:rPr>
        <w:t>57.1%, 54.5%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A1344D" w:rsidRPr="00FC0D34">
        <w:rPr>
          <w:rFonts w:ascii="Times New Roman" w:hAnsi="Times New Roman" w:cs="Times New Roman"/>
          <w:sz w:val="24"/>
          <w:szCs w:val="24"/>
        </w:rPr>
        <w:t xml:space="preserve"> and 54.4%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respectively (WHO, 2018). In Ecuador,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A25EC6" w:rsidRPr="00FC0D34">
        <w:rPr>
          <w:rFonts w:ascii="Times New Roman" w:hAnsi="Times New Roman" w:cs="Times New Roman"/>
          <w:sz w:val="24"/>
          <w:szCs w:val="24"/>
        </w:rPr>
        <w:t xml:space="preserve">prevalence of alcohol consumption in the same age group is around 32.2% </w:t>
      </w:r>
      <w:r w:rsidR="00F7767C" w:rsidRPr="00FC0D34">
        <w:rPr>
          <w:rFonts w:ascii="Times New Roman" w:hAnsi="Times New Roman" w:cs="Times New Roman"/>
          <w:sz w:val="24"/>
          <w:szCs w:val="24"/>
        </w:rPr>
        <w:t>(Moreta-Herrera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F7767C" w:rsidRPr="00FC0D34">
        <w:rPr>
          <w:rFonts w:ascii="Times New Roman" w:hAnsi="Times New Roman" w:cs="Times New Roman"/>
          <w:sz w:val="24"/>
          <w:szCs w:val="24"/>
        </w:rPr>
        <w:t>, 2020)</w:t>
      </w:r>
      <w:r w:rsidR="00E545AC" w:rsidRPr="00FC0D34">
        <w:rPr>
          <w:rFonts w:ascii="Times New Roman" w:hAnsi="Times New Roman" w:cs="Times New Roman"/>
          <w:sz w:val="24"/>
          <w:szCs w:val="24"/>
        </w:rPr>
        <w:t>.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Within </w:t>
      </w:r>
      <w:r w:rsidR="00EF776D" w:rsidRPr="00FC0D34">
        <w:rPr>
          <w:rFonts w:ascii="Times New Roman" w:hAnsi="Times New Roman" w:cs="Times New Roman"/>
          <w:sz w:val="24"/>
          <w:szCs w:val="24"/>
        </w:rPr>
        <w:t>Latin-American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college students, </w:t>
      </w:r>
      <w:r w:rsidR="004A410D" w:rsidRPr="00FC0D34">
        <w:rPr>
          <w:rFonts w:ascii="Times New Roman" w:hAnsi="Times New Roman" w:cs="Times New Roman"/>
          <w:sz w:val="24"/>
          <w:szCs w:val="24"/>
        </w:rPr>
        <w:t xml:space="preserve">with a prevalence of 80%, 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alcohol </w:t>
      </w:r>
      <w:r w:rsidR="007859DD">
        <w:rPr>
          <w:rFonts w:ascii="Times New Roman" w:hAnsi="Times New Roman" w:cs="Times New Roman"/>
          <w:sz w:val="24"/>
          <w:szCs w:val="24"/>
        </w:rPr>
        <w:t>use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tends to increase when </w:t>
      </w:r>
      <w:r w:rsidR="00EF776D" w:rsidRPr="00FC0D34">
        <w:rPr>
          <w:rFonts w:ascii="Times New Roman" w:hAnsi="Times New Roman" w:cs="Times New Roman"/>
          <w:sz w:val="24"/>
          <w:szCs w:val="24"/>
        </w:rPr>
        <w:t>compared</w:t>
      </w:r>
      <w:r w:rsidR="00F0082F" w:rsidRPr="00FC0D34">
        <w:rPr>
          <w:rFonts w:ascii="Times New Roman" w:hAnsi="Times New Roman" w:cs="Times New Roman"/>
          <w:sz w:val="24"/>
          <w:szCs w:val="24"/>
        </w:rPr>
        <w:t xml:space="preserve"> to previous life stages</w:t>
      </w:r>
      <w:r w:rsidR="00216E92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>(Gómez</w:t>
      </w:r>
      <w:r w:rsidR="005173E8">
        <w:rPr>
          <w:rFonts w:ascii="Times New Roman" w:hAnsi="Times New Roman" w:cs="Times New Roman"/>
          <w:sz w:val="24"/>
          <w:szCs w:val="24"/>
        </w:rPr>
        <w:t>-</w:t>
      </w:r>
      <w:r w:rsidR="00FC0D34" w:rsidRPr="00FC0D34">
        <w:rPr>
          <w:rFonts w:ascii="Times New Roman" w:hAnsi="Times New Roman" w:cs="Times New Roman"/>
          <w:sz w:val="24"/>
          <w:szCs w:val="24"/>
        </w:rPr>
        <w:t>Cruz</w:t>
      </w:r>
      <w:r w:rsidR="005173E8">
        <w:rPr>
          <w:rFonts w:ascii="Times New Roman" w:hAnsi="Times New Roman" w:cs="Times New Roman"/>
          <w:sz w:val="24"/>
          <w:szCs w:val="24"/>
        </w:rPr>
        <w:t xml:space="preserve"> et al.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, 2018; Mora &amp; 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Herrán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>, 2019)</w:t>
      </w:r>
      <w:r w:rsidR="007859DD">
        <w:rPr>
          <w:rFonts w:ascii="Times New Roman" w:hAnsi="Times New Roman" w:cs="Times New Roman"/>
          <w:sz w:val="24"/>
          <w:szCs w:val="24"/>
        </w:rPr>
        <w:t xml:space="preserve">; risky use also </w:t>
      </w:r>
      <w:r w:rsidR="00FC0D34" w:rsidRPr="00FC0D34">
        <w:rPr>
          <w:rFonts w:ascii="Times New Roman" w:hAnsi="Times New Roman" w:cs="Times New Roman"/>
          <w:sz w:val="24"/>
          <w:szCs w:val="24"/>
        </w:rPr>
        <w:t>increases, reaching a prevalence of 11.4% 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5173E8">
        <w:rPr>
          <w:rFonts w:ascii="Times New Roman" w:hAnsi="Times New Roman" w:cs="Times New Roman"/>
          <w:sz w:val="24"/>
          <w:szCs w:val="24"/>
        </w:rPr>
        <w:t xml:space="preserve"> et al., </w:t>
      </w:r>
      <w:r w:rsidR="00FC0D34" w:rsidRPr="00FC0D34">
        <w:rPr>
          <w:rFonts w:ascii="Times New Roman" w:hAnsi="Times New Roman" w:cs="Times New Roman"/>
          <w:sz w:val="24"/>
          <w:szCs w:val="24"/>
        </w:rPr>
        <w:t>2017).</w:t>
      </w:r>
    </w:p>
    <w:p w14:paraId="0F5804A3" w14:textId="62C84088" w:rsidR="00B074A8" w:rsidRPr="00EF776D" w:rsidRDefault="00AF33C1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Regarding tobacco consumption</w:t>
      </w:r>
      <w:r w:rsidR="00E7494E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E7494E" w:rsidRPr="00EF776D">
        <w:rPr>
          <w:rFonts w:ascii="Times New Roman" w:hAnsi="Times New Roman" w:cs="Times New Roman"/>
          <w:sz w:val="24"/>
          <w:szCs w:val="24"/>
        </w:rPr>
        <w:t xml:space="preserve">global prevalence in 2018 was around 23.6%, </w:t>
      </w:r>
      <w:r w:rsidR="00EB7C7E" w:rsidRPr="00EF776D">
        <w:rPr>
          <w:rFonts w:ascii="Times New Roman" w:hAnsi="Times New Roman" w:cs="Times New Roman"/>
          <w:sz w:val="24"/>
          <w:szCs w:val="24"/>
        </w:rPr>
        <w:t>among</w:t>
      </w:r>
      <w:r w:rsidR="00305B49" w:rsidRPr="00EF776D">
        <w:rPr>
          <w:rFonts w:ascii="Times New Roman" w:hAnsi="Times New Roman" w:cs="Times New Roman"/>
          <w:sz w:val="24"/>
          <w:szCs w:val="24"/>
        </w:rPr>
        <w:t xml:space="preserve"> adults age</w:t>
      </w:r>
      <w:r w:rsidR="007C73E4" w:rsidRPr="00EF776D">
        <w:rPr>
          <w:rFonts w:ascii="Times New Roman" w:hAnsi="Times New Roman" w:cs="Times New Roman"/>
          <w:sz w:val="24"/>
          <w:szCs w:val="24"/>
        </w:rPr>
        <w:t>d</w:t>
      </w:r>
      <w:r w:rsidR="00305B49" w:rsidRPr="00EF776D">
        <w:rPr>
          <w:rFonts w:ascii="Times New Roman" w:hAnsi="Times New Roman" w:cs="Times New Roman"/>
          <w:sz w:val="24"/>
          <w:szCs w:val="24"/>
        </w:rPr>
        <w:t xml:space="preserve"> 15 years and older</w:t>
      </w:r>
      <w:r w:rsidR="00EB7C7E" w:rsidRPr="00EF776D">
        <w:rPr>
          <w:rFonts w:ascii="Times New Roman" w:hAnsi="Times New Roman" w:cs="Times New Roman"/>
          <w:sz w:val="24"/>
          <w:szCs w:val="24"/>
        </w:rPr>
        <w:t xml:space="preserve">. Levels of tobacco use have </w:t>
      </w:r>
      <w:r w:rsidR="006568E8" w:rsidRPr="00EF776D">
        <w:rPr>
          <w:rFonts w:ascii="Times New Roman" w:hAnsi="Times New Roman" w:cs="Times New Roman"/>
          <w:sz w:val="24"/>
          <w:szCs w:val="24"/>
        </w:rPr>
        <w:t>been dropping</w:t>
      </w:r>
      <w:r w:rsidR="00EB7C7E" w:rsidRPr="00EF776D">
        <w:rPr>
          <w:rFonts w:ascii="Times New Roman" w:hAnsi="Times New Roman" w:cs="Times New Roman"/>
          <w:sz w:val="24"/>
          <w:szCs w:val="24"/>
        </w:rPr>
        <w:t xml:space="preserve"> since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EB7C7E" w:rsidRPr="00EF776D">
        <w:rPr>
          <w:rFonts w:ascii="Times New Roman" w:hAnsi="Times New Roman" w:cs="Times New Roman"/>
          <w:sz w:val="24"/>
          <w:szCs w:val="24"/>
        </w:rPr>
        <w:t>year</w:t>
      </w:r>
      <w:r w:rsidR="006568E8" w:rsidRPr="00EF776D">
        <w:rPr>
          <w:rFonts w:ascii="Times New Roman" w:hAnsi="Times New Roman" w:cs="Times New Roman"/>
          <w:sz w:val="24"/>
          <w:szCs w:val="24"/>
        </w:rPr>
        <w:t xml:space="preserve"> 2000, that year global prevalence was 33.3% for people aged 15</w:t>
      </w:r>
      <w:r w:rsidR="002B04AC" w:rsidRPr="00EF776D">
        <w:rPr>
          <w:rFonts w:ascii="Times New Roman" w:hAnsi="Times New Roman" w:cs="Times New Roman"/>
          <w:sz w:val="24"/>
          <w:szCs w:val="24"/>
        </w:rPr>
        <w:t xml:space="preserve"> years and above. This trend is supposed to </w:t>
      </w:r>
      <w:r w:rsidR="00036C98" w:rsidRPr="00EF776D">
        <w:rPr>
          <w:rFonts w:ascii="Times New Roman" w:hAnsi="Times New Roman" w:cs="Times New Roman"/>
          <w:sz w:val="24"/>
          <w:szCs w:val="24"/>
        </w:rPr>
        <w:t>continue</w:t>
      </w:r>
      <w:r w:rsidR="002B04AC" w:rsidRPr="00EF776D">
        <w:rPr>
          <w:rFonts w:ascii="Times New Roman" w:hAnsi="Times New Roman" w:cs="Times New Roman"/>
          <w:sz w:val="24"/>
          <w:szCs w:val="24"/>
        </w:rPr>
        <w:t xml:space="preserve"> until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2B04AC" w:rsidRPr="00EF776D">
        <w:rPr>
          <w:rFonts w:ascii="Times New Roman" w:hAnsi="Times New Roman" w:cs="Times New Roman"/>
          <w:sz w:val="24"/>
          <w:szCs w:val="24"/>
        </w:rPr>
        <w:t>year 2025 when it is estimated that global prevalence will be</w:t>
      </w:r>
      <w:r w:rsidR="005173E8">
        <w:rPr>
          <w:rFonts w:ascii="Times New Roman" w:hAnsi="Times New Roman" w:cs="Times New Roman"/>
          <w:sz w:val="24"/>
          <w:szCs w:val="24"/>
        </w:rPr>
        <w:t xml:space="preserve"> around</w:t>
      </w:r>
      <w:r w:rsidR="002B04AC" w:rsidRPr="00EF776D">
        <w:rPr>
          <w:rFonts w:ascii="Times New Roman" w:hAnsi="Times New Roman" w:cs="Times New Roman"/>
          <w:sz w:val="24"/>
          <w:szCs w:val="24"/>
        </w:rPr>
        <w:t xml:space="preserve"> 20.9% for people in the same age group</w:t>
      </w:r>
      <w:r w:rsidR="00EF5F07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5173E8">
        <w:rPr>
          <w:rFonts w:ascii="Times New Roman" w:hAnsi="Times New Roman" w:cs="Times New Roman"/>
          <w:sz w:val="24"/>
          <w:szCs w:val="24"/>
        </w:rPr>
        <w:t>The g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lobal </w:t>
      </w:r>
      <w:r w:rsidR="00B074A8" w:rsidRPr="00EF776D">
        <w:rPr>
          <w:rFonts w:ascii="Times New Roman" w:hAnsi="Times New Roman" w:cs="Times New Roman"/>
          <w:sz w:val="24"/>
          <w:szCs w:val="24"/>
        </w:rPr>
        <w:lastRenderedPageBreak/>
        <w:t xml:space="preserve">decrease in tobacco consumption is due to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B074A8" w:rsidRPr="00EF776D">
        <w:rPr>
          <w:rFonts w:ascii="Times New Roman" w:hAnsi="Times New Roman" w:cs="Times New Roman"/>
          <w:sz w:val="24"/>
          <w:szCs w:val="24"/>
        </w:rPr>
        <w:t>efforts of WHO</w:t>
      </w:r>
      <w:r w:rsidR="00EF5F07" w:rsidRPr="00EF776D">
        <w:rPr>
          <w:rFonts w:ascii="Times New Roman" w:hAnsi="Times New Roman" w:cs="Times New Roman"/>
          <w:sz w:val="24"/>
          <w:szCs w:val="24"/>
        </w:rPr>
        <w:t xml:space="preserve"> and its Framework Convention on Tobacco Control (FCTC) campaign (WHO, 2019).</w:t>
      </w:r>
    </w:p>
    <w:p w14:paraId="6DD4CD63" w14:textId="2FDFCDE0" w:rsidR="00FF5B0E" w:rsidRPr="00FC0D34" w:rsidRDefault="00334724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In the Region of the Americas (AMR)</w:t>
      </w:r>
      <w:r w:rsidR="003E1C1F" w:rsidRPr="00EF776D">
        <w:rPr>
          <w:rFonts w:ascii="Times New Roman" w:hAnsi="Times New Roman" w:cs="Times New Roman"/>
          <w:sz w:val="24"/>
          <w:szCs w:val="24"/>
        </w:rPr>
        <w:t xml:space="preserve">, levels of tobacco consumption </w:t>
      </w:r>
      <w:r w:rsidR="007C73E4" w:rsidRPr="00EF776D">
        <w:rPr>
          <w:rFonts w:ascii="Times New Roman" w:hAnsi="Times New Roman" w:cs="Times New Roman"/>
          <w:sz w:val="24"/>
          <w:szCs w:val="24"/>
        </w:rPr>
        <w:t xml:space="preserve">among people aged 15 years and older, </w:t>
      </w:r>
      <w:r w:rsidR="001D0C3C" w:rsidRPr="00EF776D">
        <w:rPr>
          <w:rFonts w:ascii="Times New Roman" w:hAnsi="Times New Roman" w:cs="Times New Roman"/>
          <w:sz w:val="24"/>
          <w:szCs w:val="24"/>
        </w:rPr>
        <w:t>are notably low</w:t>
      </w:r>
      <w:r w:rsidR="00036C98" w:rsidRPr="00EF776D">
        <w:rPr>
          <w:rFonts w:ascii="Times New Roman" w:hAnsi="Times New Roman" w:cs="Times New Roman"/>
          <w:sz w:val="24"/>
          <w:szCs w:val="24"/>
        </w:rPr>
        <w:t xml:space="preserve"> when compared to other regions. For example,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the South-East Asia </w:t>
      </w:r>
      <w:r w:rsidR="007C73E4" w:rsidRPr="00EF776D">
        <w:rPr>
          <w:rFonts w:ascii="Times New Roman" w:hAnsi="Times New Roman" w:cs="Times New Roman"/>
          <w:sz w:val="24"/>
          <w:szCs w:val="24"/>
        </w:rPr>
        <w:t>R</w:t>
      </w:r>
      <w:r w:rsidR="00B074A8" w:rsidRPr="00EF776D">
        <w:rPr>
          <w:rFonts w:ascii="Times New Roman" w:hAnsi="Times New Roman" w:cs="Times New Roman"/>
          <w:sz w:val="24"/>
          <w:szCs w:val="24"/>
        </w:rPr>
        <w:t>egion</w:t>
      </w:r>
      <w:r w:rsidR="00A165D1" w:rsidRPr="00EF776D">
        <w:rPr>
          <w:rFonts w:ascii="Times New Roman" w:hAnsi="Times New Roman" w:cs="Times New Roman"/>
          <w:sz w:val="24"/>
          <w:szCs w:val="24"/>
        </w:rPr>
        <w:t xml:space="preserve"> (SEAR)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5173E8">
        <w:rPr>
          <w:rFonts w:ascii="Times New Roman" w:hAnsi="Times New Roman" w:cs="Times New Roman"/>
          <w:sz w:val="24"/>
          <w:szCs w:val="24"/>
        </w:rPr>
        <w:t>with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a prevalence of 2</w:t>
      </w:r>
      <w:r w:rsidR="007C73E4" w:rsidRPr="00EF776D">
        <w:rPr>
          <w:rFonts w:ascii="Times New Roman" w:hAnsi="Times New Roman" w:cs="Times New Roman"/>
          <w:sz w:val="24"/>
          <w:szCs w:val="24"/>
        </w:rPr>
        <w:t>9</w:t>
      </w:r>
      <w:r w:rsidR="00B074A8" w:rsidRPr="00EF776D">
        <w:rPr>
          <w:rFonts w:ascii="Times New Roman" w:hAnsi="Times New Roman" w:cs="Times New Roman"/>
          <w:sz w:val="24"/>
          <w:szCs w:val="24"/>
        </w:rPr>
        <w:t>.</w:t>
      </w:r>
      <w:r w:rsidR="007C73E4" w:rsidRPr="00EF776D">
        <w:rPr>
          <w:rFonts w:ascii="Times New Roman" w:hAnsi="Times New Roman" w:cs="Times New Roman"/>
          <w:sz w:val="24"/>
          <w:szCs w:val="24"/>
        </w:rPr>
        <w:t xml:space="preserve">1% </w:t>
      </w:r>
      <w:r w:rsidR="005173E8">
        <w:rPr>
          <w:rFonts w:ascii="Times New Roman" w:hAnsi="Times New Roman" w:cs="Times New Roman"/>
          <w:sz w:val="24"/>
          <w:szCs w:val="24"/>
        </w:rPr>
        <w:t>is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the highest in the world</w:t>
      </w:r>
      <w:r w:rsidR="007C73E4" w:rsidRPr="00EF776D">
        <w:rPr>
          <w:rFonts w:ascii="Times New Roman" w:hAnsi="Times New Roman" w:cs="Times New Roman"/>
          <w:sz w:val="24"/>
          <w:szCs w:val="24"/>
        </w:rPr>
        <w:t xml:space="preserve">; in </w:t>
      </w:r>
      <w:r w:rsidR="00B074A8" w:rsidRPr="00EF776D">
        <w:rPr>
          <w:rFonts w:ascii="Times New Roman" w:hAnsi="Times New Roman" w:cs="Times New Roman"/>
          <w:sz w:val="24"/>
          <w:szCs w:val="24"/>
        </w:rPr>
        <w:t>the Americas region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1</w:t>
      </w:r>
      <w:r w:rsidR="007C73E4" w:rsidRPr="00EF776D">
        <w:rPr>
          <w:rFonts w:ascii="Times New Roman" w:hAnsi="Times New Roman" w:cs="Times New Roman"/>
          <w:sz w:val="24"/>
          <w:szCs w:val="24"/>
        </w:rPr>
        <w:t>8</w:t>
      </w:r>
      <w:r w:rsidR="00B074A8" w:rsidRPr="00EF776D">
        <w:rPr>
          <w:rFonts w:ascii="Times New Roman" w:hAnsi="Times New Roman" w:cs="Times New Roman"/>
          <w:sz w:val="24"/>
          <w:szCs w:val="24"/>
        </w:rPr>
        <w:t>.4</w:t>
      </w:r>
      <w:r w:rsidR="007C73E4" w:rsidRPr="00EF776D">
        <w:rPr>
          <w:rFonts w:ascii="Times New Roman" w:hAnsi="Times New Roman" w:cs="Times New Roman"/>
          <w:sz w:val="24"/>
          <w:szCs w:val="24"/>
        </w:rPr>
        <w:t>% of its population use tobacco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, only above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Africa </w:t>
      </w:r>
      <w:r w:rsidR="00A165D1" w:rsidRPr="00EF776D">
        <w:rPr>
          <w:rFonts w:ascii="Times New Roman" w:hAnsi="Times New Roman" w:cs="Times New Roman"/>
          <w:sz w:val="24"/>
          <w:szCs w:val="24"/>
        </w:rPr>
        <w:t>R</w:t>
      </w:r>
      <w:r w:rsidR="00722357" w:rsidRPr="00EF776D">
        <w:rPr>
          <w:rFonts w:ascii="Times New Roman" w:hAnsi="Times New Roman" w:cs="Times New Roman"/>
          <w:sz w:val="24"/>
          <w:szCs w:val="24"/>
        </w:rPr>
        <w:t>egion</w:t>
      </w:r>
      <w:r w:rsidR="00A165D1" w:rsidRPr="00EF776D">
        <w:rPr>
          <w:rFonts w:ascii="Times New Roman" w:hAnsi="Times New Roman" w:cs="Times New Roman"/>
          <w:sz w:val="24"/>
          <w:szCs w:val="24"/>
        </w:rPr>
        <w:t xml:space="preserve"> (AFR)</w:t>
      </w:r>
      <w:r w:rsidR="00722357" w:rsidRPr="00EF776D">
        <w:rPr>
          <w:rFonts w:ascii="Times New Roman" w:hAnsi="Times New Roman" w:cs="Times New Roman"/>
          <w:sz w:val="24"/>
          <w:szCs w:val="24"/>
        </w:rPr>
        <w:t xml:space="preserve">, which </w:t>
      </w:r>
      <w:r w:rsidR="00B074A8" w:rsidRPr="00EF776D">
        <w:rPr>
          <w:rFonts w:ascii="Times New Roman" w:hAnsi="Times New Roman" w:cs="Times New Roman"/>
          <w:sz w:val="24"/>
          <w:szCs w:val="24"/>
        </w:rPr>
        <w:t>with a prevalence of 1</w:t>
      </w:r>
      <w:r w:rsidR="00722357" w:rsidRPr="00EF776D">
        <w:rPr>
          <w:rFonts w:ascii="Times New Roman" w:hAnsi="Times New Roman" w:cs="Times New Roman"/>
          <w:sz w:val="24"/>
          <w:szCs w:val="24"/>
        </w:rPr>
        <w:t>2.7% is the</w:t>
      </w:r>
      <w:r w:rsidR="00B074A8" w:rsidRPr="00EF776D">
        <w:rPr>
          <w:rFonts w:ascii="Times New Roman" w:hAnsi="Times New Roman" w:cs="Times New Roman"/>
          <w:sz w:val="24"/>
          <w:szCs w:val="24"/>
        </w:rPr>
        <w:t xml:space="preserve"> lowest in the world</w:t>
      </w:r>
      <w:r w:rsidR="00722357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82757" w:rsidRPr="00EF776D">
        <w:rPr>
          <w:rFonts w:ascii="Times New Roman" w:hAnsi="Times New Roman" w:cs="Times New Roman"/>
          <w:sz w:val="24"/>
          <w:szCs w:val="24"/>
        </w:rPr>
        <w:t xml:space="preserve">(WHO, 2019). Despite this low prevalence, tobacco use is responsible for around one million deaths every year in America, </w:t>
      </w:r>
      <w:r w:rsidR="00DE426E" w:rsidRPr="00EF776D">
        <w:rPr>
          <w:rFonts w:ascii="Times New Roman" w:hAnsi="Times New Roman" w:cs="Times New Roman"/>
          <w:sz w:val="24"/>
          <w:szCs w:val="24"/>
        </w:rPr>
        <w:t>besides</w:t>
      </w:r>
      <w:r w:rsidR="00CB17E3" w:rsidRPr="00EF776D">
        <w:rPr>
          <w:rFonts w:ascii="Times New Roman" w:hAnsi="Times New Roman" w:cs="Times New Roman"/>
          <w:sz w:val="24"/>
          <w:szCs w:val="24"/>
        </w:rPr>
        <w:t>,</w:t>
      </w:r>
      <w:r w:rsidR="00DE426E" w:rsidRPr="00EF776D">
        <w:rPr>
          <w:rFonts w:ascii="Times New Roman" w:hAnsi="Times New Roman" w:cs="Times New Roman"/>
          <w:sz w:val="24"/>
          <w:szCs w:val="24"/>
        </w:rPr>
        <w:t xml:space="preserve"> due to the constant growth in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DE426E" w:rsidRPr="00EF776D">
        <w:rPr>
          <w:rFonts w:ascii="Times New Roman" w:hAnsi="Times New Roman" w:cs="Times New Roman"/>
          <w:sz w:val="24"/>
          <w:szCs w:val="24"/>
        </w:rPr>
        <w:t>world population, the absolute number of smokers continues to increase</w:t>
      </w:r>
      <w:r w:rsidR="005F738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2418EC" w:rsidRPr="00EF776D">
        <w:rPr>
          <w:rFonts w:ascii="Times New Roman" w:hAnsi="Times New Roman" w:cs="Times New Roman"/>
          <w:sz w:val="24"/>
          <w:szCs w:val="24"/>
        </w:rPr>
        <w:t>(Pan American Health Organization [PAHO], 2018</w:t>
      </w:r>
      <w:r w:rsidR="006E159B" w:rsidRPr="00EF776D">
        <w:rPr>
          <w:rFonts w:ascii="Times New Roman" w:hAnsi="Times New Roman" w:cs="Times New Roman"/>
          <w:sz w:val="24"/>
          <w:szCs w:val="24"/>
        </w:rPr>
        <w:t xml:space="preserve">). </w:t>
      </w:r>
      <w:r w:rsidR="005173E8">
        <w:rPr>
          <w:rFonts w:ascii="Times New Roman" w:hAnsi="Times New Roman" w:cs="Times New Roman"/>
          <w:sz w:val="24"/>
          <w:szCs w:val="24"/>
        </w:rPr>
        <w:t>The p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revalence </w:t>
      </w:r>
      <w:r w:rsidR="000575BE">
        <w:rPr>
          <w:rFonts w:ascii="Times New Roman" w:hAnsi="Times New Roman" w:cs="Times New Roman"/>
          <w:sz w:val="24"/>
          <w:szCs w:val="24"/>
        </w:rPr>
        <w:t xml:space="preserve">of tobacco use among college students is around 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43% and 56% in countries such as Colombia (Castro-Sánchez et al., 2017), </w:t>
      </w:r>
      <w:r w:rsidR="000575BE">
        <w:rPr>
          <w:rFonts w:ascii="Times New Roman" w:hAnsi="Times New Roman" w:cs="Times New Roman"/>
          <w:sz w:val="24"/>
          <w:szCs w:val="24"/>
        </w:rPr>
        <w:t xml:space="preserve">which is higher when compared to other countries such as </w:t>
      </w:r>
      <w:r w:rsidR="00FC0D34" w:rsidRPr="00FC0D34">
        <w:rPr>
          <w:rFonts w:ascii="Times New Roman" w:hAnsi="Times New Roman" w:cs="Times New Roman"/>
          <w:sz w:val="24"/>
          <w:szCs w:val="24"/>
        </w:rPr>
        <w:t>Mexico</w:t>
      </w:r>
      <w:r w:rsidR="00A228DE">
        <w:rPr>
          <w:rFonts w:ascii="Times New Roman" w:hAnsi="Times New Roman" w:cs="Times New Roman"/>
          <w:sz w:val="24"/>
          <w:szCs w:val="24"/>
        </w:rPr>
        <w:t>,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0575BE">
        <w:rPr>
          <w:rFonts w:ascii="Times New Roman" w:hAnsi="Times New Roman" w:cs="Times New Roman"/>
          <w:sz w:val="24"/>
          <w:szCs w:val="24"/>
        </w:rPr>
        <w:t>with a prevalence of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26.7% (Gómez Cruz et al., 2018).</w:t>
      </w:r>
      <w:r w:rsidR="000575BE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>Both tobacco and alcohol consumption in college students is associated with multiple causes, ranging from cognitive and emotional aspects</w:t>
      </w:r>
      <w:r w:rsidR="00A228DE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>to sociodemographic elements such as sex 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Intarut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>, 2017; Mayorga-Lascano et al., 2019; Moreta-Herrera et al. al., 2019)</w:t>
      </w:r>
      <w:r w:rsidR="00A228DE">
        <w:rPr>
          <w:rFonts w:ascii="Times New Roman" w:hAnsi="Times New Roman" w:cs="Times New Roman"/>
          <w:sz w:val="24"/>
          <w:szCs w:val="24"/>
        </w:rPr>
        <w:t>.</w:t>
      </w:r>
    </w:p>
    <w:p w14:paraId="19D24FD2" w14:textId="41261A89" w:rsidR="00211FDE" w:rsidRPr="00EF776D" w:rsidRDefault="00B30C0B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Importance of </w:t>
      </w:r>
      <w:r w:rsidR="00B10BA9"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Sex </w:t>
      </w:r>
      <w:r w:rsidRPr="00EF776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10BA9" w:rsidRPr="00EF776D">
        <w:rPr>
          <w:rFonts w:ascii="Times New Roman" w:hAnsi="Times New Roman" w:cs="Times New Roman"/>
          <w:b/>
          <w:bCs/>
          <w:sz w:val="24"/>
          <w:szCs w:val="24"/>
        </w:rPr>
        <w:t>ifferences</w:t>
      </w:r>
      <w:r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 Research</w:t>
      </w:r>
      <w:r w:rsidR="00B10BA9" w:rsidRPr="00EF7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B5C6C3" w14:textId="44F7ED65" w:rsidR="00375D14" w:rsidRPr="00EF776D" w:rsidRDefault="007F0806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In the last five years,</w:t>
      </w:r>
      <w:r w:rsidR="00D11F3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D11F33" w:rsidRPr="00EF776D">
        <w:rPr>
          <w:rFonts w:ascii="Times New Roman" w:hAnsi="Times New Roman" w:cs="Times New Roman"/>
          <w:sz w:val="24"/>
          <w:szCs w:val="24"/>
        </w:rPr>
        <w:t xml:space="preserve">importance of </w:t>
      </w:r>
      <w:r w:rsidRPr="00EF776D">
        <w:rPr>
          <w:rFonts w:ascii="Times New Roman" w:hAnsi="Times New Roman" w:cs="Times New Roman"/>
          <w:sz w:val="24"/>
          <w:szCs w:val="24"/>
        </w:rPr>
        <w:t>research on sex differences has increased exponentially, due to the mandate of the U.S. National Institute</w:t>
      </w:r>
      <w:r w:rsidR="00211FDE" w:rsidRPr="00EF776D">
        <w:rPr>
          <w:rFonts w:ascii="Times New Roman" w:hAnsi="Times New Roman" w:cs="Times New Roman"/>
          <w:sz w:val="24"/>
          <w:szCs w:val="24"/>
        </w:rPr>
        <w:t>s</w:t>
      </w:r>
      <w:r w:rsidRPr="00EF776D">
        <w:rPr>
          <w:rFonts w:ascii="Times New Roman" w:hAnsi="Times New Roman" w:cs="Times New Roman"/>
          <w:sz w:val="24"/>
          <w:szCs w:val="24"/>
        </w:rPr>
        <w:t xml:space="preserve"> of Health (NIH) to include sex as a biological variable (SA</w:t>
      </w:r>
      <w:r w:rsidR="0074664E" w:rsidRPr="00EF776D">
        <w:rPr>
          <w:rFonts w:ascii="Times New Roman" w:hAnsi="Times New Roman" w:cs="Times New Roman"/>
          <w:sz w:val="24"/>
          <w:szCs w:val="24"/>
        </w:rPr>
        <w:t>BV</w:t>
      </w:r>
      <w:r w:rsidRPr="00EF776D">
        <w:rPr>
          <w:rFonts w:ascii="Times New Roman" w:hAnsi="Times New Roman" w:cs="Times New Roman"/>
          <w:sz w:val="24"/>
          <w:szCs w:val="24"/>
        </w:rPr>
        <w:t>)</w:t>
      </w:r>
      <w:r w:rsidR="0074664E" w:rsidRPr="00EF776D">
        <w:rPr>
          <w:rFonts w:ascii="Times New Roman" w:hAnsi="Times New Roman" w:cs="Times New Roman"/>
          <w:sz w:val="24"/>
          <w:szCs w:val="24"/>
        </w:rPr>
        <w:t xml:space="preserve"> in all its studies </w:t>
      </w:r>
      <w:r w:rsidR="004D34E0" w:rsidRPr="00EF776D">
        <w:rPr>
          <w:rFonts w:ascii="Times New Roman" w:hAnsi="Times New Roman" w:cs="Times New Roman"/>
          <w:sz w:val="24"/>
          <w:szCs w:val="24"/>
        </w:rPr>
        <w:t>(NIH, 2015)</w:t>
      </w:r>
      <w:r w:rsidR="0074664E" w:rsidRPr="00EF776D">
        <w:rPr>
          <w:rFonts w:ascii="Times New Roman" w:hAnsi="Times New Roman" w:cs="Times New Roman"/>
          <w:sz w:val="24"/>
          <w:szCs w:val="24"/>
        </w:rPr>
        <w:t>.</w:t>
      </w:r>
      <w:r w:rsidR="007E573D" w:rsidRPr="00EF776D">
        <w:rPr>
          <w:rFonts w:ascii="Times New Roman" w:hAnsi="Times New Roman" w:cs="Times New Roman"/>
          <w:sz w:val="24"/>
          <w:szCs w:val="24"/>
        </w:rPr>
        <w:t xml:space="preserve"> This decision </w:t>
      </w:r>
      <w:r w:rsidR="0095730B" w:rsidRPr="00EF776D">
        <w:rPr>
          <w:rFonts w:ascii="Times New Roman" w:hAnsi="Times New Roman" w:cs="Times New Roman"/>
          <w:sz w:val="24"/>
          <w:szCs w:val="24"/>
        </w:rPr>
        <w:t xml:space="preserve">has improved scientific knowledge, mainly in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95730B" w:rsidRPr="00EF776D">
        <w:rPr>
          <w:rFonts w:ascii="Times New Roman" w:hAnsi="Times New Roman" w:cs="Times New Roman"/>
          <w:sz w:val="24"/>
          <w:szCs w:val="24"/>
        </w:rPr>
        <w:t>women’s health department, having now research designs, large databases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95730B" w:rsidRPr="00EF776D">
        <w:rPr>
          <w:rFonts w:ascii="Times New Roman" w:hAnsi="Times New Roman" w:cs="Times New Roman"/>
          <w:sz w:val="24"/>
          <w:szCs w:val="24"/>
        </w:rPr>
        <w:t xml:space="preserve"> and data analyses </w:t>
      </w:r>
      <w:r w:rsidR="00B41215" w:rsidRPr="00EF776D">
        <w:rPr>
          <w:rFonts w:ascii="Times New Roman" w:hAnsi="Times New Roman" w:cs="Times New Roman"/>
          <w:sz w:val="24"/>
          <w:szCs w:val="24"/>
        </w:rPr>
        <w:t>that</w:t>
      </w:r>
      <w:r w:rsidR="0095730B" w:rsidRPr="00EF776D">
        <w:rPr>
          <w:rFonts w:ascii="Times New Roman" w:hAnsi="Times New Roman" w:cs="Times New Roman"/>
          <w:sz w:val="24"/>
          <w:szCs w:val="24"/>
        </w:rPr>
        <w:t xml:space="preserve"> include SABV</w:t>
      </w:r>
      <w:r w:rsidR="00B41215" w:rsidRPr="00EF776D">
        <w:rPr>
          <w:rFonts w:ascii="Times New Roman" w:hAnsi="Times New Roman" w:cs="Times New Roman"/>
          <w:sz w:val="24"/>
          <w:szCs w:val="24"/>
        </w:rPr>
        <w:t xml:space="preserve"> (Arnegard et al., 2020)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. Although there has been some rejection </w:t>
      </w:r>
      <w:r w:rsidR="005173E8">
        <w:rPr>
          <w:rFonts w:ascii="Times New Roman" w:hAnsi="Times New Roman" w:cs="Times New Roman"/>
          <w:sz w:val="24"/>
          <w:szCs w:val="24"/>
        </w:rPr>
        <w:t>of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 this met</w:t>
      </w:r>
      <w:r w:rsidR="003D5FA3" w:rsidRPr="00EF776D">
        <w:rPr>
          <w:rFonts w:ascii="Times New Roman" w:hAnsi="Times New Roman" w:cs="Times New Roman"/>
          <w:sz w:val="24"/>
          <w:szCs w:val="24"/>
        </w:rPr>
        <w:t>h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odology, </w:t>
      </w:r>
      <w:r w:rsidR="003D5FA3" w:rsidRPr="00EF776D">
        <w:rPr>
          <w:rFonts w:ascii="Times New Roman" w:hAnsi="Times New Roman" w:cs="Times New Roman"/>
          <w:sz w:val="24"/>
          <w:szCs w:val="24"/>
        </w:rPr>
        <w:t>mainly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 due to the idea that in order to achieve acceptable results </w:t>
      </w:r>
      <w:r w:rsidR="003D5FA3" w:rsidRPr="00EF776D">
        <w:rPr>
          <w:rFonts w:ascii="Times New Roman" w:hAnsi="Times New Roman" w:cs="Times New Roman"/>
          <w:sz w:val="24"/>
          <w:szCs w:val="24"/>
        </w:rPr>
        <w:t>it is</w:t>
      </w:r>
      <w:r w:rsidR="00B82BE6" w:rsidRPr="00EF776D">
        <w:rPr>
          <w:rFonts w:ascii="Times New Roman" w:hAnsi="Times New Roman" w:cs="Times New Roman"/>
          <w:sz w:val="24"/>
          <w:szCs w:val="24"/>
        </w:rPr>
        <w:t xml:space="preserve"> imperative to double the sample size </w:t>
      </w:r>
      <w:r w:rsidR="00C25CDD" w:rsidRPr="00EF776D">
        <w:rPr>
          <w:rFonts w:ascii="Times New Roman" w:hAnsi="Times New Roman" w:cs="Times New Roman"/>
          <w:sz w:val="24"/>
          <w:szCs w:val="24"/>
        </w:rPr>
        <w:t>(Galea et al., 2020), there is evidence</w:t>
      </w:r>
      <w:r w:rsidR="009A1626" w:rsidRPr="00EF776D">
        <w:rPr>
          <w:rFonts w:ascii="Times New Roman" w:hAnsi="Times New Roman" w:cs="Times New Roman"/>
          <w:sz w:val="24"/>
          <w:szCs w:val="24"/>
        </w:rPr>
        <w:t xml:space="preserve"> showing </w:t>
      </w:r>
      <w:r w:rsidR="00C25CDD" w:rsidRPr="00EF776D">
        <w:rPr>
          <w:rFonts w:ascii="Times New Roman" w:hAnsi="Times New Roman" w:cs="Times New Roman"/>
          <w:sz w:val="24"/>
          <w:szCs w:val="24"/>
        </w:rPr>
        <w:t xml:space="preserve">that exploratory studies on sex differences </w:t>
      </w:r>
      <w:r w:rsidR="009A1626" w:rsidRPr="00EF776D">
        <w:rPr>
          <w:rFonts w:ascii="Times New Roman" w:hAnsi="Times New Roman" w:cs="Times New Roman"/>
          <w:sz w:val="24"/>
          <w:szCs w:val="24"/>
        </w:rPr>
        <w:t>do not need</w:t>
      </w:r>
      <w:r w:rsidR="00C25CDD" w:rsidRPr="00EF776D">
        <w:rPr>
          <w:rFonts w:ascii="Times New Roman" w:hAnsi="Times New Roman" w:cs="Times New Roman"/>
          <w:sz w:val="24"/>
          <w:szCs w:val="24"/>
        </w:rPr>
        <w:t xml:space="preserve"> sample augmentation and confirmatory analysis can be performed with only a 33</w:t>
      </w:r>
      <w:r w:rsidR="009A1626" w:rsidRPr="00EF776D">
        <w:rPr>
          <w:rFonts w:ascii="Times New Roman" w:hAnsi="Times New Roman" w:cs="Times New Roman"/>
          <w:sz w:val="24"/>
          <w:szCs w:val="24"/>
        </w:rPr>
        <w:t xml:space="preserve">% increase in the sample </w:t>
      </w:r>
      <w:r w:rsidR="006F3DE5" w:rsidRPr="00EF776D">
        <w:rPr>
          <w:rFonts w:ascii="Times New Roman" w:hAnsi="Times New Roman" w:cs="Times New Roman"/>
          <w:sz w:val="24"/>
          <w:szCs w:val="24"/>
        </w:rPr>
        <w:t>(Buch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6F3DE5" w:rsidRPr="00EF776D">
        <w:rPr>
          <w:rFonts w:ascii="Times New Roman" w:hAnsi="Times New Roman" w:cs="Times New Roman"/>
          <w:sz w:val="24"/>
          <w:szCs w:val="24"/>
        </w:rPr>
        <w:t>, 2019; Canadian Institutes of Health Research, 2018).</w:t>
      </w:r>
    </w:p>
    <w:p w14:paraId="606FC448" w14:textId="765B0A5D" w:rsidR="004B5B51" w:rsidRPr="00EF776D" w:rsidRDefault="00634DE1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Research on sex differences has provided valuable information </w:t>
      </w:r>
      <w:r w:rsidR="004B5B51" w:rsidRPr="00EF776D">
        <w:rPr>
          <w:rFonts w:ascii="Times New Roman" w:hAnsi="Times New Roman" w:cs="Times New Roman"/>
          <w:sz w:val="24"/>
          <w:szCs w:val="24"/>
        </w:rPr>
        <w:t xml:space="preserve">around </w:t>
      </w:r>
      <w:r w:rsidRPr="00EF776D">
        <w:rPr>
          <w:rFonts w:ascii="Times New Roman" w:hAnsi="Times New Roman" w:cs="Times New Roman"/>
          <w:sz w:val="24"/>
          <w:szCs w:val="24"/>
        </w:rPr>
        <w:t xml:space="preserve">several diseases. </w:t>
      </w:r>
      <w:r w:rsidR="00663BEB" w:rsidRPr="00EF776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DD4D09" w:rsidRPr="00EF776D">
        <w:rPr>
          <w:rFonts w:ascii="Times New Roman" w:hAnsi="Times New Roman" w:cs="Times New Roman"/>
          <w:sz w:val="24"/>
          <w:szCs w:val="24"/>
        </w:rPr>
        <w:t xml:space="preserve">stress-induced cardiomyopathy is more prevalent in women but men present a more severe clinical onset of cardiovascular diseases </w:t>
      </w:r>
      <w:r w:rsidR="004B5B51" w:rsidRPr="00EF776D">
        <w:rPr>
          <w:rFonts w:ascii="Times New Roman" w:hAnsi="Times New Roman" w:cs="Times New Roman"/>
          <w:sz w:val="24"/>
          <w:szCs w:val="24"/>
        </w:rPr>
        <w:t xml:space="preserve">(De Bellis et al., 2020); </w:t>
      </w:r>
      <w:r w:rsidR="007F5971" w:rsidRPr="00EF776D">
        <w:rPr>
          <w:rFonts w:ascii="Times New Roman" w:hAnsi="Times New Roman" w:cs="Times New Roman"/>
          <w:sz w:val="24"/>
          <w:szCs w:val="24"/>
        </w:rPr>
        <w:t xml:space="preserve">females face a greater </w:t>
      </w:r>
      <w:r w:rsidR="004B5B51" w:rsidRPr="00EF776D">
        <w:rPr>
          <w:rFonts w:ascii="Times New Roman" w:hAnsi="Times New Roman" w:cs="Times New Roman"/>
          <w:sz w:val="24"/>
          <w:szCs w:val="24"/>
        </w:rPr>
        <w:t xml:space="preserve">risk of suffering from multiple sclerosis (MS), but men have a </w:t>
      </w:r>
      <w:r w:rsidR="004B5B51" w:rsidRPr="00EF776D">
        <w:rPr>
          <w:rFonts w:ascii="Times New Roman" w:hAnsi="Times New Roman" w:cs="Times New Roman"/>
          <w:sz w:val="24"/>
          <w:szCs w:val="24"/>
        </w:rPr>
        <w:lastRenderedPageBreak/>
        <w:t>worse progression of the disease</w:t>
      </w:r>
      <w:r w:rsidR="007F5971" w:rsidRPr="00EF776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41214102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(Golden &amp; Voskuhl, 2017)</w:t>
          </w:r>
        </w:sdtContent>
      </w:sdt>
      <w:r w:rsidR="004B5B51" w:rsidRPr="00EF776D">
        <w:rPr>
          <w:rFonts w:ascii="Times New Roman" w:hAnsi="Times New Roman" w:cs="Times New Roman"/>
          <w:sz w:val="24"/>
          <w:szCs w:val="24"/>
        </w:rPr>
        <w:t>.</w:t>
      </w:r>
      <w:r w:rsidR="00900A4B" w:rsidRPr="00EF776D">
        <w:rPr>
          <w:rFonts w:ascii="Times New Roman" w:hAnsi="Times New Roman" w:cs="Times New Roman"/>
          <w:sz w:val="24"/>
          <w:szCs w:val="24"/>
        </w:rPr>
        <w:t xml:space="preserve"> Sex also has an impact on treatments</w:t>
      </w:r>
      <w:r w:rsidR="00FF19D7" w:rsidRPr="00EF776D">
        <w:rPr>
          <w:rFonts w:ascii="Times New Roman" w:hAnsi="Times New Roman" w:cs="Times New Roman"/>
          <w:sz w:val="24"/>
          <w:szCs w:val="24"/>
        </w:rPr>
        <w:t xml:space="preserve">, some therapies for malignant brain tumors are more effective in women than in men </w:t>
      </w:r>
      <w:r w:rsidR="00960466" w:rsidRPr="00EF776D">
        <w:rPr>
          <w:rFonts w:ascii="Times New Roman" w:hAnsi="Times New Roman" w:cs="Times New Roman"/>
          <w:sz w:val="24"/>
          <w:szCs w:val="24"/>
        </w:rPr>
        <w:t>(Yang et al., 2019)</w:t>
      </w:r>
      <w:r w:rsidR="00FF19D7" w:rsidRPr="00EF776D">
        <w:rPr>
          <w:rFonts w:ascii="Times New Roman" w:hAnsi="Times New Roman" w:cs="Times New Roman"/>
          <w:sz w:val="24"/>
          <w:szCs w:val="24"/>
        </w:rPr>
        <w:t>, but women respond worst to surgery</w:t>
      </w:r>
      <w:r w:rsidR="00960466" w:rsidRPr="00EF77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0466" w:rsidRPr="00EF776D">
        <w:rPr>
          <w:rFonts w:ascii="Times New Roman" w:hAnsi="Times New Roman" w:cs="Times New Roman"/>
          <w:sz w:val="24"/>
          <w:szCs w:val="24"/>
        </w:rPr>
        <w:t>Giustino</w:t>
      </w:r>
      <w:proofErr w:type="spellEnd"/>
      <w:r w:rsidR="00960466" w:rsidRPr="00EF776D">
        <w:rPr>
          <w:rFonts w:ascii="Times New Roman" w:hAnsi="Times New Roman" w:cs="Times New Roman"/>
          <w:sz w:val="24"/>
          <w:szCs w:val="24"/>
        </w:rPr>
        <w:t xml:space="preserve"> et al</w:t>
      </w:r>
      <w:r w:rsidR="00812E6E">
        <w:rPr>
          <w:rFonts w:ascii="Times New Roman" w:hAnsi="Times New Roman" w:cs="Times New Roman"/>
          <w:sz w:val="24"/>
          <w:szCs w:val="24"/>
        </w:rPr>
        <w:t>.</w:t>
      </w:r>
      <w:r w:rsidR="00960466" w:rsidRPr="00EF776D">
        <w:rPr>
          <w:rFonts w:ascii="Times New Roman" w:hAnsi="Times New Roman" w:cs="Times New Roman"/>
          <w:sz w:val="24"/>
          <w:szCs w:val="24"/>
        </w:rPr>
        <w:t>, 2019)</w:t>
      </w:r>
      <w:r w:rsidR="00FF19D7" w:rsidRPr="00EF776D">
        <w:rPr>
          <w:rFonts w:ascii="Times New Roman" w:hAnsi="Times New Roman" w:cs="Times New Roman"/>
          <w:sz w:val="24"/>
          <w:szCs w:val="24"/>
        </w:rPr>
        <w:t xml:space="preserve"> and are prone to suffer more side effects from pharmacological agents</w:t>
      </w:r>
      <w:r w:rsidR="00431C12" w:rsidRPr="00EF776D">
        <w:rPr>
          <w:rFonts w:ascii="Times New Roman" w:hAnsi="Times New Roman" w:cs="Times New Roman"/>
          <w:sz w:val="24"/>
          <w:szCs w:val="24"/>
        </w:rPr>
        <w:t xml:space="preserve"> (Haack et al., 2009)</w:t>
      </w:r>
      <w:r w:rsidR="00FF19D7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0128145E" w14:textId="7C525AFA" w:rsidR="00FC0D34" w:rsidRPr="00A228DE" w:rsidRDefault="00431C12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Mental illnesses also display changes according to sex</w:t>
      </w:r>
      <w:r w:rsidR="004177F3" w:rsidRPr="00EF776D">
        <w:rPr>
          <w:rFonts w:ascii="Times New Roman" w:hAnsi="Times New Roman" w:cs="Times New Roman"/>
          <w:sz w:val="24"/>
          <w:szCs w:val="24"/>
        </w:rPr>
        <w:t>,</w:t>
      </w:r>
      <w:r w:rsidR="008D65D8" w:rsidRPr="00EF776D">
        <w:rPr>
          <w:rFonts w:ascii="Times New Roman" w:hAnsi="Times New Roman" w:cs="Times New Roman"/>
          <w:sz w:val="24"/>
          <w:szCs w:val="24"/>
        </w:rPr>
        <w:t xml:space="preserve"> for instance,</w:t>
      </w:r>
      <w:r w:rsidR="004177F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D65D8" w:rsidRPr="00EF776D">
        <w:rPr>
          <w:rFonts w:ascii="Times New Roman" w:hAnsi="Times New Roman" w:cs="Times New Roman"/>
          <w:sz w:val="24"/>
          <w:szCs w:val="24"/>
        </w:rPr>
        <w:t xml:space="preserve">anxiety and fear-related disorders are more prevalent in women than men </w:t>
      </w:r>
      <w:sdt>
        <w:sdtPr>
          <w:rPr>
            <w:rFonts w:ascii="Times New Roman" w:hAnsi="Times New Roman" w:cs="Times New Roman"/>
            <w:sz w:val="24"/>
            <w:szCs w:val="24"/>
          </w:rPr>
          <w:id w:val="-664168586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(Maeng &amp; Milad, 2015)</w:t>
          </w:r>
        </w:sdtContent>
      </w:sdt>
      <w:r w:rsidR="008D65D8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5B7142" w:rsidRPr="00EF776D">
        <w:rPr>
          <w:rFonts w:ascii="Times New Roman" w:hAnsi="Times New Roman" w:cs="Times New Roman"/>
          <w:sz w:val="24"/>
          <w:szCs w:val="24"/>
        </w:rPr>
        <w:t xml:space="preserve">Incidence of epilepsy is relatively higher in men rather than women, but only females present catamenial epilepsy, where seizures are related to the menstrual cycle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1623700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(Reddy, 2017)</w:t>
          </w:r>
        </w:sdtContent>
      </w:sdt>
      <w:r w:rsidR="005B7142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5173E8">
        <w:rPr>
          <w:rFonts w:ascii="Times New Roman" w:hAnsi="Times New Roman" w:cs="Times New Roman"/>
          <w:sz w:val="24"/>
          <w:szCs w:val="24"/>
        </w:rPr>
        <w:t>The o</w:t>
      </w:r>
      <w:r w:rsidR="005B7142" w:rsidRPr="00EF776D">
        <w:rPr>
          <w:rFonts w:ascii="Times New Roman" w:hAnsi="Times New Roman" w:cs="Times New Roman"/>
          <w:sz w:val="24"/>
          <w:szCs w:val="24"/>
        </w:rPr>
        <w:t>nset of some mental illnes</w:t>
      </w:r>
      <w:r w:rsidR="005173E8">
        <w:rPr>
          <w:rFonts w:ascii="Times New Roman" w:hAnsi="Times New Roman" w:cs="Times New Roman"/>
          <w:sz w:val="24"/>
          <w:szCs w:val="24"/>
        </w:rPr>
        <w:t>se</w:t>
      </w:r>
      <w:r w:rsidR="005B7142" w:rsidRPr="00EF776D">
        <w:rPr>
          <w:rFonts w:ascii="Times New Roman" w:hAnsi="Times New Roman" w:cs="Times New Roman"/>
          <w:sz w:val="24"/>
          <w:szCs w:val="24"/>
        </w:rPr>
        <w:t xml:space="preserve">s also </w:t>
      </w:r>
      <w:r w:rsidR="005173E8">
        <w:rPr>
          <w:rFonts w:ascii="Times New Roman" w:hAnsi="Times New Roman" w:cs="Times New Roman"/>
          <w:sz w:val="24"/>
          <w:szCs w:val="24"/>
        </w:rPr>
        <w:t>present</w:t>
      </w:r>
      <w:r w:rsidR="005B7142" w:rsidRPr="00EF776D">
        <w:rPr>
          <w:rFonts w:ascii="Times New Roman" w:hAnsi="Times New Roman" w:cs="Times New Roman"/>
          <w:sz w:val="24"/>
          <w:szCs w:val="24"/>
        </w:rPr>
        <w:t xml:space="preserve"> remarkable sex differences; </w:t>
      </w:r>
      <w:r w:rsidR="00F61162" w:rsidRPr="00EF776D">
        <w:rPr>
          <w:rFonts w:ascii="Times New Roman" w:hAnsi="Times New Roman" w:cs="Times New Roman"/>
          <w:sz w:val="24"/>
          <w:szCs w:val="24"/>
        </w:rPr>
        <w:t>obsessive</w:t>
      </w:r>
      <w:r w:rsidR="005173E8">
        <w:rPr>
          <w:rFonts w:ascii="Times New Roman" w:hAnsi="Times New Roman" w:cs="Times New Roman"/>
          <w:sz w:val="24"/>
          <w:szCs w:val="24"/>
        </w:rPr>
        <w:t>-</w:t>
      </w:r>
      <w:r w:rsidR="00F61162" w:rsidRPr="00EF776D">
        <w:rPr>
          <w:rFonts w:ascii="Times New Roman" w:hAnsi="Times New Roman" w:cs="Times New Roman"/>
          <w:sz w:val="24"/>
          <w:szCs w:val="24"/>
        </w:rPr>
        <w:t>compulsive disorder (OCD) occurs around the first years of adolescence in males but for females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F61162" w:rsidRPr="00EF776D">
        <w:rPr>
          <w:rFonts w:ascii="Times New Roman" w:hAnsi="Times New Roman" w:cs="Times New Roman"/>
          <w:sz w:val="24"/>
          <w:szCs w:val="24"/>
        </w:rPr>
        <w:t xml:space="preserve"> it usually appears during the perinatal period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2252280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</w:rPr>
            <w:t>(Mattina &amp; Steiner, 2016)</w:t>
          </w:r>
        </w:sdtContent>
      </w:sdt>
      <w:r w:rsidR="006D72B2" w:rsidRPr="00EF776D">
        <w:rPr>
          <w:rFonts w:ascii="Times New Roman" w:hAnsi="Times New Roman" w:cs="Times New Roman"/>
          <w:sz w:val="24"/>
          <w:szCs w:val="24"/>
        </w:rPr>
        <w:t xml:space="preserve">, and </w:t>
      </w:r>
      <w:r w:rsidR="00F61162" w:rsidRPr="00EF776D">
        <w:rPr>
          <w:rFonts w:ascii="Times New Roman" w:hAnsi="Times New Roman" w:cs="Times New Roman"/>
          <w:sz w:val="24"/>
          <w:szCs w:val="24"/>
        </w:rPr>
        <w:t>in schizophrenia</w:t>
      </w:r>
      <w:r w:rsidR="005173E8">
        <w:rPr>
          <w:rFonts w:ascii="Times New Roman" w:hAnsi="Times New Roman" w:cs="Times New Roman"/>
          <w:sz w:val="24"/>
          <w:szCs w:val="24"/>
        </w:rPr>
        <w:t>,</w:t>
      </w:r>
      <w:r w:rsidR="006D72B2" w:rsidRPr="00EF776D">
        <w:rPr>
          <w:rFonts w:ascii="Times New Roman" w:hAnsi="Times New Roman" w:cs="Times New Roman"/>
          <w:sz w:val="24"/>
          <w:szCs w:val="24"/>
        </w:rPr>
        <w:t xml:space="preserve"> m</w:t>
      </w:r>
      <w:r w:rsidR="00F61162" w:rsidRPr="00EF776D">
        <w:rPr>
          <w:rFonts w:ascii="Times New Roman" w:hAnsi="Times New Roman" w:cs="Times New Roman"/>
          <w:sz w:val="24"/>
          <w:szCs w:val="24"/>
        </w:rPr>
        <w:t xml:space="preserve">ales are more likely to present </w:t>
      </w:r>
      <w:r w:rsidR="006D72B2" w:rsidRPr="00EF776D">
        <w:rPr>
          <w:rFonts w:ascii="Times New Roman" w:hAnsi="Times New Roman" w:cs="Times New Roman"/>
          <w:sz w:val="24"/>
          <w:szCs w:val="24"/>
        </w:rPr>
        <w:t xml:space="preserve">the disease between 21 and 25 years old, whereas females present </w:t>
      </w:r>
      <w:r w:rsidR="00F61162" w:rsidRPr="00EF776D">
        <w:rPr>
          <w:rFonts w:ascii="Times New Roman" w:hAnsi="Times New Roman" w:cs="Times New Roman"/>
          <w:sz w:val="24"/>
          <w:szCs w:val="24"/>
        </w:rPr>
        <w:t xml:space="preserve">schizophrenia a couple of years later than males </w:t>
      </w:r>
      <w:r w:rsidR="0069283F" w:rsidRPr="00EF776D">
        <w:rPr>
          <w:rFonts w:ascii="Times New Roman" w:hAnsi="Times New Roman" w:cs="Times New Roman"/>
          <w:sz w:val="24"/>
          <w:szCs w:val="24"/>
        </w:rPr>
        <w:t xml:space="preserve">or in the middle-age </w:t>
      </w:r>
      <w:r w:rsidR="006D72B2" w:rsidRPr="00EF776D">
        <w:rPr>
          <w:rFonts w:ascii="Times New Roman" w:hAnsi="Times New Roman" w:cs="Times New Roman"/>
          <w:sz w:val="24"/>
          <w:szCs w:val="24"/>
        </w:rPr>
        <w:t>around 45 years old</w:t>
      </w:r>
      <w:r w:rsidR="0069283F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30C0B" w:rsidRPr="00EF776D">
        <w:rPr>
          <w:rFonts w:ascii="Times New Roman" w:hAnsi="Times New Roman" w:cs="Times New Roman"/>
          <w:sz w:val="24"/>
          <w:szCs w:val="24"/>
        </w:rPr>
        <w:t xml:space="preserve">(Li et al., 2016; </w:t>
      </w:r>
      <w:proofErr w:type="spellStart"/>
      <w:r w:rsidR="00B30C0B" w:rsidRPr="00EF776D">
        <w:rPr>
          <w:rFonts w:ascii="Times New Roman" w:hAnsi="Times New Roman" w:cs="Times New Roman"/>
          <w:sz w:val="24"/>
          <w:szCs w:val="24"/>
        </w:rPr>
        <w:t>Gogos</w:t>
      </w:r>
      <w:proofErr w:type="spellEnd"/>
      <w:r w:rsidR="00B30C0B" w:rsidRPr="00EF776D">
        <w:rPr>
          <w:rFonts w:ascii="Times New Roman" w:hAnsi="Times New Roman" w:cs="Times New Roman"/>
          <w:sz w:val="24"/>
          <w:szCs w:val="24"/>
        </w:rPr>
        <w:t xml:space="preserve"> et al., 2019)</w:t>
      </w:r>
    </w:p>
    <w:p w14:paraId="2D2AFDD8" w14:textId="7945ADC3" w:rsidR="003143CD" w:rsidRPr="00720BD4" w:rsidRDefault="003143CD" w:rsidP="00DA107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BD4">
        <w:rPr>
          <w:rFonts w:ascii="Times New Roman" w:hAnsi="Times New Roman" w:cs="Times New Roman"/>
          <w:b/>
          <w:bCs/>
          <w:sz w:val="24"/>
          <w:szCs w:val="24"/>
        </w:rPr>
        <w:t xml:space="preserve">Sex Differences in </w:t>
      </w:r>
      <w:r w:rsidR="00435484" w:rsidRPr="00720BD4">
        <w:rPr>
          <w:rFonts w:ascii="Times New Roman" w:hAnsi="Times New Roman" w:cs="Times New Roman"/>
          <w:b/>
          <w:bCs/>
          <w:sz w:val="24"/>
          <w:szCs w:val="24"/>
        </w:rPr>
        <w:t>alcohol and tobacco u</w:t>
      </w:r>
      <w:r w:rsidRPr="00720BD4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435484" w:rsidRPr="00720BD4">
        <w:rPr>
          <w:rFonts w:ascii="Times New Roman" w:hAnsi="Times New Roman" w:cs="Times New Roman"/>
          <w:b/>
          <w:bCs/>
          <w:sz w:val="24"/>
          <w:szCs w:val="24"/>
        </w:rPr>
        <w:t xml:space="preserve"> and d</w:t>
      </w:r>
      <w:r w:rsidR="002C3CDE" w:rsidRPr="00720BD4">
        <w:rPr>
          <w:rFonts w:ascii="Times New Roman" w:hAnsi="Times New Roman" w:cs="Times New Roman"/>
          <w:b/>
          <w:bCs/>
          <w:sz w:val="24"/>
          <w:szCs w:val="24"/>
        </w:rPr>
        <w:t>isorders</w:t>
      </w:r>
      <w:r w:rsidR="00435484" w:rsidRPr="00720BD4">
        <w:rPr>
          <w:rFonts w:ascii="Times New Roman" w:hAnsi="Times New Roman" w:cs="Times New Roman"/>
          <w:b/>
          <w:bCs/>
          <w:sz w:val="24"/>
          <w:szCs w:val="24"/>
        </w:rPr>
        <w:t xml:space="preserve"> associated</w:t>
      </w:r>
    </w:p>
    <w:p w14:paraId="586FE9DA" w14:textId="7C28C7CB" w:rsidR="00F0217C" w:rsidRPr="00EF776D" w:rsidRDefault="00D54373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73">
        <w:rPr>
          <w:rFonts w:ascii="Times New Roman" w:hAnsi="Times New Roman" w:cs="Times New Roman"/>
          <w:sz w:val="24"/>
          <w:szCs w:val="24"/>
        </w:rPr>
        <w:t xml:space="preserve">Since the NIH's mandate, important research on sex differences has been published. For example, it is known that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0217C" w:rsidRPr="00EF776D">
        <w:rPr>
          <w:rFonts w:ascii="Times New Roman" w:hAnsi="Times New Roman" w:cs="Times New Roman"/>
          <w:sz w:val="24"/>
          <w:szCs w:val="24"/>
        </w:rPr>
        <w:t>orldwide</w:t>
      </w:r>
      <w:r w:rsidR="00B30C0B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C9351A" w:rsidRPr="00EF776D">
        <w:rPr>
          <w:rFonts w:ascii="Times New Roman" w:hAnsi="Times New Roman" w:cs="Times New Roman"/>
          <w:sz w:val="24"/>
          <w:szCs w:val="24"/>
        </w:rPr>
        <w:t>females are less often current drinkers</w:t>
      </w:r>
      <w:r w:rsidR="003143C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and </w:t>
      </w:r>
      <w:r w:rsidR="00C9351A" w:rsidRPr="00EF776D">
        <w:rPr>
          <w:rFonts w:ascii="Times New Roman" w:hAnsi="Times New Roman" w:cs="Times New Roman"/>
          <w:sz w:val="24"/>
          <w:szCs w:val="24"/>
        </w:rPr>
        <w:t xml:space="preserve">they drink </w:t>
      </w:r>
      <w:r w:rsidR="005173E8">
        <w:rPr>
          <w:rFonts w:ascii="Times New Roman" w:hAnsi="Times New Roman" w:cs="Times New Roman"/>
          <w:sz w:val="24"/>
          <w:szCs w:val="24"/>
        </w:rPr>
        <w:t>fewer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 liters of alcohol</w:t>
      </w:r>
      <w:r w:rsidR="00C9351A" w:rsidRPr="00EF776D">
        <w:rPr>
          <w:rFonts w:ascii="Times New Roman" w:hAnsi="Times New Roman" w:cs="Times New Roman"/>
          <w:sz w:val="24"/>
          <w:szCs w:val="24"/>
        </w:rPr>
        <w:t xml:space="preserve"> on average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 when compared to men (WHO, 2018). Likewise, </w:t>
      </w:r>
      <w:r w:rsidR="005173E8">
        <w:rPr>
          <w:rFonts w:ascii="Times New Roman" w:hAnsi="Times New Roman" w:cs="Times New Roman"/>
          <w:sz w:val="24"/>
          <w:szCs w:val="24"/>
        </w:rPr>
        <w:t xml:space="preserve">the </w:t>
      </w:r>
      <w:r w:rsidR="00CD6C74" w:rsidRPr="00EF776D">
        <w:rPr>
          <w:rFonts w:ascii="Times New Roman" w:hAnsi="Times New Roman" w:cs="Times New Roman"/>
          <w:sz w:val="24"/>
          <w:szCs w:val="24"/>
        </w:rPr>
        <w:t xml:space="preserve">global number of 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male </w:t>
      </w:r>
      <w:r w:rsidR="00CD6C74" w:rsidRPr="00EF776D">
        <w:rPr>
          <w:rFonts w:ascii="Times New Roman" w:hAnsi="Times New Roman" w:cs="Times New Roman"/>
          <w:sz w:val="24"/>
          <w:szCs w:val="24"/>
        </w:rPr>
        <w:t>smokers is not decreasing</w:t>
      </w:r>
      <w:r w:rsidR="00F0217C" w:rsidRPr="00EF776D">
        <w:rPr>
          <w:rFonts w:ascii="Times New Roman" w:hAnsi="Times New Roman" w:cs="Times New Roman"/>
          <w:sz w:val="24"/>
          <w:szCs w:val="24"/>
        </w:rPr>
        <w:t xml:space="preserve"> but among females, the number of consumers has decreased in recent years</w:t>
      </w:r>
      <w:r w:rsidR="00776AC1" w:rsidRPr="00EF776D">
        <w:rPr>
          <w:rFonts w:ascii="Times New Roman" w:hAnsi="Times New Roman" w:cs="Times New Roman"/>
          <w:sz w:val="24"/>
          <w:szCs w:val="24"/>
        </w:rPr>
        <w:t xml:space="preserve"> (WHO, 2019)</w:t>
      </w:r>
      <w:r w:rsidR="00F0217C" w:rsidRPr="00EF776D">
        <w:rPr>
          <w:rFonts w:ascii="Times New Roman" w:hAnsi="Times New Roman" w:cs="Times New Roman"/>
          <w:sz w:val="24"/>
          <w:szCs w:val="24"/>
        </w:rPr>
        <w:t>.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75217F" w:rsidRPr="00EF776D">
        <w:rPr>
          <w:rFonts w:ascii="Times New Roman" w:hAnsi="Times New Roman" w:cs="Times New Roman"/>
          <w:sz w:val="24"/>
          <w:szCs w:val="24"/>
        </w:rPr>
        <w:t>Historically, researchers have recognized the existence of a gap in substance use disorder (SUD), which states that men have a greater prevalence of SUD</w:t>
      </w:r>
      <w:r w:rsidR="009C5C3E" w:rsidRPr="00EF776D">
        <w:rPr>
          <w:rFonts w:ascii="Times New Roman" w:hAnsi="Times New Roman" w:cs="Times New Roman"/>
          <w:sz w:val="24"/>
          <w:szCs w:val="24"/>
        </w:rPr>
        <w:t>. N</w:t>
      </w:r>
      <w:r w:rsidR="0075217F" w:rsidRPr="00EF776D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A06D8A" w:rsidRPr="00EF776D">
        <w:rPr>
          <w:rFonts w:ascii="Times New Roman" w:hAnsi="Times New Roman" w:cs="Times New Roman"/>
          <w:sz w:val="24"/>
          <w:szCs w:val="24"/>
        </w:rPr>
        <w:t>e</w:t>
      </w:r>
      <w:r w:rsidR="003864A9" w:rsidRPr="00EF776D">
        <w:rPr>
          <w:rFonts w:ascii="Times New Roman" w:hAnsi="Times New Roman" w:cs="Times New Roman"/>
          <w:sz w:val="24"/>
          <w:szCs w:val="24"/>
        </w:rPr>
        <w:t>vidence</w:t>
      </w:r>
      <w:r w:rsidR="009C5C3E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demonstrates that </w:t>
      </w:r>
      <w:r w:rsidR="00526DD9" w:rsidRPr="00EF776D">
        <w:rPr>
          <w:rFonts w:ascii="Times New Roman" w:hAnsi="Times New Roman" w:cs="Times New Roman"/>
          <w:sz w:val="24"/>
          <w:szCs w:val="24"/>
        </w:rPr>
        <w:t>this gap</w:t>
      </w:r>
      <w:r w:rsidR="00A75595" w:rsidRPr="00EF776D">
        <w:rPr>
          <w:rFonts w:ascii="Times New Roman" w:hAnsi="Times New Roman" w:cs="Times New Roman"/>
          <w:sz w:val="24"/>
          <w:szCs w:val="24"/>
        </w:rPr>
        <w:t xml:space="preserve"> is narrowing </w:t>
      </w:r>
      <w:r w:rsidR="0075217F" w:rsidRPr="00EF776D">
        <w:rPr>
          <w:rFonts w:ascii="Times New Roman" w:hAnsi="Times New Roman" w:cs="Times New Roman"/>
          <w:sz w:val="24"/>
          <w:szCs w:val="24"/>
        </w:rPr>
        <w:t>(Salvatore et al., 2017; McHugh et al, 2018)</w:t>
      </w:r>
      <w:r w:rsidR="009C5C3E" w:rsidRPr="00EF776D">
        <w:rPr>
          <w:rFonts w:ascii="Times New Roman" w:hAnsi="Times New Roman" w:cs="Times New Roman"/>
          <w:sz w:val="24"/>
          <w:szCs w:val="24"/>
        </w:rPr>
        <w:t xml:space="preserve"> and</w:t>
      </w:r>
      <w:r w:rsidR="00526DD9" w:rsidRPr="00EF776D">
        <w:rPr>
          <w:rFonts w:ascii="Times New Roman" w:hAnsi="Times New Roman" w:cs="Times New Roman"/>
          <w:sz w:val="24"/>
          <w:szCs w:val="24"/>
        </w:rPr>
        <w:t xml:space="preserve"> some important differences in the experience of the disorder between men and women have appeared, </w:t>
      </w:r>
      <w:r w:rsidR="00A228DE" w:rsidRPr="00EF776D">
        <w:rPr>
          <w:rFonts w:ascii="Times New Roman" w:hAnsi="Times New Roman" w:cs="Times New Roman"/>
          <w:sz w:val="24"/>
          <w:szCs w:val="24"/>
        </w:rPr>
        <w:t>highlighting</w:t>
      </w:r>
      <w:r w:rsidR="00526DD9" w:rsidRPr="00EF776D">
        <w:rPr>
          <w:rFonts w:ascii="Times New Roman" w:hAnsi="Times New Roman" w:cs="Times New Roman"/>
          <w:sz w:val="24"/>
          <w:szCs w:val="24"/>
        </w:rPr>
        <w:t xml:space="preserve"> the importance of sex differences research</w:t>
      </w:r>
      <w:r w:rsidR="009C5C3E" w:rsidRPr="00EF776D">
        <w:rPr>
          <w:rFonts w:ascii="Times New Roman" w:hAnsi="Times New Roman" w:cs="Times New Roman"/>
          <w:sz w:val="24"/>
          <w:szCs w:val="24"/>
        </w:rPr>
        <w:t>, eliminating the lack of interest in this research field and driving science towards the development of treatments for all sexes (Rich-Edwards et al., 2018)</w:t>
      </w:r>
      <w:r w:rsidR="00526DD9" w:rsidRPr="00EF776D">
        <w:rPr>
          <w:rFonts w:ascii="Times New Roman" w:hAnsi="Times New Roman" w:cs="Times New Roman"/>
          <w:sz w:val="24"/>
          <w:szCs w:val="24"/>
        </w:rPr>
        <w:t>.</w:t>
      </w:r>
    </w:p>
    <w:p w14:paraId="725AEA41" w14:textId="05C20373" w:rsidR="00EE4B94" w:rsidRDefault="002B4A4D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Even though studies on sex differences in substance use disorders are still scarce, some important findings have been reported. </w:t>
      </w:r>
      <w:r w:rsidR="00F966F4" w:rsidRPr="00EF776D">
        <w:rPr>
          <w:rFonts w:ascii="Times New Roman" w:hAnsi="Times New Roman" w:cs="Times New Roman"/>
          <w:sz w:val="24"/>
          <w:szCs w:val="24"/>
        </w:rPr>
        <w:t>Male adolescents are at greater risk of binge drinking and making riskier decisions</w:t>
      </w:r>
      <w:r w:rsidR="00E74CA4" w:rsidRPr="00EF776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9702257"/>
          <w:citation/>
        </w:sdtPr>
        <w:sdtEndPr/>
        <w:sdtContent>
          <w:r w:rsidR="00E74CA4" w:rsidRPr="00EF77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23BFC">
            <w:rPr>
              <w:rFonts w:ascii="Times New Roman" w:hAnsi="Times New Roman" w:cs="Times New Roman"/>
              <w:sz w:val="24"/>
              <w:szCs w:val="24"/>
            </w:rPr>
            <w:instrText xml:space="preserve">CITATION Ham16 \l 22538 </w:instrText>
          </w:r>
          <w:r w:rsidR="00E74CA4" w:rsidRPr="00EF77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FC" w:rsidRPr="00E23BFC">
            <w:rPr>
              <w:rFonts w:ascii="Times New Roman" w:hAnsi="Times New Roman" w:cs="Times New Roman"/>
              <w:noProof/>
              <w:sz w:val="24"/>
              <w:szCs w:val="24"/>
            </w:rPr>
            <w:t>(Hammerslag &amp; Gulley, 2016)</w:t>
          </w:r>
          <w:r w:rsidR="00E74CA4" w:rsidRPr="00EF77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56EEA"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A56606" w:rsidRPr="00EF776D">
        <w:rPr>
          <w:rFonts w:ascii="Times New Roman" w:hAnsi="Times New Roman" w:cs="Times New Roman"/>
          <w:sz w:val="24"/>
          <w:szCs w:val="24"/>
        </w:rPr>
        <w:t>women show a greater impact on health due to SUD</w:t>
      </w:r>
      <w:r w:rsidR="00F966F4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A56606" w:rsidRPr="00EF77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6606" w:rsidRPr="00EF776D">
        <w:rPr>
          <w:rFonts w:ascii="Times New Roman" w:hAnsi="Times New Roman" w:cs="Times New Roman"/>
          <w:sz w:val="24"/>
          <w:szCs w:val="24"/>
        </w:rPr>
        <w:t>Agabio</w:t>
      </w:r>
      <w:proofErr w:type="spellEnd"/>
      <w:r w:rsidR="00A56606" w:rsidRPr="00EF776D">
        <w:rPr>
          <w:rFonts w:ascii="Times New Roman" w:hAnsi="Times New Roman" w:cs="Times New Roman"/>
          <w:sz w:val="24"/>
          <w:szCs w:val="24"/>
        </w:rPr>
        <w:t xml:space="preserve"> et al., 2016) </w:t>
      </w:r>
      <w:r w:rsidR="00F966F4" w:rsidRPr="00EF776D">
        <w:rPr>
          <w:rFonts w:ascii="Times New Roman" w:hAnsi="Times New Roman" w:cs="Times New Roman"/>
          <w:sz w:val="24"/>
          <w:szCs w:val="24"/>
        </w:rPr>
        <w:t>and t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here is evidence that indicates that sex, especially being a man, is a risk factor </w:t>
      </w:r>
      <w:r w:rsidR="00F966F4" w:rsidRPr="00EF776D">
        <w:rPr>
          <w:rFonts w:ascii="Times New Roman" w:hAnsi="Times New Roman" w:cs="Times New Roman"/>
          <w:sz w:val="24"/>
          <w:szCs w:val="24"/>
        </w:rPr>
        <w:t>in the development of SUD</w:t>
      </w:r>
      <w:r w:rsidR="0014568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B7CCD" w:rsidRPr="00EF776D">
        <w:rPr>
          <w:rFonts w:ascii="Times New Roman" w:hAnsi="Times New Roman" w:cs="Times New Roman"/>
          <w:sz w:val="24"/>
          <w:szCs w:val="24"/>
        </w:rPr>
        <w:lastRenderedPageBreak/>
        <w:t>(Moreta-Herrera</w:t>
      </w:r>
      <w:r w:rsidR="00F966F4" w:rsidRPr="00EF776D">
        <w:rPr>
          <w:rFonts w:ascii="Times New Roman" w:hAnsi="Times New Roman" w:cs="Times New Roman"/>
          <w:sz w:val="24"/>
          <w:szCs w:val="24"/>
        </w:rPr>
        <w:t xml:space="preserve"> et al.</w:t>
      </w:r>
      <w:r w:rsidR="008B7CCD" w:rsidRPr="00EF776D">
        <w:rPr>
          <w:rFonts w:ascii="Times New Roman" w:hAnsi="Times New Roman" w:cs="Times New Roman"/>
          <w:sz w:val="24"/>
          <w:szCs w:val="24"/>
        </w:rPr>
        <w:t xml:space="preserve">, 2018). </w:t>
      </w:r>
      <w:r w:rsidR="004F1F2E">
        <w:rPr>
          <w:rFonts w:ascii="Times New Roman" w:hAnsi="Times New Roman" w:cs="Times New Roman"/>
          <w:sz w:val="24"/>
          <w:szCs w:val="24"/>
        </w:rPr>
        <w:t>Similar conditions are observed among college students</w:t>
      </w:r>
      <w:r w:rsidR="00030087">
        <w:rPr>
          <w:rFonts w:ascii="Times New Roman" w:hAnsi="Times New Roman" w:cs="Times New Roman"/>
          <w:sz w:val="24"/>
          <w:szCs w:val="24"/>
        </w:rPr>
        <w:t>;</w:t>
      </w:r>
      <w:r w:rsidR="000B7F3F">
        <w:rPr>
          <w:rFonts w:ascii="Times New Roman" w:hAnsi="Times New Roman" w:cs="Times New Roman"/>
          <w:sz w:val="24"/>
          <w:szCs w:val="24"/>
        </w:rPr>
        <w:t xml:space="preserve"> men </w:t>
      </w:r>
      <w:r w:rsidR="00FC06F7">
        <w:rPr>
          <w:rFonts w:ascii="Times New Roman" w:hAnsi="Times New Roman" w:cs="Times New Roman"/>
          <w:sz w:val="24"/>
          <w:szCs w:val="24"/>
        </w:rPr>
        <w:t>tend</w:t>
      </w:r>
      <w:r w:rsidR="000B7F3F">
        <w:rPr>
          <w:rFonts w:ascii="Times New Roman" w:hAnsi="Times New Roman" w:cs="Times New Roman"/>
          <w:sz w:val="24"/>
          <w:szCs w:val="24"/>
        </w:rPr>
        <w:t xml:space="preserve"> to consume </w:t>
      </w:r>
      <w:r w:rsidR="00FC0D34" w:rsidRPr="00FC0D34">
        <w:rPr>
          <w:rFonts w:ascii="Times New Roman" w:hAnsi="Times New Roman" w:cs="Times New Roman"/>
          <w:sz w:val="24"/>
          <w:szCs w:val="24"/>
        </w:rPr>
        <w:t>more alcohol</w:t>
      </w:r>
      <w:r w:rsidR="00FC06F7">
        <w:rPr>
          <w:rFonts w:ascii="Times New Roman" w:hAnsi="Times New Roman" w:cs="Times New Roman"/>
          <w:sz w:val="24"/>
          <w:szCs w:val="24"/>
        </w:rPr>
        <w:t xml:space="preserve"> 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(Gómez Cruz et al., 2018), tobacco (Castro-Sánchez et al., 2017) </w:t>
      </w:r>
      <w:r w:rsidR="004B5BAF">
        <w:rPr>
          <w:rFonts w:ascii="Times New Roman" w:hAnsi="Times New Roman" w:cs="Times New Roman"/>
          <w:sz w:val="24"/>
          <w:szCs w:val="24"/>
        </w:rPr>
        <w:t xml:space="preserve">and </w:t>
      </w:r>
      <w:r w:rsidR="00545BF7">
        <w:rPr>
          <w:rFonts w:ascii="Times New Roman" w:hAnsi="Times New Roman" w:cs="Times New Roman"/>
          <w:sz w:val="24"/>
          <w:szCs w:val="24"/>
        </w:rPr>
        <w:t xml:space="preserve">polydrug use </w:t>
      </w:r>
      <w:r w:rsidR="004B5BAF" w:rsidRPr="00FC0D34">
        <w:rPr>
          <w:rFonts w:ascii="Times New Roman" w:hAnsi="Times New Roman" w:cs="Times New Roman"/>
          <w:sz w:val="24"/>
          <w:szCs w:val="24"/>
        </w:rPr>
        <w:t>(Fernández-Castillo et al., 2016)</w:t>
      </w:r>
      <w:r w:rsidR="004B5BAF">
        <w:rPr>
          <w:rFonts w:ascii="Times New Roman" w:hAnsi="Times New Roman" w:cs="Times New Roman"/>
          <w:sz w:val="24"/>
          <w:szCs w:val="24"/>
        </w:rPr>
        <w:t xml:space="preserve"> </w:t>
      </w:r>
      <w:r w:rsidR="00FC06F7">
        <w:rPr>
          <w:rFonts w:ascii="Times New Roman" w:hAnsi="Times New Roman" w:cs="Times New Roman"/>
          <w:sz w:val="24"/>
          <w:szCs w:val="24"/>
        </w:rPr>
        <w:t>when compared to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</w:t>
      </w:r>
      <w:r w:rsidR="00A228DE" w:rsidRPr="00FC0D34">
        <w:rPr>
          <w:rFonts w:ascii="Times New Roman" w:hAnsi="Times New Roman" w:cs="Times New Roman"/>
          <w:sz w:val="24"/>
          <w:szCs w:val="24"/>
        </w:rPr>
        <w:t>women</w:t>
      </w:r>
      <w:r w:rsidR="004B5BAF">
        <w:rPr>
          <w:rFonts w:ascii="Times New Roman" w:hAnsi="Times New Roman" w:cs="Times New Roman"/>
          <w:sz w:val="24"/>
          <w:szCs w:val="24"/>
        </w:rPr>
        <w:t xml:space="preserve">. Sex is also a key component in </w:t>
      </w:r>
      <w:r w:rsidR="00FC0D34" w:rsidRPr="00FC0D34">
        <w:rPr>
          <w:rFonts w:ascii="Times New Roman" w:hAnsi="Times New Roman" w:cs="Times New Roman"/>
          <w:sz w:val="24"/>
          <w:szCs w:val="24"/>
        </w:rPr>
        <w:t>aspects such as frequency, intensity</w:t>
      </w:r>
      <w:r w:rsidR="00EE4B94">
        <w:rPr>
          <w:rFonts w:ascii="Times New Roman" w:hAnsi="Times New Roman" w:cs="Times New Roman"/>
          <w:sz w:val="24"/>
          <w:szCs w:val="24"/>
        </w:rPr>
        <w:t>,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 and risky</w:t>
      </w:r>
      <w:r w:rsidR="004B5BAF">
        <w:rPr>
          <w:rFonts w:ascii="Times New Roman" w:hAnsi="Times New Roman" w:cs="Times New Roman"/>
          <w:sz w:val="24"/>
          <w:szCs w:val="24"/>
        </w:rPr>
        <w:t xml:space="preserve"> use </w:t>
      </w:r>
      <w:r w:rsidR="00FC0D34" w:rsidRPr="00FC0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 xml:space="preserve"> et al., 2017; 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Pedrelli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 xml:space="preserve"> et al., 2018)</w:t>
      </w:r>
      <w:r w:rsidR="004B5BAF">
        <w:rPr>
          <w:rFonts w:ascii="Times New Roman" w:hAnsi="Times New Roman" w:cs="Times New Roman"/>
          <w:sz w:val="24"/>
          <w:szCs w:val="24"/>
        </w:rPr>
        <w:t>, t</w:t>
      </w:r>
      <w:r w:rsidR="00FC0D34" w:rsidRPr="00FC0D34">
        <w:rPr>
          <w:rFonts w:ascii="Times New Roman" w:hAnsi="Times New Roman" w:cs="Times New Roman"/>
          <w:sz w:val="24"/>
          <w:szCs w:val="24"/>
        </w:rPr>
        <w:t xml:space="preserve">herefore, being a man can be considered as a risk factor for </w:t>
      </w:r>
      <w:r w:rsidR="003B589A">
        <w:rPr>
          <w:rFonts w:ascii="Times New Roman" w:hAnsi="Times New Roman" w:cs="Times New Roman"/>
          <w:sz w:val="24"/>
          <w:szCs w:val="24"/>
        </w:rPr>
        <w:t xml:space="preserve">SUD </w:t>
      </w:r>
      <w:r w:rsidR="00FC0D34" w:rsidRPr="00FC0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Peltzer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C0D34" w:rsidRPr="00FC0D34">
        <w:rPr>
          <w:rFonts w:ascii="Times New Roman" w:hAnsi="Times New Roman" w:cs="Times New Roman"/>
          <w:sz w:val="24"/>
          <w:szCs w:val="24"/>
        </w:rPr>
        <w:t>Pengpid</w:t>
      </w:r>
      <w:proofErr w:type="spellEnd"/>
      <w:r w:rsidR="00FC0D34" w:rsidRPr="00FC0D34">
        <w:rPr>
          <w:rFonts w:ascii="Times New Roman" w:hAnsi="Times New Roman" w:cs="Times New Roman"/>
          <w:sz w:val="24"/>
          <w:szCs w:val="24"/>
        </w:rPr>
        <w:t>, 2018).</w:t>
      </w:r>
      <w:r w:rsidR="00FC0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96B53" w14:textId="1DA9875A" w:rsidR="00FF5B0E" w:rsidRPr="00DA107A" w:rsidRDefault="00EE4B94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45683" w:rsidRPr="00EF776D">
        <w:rPr>
          <w:rFonts w:ascii="Times New Roman" w:hAnsi="Times New Roman" w:cs="Times New Roman"/>
          <w:sz w:val="24"/>
          <w:szCs w:val="24"/>
        </w:rPr>
        <w:t>o achieve a deeper understanding of SUD, studies that disaggregat</w:t>
      </w:r>
      <w:r w:rsidR="002C3CDE" w:rsidRPr="00EF776D">
        <w:rPr>
          <w:rFonts w:ascii="Times New Roman" w:hAnsi="Times New Roman" w:cs="Times New Roman"/>
          <w:sz w:val="24"/>
          <w:szCs w:val="24"/>
        </w:rPr>
        <w:t>e</w:t>
      </w:r>
      <w:r w:rsidR="00145683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their data by sex and </w:t>
      </w:r>
      <w:r w:rsidR="00145683" w:rsidRPr="00EF776D">
        <w:rPr>
          <w:rFonts w:ascii="Times New Roman" w:hAnsi="Times New Roman" w:cs="Times New Roman"/>
          <w:sz w:val="24"/>
          <w:szCs w:val="24"/>
        </w:rPr>
        <w:t>anal</w:t>
      </w:r>
      <w:r w:rsidR="002C3CDE" w:rsidRPr="00EF776D">
        <w:rPr>
          <w:rFonts w:ascii="Times New Roman" w:hAnsi="Times New Roman" w:cs="Times New Roman"/>
          <w:sz w:val="24"/>
          <w:szCs w:val="24"/>
        </w:rPr>
        <w:t>yze them looking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 for </w:t>
      </w:r>
      <w:r w:rsidR="002C3CDE" w:rsidRPr="00EF776D">
        <w:rPr>
          <w:rFonts w:ascii="Times New Roman" w:hAnsi="Times New Roman" w:cs="Times New Roman"/>
          <w:sz w:val="24"/>
          <w:szCs w:val="24"/>
        </w:rPr>
        <w:t>possible</w:t>
      </w:r>
      <w:r w:rsidR="003864A9" w:rsidRPr="00EF776D">
        <w:rPr>
          <w:rFonts w:ascii="Times New Roman" w:hAnsi="Times New Roman" w:cs="Times New Roman"/>
          <w:sz w:val="24"/>
          <w:szCs w:val="24"/>
        </w:rPr>
        <w:t xml:space="preserve"> sex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 effects must be a constant in academic research</w:t>
      </w:r>
      <w:r w:rsidR="00DA107A" w:rsidRPr="00DA107A">
        <w:rPr>
          <w:rFonts w:ascii="Times New Roman" w:hAnsi="Times New Roman" w:cs="Times New Roman"/>
          <w:sz w:val="24"/>
          <w:szCs w:val="24"/>
        </w:rPr>
        <w:t>, since men apparently consume more than women and this element probably becomes a risk factor that affects the complication of the state of consumption (Salvatore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="00DA107A" w:rsidRPr="00DA107A">
        <w:rPr>
          <w:rFonts w:ascii="Times New Roman" w:hAnsi="Times New Roman" w:cs="Times New Roman"/>
          <w:sz w:val="24"/>
          <w:szCs w:val="24"/>
        </w:rPr>
        <w:t>, 2017; Yang et al., 2019), as well as future physical and psychological consequences.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B94">
        <w:rPr>
          <w:rFonts w:ascii="Times New Roman" w:hAnsi="Times New Roman" w:cs="Times New Roman"/>
          <w:sz w:val="24"/>
          <w:szCs w:val="24"/>
        </w:rPr>
        <w:t xml:space="preserve">Despite the importance of research on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EE4B94">
        <w:rPr>
          <w:rFonts w:ascii="Times New Roman" w:hAnsi="Times New Roman" w:cs="Times New Roman"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4B94">
        <w:rPr>
          <w:rFonts w:ascii="Times New Roman" w:hAnsi="Times New Roman" w:cs="Times New Roman"/>
          <w:sz w:val="24"/>
          <w:szCs w:val="24"/>
        </w:rPr>
        <w:t>and the effort of the NIH</w:t>
      </w:r>
      <w:r>
        <w:rPr>
          <w:rFonts w:ascii="Times New Roman" w:hAnsi="Times New Roman" w:cs="Times New Roman"/>
          <w:sz w:val="24"/>
          <w:szCs w:val="24"/>
        </w:rPr>
        <w:t xml:space="preserve"> to problematize the lack of it</w:t>
      </w:r>
      <w:r w:rsidRPr="00EE4B94">
        <w:rPr>
          <w:rFonts w:ascii="Times New Roman" w:hAnsi="Times New Roman" w:cs="Times New Roman"/>
          <w:sz w:val="24"/>
          <w:szCs w:val="24"/>
        </w:rPr>
        <w:t>, in Ecuador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4B94">
        <w:rPr>
          <w:rFonts w:ascii="Times New Roman" w:hAnsi="Times New Roman" w:cs="Times New Roman"/>
          <w:sz w:val="24"/>
          <w:szCs w:val="24"/>
        </w:rPr>
        <w:t xml:space="preserve"> there are not many contributions on this topic and they are even scarcer in the field of Psychology</w:t>
      </w:r>
      <w:r w:rsidR="00D54373">
        <w:rPr>
          <w:rFonts w:ascii="Times New Roman" w:hAnsi="Times New Roman" w:cs="Times New Roman"/>
          <w:sz w:val="24"/>
          <w:szCs w:val="24"/>
        </w:rPr>
        <w:t xml:space="preserve"> </w:t>
      </w:r>
      <w:r w:rsidR="00D54373" w:rsidRPr="00D54373">
        <w:rPr>
          <w:rFonts w:ascii="Times New Roman" w:hAnsi="Times New Roman" w:cs="Times New Roman"/>
          <w:noProof/>
          <w:sz w:val="24"/>
          <w:szCs w:val="24"/>
        </w:rPr>
        <w:t>(Ruisoto</w:t>
      </w:r>
      <w:r w:rsidR="00D54373">
        <w:rPr>
          <w:rFonts w:ascii="Times New Roman" w:hAnsi="Times New Roman" w:cs="Times New Roman"/>
          <w:noProof/>
          <w:sz w:val="24"/>
          <w:szCs w:val="24"/>
        </w:rPr>
        <w:t xml:space="preserve"> et al.</w:t>
      </w:r>
      <w:r w:rsidR="00D54373" w:rsidRPr="00D54373">
        <w:rPr>
          <w:rFonts w:ascii="Times New Roman" w:hAnsi="Times New Roman" w:cs="Times New Roman"/>
          <w:noProof/>
          <w:sz w:val="24"/>
          <w:szCs w:val="24"/>
        </w:rPr>
        <w:t>, 2016, 2017)</w:t>
      </w:r>
      <w:r w:rsidRPr="00EE4B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B94">
        <w:rPr>
          <w:rFonts w:ascii="Times New Roman" w:hAnsi="Times New Roman" w:cs="Times New Roman"/>
          <w:sz w:val="24"/>
          <w:szCs w:val="24"/>
        </w:rPr>
        <w:t xml:space="preserve">Therefore, researching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EE4B94">
        <w:rPr>
          <w:rFonts w:ascii="Times New Roman" w:hAnsi="Times New Roman" w:cs="Times New Roman"/>
          <w:sz w:val="24"/>
          <w:szCs w:val="24"/>
        </w:rPr>
        <w:t>differences in SUD in</w:t>
      </w:r>
      <w:r w:rsidR="00D54373">
        <w:rPr>
          <w:rFonts w:ascii="Times New Roman" w:hAnsi="Times New Roman" w:cs="Times New Roman"/>
          <w:sz w:val="24"/>
          <w:szCs w:val="24"/>
        </w:rPr>
        <w:t xml:space="preserve"> the </w:t>
      </w:r>
      <w:r w:rsidRPr="00EE4B94">
        <w:rPr>
          <w:rFonts w:ascii="Times New Roman" w:hAnsi="Times New Roman" w:cs="Times New Roman"/>
          <w:sz w:val="24"/>
          <w:szCs w:val="24"/>
        </w:rPr>
        <w:t xml:space="preserve">Ecuadorian population is important, not only to shed light </w:t>
      </w:r>
      <w:r w:rsidR="00D54373">
        <w:rPr>
          <w:rFonts w:ascii="Times New Roman" w:hAnsi="Times New Roman" w:cs="Times New Roman"/>
          <w:sz w:val="24"/>
          <w:szCs w:val="24"/>
        </w:rPr>
        <w:t>on this topic</w:t>
      </w:r>
      <w:r w:rsidRPr="00EE4B94">
        <w:rPr>
          <w:rFonts w:ascii="Times New Roman" w:hAnsi="Times New Roman" w:cs="Times New Roman"/>
          <w:sz w:val="24"/>
          <w:szCs w:val="24"/>
        </w:rPr>
        <w:t xml:space="preserve"> but also to improve psychological treatments consider</w:t>
      </w:r>
      <w:r w:rsidR="00D54373">
        <w:rPr>
          <w:rFonts w:ascii="Times New Roman" w:hAnsi="Times New Roman" w:cs="Times New Roman"/>
          <w:sz w:val="24"/>
          <w:szCs w:val="24"/>
        </w:rPr>
        <w:t>ing</w:t>
      </w:r>
      <w:r w:rsidRPr="00EE4B94">
        <w:rPr>
          <w:rFonts w:ascii="Times New Roman" w:hAnsi="Times New Roman" w:cs="Times New Roman"/>
          <w:sz w:val="24"/>
          <w:szCs w:val="24"/>
        </w:rPr>
        <w:t xml:space="preserve"> the particularities that each person will need according to their sex.</w:t>
      </w:r>
    </w:p>
    <w:p w14:paraId="5A24AD87" w14:textId="68801CB0" w:rsidR="00FC2D8E" w:rsidRPr="00EF776D" w:rsidRDefault="00FC2D8E" w:rsidP="00DA107A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76D">
        <w:rPr>
          <w:rFonts w:ascii="Times New Roman" w:hAnsi="Times New Roman" w:cs="Times New Roman"/>
          <w:b/>
          <w:sz w:val="24"/>
          <w:szCs w:val="24"/>
        </w:rPr>
        <w:t>Objectives and hypotheses</w:t>
      </w:r>
    </w:p>
    <w:p w14:paraId="634F8F27" w14:textId="6BAF99BE" w:rsidR="003B589A" w:rsidRPr="00D54373" w:rsidRDefault="00FC2D8E" w:rsidP="00D543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Based upon this background, the objectives of th</w:t>
      </w:r>
      <w:r w:rsidR="00D54373">
        <w:rPr>
          <w:rFonts w:ascii="Times New Roman" w:hAnsi="Times New Roman" w:cs="Times New Roman"/>
          <w:sz w:val="24"/>
          <w:szCs w:val="24"/>
        </w:rPr>
        <w:t>is</w:t>
      </w:r>
      <w:r w:rsidRPr="00EF776D">
        <w:rPr>
          <w:rFonts w:ascii="Times New Roman" w:hAnsi="Times New Roman" w:cs="Times New Roman"/>
          <w:sz w:val="24"/>
          <w:szCs w:val="24"/>
        </w:rPr>
        <w:t xml:space="preserve"> study are</w:t>
      </w:r>
      <w:r w:rsidR="00D54373">
        <w:rPr>
          <w:rFonts w:ascii="Times New Roman" w:hAnsi="Times New Roman" w:cs="Times New Roman"/>
          <w:sz w:val="24"/>
          <w:szCs w:val="24"/>
        </w:rPr>
        <w:t>: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a) </w:t>
      </w:r>
      <w:r w:rsidR="00D54373">
        <w:rPr>
          <w:rFonts w:ascii="Times New Roman" w:hAnsi="Times New Roman" w:cs="Times New Roman"/>
          <w:sz w:val="24"/>
          <w:szCs w:val="24"/>
        </w:rPr>
        <w:t>to d</w:t>
      </w:r>
      <w:r w:rsidR="00967FFD" w:rsidRPr="00EF776D">
        <w:rPr>
          <w:rFonts w:ascii="Times New Roman" w:hAnsi="Times New Roman" w:cs="Times New Roman"/>
          <w:sz w:val="24"/>
          <w:szCs w:val="24"/>
        </w:rPr>
        <w:t>escribe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level</w:t>
      </w:r>
      <w:r w:rsidR="002C3CDE" w:rsidRPr="00EF776D">
        <w:rPr>
          <w:rFonts w:ascii="Times New Roman" w:hAnsi="Times New Roman" w:cs="Times New Roman"/>
          <w:sz w:val="24"/>
          <w:szCs w:val="24"/>
        </w:rPr>
        <w:t>s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of alcohol and tobacco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 use among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a sample of 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Ecuadorian college </w:t>
      </w:r>
      <w:r w:rsidR="000A1D80" w:rsidRPr="00EF776D">
        <w:rPr>
          <w:rFonts w:ascii="Times New Roman" w:hAnsi="Times New Roman" w:cs="Times New Roman"/>
          <w:sz w:val="24"/>
          <w:szCs w:val="24"/>
        </w:rPr>
        <w:t>students</w:t>
      </w:r>
      <w:r w:rsidR="002C3CDE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Pr="00EF776D">
        <w:rPr>
          <w:rFonts w:ascii="Times New Roman" w:hAnsi="Times New Roman" w:cs="Times New Roman"/>
          <w:sz w:val="24"/>
          <w:szCs w:val="24"/>
        </w:rPr>
        <w:t>We hypothesize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 (H</w:t>
      </w:r>
      <w:r w:rsidR="00967FFD" w:rsidRPr="00EF77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) </w:t>
      </w:r>
      <w:r w:rsidR="000A1D80" w:rsidRPr="00EF776D">
        <w:rPr>
          <w:rFonts w:ascii="Times New Roman" w:hAnsi="Times New Roman" w:cs="Times New Roman"/>
          <w:sz w:val="24"/>
          <w:szCs w:val="24"/>
        </w:rPr>
        <w:t>that consumption</w:t>
      </w:r>
      <w:r w:rsidRPr="00EF776D">
        <w:rPr>
          <w:rFonts w:ascii="Times New Roman" w:hAnsi="Times New Roman" w:cs="Times New Roman"/>
          <w:sz w:val="24"/>
          <w:szCs w:val="24"/>
        </w:rPr>
        <w:t xml:space="preserve"> of th</w:t>
      </w:r>
      <w:r w:rsidR="00D54373">
        <w:rPr>
          <w:rFonts w:ascii="Times New Roman" w:hAnsi="Times New Roman" w:cs="Times New Roman"/>
          <w:sz w:val="24"/>
          <w:szCs w:val="24"/>
        </w:rPr>
        <w:t>ese</w:t>
      </w:r>
      <w:r w:rsidRPr="00EF776D">
        <w:rPr>
          <w:rFonts w:ascii="Times New Roman" w:hAnsi="Times New Roman" w:cs="Times New Roman"/>
          <w:sz w:val="24"/>
          <w:szCs w:val="24"/>
        </w:rPr>
        <w:t xml:space="preserve"> substance</w:t>
      </w:r>
      <w:r w:rsidR="00967FFD" w:rsidRPr="00EF776D">
        <w:rPr>
          <w:rFonts w:ascii="Times New Roman" w:hAnsi="Times New Roman" w:cs="Times New Roman"/>
          <w:sz w:val="24"/>
          <w:szCs w:val="24"/>
        </w:rPr>
        <w:t>s</w:t>
      </w:r>
      <w:r w:rsidRPr="00EF776D">
        <w:rPr>
          <w:rFonts w:ascii="Times New Roman" w:hAnsi="Times New Roman" w:cs="Times New Roman"/>
          <w:sz w:val="24"/>
          <w:szCs w:val="24"/>
        </w:rPr>
        <w:t xml:space="preserve"> will be low among the sample but with a significant presence of risky use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; b) </w:t>
      </w:r>
      <w:r w:rsidR="00D54373">
        <w:rPr>
          <w:rFonts w:ascii="Times New Roman" w:hAnsi="Times New Roman" w:cs="Times New Roman"/>
          <w:sz w:val="24"/>
          <w:szCs w:val="24"/>
        </w:rPr>
        <w:t>to i</w:t>
      </w:r>
      <w:r w:rsidR="00967FFD" w:rsidRPr="00EF776D">
        <w:rPr>
          <w:rFonts w:ascii="Times New Roman" w:hAnsi="Times New Roman" w:cs="Times New Roman"/>
          <w:sz w:val="24"/>
          <w:szCs w:val="24"/>
        </w:rPr>
        <w:t>dentify sex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differences </w:t>
      </w:r>
      <w:r w:rsidR="00967FFD" w:rsidRPr="00EF776D">
        <w:rPr>
          <w:rFonts w:ascii="Times New Roman" w:hAnsi="Times New Roman" w:cs="Times New Roman"/>
          <w:sz w:val="24"/>
          <w:szCs w:val="24"/>
        </w:rPr>
        <w:t>in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alcohol and tobacco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D54373">
        <w:rPr>
          <w:rFonts w:ascii="Times New Roman" w:hAnsi="Times New Roman" w:cs="Times New Roman"/>
          <w:sz w:val="24"/>
          <w:szCs w:val="24"/>
        </w:rPr>
        <w:t>consumption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967FFD" w:rsidRPr="00EF776D">
        <w:rPr>
          <w:rFonts w:ascii="Times New Roman" w:hAnsi="Times New Roman" w:cs="Times New Roman"/>
          <w:sz w:val="24"/>
          <w:szCs w:val="24"/>
        </w:rPr>
        <w:t>Our hypothesis (H</w:t>
      </w:r>
      <w:r w:rsidR="00967FFD" w:rsidRPr="00EF77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7FFD" w:rsidRPr="00EF776D">
        <w:rPr>
          <w:rFonts w:ascii="Times New Roman" w:hAnsi="Times New Roman" w:cs="Times New Roman"/>
          <w:sz w:val="24"/>
          <w:szCs w:val="24"/>
        </w:rPr>
        <w:t>) is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that there are 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sex </w:t>
      </w:r>
      <w:r w:rsidR="000A1D80" w:rsidRPr="00EF776D">
        <w:rPr>
          <w:rFonts w:ascii="Times New Roman" w:hAnsi="Times New Roman" w:cs="Times New Roman"/>
          <w:sz w:val="24"/>
          <w:szCs w:val="24"/>
        </w:rPr>
        <w:t>differences</w:t>
      </w:r>
      <w:r w:rsidR="00967FFD" w:rsidRPr="00EF776D">
        <w:rPr>
          <w:rFonts w:ascii="Times New Roman" w:hAnsi="Times New Roman" w:cs="Times New Roman"/>
          <w:sz w:val="24"/>
          <w:szCs w:val="24"/>
        </w:rPr>
        <w:t>,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967FFD" w:rsidRPr="00EF776D">
        <w:rPr>
          <w:rFonts w:ascii="Times New Roman" w:hAnsi="Times New Roman" w:cs="Times New Roman"/>
          <w:sz w:val="24"/>
          <w:szCs w:val="24"/>
        </w:rPr>
        <w:t>with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men show</w:t>
      </w:r>
      <w:r w:rsidR="00967FFD" w:rsidRPr="00EF776D">
        <w:rPr>
          <w:rFonts w:ascii="Times New Roman" w:hAnsi="Times New Roman" w:cs="Times New Roman"/>
          <w:sz w:val="24"/>
          <w:szCs w:val="24"/>
        </w:rPr>
        <w:t>ing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 more consumption than women; and, c) </w:t>
      </w:r>
      <w:r w:rsidR="00D54373">
        <w:rPr>
          <w:rFonts w:ascii="Times New Roman" w:hAnsi="Times New Roman" w:cs="Times New Roman"/>
          <w:sz w:val="24"/>
          <w:szCs w:val="24"/>
        </w:rPr>
        <w:t>to d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etermine if sex is a risk factor in 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alcohol and tobacco </w:t>
      </w:r>
      <w:r w:rsidR="00967FFD" w:rsidRPr="00EF776D">
        <w:rPr>
          <w:rFonts w:ascii="Times New Roman" w:hAnsi="Times New Roman" w:cs="Times New Roman"/>
          <w:sz w:val="24"/>
          <w:szCs w:val="24"/>
        </w:rPr>
        <w:t>risky use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. </w:t>
      </w:r>
      <w:r w:rsidR="00967FFD" w:rsidRPr="00EF776D">
        <w:rPr>
          <w:rFonts w:ascii="Times New Roman" w:hAnsi="Times New Roman" w:cs="Times New Roman"/>
          <w:sz w:val="24"/>
          <w:szCs w:val="24"/>
        </w:rPr>
        <w:t>We hypothesize (H</w:t>
      </w:r>
      <w:r w:rsidR="00967FFD" w:rsidRPr="00EF776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) that </w:t>
      </w:r>
      <w:r w:rsidR="000A1D80" w:rsidRPr="00EF776D">
        <w:rPr>
          <w:rFonts w:ascii="Times New Roman" w:hAnsi="Times New Roman" w:cs="Times New Roman"/>
          <w:sz w:val="24"/>
          <w:szCs w:val="24"/>
        </w:rPr>
        <w:t xml:space="preserve">being a man </w:t>
      </w:r>
      <w:r w:rsidR="00967FFD" w:rsidRPr="00EF776D">
        <w:rPr>
          <w:rFonts w:ascii="Times New Roman" w:hAnsi="Times New Roman" w:cs="Times New Roman"/>
          <w:sz w:val="24"/>
          <w:szCs w:val="24"/>
        </w:rPr>
        <w:t xml:space="preserve">increases the probability of developing risky consumption. </w:t>
      </w:r>
      <w:r w:rsidR="00CB268A" w:rsidRPr="00EF7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718EB" w14:textId="77777777" w:rsidR="00812E6E" w:rsidRDefault="00812E6E" w:rsidP="00DA107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741DD" w14:textId="0BBA3B06" w:rsidR="00967FFD" w:rsidRPr="00EF776D" w:rsidRDefault="00967FFD" w:rsidP="00DA107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76D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1DA1B879" w14:textId="7A7032DC" w:rsidR="00FF5B0E" w:rsidRPr="00DA107A" w:rsidRDefault="00D54373" w:rsidP="00DA107A">
      <w:pPr>
        <w:pStyle w:val="HTMLPreformatted"/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study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includes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 descriptive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>, cross-sectional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comparative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design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6419">
        <w:rPr>
          <w:rFonts w:ascii="Times New Roman" w:hAnsi="Times New Roman" w:cs="Times New Roman"/>
          <w:sz w:val="24"/>
          <w:szCs w:val="24"/>
          <w:lang w:val="en-US"/>
        </w:rPr>
        <w:t>Ato</w:t>
      </w:r>
      <w:proofErr w:type="spellEnd"/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 et al., 2013) 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to examine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sex differences 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>and sex as a risk factor, in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alcohol and tobacco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use,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in a sample of</w:t>
      </w:r>
      <w:r w:rsidR="00967FF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Ecuadorian college students.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46EA27" w14:textId="06CC0DBB" w:rsidR="00945F97" w:rsidRPr="00EF776D" w:rsidRDefault="00945F97" w:rsidP="00DA107A">
      <w:pPr>
        <w:pStyle w:val="HTMLPreformatted"/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76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Participants</w:t>
      </w:r>
    </w:p>
    <w:p w14:paraId="2614CB68" w14:textId="0088057D" w:rsidR="00FF5B0E" w:rsidRPr="00DA107A" w:rsidRDefault="00945F97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In this research, 546 college students participated (69.1% women) between the ages of 17 to 41 years (</w:t>
      </w:r>
      <w:r w:rsidR="008A6419" w:rsidRPr="008A641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</w:rPr>
        <w:t xml:space="preserve">= 21.3 years; </w:t>
      </w:r>
      <w:r w:rsidRPr="008A6419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Pr="00EF776D">
        <w:rPr>
          <w:rFonts w:ascii="Times New Roman" w:hAnsi="Times New Roman" w:cs="Times New Roman"/>
          <w:sz w:val="24"/>
          <w:szCs w:val="24"/>
        </w:rPr>
        <w:t xml:space="preserve"> = 2.6). </w:t>
      </w:r>
      <w:r w:rsidR="008A6419">
        <w:rPr>
          <w:rFonts w:ascii="Times New Roman" w:hAnsi="Times New Roman" w:cs="Times New Roman"/>
          <w:sz w:val="24"/>
          <w:szCs w:val="24"/>
        </w:rPr>
        <w:t xml:space="preserve">Among the sample, </w:t>
      </w:r>
      <w:r w:rsidRPr="00EF776D">
        <w:rPr>
          <w:rFonts w:ascii="Times New Roman" w:hAnsi="Times New Roman" w:cs="Times New Roman"/>
          <w:sz w:val="24"/>
          <w:szCs w:val="24"/>
        </w:rPr>
        <w:t xml:space="preserve">95.4% are ethnically identified as </w:t>
      </w:r>
      <w:r w:rsidR="008A6419">
        <w:rPr>
          <w:rFonts w:ascii="Times New Roman" w:hAnsi="Times New Roman" w:cs="Times New Roman"/>
          <w:sz w:val="24"/>
          <w:szCs w:val="24"/>
        </w:rPr>
        <w:t>mestizos (</w:t>
      </w:r>
      <w:r w:rsidR="008A6419" w:rsidRPr="008A6419">
        <w:rPr>
          <w:rFonts w:ascii="Times New Roman" w:hAnsi="Times New Roman" w:cs="Times New Roman"/>
          <w:sz w:val="24"/>
          <w:szCs w:val="24"/>
        </w:rPr>
        <w:t>combined European and Indigenous American ancestry</w:t>
      </w:r>
      <w:r w:rsidR="008A6419">
        <w:rPr>
          <w:rFonts w:ascii="Times New Roman" w:hAnsi="Times New Roman" w:cs="Times New Roman"/>
          <w:sz w:val="24"/>
          <w:szCs w:val="24"/>
        </w:rPr>
        <w:t>)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and the remaining 4.6% as indigenous, Afro-Ecuadorian</w:t>
      </w:r>
      <w:r w:rsidR="008A6419">
        <w:rPr>
          <w:rFonts w:ascii="Times New Roman" w:hAnsi="Times New Roman" w:cs="Times New Roman"/>
          <w:sz w:val="24"/>
          <w:szCs w:val="24"/>
        </w:rPr>
        <w:t>,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and white</w:t>
      </w:r>
      <w:r w:rsidR="008A6419">
        <w:rPr>
          <w:rFonts w:ascii="Times New Roman" w:hAnsi="Times New Roman" w:cs="Times New Roman"/>
          <w:sz w:val="24"/>
          <w:szCs w:val="24"/>
        </w:rPr>
        <w:t>, similarly,</w:t>
      </w:r>
      <w:r w:rsidRPr="00EF776D">
        <w:rPr>
          <w:rFonts w:ascii="Times New Roman" w:hAnsi="Times New Roman" w:cs="Times New Roman"/>
          <w:sz w:val="24"/>
          <w:szCs w:val="24"/>
        </w:rPr>
        <w:t xml:space="preserve"> 81.1% live in the urban sector and 18.9% come from rural areas. In addition, 34.4% report </w:t>
      </w:r>
      <w:r w:rsidR="008A6419">
        <w:rPr>
          <w:rFonts w:ascii="Times New Roman" w:hAnsi="Times New Roman" w:cs="Times New Roman"/>
          <w:sz w:val="24"/>
          <w:szCs w:val="24"/>
        </w:rPr>
        <w:t xml:space="preserve">an </w:t>
      </w:r>
      <w:r w:rsidRPr="00EF776D">
        <w:rPr>
          <w:rFonts w:ascii="Times New Roman" w:hAnsi="Times New Roman" w:cs="Times New Roman"/>
          <w:sz w:val="24"/>
          <w:szCs w:val="24"/>
        </w:rPr>
        <w:t>economic vulnerability. Participants are students from four universities (45.1% public) in the cities of Ambato (82.2%) and Quito (17.8%) in Ecuador. The</w:t>
      </w:r>
      <w:r w:rsidR="00454E4F" w:rsidRPr="00EF776D">
        <w:rPr>
          <w:rFonts w:ascii="Times New Roman" w:hAnsi="Times New Roman" w:cs="Times New Roman"/>
          <w:sz w:val="24"/>
          <w:szCs w:val="24"/>
        </w:rPr>
        <w:t xml:space="preserve">y are attending </w:t>
      </w:r>
      <w:r w:rsidRPr="00EF776D">
        <w:rPr>
          <w:rFonts w:ascii="Times New Roman" w:hAnsi="Times New Roman" w:cs="Times New Roman"/>
          <w:sz w:val="24"/>
          <w:szCs w:val="24"/>
        </w:rPr>
        <w:t>four undergraduate</w:t>
      </w:r>
      <w:r w:rsidR="00454E4F" w:rsidRPr="00EF776D">
        <w:rPr>
          <w:rFonts w:ascii="Times New Roman" w:hAnsi="Times New Roman" w:cs="Times New Roman"/>
          <w:sz w:val="24"/>
          <w:szCs w:val="24"/>
        </w:rPr>
        <w:t xml:space="preserve"> programs </w:t>
      </w:r>
      <w:r w:rsidRPr="00EF776D">
        <w:rPr>
          <w:rFonts w:ascii="Times New Roman" w:hAnsi="Times New Roman" w:cs="Times New Roman"/>
          <w:sz w:val="24"/>
          <w:szCs w:val="24"/>
        </w:rPr>
        <w:t>(psychology, medicine, administration, education)</w:t>
      </w:r>
      <w:r w:rsidR="008A6419">
        <w:rPr>
          <w:rFonts w:ascii="Times New Roman" w:hAnsi="Times New Roman" w:cs="Times New Roman"/>
          <w:sz w:val="24"/>
          <w:szCs w:val="24"/>
        </w:rPr>
        <w:t>, 2.9% report academic problems</w:t>
      </w:r>
      <w:r w:rsidRPr="00EF776D">
        <w:rPr>
          <w:rFonts w:ascii="Times New Roman" w:hAnsi="Times New Roman" w:cs="Times New Roman"/>
          <w:sz w:val="24"/>
          <w:szCs w:val="24"/>
        </w:rPr>
        <w:t xml:space="preserve"> due to low </w:t>
      </w:r>
      <w:r w:rsidR="00454E4F" w:rsidRPr="00EF776D">
        <w:rPr>
          <w:rFonts w:ascii="Times New Roman" w:hAnsi="Times New Roman" w:cs="Times New Roman"/>
          <w:sz w:val="24"/>
          <w:szCs w:val="24"/>
        </w:rPr>
        <w:t>achievement</w:t>
      </w:r>
      <w:r w:rsidR="008A6419">
        <w:rPr>
          <w:rFonts w:ascii="Times New Roman" w:hAnsi="Times New Roman" w:cs="Times New Roman"/>
          <w:sz w:val="24"/>
          <w:szCs w:val="24"/>
        </w:rPr>
        <w:t xml:space="preserve">, </w:t>
      </w:r>
      <w:r w:rsidRPr="00EF776D">
        <w:rPr>
          <w:rFonts w:ascii="Times New Roman" w:hAnsi="Times New Roman" w:cs="Times New Roman"/>
          <w:sz w:val="24"/>
          <w:szCs w:val="24"/>
        </w:rPr>
        <w:t xml:space="preserve">11.7% are repeating </w:t>
      </w:r>
      <w:r w:rsidR="00454E4F" w:rsidRPr="00EF776D">
        <w:rPr>
          <w:rFonts w:ascii="Times New Roman" w:hAnsi="Times New Roman" w:cs="Times New Roman"/>
          <w:sz w:val="24"/>
          <w:szCs w:val="24"/>
        </w:rPr>
        <w:t>a course</w:t>
      </w:r>
      <w:r w:rsidRPr="00EF776D">
        <w:rPr>
          <w:rFonts w:ascii="Times New Roman" w:hAnsi="Times New Roman" w:cs="Times New Roman"/>
          <w:sz w:val="24"/>
          <w:szCs w:val="24"/>
        </w:rPr>
        <w:t xml:space="preserve"> in the current academic year and 20.9% combine their studies with </w:t>
      </w:r>
      <w:r w:rsidR="00454E4F" w:rsidRPr="00EF776D">
        <w:rPr>
          <w:rFonts w:ascii="Times New Roman" w:hAnsi="Times New Roman" w:cs="Times New Roman"/>
          <w:sz w:val="24"/>
          <w:szCs w:val="24"/>
        </w:rPr>
        <w:t xml:space="preserve">their </w:t>
      </w:r>
      <w:r w:rsidRPr="00EF776D">
        <w:rPr>
          <w:rFonts w:ascii="Times New Roman" w:hAnsi="Times New Roman" w:cs="Times New Roman"/>
          <w:sz w:val="24"/>
          <w:szCs w:val="24"/>
        </w:rPr>
        <w:t>work</w:t>
      </w:r>
      <w:r w:rsidR="00454E4F" w:rsidRPr="00EF776D">
        <w:rPr>
          <w:rFonts w:ascii="Times New Roman" w:hAnsi="Times New Roman" w:cs="Times New Roman"/>
          <w:sz w:val="24"/>
          <w:szCs w:val="24"/>
        </w:rPr>
        <w:t>.</w:t>
      </w:r>
      <w:r w:rsidR="006120A4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>We</w:t>
      </w:r>
      <w:r w:rsidRPr="00EF776D">
        <w:rPr>
          <w:rFonts w:ascii="Times New Roman" w:hAnsi="Times New Roman" w:cs="Times New Roman"/>
          <w:sz w:val="24"/>
          <w:szCs w:val="24"/>
        </w:rPr>
        <w:t xml:space="preserve"> selected </w:t>
      </w:r>
      <w:r w:rsidR="008A6419">
        <w:rPr>
          <w:rFonts w:ascii="Times New Roman" w:hAnsi="Times New Roman" w:cs="Times New Roman"/>
          <w:sz w:val="24"/>
          <w:szCs w:val="24"/>
        </w:rPr>
        <w:t xml:space="preserve">our sample </w:t>
      </w:r>
      <w:r w:rsidRPr="00EF776D">
        <w:rPr>
          <w:rFonts w:ascii="Times New Roman" w:hAnsi="Times New Roman" w:cs="Times New Roman"/>
          <w:sz w:val="24"/>
          <w:szCs w:val="24"/>
        </w:rPr>
        <w:t>through</w:t>
      </w:r>
      <w:r w:rsidR="008A6419">
        <w:rPr>
          <w:rFonts w:ascii="Times New Roman" w:hAnsi="Times New Roman" w:cs="Times New Roman"/>
          <w:sz w:val="24"/>
          <w:szCs w:val="24"/>
        </w:rPr>
        <w:t xml:space="preserve"> a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120A4" w:rsidRPr="00EF776D">
        <w:rPr>
          <w:rFonts w:ascii="Times New Roman" w:hAnsi="Times New Roman" w:cs="Times New Roman"/>
          <w:sz w:val="24"/>
          <w:szCs w:val="24"/>
        </w:rPr>
        <w:t>non-probabilistic sampling with the following inclusion criteria</w:t>
      </w:r>
      <w:r w:rsidRPr="00EF776D">
        <w:rPr>
          <w:rFonts w:ascii="Times New Roman" w:hAnsi="Times New Roman" w:cs="Times New Roman"/>
          <w:sz w:val="24"/>
          <w:szCs w:val="24"/>
        </w:rPr>
        <w:t xml:space="preserve">: a) </w:t>
      </w:r>
      <w:r w:rsidR="006120A4" w:rsidRPr="00EF776D">
        <w:rPr>
          <w:rFonts w:ascii="Times New Roman" w:hAnsi="Times New Roman" w:cs="Times New Roman"/>
          <w:sz w:val="24"/>
          <w:szCs w:val="24"/>
        </w:rPr>
        <w:t>Currently studying</w:t>
      </w:r>
      <w:r w:rsidRPr="00EF776D">
        <w:rPr>
          <w:rFonts w:ascii="Times New Roman" w:hAnsi="Times New Roman" w:cs="Times New Roman"/>
          <w:sz w:val="24"/>
          <w:szCs w:val="24"/>
        </w:rPr>
        <w:t xml:space="preserve"> at one of the participating universities; b) Voluntary participation; c) Regular class attendance; d) </w:t>
      </w:r>
      <w:r w:rsidR="006120A4" w:rsidRPr="00EF776D">
        <w:rPr>
          <w:rFonts w:ascii="Times New Roman" w:hAnsi="Times New Roman" w:cs="Times New Roman"/>
          <w:sz w:val="24"/>
          <w:szCs w:val="24"/>
        </w:rPr>
        <w:t>Authorization to participate in the research through a written informed consent</w:t>
      </w:r>
    </w:p>
    <w:p w14:paraId="48F95A83" w14:textId="6984C8B6" w:rsidR="009A1EDA" w:rsidRPr="00EF776D" w:rsidRDefault="009A1EDA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Instrument</w:t>
      </w:r>
      <w:r w:rsidR="006120A4" w:rsidRPr="00EF776D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51E064A" w14:textId="4543D1AE" w:rsidR="00176863" w:rsidRPr="00EF776D" w:rsidRDefault="006256CA" w:rsidP="00DA107A">
      <w:pPr>
        <w:pStyle w:val="HTMLPreformatted"/>
        <w:shd w:val="clear" w:color="auto" w:fill="FFFFFF" w:themeFill="background1"/>
        <w:spacing w:before="120" w:after="120" w:line="360" w:lineRule="auto"/>
        <w:jc w:val="both"/>
        <w:rPr>
          <w:lang w:val="en-US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Alcohol Use Disorders Identification Test 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>(AUDIT</w:t>
      </w:r>
      <w:r w:rsidR="00AE1176" w:rsidRPr="00EF776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WHO, 1992; Saunders</w:t>
      </w:r>
      <w:r w:rsidR="00AE117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176" w:rsidRPr="00EF776D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117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>1993)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. We used this instrument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panish version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adapted by García </w:t>
      </w:r>
      <w:proofErr w:type="spellStart"/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>Carretero</w:t>
      </w:r>
      <w:proofErr w:type="spellEnd"/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438574437"/>
          <w:citation/>
        </w:sdtPr>
        <w:sdtEndPr/>
        <w:sdtContent>
          <w:r w:rsidR="00193CA1" w:rsidRPr="00EF776D">
            <w:rPr>
              <w:rFonts w:ascii="Times New Roman" w:hAnsi="Times New Roman" w:cs="Times New Roman"/>
              <w:sz w:val="24"/>
              <w:szCs w:val="24"/>
              <w:lang w:val="en-US"/>
            </w:rPr>
            <w:t>(2016)</w:t>
          </w:r>
        </w:sdtContent>
      </w:sdt>
      <w:r w:rsidR="0039133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91330" w:rsidRPr="0039133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r w:rsidR="00391330" w:rsidRPr="00391330">
        <w:rPr>
          <w:rFonts w:ascii="Times New Roman" w:hAnsi="Times New Roman" w:cs="Times New Roman"/>
          <w:sz w:val="24"/>
          <w:szCs w:val="24"/>
          <w:lang w:val="en-US"/>
        </w:rPr>
        <w:t xml:space="preserve"> validated in Ecuadorians</w:t>
      </w:r>
      <w:r w:rsidR="00391330">
        <w:rPr>
          <w:rFonts w:ascii="Times New Roman" w:hAnsi="Times New Roman" w:cs="Times New Roman"/>
          <w:sz w:val="24"/>
          <w:szCs w:val="24"/>
          <w:lang w:val="en-US"/>
        </w:rPr>
        <w:t xml:space="preserve"> (Moreta-Herrera et al., 2021)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composed of 10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questions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on a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Likert scale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asses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>s Hazardous Consumption, Harmful Consumption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455F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and Dependence symptoms.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It establishes the conformation of two diagnostic categories based upon the accumulated score: Hazardous Consumption (8 to 14 points) and Harmful Consumption (15 points or more).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psychometric properties, this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reliability, 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previous studies carried out in Ecuador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found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values ​​of α=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26761D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(Mayorga-Lascano et al., 2019)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while in the present study reliability found was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ω=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>85; C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>95% [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83 -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4436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88] </w:t>
      </w:r>
      <w:r w:rsidR="000A1D80" w:rsidRPr="00EF776D">
        <w:rPr>
          <w:rFonts w:ascii="Times New Roman" w:hAnsi="Times New Roman" w:cs="Times New Roman"/>
          <w:sz w:val="24"/>
          <w:szCs w:val="24"/>
          <w:lang w:val="en-US"/>
        </w:rPr>
        <w:t>equivalent to acceptable.</w:t>
      </w:r>
    </w:p>
    <w:p w14:paraId="2B61FF1D" w14:textId="4D0D54B5" w:rsidR="00FF5B0E" w:rsidRPr="00DA107A" w:rsidRDefault="00FF5B0E" w:rsidP="00DA107A">
      <w:pPr>
        <w:pStyle w:val="HTMLPreformatted"/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Questionnaire to Classify the Level of Tobacco Consumption in Young People </w:t>
      </w:r>
      <w:r w:rsidR="008E0889" w:rsidRPr="00EF776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C4, </w:t>
      </w:r>
      <w:proofErr w:type="spellStart"/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>Londoño</w:t>
      </w:r>
      <w:proofErr w:type="spellEnd"/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, 2011).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This questionnaire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design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to assess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behavior regarding cigarette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according to the frequency and intensity of consumption, associated problems, intention to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quit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and signs of dependen</w:t>
      </w:r>
      <w:r w:rsidR="00FB2F61" w:rsidRPr="00EF776D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. It is made up of 15 items with values ​​ranging from 0 to 50 points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with cutoff points between 1 to 5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for low consumption, 6 to 17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for moderate consumption, 18 to 29 for high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consumption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with signs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of dependence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and 30 to 50 for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nicotine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dependence. Regarding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psychometric properties,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this questionnaire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high reliability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>α = .90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while in the present study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2D1DBB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ω=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93; </w:t>
      </w:r>
      <w:r w:rsidR="001F2289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CI 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>95% [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92 - </w:t>
      </w:r>
      <w:r w:rsidR="008A64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13B7" w:rsidRPr="00EF776D">
        <w:rPr>
          <w:rFonts w:ascii="Times New Roman" w:hAnsi="Times New Roman" w:cs="Times New Roman"/>
          <w:sz w:val="24"/>
          <w:szCs w:val="24"/>
          <w:lang w:val="en-US"/>
        </w:rPr>
        <w:t>94]</w:t>
      </w:r>
      <w:r w:rsidR="00176863" w:rsidRPr="00EF776D">
        <w:rPr>
          <w:rFonts w:ascii="Times New Roman" w:hAnsi="Times New Roman" w:cs="Times New Roman"/>
          <w:sz w:val="24"/>
          <w:szCs w:val="24"/>
          <w:lang w:val="en-US"/>
        </w:rPr>
        <w:t xml:space="preserve"> equivalent to very acceptable.</w:t>
      </w:r>
    </w:p>
    <w:p w14:paraId="520EED0E" w14:textId="595BA1FB" w:rsidR="00EB1D36" w:rsidRPr="00EF776D" w:rsidRDefault="00EB1D36" w:rsidP="00DA107A">
      <w:pPr>
        <w:pStyle w:val="HTMLPreformatted"/>
        <w:shd w:val="clear" w:color="auto" w:fill="FFFFFF" w:themeFill="background1"/>
        <w:spacing w:before="120" w:after="120" w:line="360" w:lineRule="auto"/>
        <w:jc w:val="both"/>
        <w:rPr>
          <w:lang w:val="en-US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</w:t>
      </w:r>
      <w:r w:rsidR="001F2289" w:rsidRPr="00EF776D">
        <w:rPr>
          <w:rFonts w:ascii="Times New Roman" w:hAnsi="Times New Roman" w:cs="Times New Roman"/>
          <w:b/>
          <w:bCs/>
          <w:sz w:val="24"/>
          <w:szCs w:val="24"/>
          <w:lang w:val="en-US"/>
        </w:rPr>
        <w:t>dure</w:t>
      </w:r>
    </w:p>
    <w:p w14:paraId="04EB7E5E" w14:textId="7D473458" w:rsidR="00FF5B0E" w:rsidRDefault="00577BB1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After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authorization </w:t>
      </w:r>
      <w:r w:rsidRPr="00EF776D">
        <w:rPr>
          <w:rFonts w:ascii="Times New Roman" w:hAnsi="Times New Roman" w:cs="Times New Roman"/>
          <w:sz w:val="24"/>
          <w:szCs w:val="24"/>
        </w:rPr>
        <w:t>of the deans of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the four educational centers</w:t>
      </w:r>
      <w:r w:rsidRPr="00EF776D">
        <w:rPr>
          <w:rFonts w:ascii="Times New Roman" w:hAnsi="Times New Roman" w:cs="Times New Roman"/>
          <w:sz w:val="24"/>
          <w:szCs w:val="24"/>
        </w:rPr>
        <w:t>,</w:t>
      </w:r>
      <w:r w:rsidR="008A6419">
        <w:rPr>
          <w:rFonts w:ascii="Times New Roman" w:hAnsi="Times New Roman" w:cs="Times New Roman"/>
          <w:sz w:val="24"/>
          <w:szCs w:val="24"/>
        </w:rPr>
        <w:t xml:space="preserve"> we socialize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20E1C" w:rsidRPr="00EF776D">
        <w:rPr>
          <w:rFonts w:ascii="Times New Roman" w:hAnsi="Times New Roman" w:cs="Times New Roman"/>
          <w:sz w:val="24"/>
          <w:szCs w:val="24"/>
        </w:rPr>
        <w:t>the project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and its aims </w:t>
      </w:r>
      <w:r w:rsidR="008A6419">
        <w:rPr>
          <w:rFonts w:ascii="Times New Roman" w:hAnsi="Times New Roman" w:cs="Times New Roman"/>
          <w:sz w:val="24"/>
          <w:szCs w:val="24"/>
        </w:rPr>
        <w:t>to the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participant</w:t>
      </w:r>
      <w:r w:rsidRPr="00EF776D">
        <w:rPr>
          <w:rFonts w:ascii="Times New Roman" w:hAnsi="Times New Roman" w:cs="Times New Roman"/>
          <w:sz w:val="24"/>
          <w:szCs w:val="24"/>
        </w:rPr>
        <w:t>s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. The selected candidates signed informed consent before the evaluation process, accepting the </w:t>
      </w:r>
      <w:r w:rsidRPr="00EF776D">
        <w:rPr>
          <w:rFonts w:ascii="Times New Roman" w:hAnsi="Times New Roman" w:cs="Times New Roman"/>
          <w:sz w:val="24"/>
          <w:szCs w:val="24"/>
        </w:rPr>
        <w:t xml:space="preserve">assessment and </w:t>
      </w:r>
      <w:r w:rsidR="00620E1C" w:rsidRPr="00EF776D">
        <w:rPr>
          <w:rFonts w:ascii="Times New Roman" w:hAnsi="Times New Roman" w:cs="Times New Roman"/>
          <w:sz w:val="24"/>
          <w:szCs w:val="24"/>
        </w:rPr>
        <w:t>dissemination of the results. The evaluation process was carried out in</w:t>
      </w:r>
      <w:r w:rsidRPr="00EF776D">
        <w:rPr>
          <w:rFonts w:ascii="Times New Roman" w:hAnsi="Times New Roman" w:cs="Times New Roman"/>
          <w:sz w:val="24"/>
          <w:szCs w:val="24"/>
        </w:rPr>
        <w:t xml:space="preserve"> groups within classrooms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in approximate</w:t>
      </w:r>
      <w:r w:rsidR="008A6419">
        <w:rPr>
          <w:rFonts w:ascii="Times New Roman" w:hAnsi="Times New Roman" w:cs="Times New Roman"/>
          <w:sz w:val="24"/>
          <w:szCs w:val="24"/>
        </w:rPr>
        <w:t>ly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30 minutes.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620E1C" w:rsidRPr="00EF776D">
        <w:rPr>
          <w:rFonts w:ascii="Times New Roman" w:hAnsi="Times New Roman" w:cs="Times New Roman"/>
          <w:sz w:val="24"/>
          <w:szCs w:val="24"/>
        </w:rPr>
        <w:t>Once this phase was concluded, data</w:t>
      </w:r>
      <w:r w:rsidRPr="00EF776D">
        <w:rPr>
          <w:rFonts w:ascii="Times New Roman" w:hAnsi="Times New Roman" w:cs="Times New Roman"/>
          <w:sz w:val="24"/>
          <w:szCs w:val="24"/>
        </w:rPr>
        <w:t xml:space="preserve"> obtained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was refined for subsequent systematization, digitization</w:t>
      </w:r>
      <w:r w:rsidR="008A6419">
        <w:rPr>
          <w:rFonts w:ascii="Times New Roman" w:hAnsi="Times New Roman" w:cs="Times New Roman"/>
          <w:sz w:val="24"/>
          <w:szCs w:val="24"/>
        </w:rPr>
        <w:t>,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and statistical </w:t>
      </w:r>
      <w:r w:rsidRPr="00EF776D">
        <w:rPr>
          <w:rFonts w:ascii="Times New Roman" w:hAnsi="Times New Roman" w:cs="Times New Roman"/>
          <w:sz w:val="24"/>
          <w:szCs w:val="24"/>
        </w:rPr>
        <w:t>analysis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. With the results, the proposed hypotheses were </w:t>
      </w:r>
      <w:r w:rsidR="00FF5B0E" w:rsidRPr="00EF776D">
        <w:rPr>
          <w:rFonts w:ascii="Times New Roman" w:hAnsi="Times New Roman" w:cs="Times New Roman"/>
          <w:sz w:val="24"/>
          <w:szCs w:val="24"/>
        </w:rPr>
        <w:t>contrasted,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and this </w:t>
      </w:r>
      <w:r w:rsidRPr="00EF776D">
        <w:rPr>
          <w:rFonts w:ascii="Times New Roman" w:hAnsi="Times New Roman" w:cs="Times New Roman"/>
          <w:sz w:val="24"/>
          <w:szCs w:val="24"/>
        </w:rPr>
        <w:t>scientific paper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 was </w:t>
      </w:r>
      <w:r w:rsidR="00E073EC" w:rsidRPr="00EF776D">
        <w:rPr>
          <w:rFonts w:ascii="Times New Roman" w:hAnsi="Times New Roman" w:cs="Times New Roman"/>
          <w:sz w:val="24"/>
          <w:szCs w:val="24"/>
        </w:rPr>
        <w:t>written</w:t>
      </w:r>
      <w:r w:rsidR="00620E1C" w:rsidRPr="00EF776D">
        <w:rPr>
          <w:rFonts w:ascii="Times New Roman" w:hAnsi="Times New Roman" w:cs="Times New Roman"/>
          <w:sz w:val="24"/>
          <w:szCs w:val="24"/>
        </w:rPr>
        <w:t xml:space="preserve">. Before being published, it was approved by the Publications Committee of the Pontificia Universidad </w:t>
      </w:r>
      <w:proofErr w:type="spellStart"/>
      <w:r w:rsidR="00620E1C" w:rsidRPr="00EF776D">
        <w:rPr>
          <w:rFonts w:ascii="Times New Roman" w:hAnsi="Times New Roman" w:cs="Times New Roman"/>
          <w:sz w:val="24"/>
          <w:szCs w:val="24"/>
        </w:rPr>
        <w:t>Católica</w:t>
      </w:r>
      <w:proofErr w:type="spellEnd"/>
      <w:r w:rsidR="00620E1C" w:rsidRPr="00EF776D">
        <w:rPr>
          <w:rFonts w:ascii="Times New Roman" w:hAnsi="Times New Roman" w:cs="Times New Roman"/>
          <w:sz w:val="24"/>
          <w:szCs w:val="24"/>
        </w:rPr>
        <w:t xml:space="preserve"> del Ecuador </w:t>
      </w:r>
      <w:proofErr w:type="spellStart"/>
      <w:r w:rsidR="00E073EC" w:rsidRPr="00EF776D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="00E073EC" w:rsidRPr="00EF776D">
        <w:rPr>
          <w:rFonts w:ascii="Times New Roman" w:hAnsi="Times New Roman" w:cs="Times New Roman"/>
          <w:sz w:val="24"/>
          <w:szCs w:val="24"/>
        </w:rPr>
        <w:t xml:space="preserve"> Ambato</w:t>
      </w:r>
      <w:r w:rsidR="00620E1C" w:rsidRPr="00EF776D">
        <w:rPr>
          <w:rFonts w:ascii="Times New Roman" w:hAnsi="Times New Roman" w:cs="Times New Roman"/>
          <w:sz w:val="24"/>
          <w:szCs w:val="24"/>
        </w:rPr>
        <w:t>, which is in charge of reviewing compliance with the ethics protocols for research.</w:t>
      </w:r>
    </w:p>
    <w:p w14:paraId="43D1B71D" w14:textId="31E04CB5" w:rsidR="00EB1D36" w:rsidRPr="00EF776D" w:rsidRDefault="00893DB5" w:rsidP="00DA107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Data Analysis</w:t>
      </w:r>
    </w:p>
    <w:p w14:paraId="7076384B" w14:textId="28EACDCB" w:rsidR="00DA107A" w:rsidRPr="008A6419" w:rsidRDefault="005A161C" w:rsidP="008A641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>This research contains three blocks of data analys</w:t>
      </w:r>
      <w:r w:rsidR="000A3D91" w:rsidRPr="00EF776D">
        <w:rPr>
          <w:rFonts w:ascii="Times New Roman" w:hAnsi="Times New Roman" w:cs="Times New Roman"/>
          <w:sz w:val="24"/>
          <w:szCs w:val="24"/>
        </w:rPr>
        <w:t>e</w:t>
      </w:r>
      <w:r w:rsidRPr="00EF776D">
        <w:rPr>
          <w:rFonts w:ascii="Times New Roman" w:hAnsi="Times New Roman" w:cs="Times New Roman"/>
          <w:sz w:val="24"/>
          <w:szCs w:val="24"/>
        </w:rPr>
        <w:t xml:space="preserve">s. The first one comprises a descriptive analysis of the data collected </w:t>
      </w:r>
      <w:r w:rsidR="008A6419">
        <w:rPr>
          <w:rFonts w:ascii="Times New Roman" w:hAnsi="Times New Roman" w:cs="Times New Roman"/>
          <w:sz w:val="24"/>
          <w:szCs w:val="24"/>
        </w:rPr>
        <w:t>concerning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90D99" w:rsidRPr="00EF776D">
        <w:rPr>
          <w:rFonts w:ascii="Times New Roman" w:hAnsi="Times New Roman" w:cs="Times New Roman"/>
          <w:sz w:val="24"/>
          <w:szCs w:val="24"/>
        </w:rPr>
        <w:t>alcohol and tobacco use.</w:t>
      </w:r>
      <w:r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B90D99" w:rsidRPr="00EF776D">
        <w:rPr>
          <w:rFonts w:ascii="Times New Roman" w:hAnsi="Times New Roman" w:cs="Times New Roman"/>
          <w:sz w:val="24"/>
          <w:szCs w:val="24"/>
        </w:rPr>
        <w:t>T</w:t>
      </w:r>
      <w:r w:rsidRPr="00EF776D">
        <w:rPr>
          <w:rFonts w:ascii="Times New Roman" w:hAnsi="Times New Roman" w:cs="Times New Roman"/>
          <w:sz w:val="24"/>
          <w:szCs w:val="24"/>
        </w:rPr>
        <w:t>he means of the total values ​​</w:t>
      </w:r>
      <w:r w:rsidR="006D31BC" w:rsidRPr="00EF776D">
        <w:rPr>
          <w:rFonts w:ascii="Times New Roman" w:hAnsi="Times New Roman" w:cs="Times New Roman"/>
          <w:sz w:val="24"/>
          <w:szCs w:val="24"/>
        </w:rPr>
        <w:t>were</w:t>
      </w:r>
      <w:r w:rsidRPr="00EF776D">
        <w:rPr>
          <w:rFonts w:ascii="Times New Roman" w:hAnsi="Times New Roman" w:cs="Times New Roman"/>
          <w:sz w:val="24"/>
          <w:szCs w:val="24"/>
        </w:rPr>
        <w:t xml:space="preserve"> analyzed </w:t>
      </w:r>
      <w:r w:rsidR="00B90D99" w:rsidRPr="00EF776D">
        <w:rPr>
          <w:rFonts w:ascii="Times New Roman" w:hAnsi="Times New Roman" w:cs="Times New Roman"/>
          <w:sz w:val="24"/>
          <w:szCs w:val="24"/>
        </w:rPr>
        <w:t xml:space="preserve">to </w:t>
      </w:r>
      <w:r w:rsidRPr="00EF776D">
        <w:rPr>
          <w:rFonts w:ascii="Times New Roman" w:hAnsi="Times New Roman" w:cs="Times New Roman"/>
          <w:sz w:val="24"/>
          <w:szCs w:val="24"/>
        </w:rPr>
        <w:t>compare them with the cut-off points of the tests and estimate the general characteristic of consumption</w:t>
      </w:r>
      <w:r w:rsidR="00B90D99" w:rsidRPr="00EF776D">
        <w:rPr>
          <w:rFonts w:ascii="Times New Roman" w:hAnsi="Times New Roman" w:cs="Times New Roman"/>
          <w:sz w:val="24"/>
          <w:szCs w:val="24"/>
        </w:rPr>
        <w:t xml:space="preserve"> among the sample. </w:t>
      </w:r>
      <w:r w:rsidRPr="00EF776D">
        <w:rPr>
          <w:rFonts w:ascii="Times New Roman" w:hAnsi="Times New Roman" w:cs="Times New Roman"/>
          <w:sz w:val="24"/>
          <w:szCs w:val="24"/>
        </w:rPr>
        <w:t xml:space="preserve">The second block corresponds to </w:t>
      </w:r>
      <w:r w:rsidR="00B90D99" w:rsidRPr="00EF776D">
        <w:rPr>
          <w:rFonts w:ascii="Times New Roman" w:hAnsi="Times New Roman" w:cs="Times New Roman"/>
          <w:sz w:val="24"/>
          <w:szCs w:val="24"/>
        </w:rPr>
        <w:t>a</w:t>
      </w:r>
      <w:r w:rsidRPr="00EF776D">
        <w:rPr>
          <w:rFonts w:ascii="Times New Roman" w:hAnsi="Times New Roman" w:cs="Times New Roman"/>
          <w:sz w:val="24"/>
          <w:szCs w:val="24"/>
        </w:rPr>
        <w:t xml:space="preserve"> comparative analysis by sex. The homoscedasticity assumption (F) was verified</w:t>
      </w:r>
      <w:r w:rsidR="006D31BC" w:rsidRPr="00EF776D">
        <w:rPr>
          <w:rFonts w:ascii="Times New Roman" w:hAnsi="Times New Roman" w:cs="Times New Roman"/>
          <w:sz w:val="24"/>
          <w:szCs w:val="24"/>
        </w:rPr>
        <w:t>, finding</w:t>
      </w:r>
      <w:r w:rsidR="00B90D99" w:rsidRPr="00EF776D">
        <w:rPr>
          <w:rFonts w:ascii="Times New Roman" w:hAnsi="Times New Roman" w:cs="Times New Roman"/>
          <w:sz w:val="24"/>
          <w:szCs w:val="24"/>
        </w:rPr>
        <w:t xml:space="preserve"> that this assumption was not met</w:t>
      </w:r>
      <w:r w:rsidRPr="00EF776D">
        <w:rPr>
          <w:rFonts w:ascii="Times New Roman" w:hAnsi="Times New Roman" w:cs="Times New Roman"/>
          <w:sz w:val="24"/>
          <w:szCs w:val="24"/>
        </w:rPr>
        <w:t xml:space="preserve">; </w:t>
      </w:r>
      <w:r w:rsidR="00B90D99" w:rsidRPr="00EF776D">
        <w:rPr>
          <w:rFonts w:ascii="Times New Roman" w:hAnsi="Times New Roman" w:cs="Times New Roman"/>
          <w:sz w:val="24"/>
          <w:szCs w:val="24"/>
        </w:rPr>
        <w:t>Statistical differences (</w:t>
      </w:r>
      <w:r w:rsidR="00B90D99" w:rsidRPr="00EF776D">
        <w:rPr>
          <w:rFonts w:ascii="Times New Roman" w:hAnsi="Times New Roman" w:cs="Times New Roman"/>
          <w:i/>
          <w:sz w:val="24"/>
          <w:szCs w:val="24"/>
        </w:rPr>
        <w:t>p&lt; .05</w:t>
      </w:r>
      <w:r w:rsidR="00B90D99" w:rsidRPr="00EF776D">
        <w:rPr>
          <w:rFonts w:ascii="Times New Roman" w:hAnsi="Times New Roman" w:cs="Times New Roman"/>
          <w:sz w:val="24"/>
          <w:szCs w:val="24"/>
        </w:rPr>
        <w:t>) were calculated with the Student t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B90D99" w:rsidRPr="00EF776D">
        <w:rPr>
          <w:rFonts w:ascii="Times New Roman" w:hAnsi="Times New Roman" w:cs="Times New Roman"/>
          <w:sz w:val="24"/>
          <w:szCs w:val="24"/>
        </w:rPr>
        <w:t>test (</w:t>
      </w:r>
      <w:r w:rsidR="00B90D99" w:rsidRPr="00EF776D">
        <w:rPr>
          <w:rFonts w:ascii="Times New Roman" w:hAnsi="Times New Roman" w:cs="Times New Roman"/>
          <w:i/>
          <w:sz w:val="24"/>
          <w:szCs w:val="24"/>
        </w:rPr>
        <w:t>t</w:t>
      </w:r>
      <w:r w:rsidR="00B90D99" w:rsidRPr="00EF776D">
        <w:rPr>
          <w:rFonts w:ascii="Times New Roman" w:hAnsi="Times New Roman" w:cs="Times New Roman"/>
          <w:sz w:val="24"/>
          <w:szCs w:val="24"/>
        </w:rPr>
        <w:t>) and the effect sizes with the adjusted Hedges test (</w:t>
      </w:r>
      <w:proofErr w:type="gramStart"/>
      <w:r w:rsidR="00B90D99" w:rsidRPr="00EF776D">
        <w:rPr>
          <w:rFonts w:ascii="Times New Roman" w:hAnsi="Times New Roman" w:cs="Times New Roman"/>
          <w:i/>
          <w:sz w:val="24"/>
          <w:szCs w:val="24"/>
        </w:rPr>
        <w:t>g</w:t>
      </w:r>
      <w:r w:rsidR="00B90D99" w:rsidRPr="00EF776D">
        <w:rPr>
          <w:rFonts w:ascii="Times New Roman" w:hAnsi="Times New Roman" w:cs="Times New Roman"/>
          <w:i/>
          <w:sz w:val="24"/>
          <w:szCs w:val="24"/>
          <w:vertAlign w:val="subscript"/>
        </w:rPr>
        <w:t>(</w:t>
      </w:r>
      <w:proofErr w:type="gramEnd"/>
      <w:r w:rsidR="00B90D99" w:rsidRPr="00EF776D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 w:rsidR="00690E8C" w:rsidRPr="00EF776D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="00B90D99" w:rsidRPr="00EF776D">
        <w:rPr>
          <w:rFonts w:ascii="Times New Roman" w:hAnsi="Times New Roman" w:cs="Times New Roman"/>
          <w:i/>
          <w:sz w:val="24"/>
          <w:szCs w:val="24"/>
          <w:vertAlign w:val="subscript"/>
        </w:rPr>
        <w:t>j)</w:t>
      </w:r>
      <w:r w:rsidR="00B90D99" w:rsidRPr="00EF776D">
        <w:rPr>
          <w:rFonts w:ascii="Times New Roman" w:hAnsi="Times New Roman" w:cs="Times New Roman"/>
          <w:sz w:val="24"/>
          <w:szCs w:val="24"/>
        </w:rPr>
        <w:t>). Finally</w:t>
      </w:r>
      <w:r w:rsidRPr="00EF776D">
        <w:rPr>
          <w:rFonts w:ascii="Times New Roman" w:hAnsi="Times New Roman" w:cs="Times New Roman"/>
          <w:sz w:val="24"/>
          <w:szCs w:val="24"/>
        </w:rPr>
        <w:t xml:space="preserve">, </w:t>
      </w:r>
      <w:r w:rsidR="00A016D6" w:rsidRPr="00EF776D">
        <w:rPr>
          <w:rFonts w:ascii="Times New Roman" w:hAnsi="Times New Roman" w:cs="Times New Roman"/>
          <w:sz w:val="24"/>
          <w:szCs w:val="24"/>
        </w:rPr>
        <w:t xml:space="preserve">an Odds Ratio analysis </w:t>
      </w:r>
      <w:r w:rsidR="0087602A" w:rsidRPr="00EF776D">
        <w:rPr>
          <w:rFonts w:ascii="Times New Roman" w:hAnsi="Times New Roman" w:cs="Times New Roman"/>
          <w:sz w:val="24"/>
          <w:szCs w:val="24"/>
        </w:rPr>
        <w:t xml:space="preserve">was used to calculate 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the </w:t>
      </w:r>
      <w:r w:rsidRPr="00EF776D">
        <w:rPr>
          <w:rFonts w:ascii="Times New Roman" w:hAnsi="Times New Roman" w:cs="Times New Roman"/>
          <w:sz w:val="24"/>
          <w:szCs w:val="24"/>
        </w:rPr>
        <w:t>probability of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 risky consumption occurring in the group of men</w:t>
      </w:r>
      <w:r w:rsidR="00B57A11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compared </w:t>
      </w:r>
      <w:r w:rsidR="00B57A11" w:rsidRPr="00EF776D">
        <w:rPr>
          <w:rFonts w:ascii="Times New Roman" w:hAnsi="Times New Roman" w:cs="Times New Roman"/>
          <w:sz w:val="24"/>
          <w:szCs w:val="24"/>
        </w:rPr>
        <w:t>with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 the group of women. </w:t>
      </w:r>
      <w:r w:rsidRPr="00EF776D">
        <w:rPr>
          <w:rFonts w:ascii="Times New Roman" w:hAnsi="Times New Roman" w:cs="Times New Roman"/>
          <w:sz w:val="24"/>
          <w:szCs w:val="24"/>
        </w:rPr>
        <w:t xml:space="preserve">The statistical </w:t>
      </w:r>
      <w:r w:rsidR="004A6659" w:rsidRPr="00EF776D">
        <w:rPr>
          <w:rFonts w:ascii="Times New Roman" w:hAnsi="Times New Roman" w:cs="Times New Roman"/>
          <w:sz w:val="24"/>
          <w:szCs w:val="24"/>
        </w:rPr>
        <w:t>analyses were</w:t>
      </w:r>
      <w:r w:rsidRPr="00EF776D">
        <w:rPr>
          <w:rFonts w:ascii="Times New Roman" w:hAnsi="Times New Roman" w:cs="Times New Roman"/>
          <w:sz w:val="24"/>
          <w:szCs w:val="24"/>
        </w:rPr>
        <w:t xml:space="preserve"> fully carried out through R Language (R Core Team, 2019), which is free</w:t>
      </w:r>
      <w:r w:rsidR="002D1E7B" w:rsidRPr="00EF776D">
        <w:rPr>
          <w:rFonts w:ascii="Times New Roman" w:hAnsi="Times New Roman" w:cs="Times New Roman"/>
          <w:sz w:val="24"/>
          <w:szCs w:val="24"/>
        </w:rPr>
        <w:t xml:space="preserve"> statistical </w:t>
      </w:r>
      <w:r w:rsidRPr="00EF776D">
        <w:rPr>
          <w:rFonts w:ascii="Times New Roman" w:hAnsi="Times New Roman" w:cs="Times New Roman"/>
          <w:sz w:val="24"/>
          <w:szCs w:val="24"/>
        </w:rPr>
        <w:t>software.</w:t>
      </w:r>
      <w:r w:rsidR="00F77B0E" w:rsidRPr="00EF7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9C2D0" w14:textId="3371F4B7" w:rsidR="00D92DC0" w:rsidRPr="00EF776D" w:rsidRDefault="00A24CFE" w:rsidP="00DA107A">
      <w:pPr>
        <w:shd w:val="clear" w:color="auto" w:fill="FFFFFF" w:themeFill="background1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657B443F" w14:textId="77777777" w:rsidR="00F3035B" w:rsidRPr="00EF776D" w:rsidRDefault="00A24CFE" w:rsidP="00DA107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Descriptive Analysis</w:t>
      </w:r>
    </w:p>
    <w:p w14:paraId="79B193B4" w14:textId="08D50913" w:rsidR="00FF5B0E" w:rsidRDefault="00F3035B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Table 1 shows levels of alcohol consumption among the sample. Alcohol consumption is below the cut-off point (&lt;8 points) therefore, there is a generalized presence of alcohol consumption among participants, but at a </w:t>
      </w:r>
      <w:r w:rsidR="008A6419">
        <w:rPr>
          <w:rFonts w:ascii="Times New Roman" w:hAnsi="Times New Roman" w:cs="Times New Roman"/>
          <w:sz w:val="24"/>
          <w:szCs w:val="24"/>
        </w:rPr>
        <w:t xml:space="preserve">harmless </w:t>
      </w:r>
      <w:r w:rsidRPr="00EF776D">
        <w:rPr>
          <w:rFonts w:ascii="Times New Roman" w:hAnsi="Times New Roman" w:cs="Times New Roman"/>
          <w:sz w:val="24"/>
          <w:szCs w:val="24"/>
        </w:rPr>
        <w:t>level. The same occurs with tobacco consumption, where the sample shows low</w:t>
      </w:r>
      <w:r w:rsidR="008A6419">
        <w:rPr>
          <w:rFonts w:ascii="Times New Roman" w:hAnsi="Times New Roman" w:cs="Times New Roman"/>
          <w:sz w:val="24"/>
          <w:szCs w:val="24"/>
        </w:rPr>
        <w:t xml:space="preserve"> levels of</w:t>
      </w:r>
      <w:r w:rsidRPr="00EF776D">
        <w:rPr>
          <w:rFonts w:ascii="Times New Roman" w:hAnsi="Times New Roman" w:cs="Times New Roman"/>
          <w:sz w:val="24"/>
          <w:szCs w:val="24"/>
        </w:rPr>
        <w:t xml:space="preserve"> consumption (&lt;5 points).</w:t>
      </w:r>
    </w:p>
    <w:tbl>
      <w:tblPr>
        <w:tblW w:w="7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1440"/>
        <w:gridCol w:w="923"/>
        <w:gridCol w:w="813"/>
        <w:gridCol w:w="1170"/>
        <w:gridCol w:w="1143"/>
      </w:tblGrid>
      <w:tr w:rsidR="008A6419" w:rsidRPr="00EF776D" w14:paraId="05386E2F" w14:textId="77777777" w:rsidTr="00CE688F">
        <w:trPr>
          <w:cantSplit/>
          <w:trHeight w:val="580"/>
          <w:jc w:val="center"/>
        </w:trPr>
        <w:tc>
          <w:tcPr>
            <w:tcW w:w="792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E2B9E3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76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Table 1.</w:t>
            </w:r>
          </w:p>
          <w:p w14:paraId="5702104E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Descriptive Analysis of Alcohol and Tobacco Consumption</w:t>
            </w:r>
          </w:p>
        </w:tc>
      </w:tr>
      <w:tr w:rsidR="008A6419" w:rsidRPr="00EF776D" w14:paraId="403CD091" w14:textId="77777777" w:rsidTr="00CE688F">
        <w:trPr>
          <w:cantSplit/>
          <w:trHeight w:val="264"/>
          <w:jc w:val="center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E7BF7D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Categories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AA0404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Min-Max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68CC9E" w14:textId="3F3ED26A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7EA7F6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FE44AF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Skewness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9DCFE2" w14:textId="77777777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Kurtosis</w:t>
            </w:r>
          </w:p>
        </w:tc>
      </w:tr>
      <w:tr w:rsidR="008A6419" w:rsidRPr="00EF776D" w14:paraId="4E02E49D" w14:textId="77777777" w:rsidTr="00CE688F">
        <w:trPr>
          <w:cantSplit/>
          <w:trHeight w:val="274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781A1EBE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Hazardous Consumption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D1A5796" w14:textId="530CD23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 – 11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14:paraId="169ED303" w14:textId="1D29AE51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</w:tcPr>
          <w:p w14:paraId="6611D26F" w14:textId="24253DA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54C2DCF1" w14:textId="3F28D38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52A2E39D" w14:textId="08868D30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42</w:t>
            </w:r>
          </w:p>
        </w:tc>
      </w:tr>
      <w:tr w:rsidR="008A6419" w:rsidRPr="00EF776D" w14:paraId="4932D7B5" w14:textId="77777777" w:rsidTr="00CE688F">
        <w:trPr>
          <w:cantSplit/>
          <w:trHeight w:val="274"/>
          <w:jc w:val="center"/>
        </w:trPr>
        <w:tc>
          <w:tcPr>
            <w:tcW w:w="2434" w:type="dxa"/>
            <w:shd w:val="clear" w:color="auto" w:fill="auto"/>
          </w:tcPr>
          <w:p w14:paraId="6009280F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Dependence Symptoms</w:t>
            </w:r>
          </w:p>
        </w:tc>
        <w:tc>
          <w:tcPr>
            <w:tcW w:w="1440" w:type="dxa"/>
            <w:shd w:val="clear" w:color="auto" w:fill="auto"/>
          </w:tcPr>
          <w:p w14:paraId="5A52BD29" w14:textId="73C770E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 – 12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23" w:type="dxa"/>
            <w:shd w:val="clear" w:color="auto" w:fill="auto"/>
          </w:tcPr>
          <w:p w14:paraId="332FB572" w14:textId="776FFD9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813" w:type="dxa"/>
            <w:shd w:val="clear" w:color="auto" w:fill="auto"/>
          </w:tcPr>
          <w:p w14:paraId="4850B14D" w14:textId="20CF2C19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170" w:type="dxa"/>
            <w:shd w:val="clear" w:color="auto" w:fill="auto"/>
          </w:tcPr>
          <w:p w14:paraId="5AAEBD79" w14:textId="31172656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1143" w:type="dxa"/>
            <w:shd w:val="clear" w:color="auto" w:fill="auto"/>
          </w:tcPr>
          <w:p w14:paraId="7CA7B760" w14:textId="222D129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</w:tr>
      <w:tr w:rsidR="008A6419" w:rsidRPr="00EF776D" w14:paraId="5599A6E4" w14:textId="77777777" w:rsidTr="00CE688F">
        <w:trPr>
          <w:cantSplit/>
          <w:trHeight w:val="179"/>
          <w:jc w:val="center"/>
        </w:trPr>
        <w:tc>
          <w:tcPr>
            <w:tcW w:w="2434" w:type="dxa"/>
            <w:shd w:val="clear" w:color="auto" w:fill="auto"/>
          </w:tcPr>
          <w:p w14:paraId="3E8A2215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Harmful Consumption</w:t>
            </w:r>
          </w:p>
        </w:tc>
        <w:tc>
          <w:tcPr>
            <w:tcW w:w="1440" w:type="dxa"/>
            <w:shd w:val="clear" w:color="auto" w:fill="auto"/>
          </w:tcPr>
          <w:p w14:paraId="544A459C" w14:textId="6B9EB1E2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 – 16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923" w:type="dxa"/>
            <w:shd w:val="clear" w:color="auto" w:fill="auto"/>
          </w:tcPr>
          <w:p w14:paraId="405D648A" w14:textId="758F3F71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14:paraId="59E6C711" w14:textId="6B6F52A5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170" w:type="dxa"/>
            <w:shd w:val="clear" w:color="auto" w:fill="auto"/>
          </w:tcPr>
          <w:p w14:paraId="056FB537" w14:textId="00D38952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78</w:t>
            </w:r>
          </w:p>
        </w:tc>
        <w:tc>
          <w:tcPr>
            <w:tcW w:w="1143" w:type="dxa"/>
            <w:shd w:val="clear" w:color="auto" w:fill="auto"/>
          </w:tcPr>
          <w:p w14:paraId="2987B0E2" w14:textId="45AE6882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</w:tr>
      <w:tr w:rsidR="008A6419" w:rsidRPr="00EF776D" w14:paraId="38D35CB4" w14:textId="77777777" w:rsidTr="00CE688F">
        <w:trPr>
          <w:cantSplit/>
          <w:trHeight w:val="274"/>
          <w:jc w:val="center"/>
        </w:trPr>
        <w:tc>
          <w:tcPr>
            <w:tcW w:w="2434" w:type="dxa"/>
            <w:shd w:val="clear" w:color="auto" w:fill="auto"/>
          </w:tcPr>
          <w:p w14:paraId="02A45C0A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1440" w:type="dxa"/>
            <w:shd w:val="clear" w:color="auto" w:fill="auto"/>
          </w:tcPr>
          <w:p w14:paraId="766B8BA0" w14:textId="3F4FD5E0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 – 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23" w:type="dxa"/>
            <w:shd w:val="clear" w:color="auto" w:fill="auto"/>
          </w:tcPr>
          <w:p w14:paraId="16D86879" w14:textId="0077D581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13" w:type="dxa"/>
            <w:shd w:val="clear" w:color="auto" w:fill="auto"/>
          </w:tcPr>
          <w:p w14:paraId="072CB15E" w14:textId="468E510F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70" w:type="dxa"/>
            <w:shd w:val="clear" w:color="auto" w:fill="auto"/>
          </w:tcPr>
          <w:p w14:paraId="589D1A98" w14:textId="4C0C976F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43" w:type="dxa"/>
            <w:shd w:val="clear" w:color="auto" w:fill="auto"/>
          </w:tcPr>
          <w:p w14:paraId="1E1222F2" w14:textId="5221327C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A6419" w:rsidRPr="00EF776D" w14:paraId="35A2B600" w14:textId="77777777" w:rsidTr="00CE688F">
        <w:trPr>
          <w:cantSplit/>
          <w:trHeight w:val="274"/>
          <w:jc w:val="center"/>
        </w:trPr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1F984779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right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FFABDE2" w14:textId="49BE4D5B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 – 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14:paraId="4153412C" w14:textId="3CEF4DE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14:paraId="31F8060F" w14:textId="1114563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30D3575" w14:textId="4DF6E95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7CC89255" w14:textId="6FADE2AE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20" w:lineRule="atLeast"/>
              <w:ind w:left="60" w:right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F776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8A6419" w:rsidRPr="000B5147" w14:paraId="5A94EE29" w14:textId="77777777" w:rsidTr="00CE688F">
        <w:trPr>
          <w:cantSplit/>
          <w:trHeight w:val="1084"/>
          <w:jc w:val="center"/>
        </w:trPr>
        <w:tc>
          <w:tcPr>
            <w:tcW w:w="7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E2CDFDD" w14:textId="480633EE" w:rsidR="008A6419" w:rsidRP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Note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AUDIT:</w:t>
            </w:r>
            <w:r w:rsidRPr="008A6419">
              <w:rPr>
                <w:i/>
                <w:iCs/>
              </w:rPr>
              <w:t xml:space="preserve">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Alcohol Use Disorders Identification Test</w:t>
            </w:r>
            <w:r w:rsidRPr="008A641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C4: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Cuestionario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la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clasificación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consumidores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cigarrillo</w:t>
            </w:r>
            <w:proofErr w:type="spellEnd"/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(C4)</w:t>
            </w:r>
            <w:r w:rsidRPr="008A641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Min-Max: Minimum y Maximum;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: mean; SD: standard deviation</w:t>
            </w:r>
          </w:p>
        </w:tc>
      </w:tr>
    </w:tbl>
    <w:p w14:paraId="47A48220" w14:textId="0DCAB281" w:rsidR="00DA107A" w:rsidRPr="00DA107A" w:rsidRDefault="00D1349F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7A">
        <w:rPr>
          <w:rFonts w:ascii="Times New Roman" w:hAnsi="Times New Roman" w:cs="Times New Roman"/>
          <w:sz w:val="24"/>
          <w:szCs w:val="24"/>
        </w:rPr>
        <w:t>Within diagnostic categories,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DA107A">
        <w:rPr>
          <w:rFonts w:ascii="Times New Roman" w:hAnsi="Times New Roman" w:cs="Times New Roman"/>
          <w:sz w:val="24"/>
          <w:szCs w:val="24"/>
        </w:rPr>
        <w:t xml:space="preserve">69.2% of the participants present a risk-free consumption, 22.2% Hazardous Consumption, 5.7% Harmful Consumption, and 2.9% Dependence Symptoms. </w:t>
      </w:r>
      <w:r w:rsidR="003B589A">
        <w:rPr>
          <w:rFonts w:ascii="Times New Roman" w:hAnsi="Times New Roman" w:cs="Times New Roman"/>
          <w:sz w:val="24"/>
          <w:szCs w:val="24"/>
        </w:rPr>
        <w:t>O</w:t>
      </w:r>
      <w:r w:rsidR="00DA107A" w:rsidRPr="00DA107A">
        <w:rPr>
          <w:rFonts w:ascii="Times New Roman" w:hAnsi="Times New Roman" w:cs="Times New Roman"/>
          <w:sz w:val="24"/>
          <w:szCs w:val="24"/>
        </w:rPr>
        <w:t>nly</w:t>
      </w:r>
      <w:r w:rsidR="003B589A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16.3% of the </w:t>
      </w:r>
      <w:r w:rsidR="003B589A">
        <w:rPr>
          <w:rFonts w:ascii="Times New Roman" w:hAnsi="Times New Roman" w:cs="Times New Roman"/>
          <w:sz w:val="24"/>
          <w:szCs w:val="24"/>
        </w:rPr>
        <w:t xml:space="preserve">sample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abstain from </w:t>
      </w:r>
      <w:r w:rsidR="00C67B60">
        <w:rPr>
          <w:rFonts w:ascii="Times New Roman" w:hAnsi="Times New Roman" w:cs="Times New Roman"/>
          <w:sz w:val="24"/>
          <w:szCs w:val="24"/>
        </w:rPr>
        <w:t xml:space="preserve">consuming </w:t>
      </w:r>
      <w:r w:rsidR="00DA107A" w:rsidRPr="00DA107A">
        <w:rPr>
          <w:rFonts w:ascii="Times New Roman" w:hAnsi="Times New Roman" w:cs="Times New Roman"/>
          <w:sz w:val="24"/>
          <w:szCs w:val="24"/>
        </w:rPr>
        <w:t>alcohol, while 84.7% report</w:t>
      </w:r>
      <w:r w:rsidR="003B589A">
        <w:rPr>
          <w:rFonts w:ascii="Times New Roman" w:hAnsi="Times New Roman" w:cs="Times New Roman"/>
          <w:sz w:val="24"/>
          <w:szCs w:val="24"/>
        </w:rPr>
        <w:t xml:space="preserve"> alcohol consumption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at least once a month (item 1). </w:t>
      </w:r>
      <w:r w:rsidR="00C67B60">
        <w:rPr>
          <w:rFonts w:ascii="Times New Roman" w:hAnsi="Times New Roman" w:cs="Times New Roman"/>
          <w:sz w:val="24"/>
          <w:szCs w:val="24"/>
        </w:rPr>
        <w:t>T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he mean </w:t>
      </w:r>
      <w:r w:rsidR="00F6118A">
        <w:rPr>
          <w:rFonts w:ascii="Times New Roman" w:hAnsi="Times New Roman" w:cs="Times New Roman"/>
          <w:sz w:val="24"/>
          <w:szCs w:val="24"/>
        </w:rPr>
        <w:t xml:space="preserve">of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drinks consumed </w:t>
      </w:r>
      <w:r w:rsidR="00473298">
        <w:rPr>
          <w:rFonts w:ascii="Times New Roman" w:hAnsi="Times New Roman" w:cs="Times New Roman"/>
          <w:sz w:val="24"/>
          <w:szCs w:val="24"/>
        </w:rPr>
        <w:t>on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a typical day (item 2), is </w:t>
      </w:r>
      <w:r w:rsidR="008A641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DA107A" w:rsidRPr="004732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>= 1.47 drinks; while</w:t>
      </w:r>
      <w:r w:rsidR="00473298">
        <w:rPr>
          <w:rFonts w:ascii="Times New Roman" w:hAnsi="Times New Roman" w:cs="Times New Roman"/>
          <w:sz w:val="24"/>
          <w:szCs w:val="24"/>
        </w:rPr>
        <w:t xml:space="preserve"> </w:t>
      </w:r>
      <w:r w:rsidR="00473298" w:rsidRPr="00DA107A">
        <w:rPr>
          <w:rFonts w:ascii="Times New Roman" w:hAnsi="Times New Roman" w:cs="Times New Roman"/>
          <w:sz w:val="24"/>
          <w:szCs w:val="24"/>
        </w:rPr>
        <w:t>47.3%</w:t>
      </w:r>
      <w:r w:rsidR="00473298">
        <w:rPr>
          <w:rFonts w:ascii="Times New Roman" w:hAnsi="Times New Roman" w:cs="Times New Roman"/>
          <w:sz w:val="24"/>
          <w:szCs w:val="24"/>
        </w:rPr>
        <w:t xml:space="preserve"> of the sample report </w:t>
      </w:r>
      <w:r w:rsidR="00DA107A" w:rsidRPr="00DA107A">
        <w:rPr>
          <w:rFonts w:ascii="Times New Roman" w:hAnsi="Times New Roman" w:cs="Times New Roman"/>
          <w:sz w:val="24"/>
          <w:szCs w:val="24"/>
        </w:rPr>
        <w:t>episodes of intense consumption (binge drinking)</w:t>
      </w:r>
      <w:r w:rsidR="00F6118A">
        <w:rPr>
          <w:rFonts w:ascii="Times New Roman" w:hAnsi="Times New Roman" w:cs="Times New Roman"/>
          <w:sz w:val="24"/>
          <w:szCs w:val="24"/>
        </w:rPr>
        <w:t xml:space="preserve"> at least once in their lifetime</w:t>
      </w:r>
      <w:r w:rsidR="00DA107A" w:rsidRPr="00DA107A">
        <w:rPr>
          <w:rFonts w:ascii="Times New Roman" w:hAnsi="Times New Roman" w:cs="Times New Roman"/>
          <w:sz w:val="24"/>
          <w:szCs w:val="24"/>
        </w:rPr>
        <w:t>,</w:t>
      </w:r>
      <w:r w:rsidR="00F6118A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>4.5% at least once a week.</w:t>
      </w:r>
    </w:p>
    <w:p w14:paraId="1FAD1BC5" w14:textId="335F964B" w:rsidR="00FF5B0E" w:rsidRPr="00DA107A" w:rsidRDefault="00D1349F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7A">
        <w:rPr>
          <w:rFonts w:ascii="Times New Roman" w:hAnsi="Times New Roman" w:cs="Times New Roman"/>
          <w:sz w:val="24"/>
          <w:szCs w:val="24"/>
        </w:rPr>
        <w:t>Regarding tobacco consumption, 69.6% of the sample do not use tobacco, 4.2% present low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DA107A">
        <w:rPr>
          <w:rFonts w:ascii="Times New Roman" w:hAnsi="Times New Roman" w:cs="Times New Roman"/>
          <w:sz w:val="24"/>
          <w:szCs w:val="24"/>
        </w:rPr>
        <w:t xml:space="preserve">consumption, </w:t>
      </w:r>
      <w:r w:rsidR="00FA6433" w:rsidRPr="00DA107A">
        <w:rPr>
          <w:rFonts w:ascii="Times New Roman" w:hAnsi="Times New Roman" w:cs="Times New Roman"/>
          <w:sz w:val="24"/>
          <w:szCs w:val="24"/>
        </w:rPr>
        <w:t>16</w:t>
      </w:r>
      <w:r w:rsidRPr="00DA107A">
        <w:rPr>
          <w:rFonts w:ascii="Times New Roman" w:hAnsi="Times New Roman" w:cs="Times New Roman"/>
          <w:sz w:val="24"/>
          <w:szCs w:val="24"/>
        </w:rPr>
        <w:t>.</w:t>
      </w:r>
      <w:r w:rsidR="00FA6433" w:rsidRPr="00DA107A">
        <w:rPr>
          <w:rFonts w:ascii="Times New Roman" w:hAnsi="Times New Roman" w:cs="Times New Roman"/>
          <w:sz w:val="24"/>
          <w:szCs w:val="24"/>
        </w:rPr>
        <w:t>1</w:t>
      </w:r>
      <w:r w:rsidRPr="00DA107A">
        <w:rPr>
          <w:rFonts w:ascii="Times New Roman" w:hAnsi="Times New Roman" w:cs="Times New Roman"/>
          <w:sz w:val="24"/>
          <w:szCs w:val="24"/>
        </w:rPr>
        <w:t>% moderate</w:t>
      </w:r>
      <w:r w:rsidR="00FA6433" w:rsidRPr="00DA107A">
        <w:rPr>
          <w:rFonts w:ascii="Times New Roman" w:hAnsi="Times New Roman" w:cs="Times New Roman"/>
          <w:sz w:val="24"/>
          <w:szCs w:val="24"/>
        </w:rPr>
        <w:t>, 9% high</w:t>
      </w:r>
      <w:r w:rsidR="008A6419">
        <w:rPr>
          <w:rFonts w:ascii="Times New Roman" w:hAnsi="Times New Roman" w:cs="Times New Roman"/>
          <w:sz w:val="24"/>
          <w:szCs w:val="24"/>
        </w:rPr>
        <w:t xml:space="preserve">, </w:t>
      </w:r>
      <w:r w:rsidRPr="00DA107A">
        <w:rPr>
          <w:rFonts w:ascii="Times New Roman" w:hAnsi="Times New Roman" w:cs="Times New Roman"/>
          <w:sz w:val="24"/>
          <w:szCs w:val="24"/>
        </w:rPr>
        <w:t xml:space="preserve">and </w:t>
      </w:r>
      <w:r w:rsidR="00FA6433" w:rsidRPr="00DA107A">
        <w:rPr>
          <w:rFonts w:ascii="Times New Roman" w:hAnsi="Times New Roman" w:cs="Times New Roman"/>
          <w:sz w:val="24"/>
          <w:szCs w:val="24"/>
        </w:rPr>
        <w:t>1</w:t>
      </w:r>
      <w:r w:rsidRPr="00DA107A">
        <w:rPr>
          <w:rFonts w:ascii="Times New Roman" w:hAnsi="Times New Roman" w:cs="Times New Roman"/>
          <w:sz w:val="24"/>
          <w:szCs w:val="24"/>
        </w:rPr>
        <w:t>.</w:t>
      </w:r>
      <w:r w:rsidR="00FA6433" w:rsidRPr="00DA107A">
        <w:rPr>
          <w:rFonts w:ascii="Times New Roman" w:hAnsi="Times New Roman" w:cs="Times New Roman"/>
          <w:sz w:val="24"/>
          <w:szCs w:val="24"/>
        </w:rPr>
        <w:t>1</w:t>
      </w:r>
      <w:r w:rsidRPr="00DA107A">
        <w:rPr>
          <w:rFonts w:ascii="Times New Roman" w:hAnsi="Times New Roman" w:cs="Times New Roman"/>
          <w:sz w:val="24"/>
          <w:szCs w:val="24"/>
        </w:rPr>
        <w:t>% with probable nicotine dependence.</w:t>
      </w:r>
      <w:r w:rsidR="00FA6433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DA107A" w:rsidRPr="00DA107A">
        <w:rPr>
          <w:rFonts w:ascii="Times New Roman" w:hAnsi="Times New Roman" w:cs="Times New Roman"/>
          <w:sz w:val="24"/>
          <w:szCs w:val="24"/>
        </w:rPr>
        <w:t>98%</w:t>
      </w:r>
      <w:r w:rsidR="00A66954">
        <w:rPr>
          <w:rFonts w:ascii="Times New Roman" w:hAnsi="Times New Roman" w:cs="Times New Roman"/>
          <w:sz w:val="24"/>
          <w:szCs w:val="24"/>
        </w:rPr>
        <w:t xml:space="preserve"> of the participants who report tobacco use, </w:t>
      </w:r>
      <w:r w:rsidR="008A6419">
        <w:rPr>
          <w:rFonts w:ascii="Times New Roman" w:hAnsi="Times New Roman" w:cs="Times New Roman"/>
          <w:sz w:val="24"/>
          <w:szCs w:val="24"/>
        </w:rPr>
        <w:t>consume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less than 10 cigarettes per day and 70.6% started </w:t>
      </w:r>
      <w:r w:rsidR="00A66954">
        <w:rPr>
          <w:rFonts w:ascii="Times New Roman" w:hAnsi="Times New Roman" w:cs="Times New Roman"/>
          <w:sz w:val="24"/>
          <w:szCs w:val="24"/>
        </w:rPr>
        <w:t xml:space="preserve">consumption </w:t>
      </w:r>
      <w:r w:rsidR="00DA107A" w:rsidRPr="00DA107A">
        <w:rPr>
          <w:rFonts w:ascii="Times New Roman" w:hAnsi="Times New Roman" w:cs="Times New Roman"/>
          <w:sz w:val="24"/>
          <w:szCs w:val="24"/>
        </w:rPr>
        <w:t>about a year ago.</w:t>
      </w:r>
    </w:p>
    <w:p w14:paraId="2B6AE1DB" w14:textId="3035EC0A" w:rsidR="00F602A9" w:rsidRPr="00EF776D" w:rsidRDefault="004944A2" w:rsidP="00DA107A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Sex Differences in Alcohol and Tobacco Use</w:t>
      </w:r>
    </w:p>
    <w:p w14:paraId="02552648" w14:textId="75159049" w:rsidR="00FF5B0E" w:rsidRPr="00EF776D" w:rsidRDefault="00E566CD" w:rsidP="00DA107A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6D">
        <w:rPr>
          <w:rFonts w:ascii="Times New Roman" w:hAnsi="Times New Roman" w:cs="Times New Roman"/>
          <w:sz w:val="24"/>
          <w:szCs w:val="24"/>
        </w:rPr>
        <w:t xml:space="preserve">As seen in </w:t>
      </w:r>
      <w:r w:rsidR="00F602A9" w:rsidRPr="00EF776D">
        <w:rPr>
          <w:rFonts w:ascii="Times New Roman" w:hAnsi="Times New Roman" w:cs="Times New Roman"/>
          <w:sz w:val="24"/>
          <w:szCs w:val="24"/>
        </w:rPr>
        <w:t>Table 2</w:t>
      </w:r>
      <w:r w:rsidRPr="00EF776D">
        <w:rPr>
          <w:rFonts w:ascii="Times New Roman" w:hAnsi="Times New Roman" w:cs="Times New Roman"/>
          <w:sz w:val="24"/>
          <w:szCs w:val="24"/>
        </w:rPr>
        <w:t>,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90E8C" w:rsidRPr="00EF776D">
        <w:rPr>
          <w:rFonts w:ascii="Times New Roman" w:hAnsi="Times New Roman" w:cs="Times New Roman"/>
          <w:sz w:val="24"/>
          <w:szCs w:val="24"/>
        </w:rPr>
        <w:t xml:space="preserve">t-test for independent samples was found to be </w:t>
      </w:r>
      <w:r w:rsidR="00F602A9" w:rsidRPr="00EF776D">
        <w:rPr>
          <w:rFonts w:ascii="Times New Roman" w:hAnsi="Times New Roman" w:cs="Times New Roman"/>
          <w:sz w:val="24"/>
          <w:szCs w:val="24"/>
        </w:rPr>
        <w:t>statistically significant</w:t>
      </w:r>
      <w:r w:rsidR="00690E8C" w:rsidRPr="00EF776D">
        <w:rPr>
          <w:rFonts w:ascii="Times New Roman" w:hAnsi="Times New Roman" w:cs="Times New Roman"/>
          <w:sz w:val="24"/>
          <w:szCs w:val="24"/>
        </w:rPr>
        <w:t xml:space="preserve"> for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sex differences (p &lt;.05), both in alcohol and tobacco consumption. On average, men have higher alcohol (risk</w:t>
      </w:r>
      <w:r w:rsidR="00992D1B" w:rsidRPr="00EF776D">
        <w:rPr>
          <w:rFonts w:ascii="Times New Roman" w:hAnsi="Times New Roman" w:cs="Times New Roman"/>
          <w:sz w:val="24"/>
          <w:szCs w:val="24"/>
        </w:rPr>
        <w:t>y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) and tobacco (moderate) </w:t>
      </w:r>
      <w:r w:rsidR="00992D1B" w:rsidRPr="00EF776D">
        <w:rPr>
          <w:rFonts w:ascii="Times New Roman" w:hAnsi="Times New Roman" w:cs="Times New Roman"/>
          <w:sz w:val="24"/>
          <w:szCs w:val="24"/>
        </w:rPr>
        <w:t xml:space="preserve">consumption when </w:t>
      </w:r>
      <w:r w:rsidR="00F602A9" w:rsidRPr="00EF776D">
        <w:rPr>
          <w:rFonts w:ascii="Times New Roman" w:hAnsi="Times New Roman" w:cs="Times New Roman"/>
          <w:sz w:val="24"/>
          <w:szCs w:val="24"/>
        </w:rPr>
        <w:t>compared to women (non</w:t>
      </w:r>
      <w:r w:rsidR="00992D1B" w:rsidRPr="00EF776D">
        <w:rPr>
          <w:rFonts w:ascii="Times New Roman" w:hAnsi="Times New Roman" w:cs="Times New Roman"/>
          <w:sz w:val="24"/>
          <w:szCs w:val="24"/>
        </w:rPr>
        <w:t>-risky alcohol</w:t>
      </w:r>
      <w:r w:rsidR="00917406" w:rsidRPr="00EF776D">
        <w:rPr>
          <w:rFonts w:ascii="Times New Roman" w:hAnsi="Times New Roman" w:cs="Times New Roman"/>
          <w:sz w:val="24"/>
          <w:szCs w:val="24"/>
        </w:rPr>
        <w:t xml:space="preserve"> and </w:t>
      </w:r>
      <w:r w:rsidR="00F602A9" w:rsidRPr="00EF776D">
        <w:rPr>
          <w:rFonts w:ascii="Times New Roman" w:hAnsi="Times New Roman" w:cs="Times New Roman"/>
          <w:sz w:val="24"/>
          <w:szCs w:val="24"/>
        </w:rPr>
        <w:t>low tobacco consumption). The effect size</w:t>
      </w:r>
      <w:r w:rsidR="006A02BB" w:rsidRPr="00EF776D">
        <w:rPr>
          <w:rFonts w:ascii="Times New Roman" w:hAnsi="Times New Roman" w:cs="Times New Roman"/>
          <w:sz w:val="24"/>
          <w:szCs w:val="24"/>
        </w:rPr>
        <w:t xml:space="preserve"> for this analysis </w:t>
      </w:r>
      <w:r w:rsidR="00DB3351" w:rsidRPr="00EF776D">
        <w:rPr>
          <w:rFonts w:ascii="Times New Roman" w:hAnsi="Times New Roman" w:cs="Times New Roman"/>
          <w:sz w:val="24"/>
          <w:szCs w:val="24"/>
        </w:rPr>
        <w:t>was found to be small for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alcohol consumption</w:t>
      </w:r>
      <w:r w:rsidR="00DB3351" w:rsidRPr="00EF776D">
        <w:rPr>
          <w:rFonts w:ascii="Times New Roman" w:hAnsi="Times New Roman" w:cs="Times New Roman"/>
          <w:sz w:val="24"/>
          <w:szCs w:val="24"/>
        </w:rPr>
        <w:t xml:space="preserve"> (g = &lt;0.5), and moderate (g&gt; 0.5) for </w:t>
      </w:r>
      <w:r w:rsidR="00F602A9" w:rsidRPr="00EF776D">
        <w:rPr>
          <w:rFonts w:ascii="Times New Roman" w:hAnsi="Times New Roman" w:cs="Times New Roman"/>
          <w:sz w:val="24"/>
          <w:szCs w:val="24"/>
        </w:rPr>
        <w:t>tobacco consumption</w:t>
      </w:r>
      <w:r w:rsidR="00DB3351" w:rsidRPr="00EF776D">
        <w:rPr>
          <w:rFonts w:ascii="Times New Roman" w:hAnsi="Times New Roman" w:cs="Times New Roman"/>
          <w:sz w:val="24"/>
          <w:szCs w:val="24"/>
        </w:rPr>
        <w:t>.</w:t>
      </w:r>
      <w:r w:rsidR="00F602A9" w:rsidRPr="00EF77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09"/>
        <w:gridCol w:w="708"/>
        <w:gridCol w:w="709"/>
        <w:gridCol w:w="714"/>
        <w:gridCol w:w="1200"/>
        <w:gridCol w:w="802"/>
        <w:gridCol w:w="833"/>
      </w:tblGrid>
      <w:tr w:rsidR="008A6419" w:rsidRPr="00EF776D" w14:paraId="389BD831" w14:textId="77777777" w:rsidTr="00CE688F">
        <w:trPr>
          <w:trHeight w:val="186"/>
          <w:jc w:val="center"/>
        </w:trPr>
        <w:tc>
          <w:tcPr>
            <w:tcW w:w="821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C9A2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z-Cyrl-UZ"/>
              </w:rPr>
              <w:t xml:space="preserve">Table 2. </w:t>
            </w:r>
          </w:p>
          <w:p w14:paraId="1F91D4C2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8A6419">
              <w:rPr>
                <w:rFonts w:ascii="Arial" w:hAnsi="Arial" w:cs="Arial"/>
                <w:i/>
                <w:sz w:val="20"/>
                <w:szCs w:val="20"/>
              </w:rPr>
              <w:t>Sex comparative analysis of alcohol and tobacco use</w:t>
            </w:r>
          </w:p>
        </w:tc>
      </w:tr>
      <w:tr w:rsidR="008A6419" w:rsidRPr="00EF776D" w14:paraId="7C4D7E4A" w14:textId="77777777" w:rsidTr="00CE688F">
        <w:trPr>
          <w:trHeight w:val="108"/>
          <w:jc w:val="center"/>
        </w:trPr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18EBD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Categories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8DD8AE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Men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BE53E3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Women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3304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F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21A2C432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</w:p>
        </w:tc>
      </w:tr>
      <w:tr w:rsidR="008A6419" w:rsidRPr="00EF776D" w14:paraId="5878A274" w14:textId="77777777" w:rsidTr="00CE688F">
        <w:trPr>
          <w:trHeight w:val="213"/>
          <w:jc w:val="center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F2CBB4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7D84BE" w14:textId="4AF3AFC8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5A4A62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7E2" w14:textId="252E2429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8A641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A55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SD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79DF51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79085C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t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427468" w14:textId="77777777" w:rsidR="008A6419" w:rsidRPr="008A6419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g</w:t>
            </w:r>
          </w:p>
        </w:tc>
      </w:tr>
      <w:tr w:rsidR="008A6419" w:rsidRPr="00EF776D" w14:paraId="315ACED0" w14:textId="77777777" w:rsidTr="00CE688F">
        <w:trPr>
          <w:trHeight w:val="300"/>
          <w:jc w:val="center"/>
        </w:trPr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6FD32D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Hazardous Consumption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93BE10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3.05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EF5DDA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2.32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F05F92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2.20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8F22C2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1.93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352139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10.08**</w:t>
            </w:r>
            <w:r w:rsidRPr="00EF776D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uz-Cyrl-UZ"/>
              </w:rPr>
              <w:t>*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448831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4.15***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DACF98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0.4</w:t>
            </w:r>
          </w:p>
        </w:tc>
      </w:tr>
      <w:tr w:rsidR="008A6419" w:rsidRPr="00EF776D" w14:paraId="76F86488" w14:textId="77777777" w:rsidTr="00CE688F">
        <w:trPr>
          <w:trHeight w:val="300"/>
          <w:jc w:val="center"/>
        </w:trPr>
        <w:tc>
          <w:tcPr>
            <w:tcW w:w="2542" w:type="dxa"/>
            <w:shd w:val="clear" w:color="auto" w:fill="auto"/>
            <w:hideMark/>
          </w:tcPr>
          <w:p w14:paraId="03BCDE2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Dependence Symptoms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A42B4D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1.60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1E29B3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2.13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32944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0.82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76EBF2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1.33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EA936A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30.09***</w:t>
            </w:r>
          </w:p>
        </w:tc>
        <w:tc>
          <w:tcPr>
            <w:tcW w:w="802" w:type="dxa"/>
            <w:shd w:val="clear" w:color="auto" w:fill="auto"/>
            <w:noWrap/>
          </w:tcPr>
          <w:p w14:paraId="5CA38B6C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4.37***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0928A2C0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8A6419" w:rsidRPr="00EF776D" w14:paraId="4E86AA42" w14:textId="77777777" w:rsidTr="00CE688F">
        <w:trPr>
          <w:trHeight w:val="300"/>
          <w:jc w:val="center"/>
        </w:trPr>
        <w:tc>
          <w:tcPr>
            <w:tcW w:w="2542" w:type="dxa"/>
            <w:shd w:val="clear" w:color="auto" w:fill="auto"/>
            <w:hideMark/>
          </w:tcPr>
          <w:p w14:paraId="3235ABD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Harmful Consumption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0F443B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3.17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B96A7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3.42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35572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1.82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5E495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2.69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93163D5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16.15***</w:t>
            </w:r>
          </w:p>
        </w:tc>
        <w:tc>
          <w:tcPr>
            <w:tcW w:w="802" w:type="dxa"/>
            <w:shd w:val="clear" w:color="auto" w:fill="auto"/>
            <w:noWrap/>
          </w:tcPr>
          <w:p w14:paraId="16CF9D3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4.53***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35CE830F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8A6419" w:rsidRPr="00EF776D" w14:paraId="48CCFF70" w14:textId="77777777" w:rsidTr="00CE688F">
        <w:trPr>
          <w:trHeight w:val="186"/>
          <w:jc w:val="center"/>
        </w:trPr>
        <w:tc>
          <w:tcPr>
            <w:tcW w:w="2542" w:type="dxa"/>
            <w:shd w:val="clear" w:color="auto" w:fill="auto"/>
            <w:hideMark/>
          </w:tcPr>
          <w:p w14:paraId="1F3E730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EBCB7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7.82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2A79AB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6.70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8A7003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4.84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4F7E33A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5.08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44D5147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20.41***</w:t>
            </w:r>
          </w:p>
        </w:tc>
        <w:tc>
          <w:tcPr>
            <w:tcW w:w="802" w:type="dxa"/>
            <w:shd w:val="clear" w:color="auto" w:fill="auto"/>
            <w:noWrap/>
          </w:tcPr>
          <w:p w14:paraId="3D7FF93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5.14***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7189A6B2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</w:tr>
      <w:tr w:rsidR="008A6419" w:rsidRPr="00EF776D" w14:paraId="4CBEBC41" w14:textId="77777777" w:rsidTr="00CE688F">
        <w:trPr>
          <w:trHeight w:val="300"/>
          <w:jc w:val="center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70406E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sz w:val="20"/>
                <w:szCs w:val="20"/>
              </w:rPr>
              <w:lastRenderedPageBreak/>
              <w:t>C4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64A683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7.61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54AE74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9.67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B58131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3.04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2A019A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6.43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8C51C0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88.89***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2926AB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5.60***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BD2199" w14:textId="77777777" w:rsidR="008A6419" w:rsidRPr="00EF776D" w:rsidRDefault="008A6419" w:rsidP="00CE688F">
            <w:pPr>
              <w:shd w:val="clear" w:color="auto" w:fill="FFFFFF" w:themeFill="background1"/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EF776D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</w:tr>
      <w:tr w:rsidR="008A6419" w:rsidRPr="00EF776D" w14:paraId="24F2A7C7" w14:textId="77777777" w:rsidTr="00CE688F">
        <w:trPr>
          <w:trHeight w:val="30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C48EE81" w14:textId="7C8D4D8E" w:rsidR="008A6419" w:rsidRPr="00EF776D" w:rsidRDefault="008A6419" w:rsidP="00CE688F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</w:pPr>
            <w:r w:rsidRPr="008A6419"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Note</w:t>
            </w:r>
            <w:r>
              <w:rPr>
                <w:rFonts w:ascii="Arial" w:eastAsia="Times New Roman" w:hAnsi="Arial" w:cs="Arial"/>
                <w:sz w:val="20"/>
                <w:szCs w:val="20"/>
                <w:lang w:eastAsia="uz-Cyrl-UZ"/>
              </w:rPr>
              <w:t>.</w:t>
            </w: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AUDIT:</w:t>
            </w:r>
            <w:r w:rsidRPr="00EF776D">
              <w:rPr>
                <w:i/>
                <w:iCs/>
              </w:rPr>
              <w:t xml:space="preserve"> 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Alcohol Use Disorders Identification Test</w:t>
            </w:r>
            <w:r w:rsidRPr="00EF776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C4: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Cuestionario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la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clasificación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consumidores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cigarrillo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(C4);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mean; SD: standard deviation; F: </w:t>
            </w:r>
            <w:proofErr w:type="spellStart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>Levene</w:t>
            </w:r>
            <w:proofErr w:type="spellEnd"/>
            <w:r w:rsidRPr="00EF77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test; t: t-test for independent samples; </w:t>
            </w:r>
            <w:r w:rsidRPr="00EF77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z-Cyrl-UZ"/>
              </w:rPr>
              <w:t>g: Hedges’ g</w:t>
            </w:r>
          </w:p>
        </w:tc>
      </w:tr>
    </w:tbl>
    <w:p w14:paraId="6DB42394" w14:textId="77777777" w:rsidR="00D3567F" w:rsidRPr="00EF776D" w:rsidRDefault="00D3567F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C5F8D1" w14:textId="4AA7604B" w:rsidR="00DA107A" w:rsidRPr="00DA107A" w:rsidRDefault="00945526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categories</w:t>
      </w:r>
      <w:r>
        <w:rPr>
          <w:rFonts w:ascii="Times New Roman" w:hAnsi="Times New Roman" w:cs="Times New Roman"/>
          <w:sz w:val="24"/>
          <w:szCs w:val="24"/>
        </w:rPr>
        <w:t xml:space="preserve"> of alcohol use show statistically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significant differences by sex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17.02;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&lt;.01,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women </w:t>
      </w:r>
      <w:r>
        <w:rPr>
          <w:rFonts w:ascii="Times New Roman" w:hAnsi="Times New Roman" w:cs="Times New Roman"/>
          <w:sz w:val="24"/>
          <w:szCs w:val="24"/>
        </w:rPr>
        <w:t xml:space="preserve">reporting </w:t>
      </w:r>
      <w:r w:rsidR="00DA107A" w:rsidRPr="00DA107A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levels of non-risky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consumption </w:t>
      </w: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men have </w:t>
      </w:r>
      <w:r w:rsidR="00100C5F" w:rsidRPr="00DA107A">
        <w:rPr>
          <w:rFonts w:ascii="Times New Roman" w:hAnsi="Times New Roman" w:cs="Times New Roman"/>
          <w:sz w:val="24"/>
          <w:szCs w:val="24"/>
        </w:rPr>
        <w:t>higher</w:t>
      </w:r>
      <w:r w:rsidR="00100C5F">
        <w:rPr>
          <w:rFonts w:ascii="Times New Roman" w:hAnsi="Times New Roman" w:cs="Times New Roman"/>
          <w:sz w:val="24"/>
          <w:szCs w:val="24"/>
        </w:rPr>
        <w:t xml:space="preserve"> levels of harmful consumption with </w:t>
      </w:r>
      <w:r w:rsidR="00DA107A" w:rsidRPr="00DA107A">
        <w:rPr>
          <w:rFonts w:ascii="Times New Roman" w:hAnsi="Times New Roman" w:cs="Times New Roman"/>
          <w:sz w:val="24"/>
          <w:szCs w:val="24"/>
        </w:rPr>
        <w:t>probable dependence.</w:t>
      </w:r>
      <w:r w:rsidR="009C24AE">
        <w:rPr>
          <w:rFonts w:ascii="Times New Roman" w:hAnsi="Times New Roman" w:cs="Times New Roman"/>
          <w:sz w:val="24"/>
          <w:szCs w:val="24"/>
        </w:rPr>
        <w:t xml:space="preserve"> The n</w:t>
      </w:r>
      <w:r w:rsidR="00100C5F">
        <w:rPr>
          <w:rFonts w:ascii="Times New Roman" w:hAnsi="Times New Roman" w:cs="Times New Roman"/>
          <w:sz w:val="24"/>
          <w:szCs w:val="24"/>
        </w:rPr>
        <w:t>umber</w:t>
      </w:r>
      <w:r w:rsidR="009C24AE">
        <w:rPr>
          <w:rFonts w:ascii="Times New Roman" w:hAnsi="Times New Roman" w:cs="Times New Roman"/>
          <w:sz w:val="24"/>
          <w:szCs w:val="24"/>
        </w:rPr>
        <w:t xml:space="preserve"> </w:t>
      </w:r>
      <w:r w:rsidR="00100C5F">
        <w:rPr>
          <w:rFonts w:ascii="Times New Roman" w:hAnsi="Times New Roman" w:cs="Times New Roman"/>
          <w:sz w:val="24"/>
          <w:szCs w:val="24"/>
        </w:rPr>
        <w:t>of alcoholic</w:t>
      </w:r>
      <w:r w:rsidR="00100C5F" w:rsidRPr="00DA107A">
        <w:rPr>
          <w:rFonts w:ascii="Times New Roman" w:hAnsi="Times New Roman" w:cs="Times New Roman"/>
          <w:sz w:val="24"/>
          <w:szCs w:val="24"/>
        </w:rPr>
        <w:t xml:space="preserve"> beverages </w:t>
      </w:r>
      <w:r w:rsidR="00100C5F">
        <w:rPr>
          <w:rFonts w:ascii="Times New Roman" w:hAnsi="Times New Roman" w:cs="Times New Roman"/>
          <w:sz w:val="24"/>
          <w:szCs w:val="24"/>
        </w:rPr>
        <w:t xml:space="preserve">consumed on a typical day </w:t>
      </w:r>
      <w:r w:rsidR="008A6419">
        <w:rPr>
          <w:rFonts w:ascii="Times New Roman" w:hAnsi="Times New Roman" w:cs="Times New Roman"/>
          <w:sz w:val="24"/>
          <w:szCs w:val="24"/>
        </w:rPr>
        <w:t>is</w:t>
      </w:r>
      <w:r w:rsid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100C5F" w:rsidRPr="00DA107A">
        <w:rPr>
          <w:rFonts w:ascii="Times New Roman" w:hAnsi="Times New Roman" w:cs="Times New Roman"/>
          <w:sz w:val="24"/>
          <w:szCs w:val="24"/>
        </w:rPr>
        <w:t>greater</w:t>
      </w:r>
      <w:r w:rsid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100C5F" w:rsidRPr="00DA107A">
        <w:rPr>
          <w:rFonts w:ascii="Times New Roman" w:hAnsi="Times New Roman" w:cs="Times New Roman"/>
          <w:sz w:val="24"/>
          <w:szCs w:val="24"/>
        </w:rPr>
        <w:t>in men than in women</w:t>
      </w:r>
      <w:r w:rsid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295FD1">
        <w:rPr>
          <w:rFonts w:ascii="Times New Roman" w:hAnsi="Times New Roman" w:cs="Times New Roman"/>
          <w:sz w:val="24"/>
          <w:szCs w:val="24"/>
        </w:rPr>
        <w:t xml:space="preserve">with </w:t>
      </w:r>
      <w:r w:rsidR="00100C5F" w:rsidRPr="00100C5F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100C5F" w:rsidRPr="00DA107A">
        <w:rPr>
          <w:rFonts w:ascii="Times New Roman" w:hAnsi="Times New Roman" w:cs="Times New Roman"/>
          <w:sz w:val="24"/>
          <w:szCs w:val="24"/>
        </w:rPr>
        <w:t xml:space="preserve"> = 16.66; </w:t>
      </w:r>
      <w:r w:rsidR="00100C5F" w:rsidRPr="00100C5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00C5F" w:rsidRPr="00DA107A">
        <w:rPr>
          <w:rFonts w:ascii="Times New Roman" w:hAnsi="Times New Roman" w:cs="Times New Roman"/>
          <w:sz w:val="24"/>
          <w:szCs w:val="24"/>
        </w:rPr>
        <w:t xml:space="preserve"> &lt;.01</w:t>
      </w:r>
      <w:r w:rsidR="009C24AE">
        <w:rPr>
          <w:rFonts w:ascii="Times New Roman" w:hAnsi="Times New Roman" w:cs="Times New Roman"/>
          <w:sz w:val="24"/>
          <w:szCs w:val="24"/>
        </w:rPr>
        <w:t xml:space="preserve">, and finally,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there is a greater presence of </w:t>
      </w:r>
      <w:r w:rsidR="009C24AE">
        <w:rPr>
          <w:rFonts w:ascii="Times New Roman" w:hAnsi="Times New Roman" w:cs="Times New Roman"/>
          <w:sz w:val="24"/>
          <w:szCs w:val="24"/>
        </w:rPr>
        <w:t xml:space="preserve">binge drinking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in men </w:t>
      </w:r>
      <w:r w:rsidR="009C24AE">
        <w:rPr>
          <w:rFonts w:ascii="Times New Roman" w:hAnsi="Times New Roman" w:cs="Times New Roman"/>
          <w:sz w:val="24"/>
          <w:szCs w:val="24"/>
        </w:rPr>
        <w:t xml:space="preserve">rather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than in women with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20.99; </w:t>
      </w:r>
      <w:r w:rsidR="00DA107A" w:rsidRPr="0094552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&lt;.001.</w:t>
      </w:r>
    </w:p>
    <w:p w14:paraId="6E126643" w14:textId="039C5A4B" w:rsidR="00B61E93" w:rsidRPr="00DA107A" w:rsidRDefault="009C24AE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diagnostic categories of tobacco consumption, </w:t>
      </w:r>
      <w:r w:rsidR="00A50BB8">
        <w:rPr>
          <w:rFonts w:ascii="Times New Roman" w:hAnsi="Times New Roman" w:cs="Times New Roman"/>
          <w:sz w:val="24"/>
          <w:szCs w:val="24"/>
        </w:rPr>
        <w:t xml:space="preserve">also </w:t>
      </w:r>
      <w:r w:rsidR="00295FD1">
        <w:rPr>
          <w:rFonts w:ascii="Times New Roman" w:hAnsi="Times New Roman" w:cs="Times New Roman"/>
          <w:sz w:val="24"/>
          <w:szCs w:val="24"/>
        </w:rPr>
        <w:t>display</w:t>
      </w:r>
      <w:r w:rsidR="00A50BB8">
        <w:rPr>
          <w:rFonts w:ascii="Times New Roman" w:hAnsi="Times New Roman" w:cs="Times New Roman"/>
          <w:sz w:val="24"/>
          <w:szCs w:val="24"/>
        </w:rPr>
        <w:t xml:space="preserve"> sex differences with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low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consumption </w:t>
      </w:r>
      <w:r w:rsidR="00A50BB8">
        <w:rPr>
          <w:rFonts w:ascii="Times New Roman" w:hAnsi="Times New Roman" w:cs="Times New Roman"/>
          <w:sz w:val="24"/>
          <w:szCs w:val="24"/>
        </w:rPr>
        <w:t>being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more frequent in women, while high consumption with probable dependence is</w:t>
      </w:r>
      <w:r w:rsidR="00A50BB8">
        <w:rPr>
          <w:rFonts w:ascii="Times New Roman" w:hAnsi="Times New Roman" w:cs="Times New Roman"/>
          <w:sz w:val="24"/>
          <w:szCs w:val="24"/>
        </w:rPr>
        <w:t xml:space="preserve"> usually found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in men </w:t>
      </w:r>
      <w:r w:rsidR="00295FD1">
        <w:rPr>
          <w:rFonts w:ascii="Times New Roman" w:hAnsi="Times New Roman" w:cs="Times New Roman"/>
          <w:sz w:val="24"/>
          <w:szCs w:val="24"/>
        </w:rPr>
        <w:t xml:space="preserve">with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47.20;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&lt;0.001; </w:t>
      </w:r>
      <w:r w:rsidR="00A50BB8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A50BB8" w:rsidRPr="00DA107A">
        <w:rPr>
          <w:rFonts w:ascii="Times New Roman" w:hAnsi="Times New Roman" w:cs="Times New Roman"/>
          <w:sz w:val="24"/>
          <w:szCs w:val="24"/>
        </w:rPr>
        <w:t>daily cigarettes</w:t>
      </w:r>
      <w:r w:rsidR="00A50BB8">
        <w:rPr>
          <w:rFonts w:ascii="Times New Roman" w:hAnsi="Times New Roman" w:cs="Times New Roman"/>
          <w:sz w:val="24"/>
          <w:szCs w:val="24"/>
        </w:rPr>
        <w:t xml:space="preserve"> consumed </w:t>
      </w:r>
      <w:r w:rsidR="00DA107A" w:rsidRPr="00DA107A">
        <w:rPr>
          <w:rFonts w:ascii="Times New Roman" w:hAnsi="Times New Roman" w:cs="Times New Roman"/>
          <w:sz w:val="24"/>
          <w:szCs w:val="24"/>
        </w:rPr>
        <w:t>is greater</w:t>
      </w:r>
      <w:r w:rsidR="00A50BB8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in men than in women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48.40; </w:t>
      </w:r>
      <w:r w:rsidR="00DA107A" w:rsidRPr="00A50BB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&lt;.00</w:t>
      </w:r>
      <w:r w:rsidR="00295FD1">
        <w:rPr>
          <w:rFonts w:ascii="Times New Roman" w:hAnsi="Times New Roman" w:cs="Times New Roman"/>
          <w:sz w:val="24"/>
          <w:szCs w:val="24"/>
        </w:rPr>
        <w:t>1,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295FD1">
        <w:rPr>
          <w:rFonts w:ascii="Times New Roman" w:hAnsi="Times New Roman" w:cs="Times New Roman"/>
          <w:sz w:val="24"/>
          <w:szCs w:val="24"/>
        </w:rPr>
        <w:t xml:space="preserve">as well 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as </w:t>
      </w:r>
      <w:r w:rsidR="00295FD1">
        <w:rPr>
          <w:rFonts w:ascii="Times New Roman" w:hAnsi="Times New Roman" w:cs="Times New Roman"/>
          <w:sz w:val="24"/>
          <w:szCs w:val="24"/>
        </w:rPr>
        <w:t>the onset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of </w:t>
      </w:r>
      <w:r w:rsidR="00295FD1">
        <w:rPr>
          <w:rFonts w:ascii="Times New Roman" w:hAnsi="Times New Roman" w:cs="Times New Roman"/>
          <w:sz w:val="24"/>
          <w:szCs w:val="24"/>
        </w:rPr>
        <w:t>tobacco use, with a higher age average for women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DA107A" w:rsidRPr="00295FD1">
        <w:rPr>
          <w:rFonts w:ascii="Times New Roman" w:hAnsi="Times New Roman" w:cs="Times New Roman"/>
          <w:i/>
          <w:iCs/>
          <w:sz w:val="24"/>
          <w:szCs w:val="24"/>
        </w:rPr>
        <w:t>ꭓ2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= 24.74; </w:t>
      </w:r>
      <w:r w:rsidR="00DA107A" w:rsidRPr="00295FD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&lt;.001.</w:t>
      </w:r>
    </w:p>
    <w:p w14:paraId="76B50BBA" w14:textId="7E4BFF97" w:rsidR="00157039" w:rsidRPr="00EF776D" w:rsidRDefault="004906B8" w:rsidP="00DA107A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76D">
        <w:rPr>
          <w:rFonts w:ascii="Times New Roman" w:hAnsi="Times New Roman" w:cs="Times New Roman"/>
          <w:b/>
          <w:bCs/>
          <w:sz w:val="24"/>
          <w:szCs w:val="24"/>
        </w:rPr>
        <w:t>Odds Ratio Analysis</w:t>
      </w:r>
    </w:p>
    <w:p w14:paraId="068E4ED5" w14:textId="05BD9B4B" w:rsidR="00656A34" w:rsidRPr="00DA107A" w:rsidRDefault="008A6419" w:rsidP="00DA107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DA107A">
        <w:rPr>
          <w:rFonts w:ascii="Times New Roman" w:hAnsi="Times New Roman" w:cs="Times New Roman"/>
          <w:sz w:val="24"/>
          <w:szCs w:val="24"/>
        </w:rPr>
        <w:t>Odds Ratio analys</w:t>
      </w:r>
      <w:r>
        <w:rPr>
          <w:rFonts w:ascii="Times New Roman" w:hAnsi="Times New Roman" w:cs="Times New Roman"/>
          <w:sz w:val="24"/>
          <w:szCs w:val="24"/>
        </w:rPr>
        <w:t>is was performed t</w:t>
      </w:r>
      <w:r w:rsidR="00295FD1">
        <w:rPr>
          <w:rFonts w:ascii="Times New Roman" w:hAnsi="Times New Roman" w:cs="Times New Roman"/>
          <w:sz w:val="24"/>
          <w:szCs w:val="24"/>
        </w:rPr>
        <w:t xml:space="preserve">o </w:t>
      </w:r>
      <w:r w:rsidR="00DA107A" w:rsidRPr="00DA107A">
        <w:rPr>
          <w:rFonts w:ascii="Times New Roman" w:hAnsi="Times New Roman" w:cs="Times New Roman"/>
          <w:sz w:val="24"/>
          <w:szCs w:val="24"/>
        </w:rPr>
        <w:t>determin</w:t>
      </w:r>
      <w:r w:rsidR="00295FD1">
        <w:rPr>
          <w:rFonts w:ascii="Times New Roman" w:hAnsi="Times New Roman" w:cs="Times New Roman"/>
          <w:sz w:val="24"/>
          <w:szCs w:val="24"/>
        </w:rPr>
        <w:t>e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the association between sex and risky</w:t>
      </w:r>
      <w:r w:rsidR="00295FD1">
        <w:rPr>
          <w:rFonts w:ascii="Times New Roman" w:hAnsi="Times New Roman" w:cs="Times New Roman"/>
          <w:sz w:val="24"/>
          <w:szCs w:val="24"/>
        </w:rPr>
        <w:t xml:space="preserve"> alcohol and tobacco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B12EA9">
        <w:rPr>
          <w:rFonts w:ascii="Times New Roman" w:hAnsi="Times New Roman" w:cs="Times New Roman"/>
          <w:sz w:val="24"/>
          <w:szCs w:val="24"/>
        </w:rPr>
        <w:t xml:space="preserve">use </w:t>
      </w:r>
      <w:r w:rsidR="00DA107A" w:rsidRPr="00DA107A">
        <w:rPr>
          <w:rFonts w:ascii="Times New Roman" w:hAnsi="Times New Roman" w:cs="Times New Roman"/>
          <w:sz w:val="24"/>
          <w:szCs w:val="24"/>
        </w:rPr>
        <w:t>(see figure 1)</w:t>
      </w:r>
      <w:r w:rsidR="00295FD1">
        <w:rPr>
          <w:rFonts w:ascii="Times New Roman" w:hAnsi="Times New Roman" w:cs="Times New Roman"/>
          <w:sz w:val="24"/>
          <w:szCs w:val="24"/>
        </w:rPr>
        <w:t xml:space="preserve">, which </w:t>
      </w:r>
      <w:r w:rsidR="00DA107A" w:rsidRPr="00DA107A">
        <w:rPr>
          <w:rFonts w:ascii="Times New Roman" w:hAnsi="Times New Roman" w:cs="Times New Roman"/>
          <w:sz w:val="24"/>
          <w:szCs w:val="24"/>
        </w:rPr>
        <w:t>shows</w:t>
      </w:r>
      <w:r w:rsidR="00245446" w:rsidRPr="00DA107A">
        <w:rPr>
          <w:rFonts w:ascii="Times New Roman" w:hAnsi="Times New Roman" w:cs="Times New Roman"/>
          <w:sz w:val="24"/>
          <w:szCs w:val="24"/>
        </w:rPr>
        <w:t xml:space="preserve"> that men had </w:t>
      </w:r>
      <w:r w:rsidR="00656A34" w:rsidRPr="00DA107A">
        <w:rPr>
          <w:rFonts w:ascii="Times New Roman" w:hAnsi="Times New Roman" w:cs="Times New Roman"/>
          <w:sz w:val="24"/>
          <w:szCs w:val="24"/>
        </w:rPr>
        <w:t>OR= 2.1</w:t>
      </w:r>
      <w:r w:rsidR="007611D8" w:rsidRPr="00DA107A">
        <w:rPr>
          <w:rFonts w:ascii="Times New Roman" w:hAnsi="Times New Roman" w:cs="Times New Roman"/>
          <w:sz w:val="24"/>
          <w:szCs w:val="24"/>
        </w:rPr>
        <w:t>;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245446" w:rsidRPr="00DA107A">
        <w:rPr>
          <w:rFonts w:ascii="Times New Roman" w:hAnsi="Times New Roman" w:cs="Times New Roman"/>
          <w:sz w:val="24"/>
          <w:szCs w:val="24"/>
        </w:rPr>
        <w:t xml:space="preserve">95% CI </w:t>
      </w:r>
      <w:r w:rsidR="00B12EA9">
        <w:rPr>
          <w:rFonts w:ascii="Times New Roman" w:hAnsi="Times New Roman" w:cs="Times New Roman"/>
          <w:sz w:val="24"/>
          <w:szCs w:val="24"/>
        </w:rPr>
        <w:t>(</w:t>
      </w:r>
      <w:r w:rsidR="005F1856" w:rsidRPr="00DA107A">
        <w:rPr>
          <w:rFonts w:ascii="Times New Roman" w:hAnsi="Times New Roman" w:cs="Times New Roman"/>
          <w:sz w:val="24"/>
          <w:szCs w:val="24"/>
        </w:rPr>
        <w:t>1.45 – 3.11</w:t>
      </w:r>
      <w:r w:rsidR="00B12EA9">
        <w:rPr>
          <w:rFonts w:ascii="Times New Roman" w:hAnsi="Times New Roman" w:cs="Times New Roman"/>
          <w:sz w:val="24"/>
          <w:szCs w:val="24"/>
        </w:rPr>
        <w:t>)</w:t>
      </w:r>
      <w:r w:rsidR="00245446" w:rsidRPr="00DA107A">
        <w:rPr>
          <w:rFonts w:ascii="Times New Roman" w:hAnsi="Times New Roman" w:cs="Times New Roman"/>
          <w:sz w:val="24"/>
          <w:szCs w:val="24"/>
        </w:rPr>
        <w:t xml:space="preserve"> times the odds of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acquiring risky alcohol use than women. 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While, in the case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of 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tobacco,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men had </w:t>
      </w:r>
      <w:r w:rsidR="00656A34" w:rsidRPr="00DA107A">
        <w:rPr>
          <w:rFonts w:ascii="Times New Roman" w:hAnsi="Times New Roman" w:cs="Times New Roman"/>
          <w:sz w:val="24"/>
          <w:szCs w:val="24"/>
        </w:rPr>
        <w:t>OR= 3</w:t>
      </w:r>
      <w:r w:rsidR="00435484" w:rsidRPr="00DA107A">
        <w:rPr>
          <w:rFonts w:ascii="Times New Roman" w:hAnsi="Times New Roman" w:cs="Times New Roman"/>
          <w:sz w:val="24"/>
          <w:szCs w:val="24"/>
        </w:rPr>
        <w:t>.0</w:t>
      </w:r>
      <w:r w:rsidR="007611D8" w:rsidRPr="00DA107A">
        <w:rPr>
          <w:rFonts w:ascii="Times New Roman" w:hAnsi="Times New Roman" w:cs="Times New Roman"/>
          <w:sz w:val="24"/>
          <w:szCs w:val="24"/>
        </w:rPr>
        <w:t>;</w:t>
      </w:r>
      <w:r w:rsidR="00656A34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95% CI </w:t>
      </w:r>
      <w:r w:rsidR="00B12EA9">
        <w:rPr>
          <w:rFonts w:ascii="Times New Roman" w:hAnsi="Times New Roman" w:cs="Times New Roman"/>
          <w:sz w:val="24"/>
          <w:szCs w:val="24"/>
        </w:rPr>
        <w:t>(</w:t>
      </w:r>
      <w:r w:rsidR="005022AC" w:rsidRPr="00DA107A">
        <w:rPr>
          <w:rFonts w:ascii="Times New Roman" w:hAnsi="Times New Roman" w:cs="Times New Roman"/>
          <w:sz w:val="24"/>
          <w:szCs w:val="24"/>
        </w:rPr>
        <w:t>2.01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5022AC" w:rsidRPr="00DA107A">
        <w:rPr>
          <w:rFonts w:ascii="Times New Roman" w:hAnsi="Times New Roman" w:cs="Times New Roman"/>
          <w:sz w:val="24"/>
          <w:szCs w:val="24"/>
        </w:rPr>
        <w:t>–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5022AC" w:rsidRPr="00DA107A">
        <w:rPr>
          <w:rFonts w:ascii="Times New Roman" w:hAnsi="Times New Roman" w:cs="Times New Roman"/>
          <w:sz w:val="24"/>
          <w:szCs w:val="24"/>
        </w:rPr>
        <w:t>4.37</w:t>
      </w:r>
      <w:r w:rsidR="00B12EA9">
        <w:rPr>
          <w:rFonts w:ascii="Times New Roman" w:hAnsi="Times New Roman" w:cs="Times New Roman"/>
          <w:sz w:val="24"/>
          <w:szCs w:val="24"/>
        </w:rPr>
        <w:t>)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656A34" w:rsidRPr="00DA107A">
        <w:rPr>
          <w:rFonts w:ascii="Times New Roman" w:hAnsi="Times New Roman" w:cs="Times New Roman"/>
          <w:sz w:val="24"/>
          <w:szCs w:val="24"/>
        </w:rPr>
        <w:t>times</w:t>
      </w:r>
      <w:r w:rsidR="00193CA1" w:rsidRPr="00DA107A">
        <w:rPr>
          <w:rFonts w:ascii="Times New Roman" w:hAnsi="Times New Roman" w:cs="Times New Roman"/>
          <w:sz w:val="24"/>
          <w:szCs w:val="24"/>
        </w:rPr>
        <w:t xml:space="preserve"> the odds of developing risky tobacco use than women.</w:t>
      </w:r>
      <w:r w:rsidR="007611D8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B12EA9">
        <w:rPr>
          <w:rFonts w:ascii="Times New Roman" w:hAnsi="Times New Roman" w:cs="Times New Roman"/>
          <w:sz w:val="24"/>
          <w:szCs w:val="24"/>
        </w:rPr>
        <w:t>Since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the confidence intervals are above</w:t>
      </w:r>
      <w:r w:rsidR="00B12EA9">
        <w:rPr>
          <w:rFonts w:ascii="Times New Roman" w:hAnsi="Times New Roman" w:cs="Times New Roman"/>
          <w:sz w:val="24"/>
          <w:szCs w:val="24"/>
        </w:rPr>
        <w:t xml:space="preserve"> unit</w:t>
      </w:r>
      <w:r w:rsidR="00DA107A" w:rsidRPr="00DA107A">
        <w:rPr>
          <w:rFonts w:ascii="Times New Roman" w:hAnsi="Times New Roman" w:cs="Times New Roman"/>
          <w:sz w:val="24"/>
          <w:szCs w:val="24"/>
        </w:rPr>
        <w:t xml:space="preserve"> (1), it is considered </w:t>
      </w:r>
      <w:r w:rsidR="00193CA1" w:rsidRPr="00DA107A">
        <w:rPr>
          <w:rFonts w:ascii="Times New Roman" w:hAnsi="Times New Roman" w:cs="Times New Roman"/>
          <w:sz w:val="24"/>
          <w:szCs w:val="24"/>
        </w:rPr>
        <w:t>that being a man is a risk factor linked to alcohol and tobacco</w:t>
      </w:r>
      <w:r w:rsidR="00B12EA9">
        <w:rPr>
          <w:rFonts w:ascii="Times New Roman" w:hAnsi="Times New Roman" w:cs="Times New Roman"/>
          <w:sz w:val="24"/>
          <w:szCs w:val="24"/>
        </w:rPr>
        <w:t xml:space="preserve"> use disorders</w:t>
      </w:r>
      <w:r w:rsidR="00193CA1" w:rsidRPr="00DA10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948"/>
      </w:tblGrid>
      <w:tr w:rsidR="008A6419" w:rsidRPr="00EF776D" w14:paraId="4CE44C1F" w14:textId="77777777" w:rsidTr="008A6419">
        <w:trPr>
          <w:trHeight w:val="618"/>
          <w:jc w:val="center"/>
        </w:trPr>
        <w:tc>
          <w:tcPr>
            <w:tcW w:w="8642" w:type="dxa"/>
            <w:gridSpan w:val="2"/>
          </w:tcPr>
          <w:p w14:paraId="76F97D4C" w14:textId="77777777" w:rsidR="008A6419" w:rsidRPr="008A6419" w:rsidRDefault="008A6419" w:rsidP="008A64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6419">
              <w:rPr>
                <w:rFonts w:ascii="Arial" w:hAnsi="Arial" w:cs="Arial"/>
                <w:b/>
                <w:bCs/>
                <w:sz w:val="20"/>
                <w:szCs w:val="20"/>
              </w:rPr>
              <w:t>Figure 1</w:t>
            </w:r>
          </w:p>
          <w:p w14:paraId="4AF6D16A" w14:textId="77777777" w:rsidR="008A6419" w:rsidRDefault="008A6419" w:rsidP="008A64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Forest Plot</w:t>
            </w:r>
          </w:p>
          <w:p w14:paraId="163D68A5" w14:textId="5E6E5D1C" w:rsidR="008A6419" w:rsidRPr="00EF776D" w:rsidRDefault="008A6419" w:rsidP="008A64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contextualSpacing/>
              <w:rPr>
                <w:noProof/>
              </w:rPr>
            </w:pPr>
          </w:p>
        </w:tc>
      </w:tr>
      <w:bookmarkEnd w:id="1"/>
      <w:tr w:rsidR="008A6419" w:rsidRPr="00EF776D" w14:paraId="24BD8D8A" w14:textId="77777777" w:rsidTr="008A6419">
        <w:trPr>
          <w:jc w:val="center"/>
        </w:trPr>
        <w:tc>
          <w:tcPr>
            <w:tcW w:w="2694" w:type="dxa"/>
          </w:tcPr>
          <w:p w14:paraId="1AC2D3CF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 vs. Women – Alcohol</w:t>
            </w:r>
          </w:p>
          <w:p w14:paraId="3F44769A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86D9F2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3F741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 vs. Women – Tobacco</w:t>
            </w:r>
          </w:p>
          <w:p w14:paraId="66112006" w14:textId="7777777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BEE287A" w14:textId="77777777" w:rsidR="008A6419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noProof/>
              </w:rPr>
            </w:pPr>
            <w:r w:rsidRPr="00EF776D">
              <w:rPr>
                <w:noProof/>
              </w:rPr>
              <w:drawing>
                <wp:inline distT="0" distB="0" distL="0" distR="0" wp14:anchorId="3DF4965C" wp14:editId="6B392D9F">
                  <wp:extent cx="3571875" cy="873760"/>
                  <wp:effectExtent l="0" t="0" r="9525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6363" t="16369" b="14363"/>
                          <a:stretch/>
                        </pic:blipFill>
                        <pic:spPr bwMode="auto">
                          <a:xfrm>
                            <a:off x="0" y="0"/>
                            <a:ext cx="3576433" cy="87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0674D9" w14:textId="79CCABF7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noProof/>
              </w:rPr>
            </w:pPr>
          </w:p>
        </w:tc>
      </w:tr>
      <w:tr w:rsidR="008A6419" w:rsidRPr="00EF776D" w14:paraId="684F1C11" w14:textId="77777777" w:rsidTr="008A6419">
        <w:trPr>
          <w:jc w:val="center"/>
        </w:trPr>
        <w:tc>
          <w:tcPr>
            <w:tcW w:w="8642" w:type="dxa"/>
            <w:gridSpan w:val="2"/>
          </w:tcPr>
          <w:p w14:paraId="16EB9F68" w14:textId="7DE714C8" w:rsidR="008A6419" w:rsidRPr="00EF776D" w:rsidRDefault="008A6419" w:rsidP="00CE688F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A6419">
              <w:rPr>
                <w:rFonts w:ascii="Arial" w:hAnsi="Arial" w:cs="Arial"/>
                <w:i/>
                <w:iCs/>
                <w:sz w:val="20"/>
                <w:szCs w:val="20"/>
              </w:rPr>
              <w:t>Note.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76D">
              <w:rPr>
                <w:rFonts w:ascii="Arial" w:hAnsi="Arial" w:cs="Arial"/>
                <w:sz w:val="20"/>
                <w:szCs w:val="20"/>
              </w:rPr>
              <w:t>Odds Ratio of Alcohol and Tobacco Use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Men and Women.</w:t>
            </w:r>
          </w:p>
        </w:tc>
      </w:tr>
    </w:tbl>
    <w:p w14:paraId="32D3E8F6" w14:textId="0D12A080" w:rsidR="00FC0D34" w:rsidRDefault="00FC0D34" w:rsidP="006A567E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B907A9" w14:textId="77777777" w:rsidR="006A567E" w:rsidRDefault="006A567E" w:rsidP="006A567E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</w:t>
      </w:r>
    </w:p>
    <w:p w14:paraId="7BF1252D" w14:textId="77777777" w:rsidR="008A6419" w:rsidRDefault="006A567E" w:rsidP="00D803E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t>The objectives of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6A567E">
        <w:rPr>
          <w:rFonts w:ascii="Times New Roman" w:hAnsi="Times New Roman" w:cs="Times New Roman"/>
          <w:sz w:val="24"/>
          <w:szCs w:val="24"/>
        </w:rPr>
        <w:t xml:space="preserve"> study were to know</w:t>
      </w:r>
      <w:r w:rsidR="008C78A5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Pr="006A567E">
        <w:rPr>
          <w:rFonts w:ascii="Times New Roman" w:hAnsi="Times New Roman" w:cs="Times New Roman"/>
          <w:sz w:val="24"/>
          <w:szCs w:val="24"/>
        </w:rPr>
        <w:t>level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A567E">
        <w:rPr>
          <w:rFonts w:ascii="Times New Roman" w:hAnsi="Times New Roman" w:cs="Times New Roman"/>
          <w:sz w:val="24"/>
          <w:szCs w:val="24"/>
        </w:rPr>
        <w:t xml:space="preserve"> of alcohol and tobacco consumption in a sample of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Pr="006A567E">
        <w:rPr>
          <w:rFonts w:ascii="Times New Roman" w:hAnsi="Times New Roman" w:cs="Times New Roman"/>
          <w:sz w:val="24"/>
          <w:szCs w:val="24"/>
        </w:rPr>
        <w:t xml:space="preserve"> students from Ecuador, as well as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6A567E">
        <w:rPr>
          <w:rFonts w:ascii="Times New Roman" w:hAnsi="Times New Roman" w:cs="Times New Roman"/>
          <w:sz w:val="24"/>
          <w:szCs w:val="24"/>
        </w:rPr>
        <w:t xml:space="preserve">differences and whether or not this represents a risk factor in </w:t>
      </w:r>
      <w:r>
        <w:rPr>
          <w:rFonts w:ascii="Times New Roman" w:hAnsi="Times New Roman" w:cs="Times New Roman"/>
          <w:sz w:val="24"/>
          <w:szCs w:val="24"/>
        </w:rPr>
        <w:t>alcohol and tobacco use disorders</w:t>
      </w:r>
      <w:r w:rsidRPr="006A567E">
        <w:rPr>
          <w:rFonts w:ascii="Times New Roman" w:hAnsi="Times New Roman" w:cs="Times New Roman"/>
          <w:sz w:val="24"/>
          <w:szCs w:val="24"/>
        </w:rPr>
        <w:t>.</w:t>
      </w:r>
      <w:r w:rsidR="00D803E4">
        <w:rPr>
          <w:rFonts w:ascii="Times New Roman" w:hAnsi="Times New Roman" w:cs="Times New Roman"/>
          <w:sz w:val="24"/>
          <w:szCs w:val="24"/>
        </w:rPr>
        <w:t xml:space="preserve"> Data </w:t>
      </w:r>
      <w:r w:rsidRPr="006A567E">
        <w:rPr>
          <w:rFonts w:ascii="Times New Roman" w:hAnsi="Times New Roman" w:cs="Times New Roman"/>
          <w:sz w:val="24"/>
          <w:szCs w:val="24"/>
        </w:rPr>
        <w:t xml:space="preserve">analyzes </w:t>
      </w:r>
      <w:r w:rsidR="009850B5">
        <w:rPr>
          <w:rFonts w:ascii="Times New Roman" w:hAnsi="Times New Roman" w:cs="Times New Roman"/>
          <w:sz w:val="24"/>
          <w:szCs w:val="24"/>
        </w:rPr>
        <w:t xml:space="preserve">suggest </w:t>
      </w:r>
      <w:r w:rsidRPr="006A567E">
        <w:rPr>
          <w:rFonts w:ascii="Times New Roman" w:hAnsi="Times New Roman" w:cs="Times New Roman"/>
          <w:sz w:val="24"/>
          <w:szCs w:val="24"/>
        </w:rPr>
        <w:t xml:space="preserve">that alcohol consumption among </w:t>
      </w:r>
      <w:r w:rsidR="00F95E19">
        <w:rPr>
          <w:rFonts w:ascii="Times New Roman" w:hAnsi="Times New Roman" w:cs="Times New Roman"/>
          <w:sz w:val="24"/>
          <w:szCs w:val="24"/>
        </w:rPr>
        <w:t>Ecuadorian college</w:t>
      </w:r>
      <w:r w:rsidRPr="006A567E">
        <w:rPr>
          <w:rFonts w:ascii="Times New Roman" w:hAnsi="Times New Roman" w:cs="Times New Roman"/>
          <w:sz w:val="24"/>
          <w:szCs w:val="24"/>
        </w:rPr>
        <w:t xml:space="preserve"> students is </w:t>
      </w:r>
      <w:r w:rsidR="00F95E19">
        <w:rPr>
          <w:rFonts w:ascii="Times New Roman" w:hAnsi="Times New Roman" w:cs="Times New Roman"/>
          <w:sz w:val="24"/>
          <w:szCs w:val="24"/>
        </w:rPr>
        <w:t xml:space="preserve">generally under </w:t>
      </w:r>
      <w:r w:rsidRPr="006A567E">
        <w:rPr>
          <w:rFonts w:ascii="Times New Roman" w:hAnsi="Times New Roman" w:cs="Times New Roman"/>
          <w:sz w:val="24"/>
          <w:szCs w:val="24"/>
        </w:rPr>
        <w:t xml:space="preserve">control in terms of frequency and </w:t>
      </w:r>
      <w:r w:rsidR="00F95E19" w:rsidRPr="006A567E">
        <w:rPr>
          <w:rFonts w:ascii="Times New Roman" w:hAnsi="Times New Roman" w:cs="Times New Roman"/>
          <w:sz w:val="24"/>
          <w:szCs w:val="24"/>
        </w:rPr>
        <w:t>intensity</w:t>
      </w:r>
      <w:r w:rsidRPr="006A567E">
        <w:rPr>
          <w:rFonts w:ascii="Times New Roman" w:hAnsi="Times New Roman" w:cs="Times New Roman"/>
          <w:sz w:val="24"/>
          <w:szCs w:val="24"/>
        </w:rPr>
        <w:t xml:space="preserve">. However, a third of the sample is already classified </w:t>
      </w:r>
      <w:r w:rsidR="00F95E19">
        <w:rPr>
          <w:rFonts w:ascii="Times New Roman" w:hAnsi="Times New Roman" w:cs="Times New Roman"/>
          <w:sz w:val="24"/>
          <w:szCs w:val="24"/>
        </w:rPr>
        <w:t>under</w:t>
      </w:r>
      <w:r w:rsidRPr="006A567E">
        <w:rPr>
          <w:rFonts w:ascii="Times New Roman" w:hAnsi="Times New Roman" w:cs="Times New Roman"/>
          <w:sz w:val="24"/>
          <w:szCs w:val="24"/>
        </w:rPr>
        <w:t xml:space="preserve"> the risk</w:t>
      </w:r>
      <w:r w:rsidR="00F95E19">
        <w:rPr>
          <w:rFonts w:ascii="Times New Roman" w:hAnsi="Times New Roman" w:cs="Times New Roman"/>
          <w:sz w:val="24"/>
          <w:szCs w:val="24"/>
        </w:rPr>
        <w:t>y</w:t>
      </w:r>
      <w:r w:rsidRPr="006A567E">
        <w:rPr>
          <w:rFonts w:ascii="Times New Roman" w:hAnsi="Times New Roman" w:cs="Times New Roman"/>
          <w:sz w:val="24"/>
          <w:szCs w:val="24"/>
        </w:rPr>
        <w:t xml:space="preserve"> consumption criterion</w:t>
      </w:r>
      <w:r w:rsidR="00F95E19">
        <w:rPr>
          <w:rFonts w:ascii="Times New Roman" w:hAnsi="Times New Roman" w:cs="Times New Roman"/>
          <w:sz w:val="24"/>
          <w:szCs w:val="24"/>
        </w:rPr>
        <w:t>,</w:t>
      </w:r>
      <w:r w:rsidRPr="006A567E">
        <w:rPr>
          <w:rFonts w:ascii="Times New Roman" w:hAnsi="Times New Roman" w:cs="Times New Roman"/>
          <w:sz w:val="24"/>
          <w:szCs w:val="24"/>
        </w:rPr>
        <w:t xml:space="preserve"> and </w:t>
      </w:r>
      <w:r w:rsidR="00F95E19">
        <w:rPr>
          <w:rFonts w:ascii="Times New Roman" w:hAnsi="Times New Roman" w:cs="Times New Roman"/>
          <w:sz w:val="24"/>
          <w:szCs w:val="24"/>
        </w:rPr>
        <w:t xml:space="preserve">binge drinking </w:t>
      </w:r>
      <w:r w:rsidRPr="006A567E">
        <w:rPr>
          <w:rFonts w:ascii="Times New Roman" w:hAnsi="Times New Roman" w:cs="Times New Roman"/>
          <w:sz w:val="24"/>
          <w:szCs w:val="24"/>
        </w:rPr>
        <w:t xml:space="preserve">episodes are reported </w:t>
      </w:r>
      <w:r w:rsidR="008A6419">
        <w:rPr>
          <w:rFonts w:ascii="Times New Roman" w:hAnsi="Times New Roman" w:cs="Times New Roman"/>
          <w:sz w:val="24"/>
          <w:szCs w:val="24"/>
        </w:rPr>
        <w:t>at least once in their lifetime</w:t>
      </w:r>
      <w:r w:rsidR="008A6419" w:rsidRPr="00DA107A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in </w:t>
      </w:r>
      <w:r w:rsidR="008A6419" w:rsidRPr="00DA107A">
        <w:rPr>
          <w:rFonts w:ascii="Times New Roman" w:hAnsi="Times New Roman" w:cs="Times New Roman"/>
          <w:sz w:val="24"/>
          <w:szCs w:val="24"/>
        </w:rPr>
        <w:t>47.3%</w:t>
      </w:r>
      <w:r w:rsidR="008A6419">
        <w:rPr>
          <w:rFonts w:ascii="Times New Roman" w:hAnsi="Times New Roman" w:cs="Times New Roman"/>
          <w:sz w:val="24"/>
          <w:szCs w:val="24"/>
        </w:rPr>
        <w:t xml:space="preserve"> of the sample, and </w:t>
      </w:r>
      <w:r w:rsidR="008A6419" w:rsidRPr="00DA107A">
        <w:rPr>
          <w:rFonts w:ascii="Times New Roman" w:hAnsi="Times New Roman" w:cs="Times New Roman"/>
          <w:sz w:val="24"/>
          <w:szCs w:val="24"/>
        </w:rPr>
        <w:t>at least once a week</w:t>
      </w:r>
      <w:r w:rsidR="008A6419">
        <w:rPr>
          <w:rFonts w:ascii="Times New Roman" w:hAnsi="Times New Roman" w:cs="Times New Roman"/>
          <w:sz w:val="24"/>
          <w:szCs w:val="24"/>
        </w:rPr>
        <w:t xml:space="preserve"> for </w:t>
      </w:r>
      <w:r w:rsidR="008A6419" w:rsidRPr="00DA107A">
        <w:rPr>
          <w:rFonts w:ascii="Times New Roman" w:hAnsi="Times New Roman" w:cs="Times New Roman"/>
          <w:sz w:val="24"/>
          <w:szCs w:val="24"/>
        </w:rPr>
        <w:t>4.5%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of the s</w:t>
      </w:r>
      <w:r w:rsidR="00F95E19">
        <w:rPr>
          <w:rFonts w:ascii="Times New Roman" w:hAnsi="Times New Roman" w:cs="Times New Roman"/>
          <w:sz w:val="24"/>
          <w:szCs w:val="24"/>
        </w:rPr>
        <w:t xml:space="preserve">ample, this </w:t>
      </w:r>
      <w:r w:rsidR="008C78A5">
        <w:rPr>
          <w:rFonts w:ascii="Times New Roman" w:hAnsi="Times New Roman" w:cs="Times New Roman"/>
          <w:sz w:val="24"/>
          <w:szCs w:val="24"/>
        </w:rPr>
        <w:t xml:space="preserve">information should be considered for a </w:t>
      </w:r>
      <w:r w:rsidRPr="006A567E">
        <w:rPr>
          <w:rFonts w:ascii="Times New Roman" w:hAnsi="Times New Roman" w:cs="Times New Roman"/>
          <w:sz w:val="24"/>
          <w:szCs w:val="24"/>
        </w:rPr>
        <w:t xml:space="preserve">respective reflection and </w:t>
      </w:r>
      <w:r w:rsidR="008C78A5">
        <w:rPr>
          <w:rFonts w:ascii="Times New Roman" w:hAnsi="Times New Roman" w:cs="Times New Roman"/>
          <w:sz w:val="24"/>
          <w:szCs w:val="24"/>
        </w:rPr>
        <w:t>monitoring</w:t>
      </w:r>
      <w:r w:rsidRPr="006A56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4AA9C" w14:textId="13388FCB" w:rsidR="006A567E" w:rsidRPr="006A567E" w:rsidRDefault="008C78A5" w:rsidP="00D803E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use</w:t>
      </w:r>
      <w:r w:rsidR="006A567E" w:rsidRPr="006A567E">
        <w:rPr>
          <w:rFonts w:ascii="Times New Roman" w:hAnsi="Times New Roman" w:cs="Times New Roman"/>
          <w:sz w:val="24"/>
          <w:szCs w:val="24"/>
        </w:rPr>
        <w:t>, although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controlled, is consolidated and its practice is higher than </w:t>
      </w:r>
      <w:r>
        <w:rPr>
          <w:rFonts w:ascii="Times New Roman" w:hAnsi="Times New Roman" w:cs="Times New Roman"/>
          <w:sz w:val="24"/>
          <w:szCs w:val="24"/>
        </w:rPr>
        <w:t xml:space="preserve">in any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other age group such as </w:t>
      </w:r>
      <w:r>
        <w:rPr>
          <w:rFonts w:ascii="Times New Roman" w:hAnsi="Times New Roman" w:cs="Times New Roman"/>
          <w:sz w:val="24"/>
          <w:szCs w:val="24"/>
        </w:rPr>
        <w:t>teenagers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(Moreta-Herrera et al, 2020). In fact, according to the results, this </w:t>
      </w:r>
      <w:r w:rsidR="009502CE">
        <w:rPr>
          <w:rFonts w:ascii="Times New Roman" w:hAnsi="Times New Roman" w:cs="Times New Roman"/>
          <w:sz w:val="24"/>
          <w:szCs w:val="24"/>
        </w:rPr>
        <w:t xml:space="preserve">age </w:t>
      </w:r>
      <w:r w:rsidR="006A567E" w:rsidRPr="006A567E">
        <w:rPr>
          <w:rFonts w:ascii="Times New Roman" w:hAnsi="Times New Roman" w:cs="Times New Roman"/>
          <w:sz w:val="24"/>
          <w:szCs w:val="24"/>
        </w:rPr>
        <w:t>group exceeds</w:t>
      </w:r>
      <w:r w:rsidR="008A6419">
        <w:rPr>
          <w:rFonts w:ascii="Times New Roman" w:hAnsi="Times New Roman" w:cs="Times New Roman"/>
          <w:sz w:val="24"/>
          <w:szCs w:val="24"/>
        </w:rPr>
        <w:t xml:space="preserve"> the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level</w:t>
      </w:r>
      <w:r w:rsidR="009502CE">
        <w:rPr>
          <w:rFonts w:ascii="Times New Roman" w:hAnsi="Times New Roman" w:cs="Times New Roman"/>
          <w:sz w:val="24"/>
          <w:szCs w:val="24"/>
        </w:rPr>
        <w:t>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of consumption of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A567E" w:rsidRPr="006A567E">
        <w:rPr>
          <w:rFonts w:ascii="Times New Roman" w:hAnsi="Times New Roman" w:cs="Times New Roman"/>
          <w:sz w:val="24"/>
          <w:szCs w:val="24"/>
        </w:rPr>
        <w:t>general population (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Grucza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et al, 2018), </w:t>
      </w:r>
      <w:r w:rsidR="009502CE">
        <w:rPr>
          <w:rFonts w:ascii="Times New Roman" w:hAnsi="Times New Roman" w:cs="Times New Roman"/>
          <w:sz w:val="24"/>
          <w:szCs w:val="24"/>
        </w:rPr>
        <w:t>which demonstrates that college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9502CE">
        <w:rPr>
          <w:rFonts w:ascii="Times New Roman" w:hAnsi="Times New Roman" w:cs="Times New Roman"/>
          <w:sz w:val="24"/>
          <w:szCs w:val="24"/>
        </w:rPr>
        <w:t xml:space="preserve">age is a </w:t>
      </w:r>
      <w:r w:rsidR="006A567E" w:rsidRPr="006A567E">
        <w:rPr>
          <w:rFonts w:ascii="Times New Roman" w:hAnsi="Times New Roman" w:cs="Times New Roman"/>
          <w:sz w:val="24"/>
          <w:szCs w:val="24"/>
        </w:rPr>
        <w:t>stage of high</w:t>
      </w:r>
      <w:r w:rsidR="009502CE">
        <w:rPr>
          <w:rFonts w:ascii="Times New Roman" w:hAnsi="Times New Roman" w:cs="Times New Roman"/>
          <w:sz w:val="24"/>
          <w:szCs w:val="24"/>
        </w:rPr>
        <w:t xml:space="preserve"> alcohol consumption.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>The a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bstinence rate is relatively low and about 85% of </w:t>
      </w:r>
      <w:r w:rsidR="009502CE">
        <w:rPr>
          <w:rFonts w:ascii="Times New Roman" w:hAnsi="Times New Roman" w:cs="Times New Roman"/>
          <w:sz w:val="24"/>
          <w:szCs w:val="24"/>
        </w:rPr>
        <w:t xml:space="preserve">college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students have had contact with alcohol at some time in their lives. These results are </w:t>
      </w:r>
      <w:r w:rsidR="009502CE" w:rsidRPr="006A567E">
        <w:rPr>
          <w:rFonts w:ascii="Times New Roman" w:hAnsi="Times New Roman" w:cs="Times New Roman"/>
          <w:sz w:val="24"/>
          <w:szCs w:val="24"/>
        </w:rPr>
        <w:t>comparable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to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previous studies in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similar</w:t>
      </w:r>
      <w:r w:rsidR="009502CE">
        <w:rPr>
          <w:rFonts w:ascii="Times New Roman" w:hAnsi="Times New Roman" w:cs="Times New Roman"/>
          <w:sz w:val="24"/>
          <w:szCs w:val="24"/>
        </w:rPr>
        <w:t xml:space="preserve"> samples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in</w:t>
      </w:r>
      <w:r w:rsidR="009502CE">
        <w:rPr>
          <w:rFonts w:ascii="Times New Roman" w:hAnsi="Times New Roman" w:cs="Times New Roman"/>
          <w:sz w:val="24"/>
          <w:szCs w:val="24"/>
        </w:rPr>
        <w:t xml:space="preserve"> other </w:t>
      </w:r>
      <w:r w:rsidR="009502CE" w:rsidRPr="006A567E">
        <w:rPr>
          <w:rFonts w:ascii="Times New Roman" w:hAnsi="Times New Roman" w:cs="Times New Roman"/>
          <w:sz w:val="24"/>
          <w:szCs w:val="24"/>
        </w:rPr>
        <w:t>Latin America</w:t>
      </w:r>
      <w:r w:rsidR="009850B5">
        <w:rPr>
          <w:rFonts w:ascii="Times New Roman" w:hAnsi="Times New Roman" w:cs="Times New Roman"/>
          <w:sz w:val="24"/>
          <w:szCs w:val="24"/>
        </w:rPr>
        <w:t xml:space="preserve">n </w:t>
      </w:r>
      <w:r w:rsidR="009502CE">
        <w:rPr>
          <w:rFonts w:ascii="Times New Roman" w:hAnsi="Times New Roman" w:cs="Times New Roman"/>
          <w:sz w:val="24"/>
          <w:szCs w:val="24"/>
        </w:rPr>
        <w:t xml:space="preserve">countries </w:t>
      </w:r>
      <w:r w:rsidR="009850B5">
        <w:rPr>
          <w:rFonts w:ascii="Times New Roman" w:hAnsi="Times New Roman" w:cs="Times New Roman"/>
          <w:sz w:val="24"/>
          <w:szCs w:val="24"/>
        </w:rPr>
        <w:t>such as</w:t>
      </w:r>
      <w:r w:rsidR="009502C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Colombia (Mora &amp;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Herrán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>, 2019) and Mexico (Gómez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Cruz et al., 2019); as well as </w:t>
      </w:r>
      <w:r w:rsidR="008A6419">
        <w:rPr>
          <w:rFonts w:ascii="Times New Roman" w:hAnsi="Times New Roman" w:cs="Times New Roman"/>
          <w:sz w:val="24"/>
          <w:szCs w:val="24"/>
        </w:rPr>
        <w:t>for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the prevalence of</w:t>
      </w:r>
      <w:r w:rsidR="009850B5">
        <w:rPr>
          <w:rFonts w:ascii="Times New Roman" w:hAnsi="Times New Roman" w:cs="Times New Roman"/>
          <w:sz w:val="24"/>
          <w:szCs w:val="24"/>
        </w:rPr>
        <w:t xml:space="preserve"> alcohol and tobacco use disorders </w:t>
      </w:r>
      <w:r w:rsidR="006A567E" w:rsidRPr="006A56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et al., 2017).</w:t>
      </w:r>
    </w:p>
    <w:p w14:paraId="15E1EC7B" w14:textId="2654EC77" w:rsidR="006A567E" w:rsidRPr="006A567E" w:rsidRDefault="006A567E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t>Regarding tobacco consumption,</w:t>
      </w:r>
      <w:r w:rsidR="009850B5">
        <w:rPr>
          <w:rFonts w:ascii="Times New Roman" w:hAnsi="Times New Roman" w:cs="Times New Roman"/>
          <w:sz w:val="24"/>
          <w:szCs w:val="24"/>
        </w:rPr>
        <w:t xml:space="preserve"> data analysis indicates that</w:t>
      </w:r>
      <w:r w:rsidR="00090EFC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is significantly lower than alcohol consumption. Only 3 out of 10 people smoke, so</w:t>
      </w:r>
      <w:r w:rsidR="009850B5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Pr="006A567E">
        <w:rPr>
          <w:rFonts w:ascii="Times New Roman" w:hAnsi="Times New Roman" w:cs="Times New Roman"/>
          <w:sz w:val="24"/>
          <w:szCs w:val="24"/>
        </w:rPr>
        <w:t>abstinence rate is close to 70%. However, approximately 16</w:t>
      </w:r>
      <w:r w:rsidR="00090EFC">
        <w:rPr>
          <w:rFonts w:ascii="Times New Roman" w:hAnsi="Times New Roman" w:cs="Times New Roman"/>
          <w:sz w:val="24"/>
          <w:szCs w:val="24"/>
        </w:rPr>
        <w:t xml:space="preserve">% of the sample </w:t>
      </w:r>
      <w:r w:rsidRPr="006A567E">
        <w:rPr>
          <w:rFonts w:ascii="Times New Roman" w:hAnsi="Times New Roman" w:cs="Times New Roman"/>
          <w:sz w:val="24"/>
          <w:szCs w:val="24"/>
        </w:rPr>
        <w:t>already ha</w:t>
      </w:r>
      <w:r w:rsidR="00947350">
        <w:rPr>
          <w:rFonts w:ascii="Times New Roman" w:hAnsi="Times New Roman" w:cs="Times New Roman"/>
          <w:sz w:val="24"/>
          <w:szCs w:val="24"/>
        </w:rPr>
        <w:t>s</w:t>
      </w:r>
      <w:r w:rsidR="00090EFC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moderate</w:t>
      </w:r>
      <w:r w:rsidR="00090EFC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 xml:space="preserve">consumption and </w:t>
      </w:r>
      <w:r w:rsidR="00947350">
        <w:rPr>
          <w:rFonts w:ascii="Times New Roman" w:hAnsi="Times New Roman" w:cs="Times New Roman"/>
          <w:sz w:val="24"/>
          <w:szCs w:val="24"/>
        </w:rPr>
        <w:t>around</w:t>
      </w:r>
      <w:r w:rsidRPr="006A567E">
        <w:rPr>
          <w:rFonts w:ascii="Times New Roman" w:hAnsi="Times New Roman" w:cs="Times New Roman"/>
          <w:sz w:val="24"/>
          <w:szCs w:val="24"/>
        </w:rPr>
        <w:t xml:space="preserve"> 1% </w:t>
      </w:r>
      <w:r w:rsidR="00947350">
        <w:rPr>
          <w:rFonts w:ascii="Times New Roman" w:hAnsi="Times New Roman" w:cs="Times New Roman"/>
          <w:sz w:val="24"/>
          <w:szCs w:val="24"/>
        </w:rPr>
        <w:t xml:space="preserve">have </w:t>
      </w:r>
      <w:r w:rsidRPr="006A567E">
        <w:rPr>
          <w:rFonts w:ascii="Times New Roman" w:hAnsi="Times New Roman" w:cs="Times New Roman"/>
          <w:sz w:val="24"/>
          <w:szCs w:val="24"/>
        </w:rPr>
        <w:t xml:space="preserve">problems related to </w:t>
      </w:r>
      <w:r w:rsidR="003412D1">
        <w:rPr>
          <w:rFonts w:ascii="Times New Roman" w:hAnsi="Times New Roman" w:cs="Times New Roman"/>
          <w:sz w:val="24"/>
          <w:szCs w:val="24"/>
        </w:rPr>
        <w:t>nicotine</w:t>
      </w:r>
      <w:r w:rsidRPr="006A567E">
        <w:rPr>
          <w:rFonts w:ascii="Times New Roman" w:hAnsi="Times New Roman" w:cs="Times New Roman"/>
          <w:sz w:val="24"/>
          <w:szCs w:val="24"/>
        </w:rPr>
        <w:t xml:space="preserve"> dependence. </w:t>
      </w:r>
      <w:r w:rsidR="003412D1" w:rsidRPr="006A567E">
        <w:rPr>
          <w:rFonts w:ascii="Times New Roman" w:hAnsi="Times New Roman" w:cs="Times New Roman"/>
          <w:sz w:val="24"/>
          <w:szCs w:val="24"/>
        </w:rPr>
        <w:t>This prevalence</w:t>
      </w:r>
      <w:r w:rsidRPr="006A567E">
        <w:rPr>
          <w:rFonts w:ascii="Times New Roman" w:hAnsi="Times New Roman" w:cs="Times New Roman"/>
          <w:sz w:val="24"/>
          <w:szCs w:val="24"/>
        </w:rPr>
        <w:t xml:space="preserve"> is similar to</w:t>
      </w:r>
      <w:r w:rsidR="00947350">
        <w:rPr>
          <w:rFonts w:ascii="Times New Roman" w:hAnsi="Times New Roman" w:cs="Times New Roman"/>
          <w:sz w:val="24"/>
          <w:szCs w:val="24"/>
        </w:rPr>
        <w:t xml:space="preserve"> general </w:t>
      </w:r>
      <w:r w:rsidR="00947350" w:rsidRPr="006A567E">
        <w:rPr>
          <w:rFonts w:ascii="Times New Roman" w:hAnsi="Times New Roman" w:cs="Times New Roman"/>
          <w:sz w:val="24"/>
          <w:szCs w:val="24"/>
        </w:rPr>
        <w:t xml:space="preserve">consumption </w:t>
      </w:r>
      <w:r w:rsidRPr="006A567E">
        <w:rPr>
          <w:rFonts w:ascii="Times New Roman" w:hAnsi="Times New Roman" w:cs="Times New Roman"/>
          <w:sz w:val="24"/>
          <w:szCs w:val="24"/>
        </w:rPr>
        <w:t>values ​​</w:t>
      </w:r>
      <w:r w:rsidR="00947350">
        <w:rPr>
          <w:rFonts w:ascii="Times New Roman" w:hAnsi="Times New Roman" w:cs="Times New Roman"/>
          <w:sz w:val="24"/>
          <w:szCs w:val="24"/>
        </w:rPr>
        <w:t>found</w:t>
      </w:r>
      <w:r w:rsidRPr="006A567E">
        <w:rPr>
          <w:rFonts w:ascii="Times New Roman" w:hAnsi="Times New Roman" w:cs="Times New Roman"/>
          <w:sz w:val="24"/>
          <w:szCs w:val="24"/>
        </w:rPr>
        <w:t xml:space="preserve"> in America (PAHO, 2018), in which generalized </w:t>
      </w:r>
      <w:r w:rsidR="00947350" w:rsidRPr="006A567E">
        <w:rPr>
          <w:rFonts w:ascii="Times New Roman" w:hAnsi="Times New Roman" w:cs="Times New Roman"/>
          <w:sz w:val="24"/>
          <w:szCs w:val="24"/>
        </w:rPr>
        <w:t xml:space="preserve">alcohol </w:t>
      </w:r>
      <w:r w:rsidRPr="006A567E">
        <w:rPr>
          <w:rFonts w:ascii="Times New Roman" w:hAnsi="Times New Roman" w:cs="Times New Roman"/>
          <w:sz w:val="24"/>
          <w:szCs w:val="24"/>
        </w:rPr>
        <w:t>consumption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 xml:space="preserve">and sporadic tobacco </w:t>
      </w:r>
      <w:r w:rsidR="00947350">
        <w:rPr>
          <w:rFonts w:ascii="Times New Roman" w:hAnsi="Times New Roman" w:cs="Times New Roman"/>
          <w:sz w:val="24"/>
          <w:szCs w:val="24"/>
        </w:rPr>
        <w:t>use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>are</w:t>
      </w:r>
      <w:r w:rsidRPr="006A567E">
        <w:rPr>
          <w:rFonts w:ascii="Times New Roman" w:hAnsi="Times New Roman" w:cs="Times New Roman"/>
          <w:sz w:val="24"/>
          <w:szCs w:val="24"/>
        </w:rPr>
        <w:t xml:space="preserve"> observed. </w:t>
      </w:r>
      <w:r w:rsidR="00947350">
        <w:rPr>
          <w:rFonts w:ascii="Times New Roman" w:hAnsi="Times New Roman" w:cs="Times New Roman"/>
          <w:sz w:val="24"/>
          <w:szCs w:val="24"/>
        </w:rPr>
        <w:t>When</w:t>
      </w:r>
      <w:r w:rsidRPr="006A567E">
        <w:rPr>
          <w:rFonts w:ascii="Times New Roman" w:hAnsi="Times New Roman" w:cs="Times New Roman"/>
          <w:sz w:val="24"/>
          <w:szCs w:val="24"/>
        </w:rPr>
        <w:t xml:space="preserve"> compared with similar populations such as Colombia (Castro-Sánchez et al., 2017),</w:t>
      </w:r>
      <w:r w:rsidR="004E0F12">
        <w:rPr>
          <w:rFonts w:ascii="Times New Roman" w:hAnsi="Times New Roman" w:cs="Times New Roman"/>
          <w:sz w:val="24"/>
          <w:szCs w:val="24"/>
        </w:rPr>
        <w:t xml:space="preserve"> Ecuadorian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947350">
        <w:rPr>
          <w:rFonts w:ascii="Times New Roman" w:hAnsi="Times New Roman" w:cs="Times New Roman"/>
          <w:sz w:val="24"/>
          <w:szCs w:val="24"/>
        </w:rPr>
        <w:t>college students</w:t>
      </w:r>
      <w:r w:rsidRPr="006A567E">
        <w:rPr>
          <w:rFonts w:ascii="Times New Roman" w:hAnsi="Times New Roman" w:cs="Times New Roman"/>
          <w:sz w:val="24"/>
          <w:szCs w:val="24"/>
        </w:rPr>
        <w:t xml:space="preserve"> consume less; while </w:t>
      </w:r>
      <w:r w:rsidR="004E0F12">
        <w:rPr>
          <w:rFonts w:ascii="Times New Roman" w:hAnsi="Times New Roman" w:cs="Times New Roman"/>
          <w:sz w:val="24"/>
          <w:szCs w:val="24"/>
        </w:rPr>
        <w:t xml:space="preserve">they </w:t>
      </w:r>
      <w:r w:rsidR="008A6419">
        <w:rPr>
          <w:rFonts w:ascii="Times New Roman" w:hAnsi="Times New Roman" w:cs="Times New Roman"/>
          <w:sz w:val="24"/>
          <w:szCs w:val="24"/>
        </w:rPr>
        <w:t xml:space="preserve">report </w:t>
      </w:r>
      <w:r w:rsidRPr="006A567E">
        <w:rPr>
          <w:rFonts w:ascii="Times New Roman" w:hAnsi="Times New Roman" w:cs="Times New Roman"/>
          <w:sz w:val="24"/>
          <w:szCs w:val="24"/>
        </w:rPr>
        <w:t xml:space="preserve">similar </w:t>
      </w:r>
      <w:r w:rsidR="008A6419">
        <w:rPr>
          <w:rFonts w:ascii="Times New Roman" w:hAnsi="Times New Roman" w:cs="Times New Roman"/>
          <w:sz w:val="24"/>
          <w:szCs w:val="24"/>
        </w:rPr>
        <w:t xml:space="preserve">levels of consumption when compared to </w:t>
      </w:r>
      <w:r w:rsidRPr="006A567E">
        <w:rPr>
          <w:rFonts w:ascii="Times New Roman" w:hAnsi="Times New Roman" w:cs="Times New Roman"/>
          <w:sz w:val="24"/>
          <w:szCs w:val="24"/>
        </w:rPr>
        <w:t xml:space="preserve">​​Mexican </w:t>
      </w:r>
      <w:r w:rsidR="004E0F12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6A567E">
        <w:rPr>
          <w:rFonts w:ascii="Times New Roman" w:hAnsi="Times New Roman" w:cs="Times New Roman"/>
          <w:sz w:val="24"/>
          <w:szCs w:val="24"/>
        </w:rPr>
        <w:t>(Gómez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Pr="006A567E">
        <w:rPr>
          <w:rFonts w:ascii="Times New Roman" w:hAnsi="Times New Roman" w:cs="Times New Roman"/>
          <w:sz w:val="24"/>
          <w:szCs w:val="24"/>
        </w:rPr>
        <w:t>Cruz et al., 2019). Polydrug use (alcohol and tobacco) is less frequent and differs from other studies that</w:t>
      </w:r>
      <w:r w:rsidR="004E0F12">
        <w:rPr>
          <w:rFonts w:ascii="Times New Roman" w:hAnsi="Times New Roman" w:cs="Times New Roman"/>
          <w:sz w:val="24"/>
          <w:szCs w:val="24"/>
        </w:rPr>
        <w:t xml:space="preserve"> present </w:t>
      </w:r>
      <w:r w:rsidR="0037083D">
        <w:rPr>
          <w:rFonts w:ascii="Times New Roman" w:hAnsi="Times New Roman" w:cs="Times New Roman"/>
          <w:sz w:val="24"/>
          <w:szCs w:val="24"/>
        </w:rPr>
        <w:t xml:space="preserve">a higher </w:t>
      </w:r>
      <w:r w:rsidRPr="006A567E">
        <w:rPr>
          <w:rFonts w:ascii="Times New Roman" w:hAnsi="Times New Roman" w:cs="Times New Roman"/>
          <w:sz w:val="24"/>
          <w:szCs w:val="24"/>
        </w:rPr>
        <w:t>prevalence of</w:t>
      </w:r>
      <w:r w:rsidR="0037083D">
        <w:rPr>
          <w:rFonts w:ascii="Times New Roman" w:hAnsi="Times New Roman" w:cs="Times New Roman"/>
          <w:sz w:val="24"/>
          <w:szCs w:val="24"/>
        </w:rPr>
        <w:t xml:space="preserve"> consumption of</w:t>
      </w:r>
      <w:r w:rsidRPr="006A567E">
        <w:rPr>
          <w:rFonts w:ascii="Times New Roman" w:hAnsi="Times New Roman" w:cs="Times New Roman"/>
          <w:sz w:val="24"/>
          <w:szCs w:val="24"/>
        </w:rPr>
        <w:t xml:space="preserve"> both substances</w:t>
      </w:r>
      <w:r w:rsidR="0037083D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567E">
        <w:rPr>
          <w:rFonts w:ascii="Times New Roman" w:hAnsi="Times New Roman" w:cs="Times New Roman"/>
          <w:sz w:val="24"/>
          <w:szCs w:val="24"/>
        </w:rPr>
        <w:t>Peltzer</w:t>
      </w:r>
      <w:proofErr w:type="spellEnd"/>
      <w:r w:rsidRPr="006A567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A567E">
        <w:rPr>
          <w:rFonts w:ascii="Times New Roman" w:hAnsi="Times New Roman" w:cs="Times New Roman"/>
          <w:sz w:val="24"/>
          <w:szCs w:val="24"/>
        </w:rPr>
        <w:t>Pengpid</w:t>
      </w:r>
      <w:proofErr w:type="spellEnd"/>
      <w:r w:rsidRPr="006A567E">
        <w:rPr>
          <w:rFonts w:ascii="Times New Roman" w:hAnsi="Times New Roman" w:cs="Times New Roman"/>
          <w:sz w:val="24"/>
          <w:szCs w:val="24"/>
        </w:rPr>
        <w:t>, 2018).</w:t>
      </w:r>
    </w:p>
    <w:p w14:paraId="1739DAF1" w14:textId="0B562162" w:rsidR="006A567E" w:rsidRPr="006A567E" w:rsidRDefault="0037083D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t>Concerning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differences, men show greater </w:t>
      </w:r>
      <w:r w:rsidRPr="006A567E">
        <w:rPr>
          <w:rFonts w:ascii="Times New Roman" w:hAnsi="Times New Roman" w:cs="Times New Roman"/>
          <w:sz w:val="24"/>
          <w:szCs w:val="24"/>
        </w:rPr>
        <w:t xml:space="preserve">alcohol and tobacco </w:t>
      </w:r>
      <w:r w:rsidR="006A567E" w:rsidRPr="006A567E">
        <w:rPr>
          <w:rFonts w:ascii="Times New Roman" w:hAnsi="Times New Roman" w:cs="Times New Roman"/>
          <w:sz w:val="24"/>
          <w:szCs w:val="24"/>
        </w:rPr>
        <w:t>consumption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than women (p &lt;.05), with medium effect sizes. </w:t>
      </w:r>
      <w:r>
        <w:rPr>
          <w:rFonts w:ascii="Times New Roman" w:hAnsi="Times New Roman" w:cs="Times New Roman"/>
          <w:sz w:val="24"/>
          <w:szCs w:val="24"/>
        </w:rPr>
        <w:t>Non-risky consumption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predominates in women, while </w:t>
      </w:r>
      <w:r>
        <w:rPr>
          <w:rFonts w:ascii="Times New Roman" w:hAnsi="Times New Roman" w:cs="Times New Roman"/>
          <w:sz w:val="24"/>
          <w:szCs w:val="24"/>
        </w:rPr>
        <w:t xml:space="preserve">harmful consumption </w:t>
      </w:r>
      <w:r w:rsidRPr="006A567E">
        <w:rPr>
          <w:rFonts w:ascii="Times New Roman" w:hAnsi="Times New Roman" w:cs="Times New Roman"/>
          <w:sz w:val="24"/>
          <w:szCs w:val="24"/>
        </w:rPr>
        <w:t xml:space="preserve">with probable dependence </w:t>
      </w:r>
      <w:r>
        <w:rPr>
          <w:rFonts w:ascii="Times New Roman" w:hAnsi="Times New Roman" w:cs="Times New Roman"/>
          <w:sz w:val="24"/>
          <w:szCs w:val="24"/>
        </w:rPr>
        <w:t>is higher in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men. This </w:t>
      </w:r>
      <w:r w:rsidR="006A567E" w:rsidRPr="006A567E">
        <w:rPr>
          <w:rFonts w:ascii="Times New Roman" w:hAnsi="Times New Roman" w:cs="Times New Roman"/>
          <w:sz w:val="24"/>
          <w:szCs w:val="24"/>
        </w:rPr>
        <w:lastRenderedPageBreak/>
        <w:t xml:space="preserve">coincides with similar studies </w:t>
      </w:r>
      <w:r>
        <w:rPr>
          <w:rFonts w:ascii="Times New Roman" w:hAnsi="Times New Roman" w:cs="Times New Roman"/>
          <w:sz w:val="24"/>
          <w:szCs w:val="24"/>
        </w:rPr>
        <w:t>about college student’s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behavior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(</w:t>
      </w:r>
      <w:r w:rsidR="008A6419" w:rsidRPr="006A567E">
        <w:rPr>
          <w:rFonts w:ascii="Times New Roman" w:hAnsi="Times New Roman" w:cs="Times New Roman"/>
          <w:sz w:val="24"/>
          <w:szCs w:val="24"/>
        </w:rPr>
        <w:t>Castro-Sánchez et al., 2017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r w:rsidR="006A567E" w:rsidRPr="006A567E">
        <w:rPr>
          <w:rFonts w:ascii="Times New Roman" w:hAnsi="Times New Roman" w:cs="Times New Roman"/>
          <w:sz w:val="24"/>
          <w:szCs w:val="24"/>
        </w:rPr>
        <w:t>Fernández-Castillo et al., 2016;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Gómez</w:t>
      </w:r>
      <w:r w:rsidR="008A6419">
        <w:rPr>
          <w:rFonts w:ascii="Times New Roman" w:hAnsi="Times New Roman" w:cs="Times New Roman"/>
          <w:sz w:val="24"/>
          <w:szCs w:val="24"/>
        </w:rPr>
        <w:t>-</w:t>
      </w:r>
      <w:r w:rsidR="006A567E" w:rsidRPr="006A567E">
        <w:rPr>
          <w:rFonts w:ascii="Times New Roman" w:hAnsi="Times New Roman" w:cs="Times New Roman"/>
          <w:sz w:val="24"/>
          <w:szCs w:val="24"/>
        </w:rPr>
        <w:t>Cruz et al., 2018).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In general, 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consume more alcoholic beverages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cigarettes, with greater frequency and intensity than women, so it is expected that significant problems </w:t>
      </w:r>
      <w:r w:rsidR="00092A82">
        <w:rPr>
          <w:rFonts w:ascii="Times New Roman" w:hAnsi="Times New Roman" w:cs="Times New Roman"/>
          <w:sz w:val="24"/>
          <w:szCs w:val="24"/>
        </w:rPr>
        <w:t>related to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consumption are more visible in this group (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Mekonen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et al., 2017; </w:t>
      </w:r>
      <w:r w:rsidR="008A6419" w:rsidRPr="006A567E">
        <w:rPr>
          <w:rFonts w:ascii="Times New Roman" w:hAnsi="Times New Roman" w:cs="Times New Roman"/>
          <w:sz w:val="24"/>
          <w:szCs w:val="24"/>
        </w:rPr>
        <w:t>Moreta-Herrera et al., 2018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A6419" w:rsidRPr="006A567E">
        <w:rPr>
          <w:rFonts w:ascii="Times New Roman" w:hAnsi="Times New Roman" w:cs="Times New Roman"/>
          <w:sz w:val="24"/>
          <w:szCs w:val="24"/>
        </w:rPr>
        <w:t>Pedrelli</w:t>
      </w:r>
      <w:proofErr w:type="spellEnd"/>
      <w:r w:rsidR="008A6419" w:rsidRPr="006A567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r w:rsidR="006A567E" w:rsidRPr="006A567E">
        <w:rPr>
          <w:rFonts w:ascii="Times New Roman" w:hAnsi="Times New Roman" w:cs="Times New Roman"/>
          <w:sz w:val="24"/>
          <w:szCs w:val="24"/>
        </w:rPr>
        <w:t>Salvatore</w:t>
      </w:r>
      <w:r w:rsidR="008A6419">
        <w:rPr>
          <w:rFonts w:ascii="Times New Roman" w:hAnsi="Times New Roman" w:cs="Times New Roman"/>
          <w:sz w:val="24"/>
          <w:szCs w:val="24"/>
        </w:rPr>
        <w:t xml:space="preserve"> et al.</w:t>
      </w:r>
      <w:r w:rsidR="006A567E" w:rsidRPr="006A567E">
        <w:rPr>
          <w:rFonts w:ascii="Times New Roman" w:hAnsi="Times New Roman" w:cs="Times New Roman"/>
          <w:sz w:val="24"/>
          <w:szCs w:val="24"/>
        </w:rPr>
        <w:t>, 2017).</w:t>
      </w:r>
    </w:p>
    <w:p w14:paraId="21910221" w14:textId="4CF68536" w:rsidR="006A567E" w:rsidRPr="006A567E" w:rsidRDefault="00092A82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Within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sex as a risk factor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risky </w:t>
      </w:r>
      <w:r w:rsidRPr="006A567E">
        <w:rPr>
          <w:rFonts w:ascii="Times New Roman" w:hAnsi="Times New Roman" w:cs="Times New Roman"/>
          <w:sz w:val="24"/>
          <w:szCs w:val="24"/>
        </w:rPr>
        <w:t xml:space="preserve">alcohol and tobacco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consumption, men are </w:t>
      </w:r>
      <w:r w:rsidRPr="006A567E">
        <w:rPr>
          <w:rFonts w:ascii="Times New Roman" w:hAnsi="Times New Roman" w:cs="Times New Roman"/>
          <w:sz w:val="24"/>
          <w:szCs w:val="24"/>
        </w:rPr>
        <w:t>respectively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two and three times more likely to be exposed to risky</w:t>
      </w:r>
      <w:r>
        <w:rPr>
          <w:rFonts w:ascii="Times New Roman" w:hAnsi="Times New Roman" w:cs="Times New Roman"/>
          <w:sz w:val="24"/>
          <w:szCs w:val="24"/>
        </w:rPr>
        <w:t xml:space="preserve"> use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than women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These results are similar to </w:t>
      </w:r>
      <w:r>
        <w:rPr>
          <w:rFonts w:ascii="Times New Roman" w:hAnsi="Times New Roman" w:cs="Times New Roman"/>
          <w:sz w:val="24"/>
          <w:szCs w:val="24"/>
        </w:rPr>
        <w:t xml:space="preserve">previous findings </w:t>
      </w:r>
      <w:r w:rsidR="003849CA">
        <w:rPr>
          <w:rFonts w:ascii="Times New Roman" w:hAnsi="Times New Roman" w:cs="Times New Roman"/>
          <w:sz w:val="24"/>
          <w:szCs w:val="24"/>
        </w:rPr>
        <w:t xml:space="preserve">of </w:t>
      </w:r>
      <w:r w:rsidR="006A567E" w:rsidRPr="006A567E">
        <w:rPr>
          <w:rFonts w:ascii="Times New Roman" w:hAnsi="Times New Roman" w:cs="Times New Roman"/>
          <w:sz w:val="24"/>
          <w:szCs w:val="24"/>
        </w:rPr>
        <w:t>Moreta-Herrera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(2018) in</w:t>
      </w:r>
      <w:r w:rsidR="003849CA">
        <w:rPr>
          <w:rFonts w:ascii="Times New Roman" w:hAnsi="Times New Roman" w:cs="Times New Roman"/>
          <w:sz w:val="24"/>
          <w:szCs w:val="24"/>
        </w:rPr>
        <w:t xml:space="preserve"> a sample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Ecuadorian adolescent</w:t>
      </w:r>
      <w:r w:rsidR="003849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and also in </w:t>
      </w:r>
      <w:r w:rsidR="008A641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E23BFC">
        <w:rPr>
          <w:rFonts w:ascii="Times New Roman" w:hAnsi="Times New Roman" w:cs="Times New Roman"/>
          <w:sz w:val="24"/>
          <w:szCs w:val="24"/>
        </w:rPr>
        <w:t>students’</w:t>
      </w:r>
      <w:r w:rsidR="008A6419">
        <w:rPr>
          <w:rFonts w:ascii="Times New Roman" w:hAnsi="Times New Roman" w:cs="Times New Roman"/>
          <w:sz w:val="24"/>
          <w:szCs w:val="24"/>
        </w:rPr>
        <w:t xml:space="preserve"> sample </w:t>
      </w:r>
      <w:r w:rsidR="006A567E" w:rsidRPr="006A56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6419" w:rsidRPr="006A567E">
        <w:rPr>
          <w:rFonts w:ascii="Times New Roman" w:hAnsi="Times New Roman" w:cs="Times New Roman"/>
          <w:sz w:val="24"/>
          <w:szCs w:val="24"/>
        </w:rPr>
        <w:t>Pedrelli</w:t>
      </w:r>
      <w:proofErr w:type="spellEnd"/>
      <w:r w:rsidR="008A6419" w:rsidRPr="006A567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Peltzer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Pengpid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, 2018). These </w:t>
      </w:r>
      <w:r w:rsidRPr="006A567E">
        <w:rPr>
          <w:rFonts w:ascii="Times New Roman" w:hAnsi="Times New Roman" w:cs="Times New Roman"/>
          <w:sz w:val="24"/>
          <w:szCs w:val="24"/>
        </w:rPr>
        <w:t>results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3849CA">
        <w:rPr>
          <w:rFonts w:ascii="Times New Roman" w:hAnsi="Times New Roman" w:cs="Times New Roman"/>
          <w:sz w:val="24"/>
          <w:szCs w:val="24"/>
        </w:rPr>
        <w:t xml:space="preserve">can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help to understand the impact of </w:t>
      </w:r>
      <w:r w:rsidRPr="006A567E">
        <w:rPr>
          <w:rFonts w:ascii="Times New Roman" w:hAnsi="Times New Roman" w:cs="Times New Roman"/>
          <w:sz w:val="24"/>
          <w:szCs w:val="24"/>
        </w:rPr>
        <w:t xml:space="preserve">behavioral and biological </w:t>
      </w:r>
      <w:r w:rsidR="003849CA">
        <w:rPr>
          <w:rFonts w:ascii="Times New Roman" w:hAnsi="Times New Roman" w:cs="Times New Roman"/>
          <w:sz w:val="24"/>
          <w:szCs w:val="24"/>
        </w:rPr>
        <w:t>differences due to sex</w:t>
      </w:r>
      <w:r w:rsidRPr="006A567E">
        <w:rPr>
          <w:rFonts w:ascii="Times New Roman" w:hAnsi="Times New Roman" w:cs="Times New Roman"/>
          <w:sz w:val="24"/>
          <w:szCs w:val="24"/>
        </w:rPr>
        <w:t xml:space="preserve"> (Arnegard et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al., 2020)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>certain physical and mental illnesses (</w:t>
      </w:r>
      <w:r w:rsidR="008A6419" w:rsidRPr="006A567E">
        <w:rPr>
          <w:rFonts w:ascii="Times New Roman" w:hAnsi="Times New Roman" w:cs="Times New Roman"/>
          <w:sz w:val="24"/>
          <w:szCs w:val="24"/>
        </w:rPr>
        <w:t>De Bellis, et al., 2020</w:t>
      </w:r>
      <w:r w:rsidR="008A6419">
        <w:rPr>
          <w:rFonts w:ascii="Times New Roman" w:hAnsi="Times New Roman" w:cs="Times New Roman"/>
          <w:sz w:val="24"/>
          <w:szCs w:val="24"/>
        </w:rPr>
        <w:t xml:space="preserve">; </w:t>
      </w:r>
      <w:r w:rsidR="008A6419" w:rsidRPr="006A567E">
        <w:rPr>
          <w:rFonts w:ascii="Times New Roman" w:hAnsi="Times New Roman" w:cs="Times New Roman"/>
          <w:sz w:val="24"/>
          <w:szCs w:val="24"/>
        </w:rPr>
        <w:t>Golden &amp; Voskuhl, 2017;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7E" w:rsidRPr="006A567E">
        <w:rPr>
          <w:rFonts w:ascii="Times New Roman" w:hAnsi="Times New Roman" w:cs="Times New Roman"/>
          <w:sz w:val="24"/>
          <w:szCs w:val="24"/>
        </w:rPr>
        <w:t>Mattina</w:t>
      </w:r>
      <w:proofErr w:type="spellEnd"/>
      <w:r w:rsidR="006A567E" w:rsidRPr="006A567E">
        <w:rPr>
          <w:rFonts w:ascii="Times New Roman" w:hAnsi="Times New Roman" w:cs="Times New Roman"/>
          <w:sz w:val="24"/>
          <w:szCs w:val="24"/>
        </w:rPr>
        <w:t xml:space="preserve"> &amp; Steiner, 2016) and the impact of </w:t>
      </w:r>
      <w:r w:rsidR="003849CA">
        <w:rPr>
          <w:rFonts w:ascii="Times New Roman" w:hAnsi="Times New Roman" w:cs="Times New Roman"/>
          <w:sz w:val="24"/>
          <w:szCs w:val="24"/>
        </w:rPr>
        <w:t>sex as a risk factor</w:t>
      </w:r>
      <w:r w:rsidR="006A567E" w:rsidRPr="006A567E">
        <w:rPr>
          <w:rFonts w:ascii="Times New Roman" w:hAnsi="Times New Roman" w:cs="Times New Roman"/>
          <w:sz w:val="24"/>
          <w:szCs w:val="24"/>
        </w:rPr>
        <w:t>, although further studies will be required.</w:t>
      </w:r>
    </w:p>
    <w:p w14:paraId="79D821AE" w14:textId="7D6FB3BF" w:rsidR="006A567E" w:rsidRDefault="008A6419" w:rsidP="006A567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19">
        <w:rPr>
          <w:rFonts w:ascii="Times New Roman" w:hAnsi="Times New Roman" w:cs="Times New Roman"/>
          <w:sz w:val="24"/>
          <w:szCs w:val="24"/>
        </w:rPr>
        <w:t xml:space="preserve">Concerning the implications of the study, this research provides evidence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8A6419">
        <w:rPr>
          <w:rFonts w:ascii="Times New Roman" w:hAnsi="Times New Roman" w:cs="Times New Roman"/>
          <w:sz w:val="24"/>
          <w:szCs w:val="24"/>
        </w:rPr>
        <w:t xml:space="preserve"> sex differences in alcohol and tobacco consumption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6419">
        <w:rPr>
          <w:rFonts w:ascii="Times New Roman" w:hAnsi="Times New Roman" w:cs="Times New Roman"/>
          <w:sz w:val="24"/>
          <w:szCs w:val="24"/>
        </w:rPr>
        <w:t>and sex as a risk factor, within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A6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Ecuadorian </w:t>
      </w:r>
      <w:r w:rsidRPr="008A6419">
        <w:rPr>
          <w:rFonts w:ascii="Times New Roman" w:hAnsi="Times New Roman" w:cs="Times New Roman"/>
          <w:sz w:val="24"/>
          <w:szCs w:val="24"/>
        </w:rPr>
        <w:t>context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6419">
        <w:rPr>
          <w:rFonts w:ascii="Times New Roman" w:hAnsi="Times New Roman" w:cs="Times New Roman"/>
          <w:sz w:val="24"/>
          <w:szCs w:val="24"/>
        </w:rPr>
        <w:t xml:space="preserve"> where studies on this topic </w:t>
      </w:r>
      <w:r>
        <w:rPr>
          <w:rFonts w:ascii="Times New Roman" w:hAnsi="Times New Roman" w:cs="Times New Roman"/>
          <w:sz w:val="24"/>
          <w:szCs w:val="24"/>
        </w:rPr>
        <w:t xml:space="preserve">are remarkably scarce </w:t>
      </w:r>
      <w:r w:rsidRPr="008A6419">
        <w:rPr>
          <w:rFonts w:ascii="Times New Roman" w:hAnsi="Times New Roman" w:cs="Times New Roman"/>
          <w:sz w:val="24"/>
          <w:szCs w:val="24"/>
        </w:rPr>
        <w:t>and therefore allows to visualize the reality of this country while enhancing the scientific literature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Latinamerican</w:t>
      </w:r>
      <w:proofErr w:type="spellEnd"/>
      <w:r w:rsidRPr="008A6419">
        <w:rPr>
          <w:rFonts w:ascii="Times New Roman" w:hAnsi="Times New Roman" w:cs="Times New Roman"/>
          <w:sz w:val="24"/>
          <w:szCs w:val="24"/>
        </w:rPr>
        <w:t xml:space="preserve"> region. </w:t>
      </w:r>
      <w:r>
        <w:rPr>
          <w:rFonts w:ascii="Times New Roman" w:hAnsi="Times New Roman" w:cs="Times New Roman"/>
          <w:sz w:val="24"/>
          <w:szCs w:val="24"/>
        </w:rPr>
        <w:t xml:space="preserve">In addition, our </w:t>
      </w:r>
      <w:r w:rsidRPr="008A6419">
        <w:rPr>
          <w:rFonts w:ascii="Times New Roman" w:hAnsi="Times New Roman" w:cs="Times New Roman"/>
          <w:sz w:val="24"/>
          <w:szCs w:val="24"/>
        </w:rPr>
        <w:t xml:space="preserve">study will help the country's mental health services to make evidence-based decisions when designing and </w:t>
      </w:r>
      <w:r>
        <w:rPr>
          <w:rFonts w:ascii="Times New Roman" w:hAnsi="Times New Roman" w:cs="Times New Roman"/>
          <w:sz w:val="24"/>
          <w:szCs w:val="24"/>
        </w:rPr>
        <w:t>implementing</w:t>
      </w:r>
      <w:r w:rsidRPr="008A6419">
        <w:rPr>
          <w:rFonts w:ascii="Times New Roman" w:hAnsi="Times New Roman" w:cs="Times New Roman"/>
          <w:sz w:val="24"/>
          <w:szCs w:val="24"/>
        </w:rPr>
        <w:t xml:space="preserve"> plans for the prevention of substance use and general mental health care, taking into account the specific needs that each sex may require, especially in the </w:t>
      </w:r>
      <w:proofErr w:type="spellStart"/>
      <w:r w:rsidRPr="008A6419">
        <w:rPr>
          <w:rFonts w:ascii="Times New Roman" w:hAnsi="Times New Roman" w:cs="Times New Roman"/>
          <w:sz w:val="24"/>
          <w:szCs w:val="24"/>
        </w:rPr>
        <w:t>Latin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6419">
        <w:rPr>
          <w:rFonts w:ascii="Times New Roman" w:hAnsi="Times New Roman" w:cs="Times New Roman"/>
          <w:sz w:val="24"/>
          <w:szCs w:val="24"/>
        </w:rPr>
        <w:t>merican</w:t>
      </w:r>
      <w:proofErr w:type="spellEnd"/>
      <w:r w:rsidRPr="008A6419">
        <w:rPr>
          <w:rFonts w:ascii="Times New Roman" w:hAnsi="Times New Roman" w:cs="Times New Roman"/>
          <w:sz w:val="24"/>
          <w:szCs w:val="24"/>
        </w:rPr>
        <w:t xml:space="preserve"> context where evidence-based treatments</w:t>
      </w:r>
      <w:r>
        <w:rPr>
          <w:rFonts w:ascii="Times New Roman" w:hAnsi="Times New Roman" w:cs="Times New Roman"/>
          <w:sz w:val="24"/>
          <w:szCs w:val="24"/>
        </w:rPr>
        <w:t xml:space="preserve"> and guidelines</w:t>
      </w:r>
      <w:r w:rsidRPr="008A6419">
        <w:rPr>
          <w:rFonts w:ascii="Times New Roman" w:hAnsi="Times New Roman" w:cs="Times New Roman"/>
          <w:sz w:val="24"/>
          <w:szCs w:val="24"/>
        </w:rPr>
        <w:t xml:space="preserve"> are just beginning</w:t>
      </w:r>
      <w:r>
        <w:rPr>
          <w:rFonts w:ascii="Times New Roman" w:hAnsi="Times New Roman" w:cs="Times New Roman"/>
          <w:sz w:val="24"/>
          <w:szCs w:val="24"/>
        </w:rPr>
        <w:t xml:space="preserve"> to emerge and consolidate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1480333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A6419">
            <w:rPr>
              <w:rFonts w:ascii="Times New Roman" w:hAnsi="Times New Roman" w:cs="Times New Roman"/>
              <w:sz w:val="24"/>
              <w:szCs w:val="24"/>
            </w:rPr>
            <w:instrText xml:space="preserve"> CITATION Cab19 \l 3082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A6419">
            <w:rPr>
              <w:rFonts w:ascii="Times New Roman" w:hAnsi="Times New Roman" w:cs="Times New Roman"/>
              <w:noProof/>
              <w:sz w:val="24"/>
              <w:szCs w:val="24"/>
            </w:rPr>
            <w:t>(Cabrera &amp; Pardo,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A6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These results also </w:t>
      </w:r>
      <w:r w:rsidR="00644E92" w:rsidRPr="006A567E">
        <w:rPr>
          <w:rFonts w:ascii="Times New Roman" w:hAnsi="Times New Roman" w:cs="Times New Roman"/>
          <w:sz w:val="24"/>
          <w:szCs w:val="24"/>
        </w:rPr>
        <w:t>allow</w:t>
      </w:r>
      <w:r w:rsidR="00D55E2D">
        <w:rPr>
          <w:rFonts w:ascii="Times New Roman" w:hAnsi="Times New Roman" w:cs="Times New Roman"/>
          <w:sz w:val="24"/>
          <w:szCs w:val="24"/>
        </w:rPr>
        <w:t xml:space="preserve"> </w:t>
      </w:r>
      <w:r w:rsidR="00644E92">
        <w:rPr>
          <w:rFonts w:ascii="Times New Roman" w:hAnsi="Times New Roman" w:cs="Times New Roman"/>
          <w:sz w:val="24"/>
          <w:szCs w:val="24"/>
        </w:rPr>
        <w:t>considering</w:t>
      </w:r>
      <w:r w:rsidR="00D55E2D">
        <w:rPr>
          <w:rFonts w:ascii="Times New Roman" w:hAnsi="Times New Roman" w:cs="Times New Roman"/>
          <w:sz w:val="24"/>
          <w:szCs w:val="24"/>
        </w:rPr>
        <w:t xml:space="preserve">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the </w:t>
      </w:r>
      <w:r w:rsidR="00D55E2D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644E92">
        <w:rPr>
          <w:rFonts w:ascii="Times New Roman" w:hAnsi="Times New Roman" w:cs="Times New Roman"/>
          <w:sz w:val="24"/>
          <w:szCs w:val="24"/>
        </w:rPr>
        <w:t>subsequent</w:t>
      </w:r>
      <w:r w:rsidR="00D55E2D">
        <w:rPr>
          <w:rFonts w:ascii="Times New Roman" w:hAnsi="Times New Roman" w:cs="Times New Roman"/>
          <w:sz w:val="24"/>
          <w:szCs w:val="24"/>
        </w:rPr>
        <w:t xml:space="preserve"> application of health 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treatments </w:t>
      </w:r>
      <w:r w:rsidR="00644E92">
        <w:rPr>
          <w:rFonts w:ascii="Times New Roman" w:hAnsi="Times New Roman" w:cs="Times New Roman"/>
          <w:sz w:val="24"/>
          <w:szCs w:val="24"/>
        </w:rPr>
        <w:t>that contemplates sex differences and their different outcomes as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proposed by authors such as Rich-Edwards </w:t>
      </w:r>
      <w:r w:rsidR="00644E92">
        <w:rPr>
          <w:rFonts w:ascii="Times New Roman" w:hAnsi="Times New Roman" w:cs="Times New Roman"/>
          <w:sz w:val="24"/>
          <w:szCs w:val="24"/>
        </w:rPr>
        <w:t>et al.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(2018)</w:t>
      </w:r>
      <w:r w:rsidR="00644E92">
        <w:rPr>
          <w:rFonts w:ascii="Times New Roman" w:hAnsi="Times New Roman" w:cs="Times New Roman"/>
          <w:sz w:val="24"/>
          <w:szCs w:val="24"/>
        </w:rPr>
        <w:t>. G</w:t>
      </w:r>
      <w:r w:rsidR="006A567E" w:rsidRPr="006A567E">
        <w:rPr>
          <w:rFonts w:ascii="Times New Roman" w:hAnsi="Times New Roman" w:cs="Times New Roman"/>
          <w:sz w:val="24"/>
          <w:szCs w:val="24"/>
        </w:rPr>
        <w:t>iven that the dynamics of consumption</w:t>
      </w:r>
      <w:r w:rsidR="00644E92">
        <w:rPr>
          <w:rFonts w:ascii="Times New Roman" w:hAnsi="Times New Roman" w:cs="Times New Roman"/>
          <w:sz w:val="24"/>
          <w:szCs w:val="24"/>
        </w:rPr>
        <w:t>,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as shown </w:t>
      </w:r>
      <w:r w:rsidR="00644E92">
        <w:rPr>
          <w:rFonts w:ascii="Times New Roman" w:hAnsi="Times New Roman" w:cs="Times New Roman"/>
          <w:sz w:val="24"/>
          <w:szCs w:val="24"/>
        </w:rPr>
        <w:t xml:space="preserve">in </w:t>
      </w:r>
      <w:r w:rsidR="006A567E" w:rsidRPr="006A567E">
        <w:rPr>
          <w:rFonts w:ascii="Times New Roman" w:hAnsi="Times New Roman" w:cs="Times New Roman"/>
          <w:sz w:val="24"/>
          <w:szCs w:val="24"/>
        </w:rPr>
        <w:t>the results</w:t>
      </w:r>
      <w:r w:rsidR="00644E92">
        <w:rPr>
          <w:rFonts w:ascii="Times New Roman" w:hAnsi="Times New Roman" w:cs="Times New Roman"/>
          <w:sz w:val="24"/>
          <w:szCs w:val="24"/>
        </w:rPr>
        <w:t xml:space="preserve">, </w:t>
      </w:r>
      <w:r w:rsidR="006A567E" w:rsidRPr="006A567E">
        <w:rPr>
          <w:rFonts w:ascii="Times New Roman" w:hAnsi="Times New Roman" w:cs="Times New Roman"/>
          <w:sz w:val="24"/>
          <w:szCs w:val="24"/>
        </w:rPr>
        <w:t>suggest that the</w:t>
      </w:r>
      <w:r w:rsidR="00644E92">
        <w:rPr>
          <w:rFonts w:ascii="Times New Roman" w:hAnsi="Times New Roman" w:cs="Times New Roman"/>
          <w:sz w:val="24"/>
          <w:szCs w:val="24"/>
        </w:rPr>
        <w:t xml:space="preserve">re are important </w:t>
      </w:r>
      <w:r w:rsidR="006A567E" w:rsidRPr="006A567E">
        <w:rPr>
          <w:rFonts w:ascii="Times New Roman" w:hAnsi="Times New Roman" w:cs="Times New Roman"/>
          <w:sz w:val="24"/>
          <w:szCs w:val="24"/>
        </w:rPr>
        <w:t>differen</w:t>
      </w:r>
      <w:r w:rsidR="00644E92">
        <w:rPr>
          <w:rFonts w:ascii="Times New Roman" w:hAnsi="Times New Roman" w:cs="Times New Roman"/>
          <w:sz w:val="24"/>
          <w:szCs w:val="24"/>
        </w:rPr>
        <w:t>ces between men and women, advance on differentiated and probably independent treatments is mandatory.</w:t>
      </w:r>
      <w:r w:rsidR="006A567E" w:rsidRPr="006A5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FAB03" w14:textId="4CE73630" w:rsidR="008A6419" w:rsidRPr="006A567E" w:rsidRDefault="008A6419" w:rsidP="008A641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19">
        <w:rPr>
          <w:rFonts w:ascii="Times New Roman" w:hAnsi="Times New Roman" w:cs="Times New Roman"/>
          <w:sz w:val="24"/>
          <w:szCs w:val="24"/>
        </w:rPr>
        <w:t>In conclusion, alcohol and tobacco</w:t>
      </w:r>
      <w:r>
        <w:rPr>
          <w:rFonts w:ascii="Times New Roman" w:hAnsi="Times New Roman" w:cs="Times New Roman"/>
          <w:sz w:val="24"/>
          <w:szCs w:val="24"/>
        </w:rPr>
        <w:t xml:space="preserve"> consumption</w:t>
      </w:r>
      <w:r w:rsidRPr="008A6419">
        <w:rPr>
          <w:rFonts w:ascii="Times New Roman" w:hAnsi="Times New Roman" w:cs="Times New Roman"/>
          <w:sz w:val="24"/>
          <w:szCs w:val="24"/>
        </w:rPr>
        <w:t xml:space="preserve"> is generalized </w:t>
      </w:r>
      <w:r>
        <w:rPr>
          <w:rFonts w:ascii="Times New Roman" w:hAnsi="Times New Roman" w:cs="Times New Roman"/>
          <w:sz w:val="24"/>
          <w:szCs w:val="24"/>
        </w:rPr>
        <w:t>among</w:t>
      </w:r>
      <w:r w:rsidRPr="008A6419">
        <w:rPr>
          <w:rFonts w:ascii="Times New Roman" w:hAnsi="Times New Roman" w:cs="Times New Roman"/>
          <w:sz w:val="24"/>
          <w:szCs w:val="24"/>
        </w:rPr>
        <w:t xml:space="preserve"> the sample and </w:t>
      </w:r>
      <w:r>
        <w:rPr>
          <w:rFonts w:ascii="Times New Roman" w:hAnsi="Times New Roman" w:cs="Times New Roman"/>
          <w:sz w:val="24"/>
          <w:szCs w:val="24"/>
        </w:rPr>
        <w:t>sex</w:t>
      </w:r>
      <w:r w:rsidRPr="008A6419">
        <w:rPr>
          <w:rFonts w:ascii="Times New Roman" w:hAnsi="Times New Roman" w:cs="Times New Roman"/>
          <w:sz w:val="24"/>
          <w:szCs w:val="24"/>
        </w:rPr>
        <w:t xml:space="preserve"> is a key factor both in the increase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8A6419">
        <w:rPr>
          <w:rFonts w:ascii="Times New Roman" w:hAnsi="Times New Roman" w:cs="Times New Roman"/>
          <w:sz w:val="24"/>
          <w:szCs w:val="24"/>
        </w:rPr>
        <w:t xml:space="preserve"> consumption </w:t>
      </w:r>
      <w:r>
        <w:rPr>
          <w:rFonts w:ascii="Times New Roman" w:hAnsi="Times New Roman" w:cs="Times New Roman"/>
          <w:sz w:val="24"/>
          <w:szCs w:val="24"/>
        </w:rPr>
        <w:t xml:space="preserve">as well as in </w:t>
      </w:r>
      <w:r w:rsidRPr="008A6419">
        <w:rPr>
          <w:rFonts w:ascii="Times New Roman" w:hAnsi="Times New Roman" w:cs="Times New Roman"/>
          <w:sz w:val="24"/>
          <w:szCs w:val="24"/>
        </w:rPr>
        <w:t>and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19">
        <w:rPr>
          <w:rFonts w:ascii="Times New Roman" w:hAnsi="Times New Roman" w:cs="Times New Roman"/>
          <w:sz w:val="24"/>
          <w:szCs w:val="24"/>
        </w:rPr>
        <w:t>development of risk consumption.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8A6419">
        <w:rPr>
          <w:rFonts w:ascii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Pr="008A6419">
        <w:rPr>
          <w:rFonts w:ascii="Times New Roman" w:hAnsi="Times New Roman" w:cs="Times New Roman"/>
          <w:sz w:val="24"/>
          <w:szCs w:val="24"/>
        </w:rPr>
        <w:t xml:space="preserve"> is one of the first attempts to study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8A6419">
        <w:rPr>
          <w:rFonts w:ascii="Times New Roman" w:hAnsi="Times New Roman" w:cs="Times New Roman"/>
          <w:sz w:val="24"/>
          <w:szCs w:val="24"/>
        </w:rPr>
        <w:lastRenderedPageBreak/>
        <w:t>differences in Ecuador and we hope that it can promote future studies</w:t>
      </w:r>
      <w:r>
        <w:rPr>
          <w:rFonts w:ascii="Times New Roman" w:hAnsi="Times New Roman" w:cs="Times New Roman"/>
          <w:sz w:val="24"/>
          <w:szCs w:val="24"/>
        </w:rPr>
        <w:t xml:space="preserve"> related to this field not only in our country but also in </w:t>
      </w:r>
      <w:r w:rsidRPr="008A6419">
        <w:rPr>
          <w:rFonts w:ascii="Times New Roman" w:hAnsi="Times New Roman" w:cs="Times New Roman"/>
          <w:sz w:val="24"/>
          <w:szCs w:val="24"/>
        </w:rPr>
        <w:t>Latin American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19">
        <w:rPr>
          <w:rFonts w:ascii="Times New Roman" w:hAnsi="Times New Roman" w:cs="Times New Roman"/>
          <w:sz w:val="24"/>
          <w:szCs w:val="24"/>
        </w:rPr>
        <w:t>Caribbean countries</w:t>
      </w:r>
      <w:r>
        <w:rPr>
          <w:rFonts w:ascii="Times New Roman" w:hAnsi="Times New Roman" w:cs="Times New Roman"/>
          <w:sz w:val="24"/>
          <w:szCs w:val="24"/>
        </w:rPr>
        <w:t xml:space="preserve">, where </w:t>
      </w:r>
      <w:r w:rsidRPr="008A6419">
        <w:rPr>
          <w:rFonts w:ascii="Times New Roman" w:hAnsi="Times New Roman" w:cs="Times New Roman"/>
          <w:sz w:val="24"/>
          <w:szCs w:val="24"/>
        </w:rPr>
        <w:t>although regional</w:t>
      </w:r>
      <w:r>
        <w:rPr>
          <w:rFonts w:ascii="Times New Roman" w:hAnsi="Times New Roman" w:cs="Times New Roman"/>
          <w:sz w:val="24"/>
          <w:szCs w:val="24"/>
        </w:rPr>
        <w:t xml:space="preserve"> scientific </w:t>
      </w:r>
      <w:r w:rsidRPr="008A6419">
        <w:rPr>
          <w:rFonts w:ascii="Times New Roman" w:hAnsi="Times New Roman" w:cs="Times New Roman"/>
          <w:sz w:val="24"/>
          <w:szCs w:val="24"/>
        </w:rPr>
        <w:t>production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19">
        <w:rPr>
          <w:rFonts w:ascii="Times New Roman" w:hAnsi="Times New Roman" w:cs="Times New Roman"/>
          <w:sz w:val="24"/>
          <w:szCs w:val="24"/>
        </w:rPr>
        <w:t xml:space="preserve">increased </w:t>
      </w:r>
      <w:r>
        <w:rPr>
          <w:rFonts w:ascii="Times New Roman" w:hAnsi="Times New Roman" w:cs="Times New Roman"/>
          <w:sz w:val="24"/>
          <w:szCs w:val="24"/>
        </w:rPr>
        <w:t>in the last years</w:t>
      </w:r>
      <w:r w:rsidRPr="008A6419">
        <w:rPr>
          <w:rFonts w:ascii="Times New Roman" w:hAnsi="Times New Roman" w:cs="Times New Roman"/>
          <w:sz w:val="24"/>
          <w:szCs w:val="24"/>
        </w:rPr>
        <w:t>, their incorporation has been slow</w:t>
      </w:r>
      <w:r>
        <w:rPr>
          <w:rFonts w:ascii="Times New Roman" w:hAnsi="Times New Roman" w:cs="Times New Roman"/>
          <w:sz w:val="24"/>
          <w:szCs w:val="24"/>
        </w:rPr>
        <w:t>, therefore c</w:t>
      </w:r>
      <w:r w:rsidRPr="008A6419">
        <w:rPr>
          <w:rFonts w:ascii="Times New Roman" w:hAnsi="Times New Roman" w:cs="Times New Roman"/>
          <w:sz w:val="24"/>
          <w:szCs w:val="24"/>
        </w:rPr>
        <w:t>ontinuous efforts must be made</w:t>
      </w:r>
      <w:r>
        <w:rPr>
          <w:rFonts w:ascii="Times New Roman" w:hAnsi="Times New Roman" w:cs="Times New Roman"/>
          <w:sz w:val="24"/>
          <w:szCs w:val="24"/>
        </w:rPr>
        <w:t xml:space="preserve"> by the scientific community</w:t>
      </w:r>
      <w:r w:rsidRPr="008A6419">
        <w:rPr>
          <w:rFonts w:ascii="Times New Roman" w:hAnsi="Times New Roman" w:cs="Times New Roman"/>
          <w:sz w:val="24"/>
          <w:szCs w:val="24"/>
        </w:rPr>
        <w:t xml:space="preserve"> to introduce </w:t>
      </w:r>
      <w:r>
        <w:rPr>
          <w:rFonts w:ascii="Times New Roman" w:hAnsi="Times New Roman" w:cs="Times New Roman"/>
          <w:sz w:val="24"/>
          <w:szCs w:val="24"/>
        </w:rPr>
        <w:t xml:space="preserve">the study of sex differences as part of </w:t>
      </w:r>
      <w:r w:rsidRPr="008A6419">
        <w:rPr>
          <w:rFonts w:ascii="Times New Roman" w:hAnsi="Times New Roman" w:cs="Times New Roman"/>
          <w:sz w:val="24"/>
          <w:szCs w:val="24"/>
        </w:rPr>
        <w:t>methodological improvements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1004D" w14:textId="77777777" w:rsidR="006A567E" w:rsidRPr="00696989" w:rsidRDefault="006A567E" w:rsidP="0069698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989">
        <w:rPr>
          <w:rFonts w:ascii="Times New Roman" w:hAnsi="Times New Roman" w:cs="Times New Roman"/>
          <w:b/>
          <w:bCs/>
          <w:sz w:val="24"/>
          <w:szCs w:val="24"/>
        </w:rPr>
        <w:t>Limitations and future recommendations</w:t>
      </w:r>
    </w:p>
    <w:p w14:paraId="1CC57FFD" w14:textId="6612076C" w:rsidR="006A567E" w:rsidRDefault="006A567E" w:rsidP="0069698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7E">
        <w:rPr>
          <w:rFonts w:ascii="Times New Roman" w:hAnsi="Times New Roman" w:cs="Times New Roman"/>
          <w:sz w:val="24"/>
          <w:szCs w:val="24"/>
        </w:rPr>
        <w:t xml:space="preserve">Some aspects should be mentioned among the limitations of the study. </w:t>
      </w:r>
      <w:r w:rsidR="00696989">
        <w:rPr>
          <w:rFonts w:ascii="Times New Roman" w:hAnsi="Times New Roman" w:cs="Times New Roman"/>
          <w:sz w:val="24"/>
          <w:szCs w:val="24"/>
        </w:rPr>
        <w:t>First</w:t>
      </w:r>
      <w:r w:rsidRPr="006A567E">
        <w:rPr>
          <w:rFonts w:ascii="Times New Roman" w:hAnsi="Times New Roman" w:cs="Times New Roman"/>
          <w:sz w:val="24"/>
          <w:szCs w:val="24"/>
        </w:rPr>
        <w:t xml:space="preserve">, we worked exclusively with </w:t>
      </w:r>
      <w:r w:rsidR="00696989">
        <w:rPr>
          <w:rFonts w:ascii="Times New Roman" w:hAnsi="Times New Roman" w:cs="Times New Roman"/>
          <w:sz w:val="24"/>
          <w:szCs w:val="24"/>
        </w:rPr>
        <w:t>college students</w:t>
      </w:r>
      <w:r w:rsidR="00314584">
        <w:rPr>
          <w:rFonts w:ascii="Times New Roman" w:hAnsi="Times New Roman" w:cs="Times New Roman"/>
          <w:sz w:val="24"/>
          <w:szCs w:val="24"/>
        </w:rPr>
        <w:t>, t</w:t>
      </w:r>
      <w:r w:rsidRPr="006A567E">
        <w:rPr>
          <w:rFonts w:ascii="Times New Roman" w:hAnsi="Times New Roman" w:cs="Times New Roman"/>
          <w:sz w:val="24"/>
          <w:szCs w:val="24"/>
        </w:rPr>
        <w:t>herefore, the results found cannot necessarily be extrapolated to other segments</w:t>
      </w:r>
      <w:r w:rsidR="00696989">
        <w:rPr>
          <w:rFonts w:ascii="Times New Roman" w:hAnsi="Times New Roman" w:cs="Times New Roman"/>
          <w:sz w:val="24"/>
          <w:szCs w:val="24"/>
        </w:rPr>
        <w:t xml:space="preserve"> of the population</w:t>
      </w:r>
      <w:r w:rsidRPr="006A567E">
        <w:rPr>
          <w:rFonts w:ascii="Times New Roman" w:hAnsi="Times New Roman" w:cs="Times New Roman"/>
          <w:sz w:val="24"/>
          <w:szCs w:val="24"/>
        </w:rPr>
        <w:t xml:space="preserve">. Thus, </w:t>
      </w:r>
      <w:r w:rsidR="00696989">
        <w:rPr>
          <w:rFonts w:ascii="Times New Roman" w:hAnsi="Times New Roman" w:cs="Times New Roman"/>
          <w:sz w:val="24"/>
          <w:szCs w:val="24"/>
        </w:rPr>
        <w:t>more research is needed</w:t>
      </w:r>
      <w:r w:rsidRPr="006A567E">
        <w:rPr>
          <w:rFonts w:ascii="Times New Roman" w:hAnsi="Times New Roman" w:cs="Times New Roman"/>
          <w:sz w:val="24"/>
          <w:szCs w:val="24"/>
        </w:rPr>
        <w:t>,</w:t>
      </w:r>
      <w:r w:rsidR="00696989">
        <w:rPr>
          <w:rFonts w:ascii="Times New Roman" w:hAnsi="Times New Roman" w:cs="Times New Roman"/>
          <w:sz w:val="24"/>
          <w:szCs w:val="24"/>
        </w:rPr>
        <w:t xml:space="preserve"> to include </w:t>
      </w:r>
      <w:r w:rsidRPr="006A567E">
        <w:rPr>
          <w:rFonts w:ascii="Times New Roman" w:hAnsi="Times New Roman" w:cs="Times New Roman"/>
          <w:sz w:val="24"/>
          <w:szCs w:val="24"/>
        </w:rPr>
        <w:t xml:space="preserve">other </w:t>
      </w:r>
      <w:r w:rsidR="00314584">
        <w:rPr>
          <w:rFonts w:ascii="Times New Roman" w:hAnsi="Times New Roman" w:cs="Times New Roman"/>
          <w:sz w:val="24"/>
          <w:szCs w:val="24"/>
        </w:rPr>
        <w:t>age</w:t>
      </w:r>
      <w:r w:rsidRPr="006A567E">
        <w:rPr>
          <w:rFonts w:ascii="Times New Roman" w:hAnsi="Times New Roman" w:cs="Times New Roman"/>
          <w:sz w:val="24"/>
          <w:szCs w:val="24"/>
        </w:rPr>
        <w:t xml:space="preserve"> groups such as adolescents,</w:t>
      </w:r>
      <w:r w:rsidR="00696989">
        <w:rPr>
          <w:rFonts w:ascii="Times New Roman" w:hAnsi="Times New Roman" w:cs="Times New Roman"/>
          <w:sz w:val="24"/>
          <w:szCs w:val="24"/>
        </w:rPr>
        <w:t xml:space="preserve"> middle adults,</w:t>
      </w:r>
      <w:r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="00696989" w:rsidRPr="006A567E">
        <w:rPr>
          <w:rFonts w:ascii="Times New Roman" w:hAnsi="Times New Roman" w:cs="Times New Roman"/>
          <w:sz w:val="24"/>
          <w:szCs w:val="24"/>
        </w:rPr>
        <w:t>elderly</w:t>
      </w:r>
      <w:r w:rsidR="008A6419">
        <w:rPr>
          <w:rFonts w:ascii="Times New Roman" w:hAnsi="Times New Roman" w:cs="Times New Roman"/>
          <w:sz w:val="24"/>
          <w:szCs w:val="24"/>
        </w:rPr>
        <w:t>,</w:t>
      </w:r>
      <w:r w:rsidR="00696989" w:rsidRPr="006A567E">
        <w:rPr>
          <w:rFonts w:ascii="Times New Roman" w:hAnsi="Times New Roman" w:cs="Times New Roman"/>
          <w:sz w:val="24"/>
          <w:szCs w:val="24"/>
        </w:rPr>
        <w:t xml:space="preserve"> </w:t>
      </w:r>
      <w:r w:rsidR="00696989">
        <w:rPr>
          <w:rFonts w:ascii="Times New Roman" w:hAnsi="Times New Roman" w:cs="Times New Roman"/>
          <w:sz w:val="24"/>
          <w:szCs w:val="24"/>
        </w:rPr>
        <w:t>and</w:t>
      </w:r>
      <w:r w:rsidR="00314584">
        <w:rPr>
          <w:rFonts w:ascii="Times New Roman" w:hAnsi="Times New Roman" w:cs="Times New Roman"/>
          <w:sz w:val="24"/>
          <w:szCs w:val="24"/>
        </w:rPr>
        <w:t xml:space="preserve"> the</w:t>
      </w:r>
      <w:r w:rsidR="00696989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 xml:space="preserve">general population, </w:t>
      </w:r>
      <w:r w:rsidR="00314584">
        <w:rPr>
          <w:rFonts w:ascii="Times New Roman" w:hAnsi="Times New Roman" w:cs="Times New Roman"/>
          <w:sz w:val="24"/>
          <w:szCs w:val="24"/>
        </w:rPr>
        <w:t xml:space="preserve">to </w:t>
      </w:r>
      <w:r w:rsidRPr="006A567E">
        <w:rPr>
          <w:rFonts w:ascii="Times New Roman" w:hAnsi="Times New Roman" w:cs="Times New Roman"/>
          <w:sz w:val="24"/>
          <w:szCs w:val="24"/>
        </w:rPr>
        <w:t xml:space="preserve">have a broader interpretation of </w:t>
      </w:r>
      <w:r w:rsidR="00720BD4">
        <w:rPr>
          <w:rFonts w:ascii="Times New Roman" w:hAnsi="Times New Roman" w:cs="Times New Roman"/>
          <w:sz w:val="24"/>
          <w:szCs w:val="24"/>
        </w:rPr>
        <w:t>consumption</w:t>
      </w:r>
      <w:r w:rsidRPr="006A567E">
        <w:rPr>
          <w:rFonts w:ascii="Times New Roman" w:hAnsi="Times New Roman" w:cs="Times New Roman"/>
          <w:sz w:val="24"/>
          <w:szCs w:val="24"/>
        </w:rPr>
        <w:t xml:space="preserve"> dynamic</w:t>
      </w:r>
      <w:r w:rsidR="00720BD4">
        <w:rPr>
          <w:rFonts w:ascii="Times New Roman" w:hAnsi="Times New Roman" w:cs="Times New Roman"/>
          <w:sz w:val="24"/>
          <w:szCs w:val="24"/>
        </w:rPr>
        <w:t>s</w:t>
      </w:r>
      <w:r w:rsidRPr="006A567E">
        <w:rPr>
          <w:rFonts w:ascii="Times New Roman" w:hAnsi="Times New Roman" w:cs="Times New Roman"/>
          <w:sz w:val="24"/>
          <w:szCs w:val="24"/>
        </w:rPr>
        <w:t>. It</w:t>
      </w:r>
      <w:r w:rsidR="00314584">
        <w:rPr>
          <w:rFonts w:ascii="Times New Roman" w:hAnsi="Times New Roman" w:cs="Times New Roman"/>
          <w:sz w:val="24"/>
          <w:szCs w:val="24"/>
        </w:rPr>
        <w:t xml:space="preserve"> should also be mentioned that this </w:t>
      </w:r>
      <w:r w:rsidRPr="006A567E">
        <w:rPr>
          <w:rFonts w:ascii="Times New Roman" w:hAnsi="Times New Roman" w:cs="Times New Roman"/>
          <w:sz w:val="24"/>
          <w:szCs w:val="24"/>
        </w:rPr>
        <w:t>study analyzed specifically</w:t>
      </w:r>
      <w:r w:rsidR="00314584">
        <w:rPr>
          <w:rFonts w:ascii="Times New Roman" w:hAnsi="Times New Roman" w:cs="Times New Roman"/>
          <w:sz w:val="24"/>
          <w:szCs w:val="24"/>
        </w:rPr>
        <w:t xml:space="preserve"> </w:t>
      </w:r>
      <w:r w:rsidRPr="006A567E">
        <w:rPr>
          <w:rFonts w:ascii="Times New Roman" w:hAnsi="Times New Roman" w:cs="Times New Roman"/>
          <w:sz w:val="24"/>
          <w:szCs w:val="24"/>
        </w:rPr>
        <w:t>alcohol and tobacco use behaviors</w:t>
      </w:r>
      <w:r w:rsidR="00314584">
        <w:rPr>
          <w:rFonts w:ascii="Times New Roman" w:hAnsi="Times New Roman" w:cs="Times New Roman"/>
          <w:sz w:val="24"/>
          <w:szCs w:val="24"/>
        </w:rPr>
        <w:t>, h</w:t>
      </w:r>
      <w:r w:rsidR="00314584" w:rsidRPr="006A567E">
        <w:rPr>
          <w:rFonts w:ascii="Times New Roman" w:hAnsi="Times New Roman" w:cs="Times New Roman"/>
          <w:sz w:val="24"/>
          <w:szCs w:val="24"/>
        </w:rPr>
        <w:t>ence</w:t>
      </w:r>
      <w:r w:rsidRPr="006A567E">
        <w:rPr>
          <w:rFonts w:ascii="Times New Roman" w:hAnsi="Times New Roman" w:cs="Times New Roman"/>
          <w:sz w:val="24"/>
          <w:szCs w:val="24"/>
        </w:rPr>
        <w:t xml:space="preserve">, it is necessary to complement these results </w:t>
      </w:r>
      <w:r w:rsidR="00314584">
        <w:rPr>
          <w:rFonts w:ascii="Times New Roman" w:hAnsi="Times New Roman" w:cs="Times New Roman"/>
          <w:sz w:val="24"/>
          <w:szCs w:val="24"/>
        </w:rPr>
        <w:t xml:space="preserve">employing </w:t>
      </w:r>
      <w:r w:rsidRPr="006A567E">
        <w:rPr>
          <w:rFonts w:ascii="Times New Roman" w:hAnsi="Times New Roman" w:cs="Times New Roman"/>
          <w:sz w:val="24"/>
          <w:szCs w:val="24"/>
        </w:rPr>
        <w:t xml:space="preserve">other variables (affective, cognitive, social) that previous studies suggest </w:t>
      </w:r>
      <w:r w:rsidR="00314584">
        <w:rPr>
          <w:rFonts w:ascii="Times New Roman" w:hAnsi="Times New Roman" w:cs="Times New Roman"/>
          <w:sz w:val="24"/>
          <w:szCs w:val="24"/>
        </w:rPr>
        <w:t>including</w:t>
      </w:r>
      <w:r w:rsidRPr="006A567E">
        <w:rPr>
          <w:rFonts w:ascii="Times New Roman" w:hAnsi="Times New Roman" w:cs="Times New Roman"/>
          <w:sz w:val="24"/>
          <w:szCs w:val="24"/>
        </w:rPr>
        <w:t>.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8A6419" w:rsidRPr="008A6419">
        <w:rPr>
          <w:rFonts w:ascii="Times New Roman" w:hAnsi="Times New Roman" w:cs="Times New Roman"/>
          <w:sz w:val="24"/>
          <w:szCs w:val="24"/>
        </w:rPr>
        <w:t>On the other hand, we must take into account that the conclusions of this study are based exclusively on observational data, therefore it is suggested</w:t>
      </w:r>
      <w:r w:rsidR="008A6419">
        <w:rPr>
          <w:rFonts w:ascii="Times New Roman" w:hAnsi="Times New Roman" w:cs="Times New Roman"/>
          <w:sz w:val="24"/>
          <w:szCs w:val="24"/>
        </w:rPr>
        <w:t xml:space="preserve"> for </w:t>
      </w:r>
      <w:r w:rsidR="008A6419" w:rsidRPr="008A6419">
        <w:rPr>
          <w:rFonts w:ascii="Times New Roman" w:hAnsi="Times New Roman" w:cs="Times New Roman"/>
          <w:sz w:val="24"/>
          <w:szCs w:val="24"/>
        </w:rPr>
        <w:t>future research to address this topic</w:t>
      </w:r>
      <w:r w:rsidR="008A6419">
        <w:rPr>
          <w:rFonts w:ascii="Times New Roman" w:hAnsi="Times New Roman" w:cs="Times New Roman"/>
          <w:sz w:val="24"/>
          <w:szCs w:val="24"/>
        </w:rPr>
        <w:t xml:space="preserve"> </w:t>
      </w:r>
      <w:r w:rsidR="008A6419" w:rsidRPr="008A6419">
        <w:rPr>
          <w:rFonts w:ascii="Times New Roman" w:hAnsi="Times New Roman" w:cs="Times New Roman"/>
          <w:sz w:val="24"/>
          <w:szCs w:val="24"/>
        </w:rPr>
        <w:t xml:space="preserve">through more complex study designs and more comprehensive statistical analyzes. </w:t>
      </w:r>
      <w:r w:rsidRPr="006A567E">
        <w:rPr>
          <w:rFonts w:ascii="Times New Roman" w:hAnsi="Times New Roman" w:cs="Times New Roman"/>
          <w:sz w:val="24"/>
          <w:szCs w:val="24"/>
        </w:rPr>
        <w:t xml:space="preserve">Finally, it is important to </w:t>
      </w:r>
      <w:r w:rsidR="00314584" w:rsidRPr="006A567E">
        <w:rPr>
          <w:rFonts w:ascii="Times New Roman" w:hAnsi="Times New Roman" w:cs="Times New Roman"/>
          <w:sz w:val="24"/>
          <w:szCs w:val="24"/>
        </w:rPr>
        <w:t>consider</w:t>
      </w:r>
      <w:r w:rsidRPr="006A567E">
        <w:rPr>
          <w:rFonts w:ascii="Times New Roman" w:hAnsi="Times New Roman" w:cs="Times New Roman"/>
          <w:sz w:val="24"/>
          <w:szCs w:val="24"/>
        </w:rPr>
        <w:t xml:space="preserve"> that, given the absence of similar studies applied </w:t>
      </w:r>
      <w:r w:rsidR="00720BD4">
        <w:rPr>
          <w:rFonts w:ascii="Times New Roman" w:hAnsi="Times New Roman" w:cs="Times New Roman"/>
          <w:sz w:val="24"/>
          <w:szCs w:val="24"/>
        </w:rPr>
        <w:t xml:space="preserve">to </w:t>
      </w:r>
      <w:r w:rsidR="008A6419">
        <w:rPr>
          <w:rFonts w:ascii="Times New Roman" w:hAnsi="Times New Roman" w:cs="Times New Roman"/>
          <w:sz w:val="24"/>
          <w:szCs w:val="24"/>
        </w:rPr>
        <w:t xml:space="preserve">the </w:t>
      </w:r>
      <w:r w:rsidRPr="006A567E">
        <w:rPr>
          <w:rFonts w:ascii="Times New Roman" w:hAnsi="Times New Roman" w:cs="Times New Roman"/>
          <w:sz w:val="24"/>
          <w:szCs w:val="24"/>
        </w:rPr>
        <w:t xml:space="preserve">Ecuadorian population, there </w:t>
      </w:r>
      <w:r w:rsidR="00696989">
        <w:rPr>
          <w:rFonts w:ascii="Times New Roman" w:hAnsi="Times New Roman" w:cs="Times New Roman"/>
          <w:sz w:val="24"/>
          <w:szCs w:val="24"/>
        </w:rPr>
        <w:t>was</w:t>
      </w:r>
      <w:r w:rsidRPr="006A567E">
        <w:rPr>
          <w:rFonts w:ascii="Times New Roman" w:hAnsi="Times New Roman" w:cs="Times New Roman"/>
          <w:sz w:val="24"/>
          <w:szCs w:val="24"/>
        </w:rPr>
        <w:t xml:space="preserve"> some difficulty in corroborating these results with </w:t>
      </w:r>
      <w:r w:rsidR="00696989">
        <w:rPr>
          <w:rFonts w:ascii="Times New Roman" w:hAnsi="Times New Roman" w:cs="Times New Roman"/>
          <w:sz w:val="24"/>
          <w:szCs w:val="24"/>
        </w:rPr>
        <w:t>previous scientific literature</w:t>
      </w:r>
      <w:r w:rsidRPr="006A567E">
        <w:rPr>
          <w:rFonts w:ascii="Times New Roman" w:hAnsi="Times New Roman" w:cs="Times New Roman"/>
          <w:sz w:val="24"/>
          <w:szCs w:val="24"/>
        </w:rPr>
        <w:t xml:space="preserve">, </w:t>
      </w:r>
      <w:r w:rsidR="00314584">
        <w:rPr>
          <w:rFonts w:ascii="Times New Roman" w:hAnsi="Times New Roman" w:cs="Times New Roman"/>
          <w:sz w:val="24"/>
          <w:szCs w:val="24"/>
        </w:rPr>
        <w:t>this is the reason</w:t>
      </w:r>
      <w:r w:rsidRPr="006A567E">
        <w:rPr>
          <w:rFonts w:ascii="Times New Roman" w:hAnsi="Times New Roman" w:cs="Times New Roman"/>
          <w:sz w:val="24"/>
          <w:szCs w:val="24"/>
        </w:rPr>
        <w:t xml:space="preserve"> why more confirmatory studies are required to allow further discussion of the problem.</w:t>
      </w:r>
    </w:p>
    <w:p w14:paraId="58987B4C" w14:textId="77777777" w:rsidR="00696989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62">
        <w:rPr>
          <w:rFonts w:ascii="Times New Roman" w:hAnsi="Times New Roman" w:cs="Times New Roman"/>
          <w:b/>
          <w:sz w:val="24"/>
          <w:szCs w:val="24"/>
        </w:rPr>
        <w:t>Funding</w:t>
      </w:r>
      <w:r w:rsidRPr="00FB2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69AD5" w14:textId="4AF905E9" w:rsidR="00696989" w:rsidRPr="00696989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89">
        <w:rPr>
          <w:rFonts w:ascii="Times New Roman" w:hAnsi="Times New Roman" w:cs="Times New Roman"/>
          <w:sz w:val="24"/>
          <w:szCs w:val="24"/>
        </w:rPr>
        <w:t xml:space="preserve">This study was supported by Pontificia Universidad </w:t>
      </w:r>
      <w:proofErr w:type="spellStart"/>
      <w:r w:rsidRPr="00696989">
        <w:rPr>
          <w:rFonts w:ascii="Times New Roman" w:hAnsi="Times New Roman" w:cs="Times New Roman"/>
          <w:sz w:val="24"/>
          <w:szCs w:val="24"/>
        </w:rPr>
        <w:t>Católica</w:t>
      </w:r>
      <w:proofErr w:type="spellEnd"/>
      <w:r w:rsidRPr="00696989">
        <w:rPr>
          <w:rFonts w:ascii="Times New Roman" w:hAnsi="Times New Roman" w:cs="Times New Roman"/>
          <w:sz w:val="24"/>
          <w:szCs w:val="24"/>
        </w:rPr>
        <w:t xml:space="preserve"> del Ecuador </w:t>
      </w:r>
      <w:proofErr w:type="spellStart"/>
      <w:r w:rsidRPr="00696989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696989">
        <w:rPr>
          <w:rFonts w:ascii="Times New Roman" w:hAnsi="Times New Roman" w:cs="Times New Roman"/>
          <w:sz w:val="24"/>
          <w:szCs w:val="24"/>
        </w:rPr>
        <w:t xml:space="preserve"> Ambato.</w:t>
      </w:r>
    </w:p>
    <w:p w14:paraId="022ED7E4" w14:textId="77777777" w:rsidR="00696989" w:rsidRPr="001C68AB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1D">
        <w:rPr>
          <w:rFonts w:ascii="Times New Roman" w:hAnsi="Times New Roman" w:cs="Times New Roman"/>
          <w:b/>
          <w:sz w:val="24"/>
          <w:szCs w:val="24"/>
        </w:rPr>
        <w:t>Compliance with Ethical Standards Ethical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21D">
        <w:rPr>
          <w:rFonts w:ascii="Times New Roman" w:hAnsi="Times New Roman" w:cs="Times New Roman"/>
          <w:b/>
          <w:sz w:val="24"/>
          <w:szCs w:val="24"/>
        </w:rPr>
        <w:t>Approval</w:t>
      </w:r>
      <w:r w:rsidRPr="00FB2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DF80C" w14:textId="7D1E3794" w:rsidR="00696989" w:rsidRPr="00527C2A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62">
        <w:rPr>
          <w:rFonts w:ascii="Times New Roman" w:hAnsi="Times New Roman" w:cs="Times New Roman"/>
          <w:sz w:val="24"/>
          <w:szCs w:val="24"/>
        </w:rPr>
        <w:t>All procedures followed the ethical standards of the responsible committee on human experimentation (institutional and national) and with the Helsinki Declaration of 1975, as revised in 2000. I</w:t>
      </w:r>
      <w:r>
        <w:rPr>
          <w:rFonts w:ascii="Times New Roman" w:hAnsi="Times New Roman" w:cs="Times New Roman"/>
          <w:sz w:val="24"/>
          <w:szCs w:val="24"/>
        </w:rPr>
        <w:t xml:space="preserve">nformed Consent </w:t>
      </w:r>
      <w:r w:rsidRPr="00FB2962">
        <w:rPr>
          <w:rFonts w:ascii="Times New Roman" w:hAnsi="Times New Roman" w:cs="Times New Roman"/>
          <w:sz w:val="24"/>
          <w:szCs w:val="24"/>
        </w:rPr>
        <w:t>was obtained from all patients</w:t>
      </w:r>
      <w:r>
        <w:rPr>
          <w:rFonts w:ascii="Times New Roman" w:hAnsi="Times New Roman" w:cs="Times New Roman"/>
          <w:sz w:val="24"/>
          <w:szCs w:val="24"/>
        </w:rPr>
        <w:t xml:space="preserve"> before </w:t>
      </w:r>
      <w:r w:rsidRPr="00FB2962">
        <w:rPr>
          <w:rFonts w:ascii="Times New Roman" w:hAnsi="Times New Roman" w:cs="Times New Roman"/>
          <w:sz w:val="24"/>
          <w:szCs w:val="24"/>
        </w:rPr>
        <w:t xml:space="preserve">being included in the study. </w:t>
      </w:r>
    </w:p>
    <w:p w14:paraId="0FA1A8FF" w14:textId="77777777" w:rsidR="00696989" w:rsidRPr="0073621D" w:rsidRDefault="00696989" w:rsidP="006969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21D">
        <w:rPr>
          <w:rFonts w:ascii="Times New Roman" w:hAnsi="Times New Roman" w:cs="Times New Roman"/>
          <w:b/>
          <w:sz w:val="24"/>
          <w:szCs w:val="24"/>
        </w:rPr>
        <w:t xml:space="preserve">Conflict of Interest </w:t>
      </w:r>
    </w:p>
    <w:p w14:paraId="75FD8187" w14:textId="0796062E" w:rsidR="00720BD4" w:rsidRPr="008A6419" w:rsidRDefault="00696989" w:rsidP="008A641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0D">
        <w:rPr>
          <w:rFonts w:ascii="Times New Roman" w:hAnsi="Times New Roman" w:cs="Times New Roman"/>
          <w:sz w:val="24"/>
          <w:szCs w:val="24"/>
        </w:rPr>
        <w:t>The authors declare that they have no conflict of interest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2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96BE3" w14:textId="77777777" w:rsidR="00812E6E" w:rsidRDefault="00812E6E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37D7076" w14:textId="1600C670" w:rsidR="00216F8B" w:rsidRPr="0081709C" w:rsidRDefault="00FF5B0E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81709C"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REFERENCES</w:t>
      </w:r>
    </w:p>
    <w:p w14:paraId="3EAC17B1" w14:textId="77777777" w:rsidR="00017DD9" w:rsidRPr="0081709C" w:rsidRDefault="00017DD9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35FFBB5" w14:textId="18B2D02A" w:rsidR="00E23BFC" w:rsidRPr="00E23BFC" w:rsidRDefault="00017DD9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E23BFC">
        <w:rPr>
          <w:rFonts w:ascii="Times New Roman" w:hAnsi="Times New Roman" w:cs="Times New Roman"/>
          <w:b/>
          <w:bCs/>
          <w:sz w:val="24"/>
          <w:szCs w:val="24"/>
          <w:lang w:val="es-MX"/>
        </w:rPr>
        <w:instrText xml:space="preserve"> BIBLIOGRAPHY  \l 22538 </w:instrText>
      </w:r>
      <w:r w:rsidRPr="00E23BF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23BFC"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Agabio, R., Campesi, I., Pisanu, C., Gessa, G. L., &amp; Franconi, F. (2016). </w:t>
      </w:r>
      <w:r w:rsidR="00E23BFC" w:rsidRPr="00E23BFC">
        <w:rPr>
          <w:rFonts w:ascii="Times New Roman" w:hAnsi="Times New Roman" w:cs="Times New Roman"/>
          <w:noProof/>
          <w:sz w:val="24"/>
          <w:szCs w:val="24"/>
        </w:rPr>
        <w:t xml:space="preserve">Sex differences in substance use disorders: focus on side effects. </w:t>
      </w:r>
      <w:r w:rsidR="00E23BFC"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Addiction Biology, 21</w:t>
      </w:r>
      <w:r w:rsidR="00E23BFC" w:rsidRPr="00E23BFC">
        <w:rPr>
          <w:rFonts w:ascii="Times New Roman" w:hAnsi="Times New Roman" w:cs="Times New Roman"/>
          <w:noProof/>
          <w:sz w:val="24"/>
          <w:szCs w:val="24"/>
        </w:rPr>
        <w:t>(5), 1030-1042. https://doi.org/10.1111/adb.12395</w:t>
      </w:r>
    </w:p>
    <w:p w14:paraId="6448091F" w14:textId="6275C26A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Arnegard, M. E., Whitten, L. A., Hunter, C., &amp; Clayton, J. (2020). Sex as a Biological Variable: A 5-Year Progress Report and Call to Action.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Women’s Health, 29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(6), 858-864. https://doi.org/10.1089/jwh.2019.8247</w:t>
      </w:r>
    </w:p>
    <w:p w14:paraId="3A92D735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Ato, M., López, J., &amp; Benavente, A. (2013). 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Un sistema de clasificación de los diseños de investigación en psicología.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Anales de Psicología, 29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>(3), 1038-1059. https://doi.org/10.6018/analesps.29.3.178511.</w:t>
      </w:r>
    </w:p>
    <w:p w14:paraId="2E56EA24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Babor, T., Higgins-Biddle, J., Saunders, J., &amp; Monteiro, M. (2001).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AUDIT Cuestionario de Identificación de los Transtornos debidos al Consumo de Alcohol. Pautas para su utilización en Atención Primaria.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Ginebra, Suiza: WHO - Generalitat Valenciana Conselleria de Benestar Social.</w:t>
      </w:r>
    </w:p>
    <w:p w14:paraId="57613168" w14:textId="7A79B6BD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Buch, T., Moos, K., Ferreira, F. M., Fröhlich, H., Gebhard, C., &amp; Tresch, A. (2019). Benefits of a factorial design focusing on inclusion of female and male animals in one experiment.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Molecular Medicine, 97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871-877. https://doi.org/10.1007/s00109-019-01774-0</w:t>
      </w:r>
    </w:p>
    <w:p w14:paraId="46B143D0" w14:textId="1E99F7A3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Cabrera, P., &amp; Pardo, R. (2019). Review of evidence based clinical practice guidelines developed in Latin America and Caribbean during the last decade: an analysis of the methods for grading quality of evidence and topic prioritization.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Globalization and Health, 15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(14), 1-10. https://doi.org/10.1186/s12992-019-0455-0</w:t>
      </w:r>
    </w:p>
    <w:p w14:paraId="19836505" w14:textId="5130F045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Canadian Institutes of Health Research. (2018, November 27).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Canadian Institutes of Health Research.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80944">
        <w:rPr>
          <w:rFonts w:ascii="Times New Roman" w:hAnsi="Times New Roman" w:cs="Times New Roman"/>
          <w:noProof/>
          <w:sz w:val="24"/>
          <w:szCs w:val="24"/>
        </w:rPr>
        <w:t>h</w:t>
      </w:r>
      <w:r w:rsidRPr="00E23BFC">
        <w:rPr>
          <w:rFonts w:ascii="Times New Roman" w:hAnsi="Times New Roman" w:cs="Times New Roman"/>
          <w:noProof/>
          <w:sz w:val="24"/>
          <w:szCs w:val="24"/>
        </w:rPr>
        <w:t>ttps://cihr-irsc.gc.ca/e/documents/igh_mythbuster_november_2018_en.pdf</w:t>
      </w:r>
    </w:p>
    <w:p w14:paraId="60C73E37" w14:textId="6AD56A23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Castro-Sánchez, M., Puertas-Molero, P., Ubago-Jiménez, J. L., Pérez-Cortés, A. J., Linares-Manrique, M., &amp; Zurita-Ortega, F. (2017).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Consumo de tabaco y </w:t>
      </w: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alcohol en universitarios.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Sport &amp; Health Research, 9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151-162. https://dialnet.unirioja.es/servlet/articulo?codigo=6026406</w:t>
      </w:r>
    </w:p>
    <w:p w14:paraId="56AAB62C" w14:textId="3976E63A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Connor, J., Haber, P., &amp; Hall, W. (2016). Alcohol use disorders.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Th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e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 xml:space="preserve"> Lancet, 387</w:t>
      </w: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>(10022), 988-998. https://doi.org/10.1016/S0140-6736(15)00122-1</w:t>
      </w:r>
    </w:p>
    <w:p w14:paraId="6E1B88ED" w14:textId="2D413506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Cremonte, M., Biscarra, M. A., Conde, K., &amp; Cherpitel, C.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Epidemiology of alcohol consumption and related problems in Latin American countries: Contributions of psychology.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International Journal of Psychology, 53</w:t>
      </w: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>(4), 245–252. https://doi.org/10.1002/ijop.12373</w:t>
      </w:r>
    </w:p>
    <w:p w14:paraId="3160EF39" w14:textId="6338701B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De Bellis, A., De Angelis, G., Fabris, E., Cannatà, A., Merlo, M., &amp; Sinagra, G. (2020).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Gender-related differences in heart failure: beyond the “one-size-fits-all” paradigm.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Heart Failure Reviews, 25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(2), 245-255. https://doi.org/10.1007/s10741-019-09824-y</w:t>
      </w:r>
    </w:p>
    <w:p w14:paraId="6EC632C0" w14:textId="3DF2EB8D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Fernández-Castillo, E., Pérez, O. M., Roche, J. R., Hernández, D. S., Peña, A. C., &amp; Ábalo, R. G. (2016). 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Consumo de tabaco y alcohol en estudiantes universitarios cubanos.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Revista del Hospital Psiquiátrico de La Habana, 13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(2).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>https://www.medigraphic.com/cgi-bin/new/resumen.cgi?IDARTICULO=67985</w:t>
      </w:r>
    </w:p>
    <w:p w14:paraId="4495CFCF" w14:textId="2137E059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Galea, L., Choleris, E., Albert, A., McCarthy, M., &amp; Sohrabji, F. (2020). The promises and pitfalls of sex difference research.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Frontiers in Neuroendocrinology, 56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. https://doi.org/10.1016/j.yfrne.2019.100817</w:t>
      </w:r>
    </w:p>
    <w:p w14:paraId="42520CF1" w14:textId="47146195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García-Carretero, M., Novalbos-Ruiz, J., Martínez-Delgado, J., &amp; O’Ferrall-González, C. (2016). Validación del test para la identificación de trastornos por uso de alcohol en población universitaria: AUDIT y AUDIT-C.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Adicciones, 28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(4), 194-204. https://doi.org/10.20882/adicciones.775</w:t>
      </w:r>
    </w:p>
    <w:p w14:paraId="60C76419" w14:textId="1132C74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Giustino, G., Overbey, J., Taylor, D., Ailawadi, G., Kirkwood, K., Gillinov, A., . . . O'Gara, P. (2019). Sex-Based Differences in Outcomes After Mitral Valve Surgery for Severe Ischemic Mitral Regurgitation.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American College of Cardiology, 7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(6), 481-490. </w:t>
      </w:r>
      <w:r w:rsidR="00180944">
        <w:rPr>
          <w:rFonts w:ascii="Times New Roman" w:hAnsi="Times New Roman" w:cs="Times New Roman"/>
          <w:noProof/>
          <w:sz w:val="24"/>
          <w:szCs w:val="24"/>
        </w:rPr>
        <w:t>https://doi.org/</w:t>
      </w:r>
      <w:r w:rsidRPr="00E23BFC">
        <w:rPr>
          <w:rFonts w:ascii="Times New Roman" w:hAnsi="Times New Roman" w:cs="Times New Roman"/>
          <w:noProof/>
          <w:sz w:val="24"/>
          <w:szCs w:val="24"/>
        </w:rPr>
        <w:t>10.1016/j.jchf.2019.03.001</w:t>
      </w:r>
    </w:p>
    <w:p w14:paraId="5C57F829" w14:textId="6AFFD7F0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Gogos, A., Ney, L., Seymour, N., Van Rheenen, T. E., &amp; Felmingham, K. L. (2019). Sex differences in schizophrenia, bipolar disorder, and post‐traumatic stress disorder: Are gonadal hormones the link?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British Journal of Pharmacology, 176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(21), 4119-4135. https://doi.org/10.1111/bph.14584</w:t>
      </w:r>
    </w:p>
    <w:p w14:paraId="35D81802" w14:textId="674A6D43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Golden, L. C., &amp; Voskuhl, R. (2017). The Importance of Studying Sex Differences in Disease: The Example of Multiple Sclerosis.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Neuroscience Research, 95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633-643. https://doi.org/10.1002/jnr.23955</w:t>
      </w:r>
    </w:p>
    <w:p w14:paraId="3E1DD9C5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Gómez Cruz, Z., Landeros Ramírez, P., Noa Pérez, M., &amp; Patricio Martínez, S. (2018). 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Consumo de alcohol, tabaco y otras drogas en jóvenes universitarios.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Revista Salud Pública y Nutrición, 16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(4), 1-9. Retrieved from https://www.medigraphic.com/cgi-bin/new/resumenI.cgi?IDARTICULO=76938</w:t>
      </w:r>
    </w:p>
    <w:p w14:paraId="1A383AA1" w14:textId="457EC806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Goodchild, M., Nargis, N., &amp; Tursan d´Spaignet, E. (2017). Global economic cost of smoking-attributable diseases.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Tobacco Control, 27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58-64. http://dx.doi.org/10.1136/tobaccocontrol-2016-053305</w:t>
      </w:r>
    </w:p>
    <w:p w14:paraId="7A2DE0B7" w14:textId="2A8AF124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Grucza, R., Sher, K., Kerr, W., Krauss, M., Lui, C., McDowell, Y., . . . Bierut, L. (2018). Trends in Adult Alcohol Use and Binge Drinking in the Early 21st Century United States: A Meta-Analysis of Six National Survey Series.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Alcoholism: Clinical and Experimental Research, 42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(10), 1939-1950.  https://doi.org/10.1111/acer.13859</w:t>
      </w:r>
    </w:p>
    <w:p w14:paraId="4D12CF74" w14:textId="7AFD6ADC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Haack, S., Seeringer, A., Thürmann, P. A., Becker, T., &amp; Kirchheiner, J. (2009). Sex-specific differences in side effects of psychotropic drugs: genes or gender?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Pharmacogenomics, 10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(9), 1511-1526. https://doi.org/10.2217/pgs.09.102</w:t>
      </w:r>
    </w:p>
    <w:p w14:paraId="65AD8276" w14:textId="72FAE7FE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Hammerslag, L. R., &amp; Gulley, J. M.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Sex differences in behavior and neural development and their role in adolescent vulnerability to substance use.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Behavioural Brain Research, 298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15-26. https://doi.org/10.1016/j.bbr.2015.04.008</w:t>
      </w:r>
    </w:p>
    <w:p w14:paraId="4C72C33B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Intarut, N. &amp;. (2017). Socioeconomic inequality in concurrent tobacco and alcohol consumption.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Asian Pacific journal of cancer prevention: APJCP, 18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(7), 1913. https://doi.org/10.22034/APJCP.2017.18.7.1913.</w:t>
      </w:r>
    </w:p>
    <w:p w14:paraId="69B88A85" w14:textId="0B5E88E8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Li, R., Ma, X., Wang, G., Yang, J., &amp; Wang, C.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Why sex differences in schizophrenia?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Translational Neuroscience, 1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37-42. https://www.ncbi.nlm.nih.gov/pmc/articles/PMC5688947/</w:t>
      </w:r>
    </w:p>
    <w:p w14:paraId="67A6F338" w14:textId="08373B8D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Londoño, C., Rodríguez, I., &amp; Gantiva, C. (2011). Cuestionario para la clasificación de consumidores de cigarrillo (C4) para jóvenes.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 xml:space="preserve">Diversitas: Perspectivas en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lastRenderedPageBreak/>
        <w:t>psicología, 7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(2), 281-291. http://www.scielo.org.co/scielo.php?pid=S1794-99982011000200007&amp;script=sci_abstract&amp;tlng=en</w:t>
      </w:r>
    </w:p>
    <w:p w14:paraId="0ACDA28F" w14:textId="650369AE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Maeng, L. Y., &amp; Milad, M. R. (2015). Sex differences in anxiety disorders: Interactions between fear, stress, and gonadal hormones.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Hormones and Behavior, 76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106-117. https://doi.org/10.1016/j.yhbeh.2015.04.002</w:t>
      </w:r>
    </w:p>
    <w:p w14:paraId="0DE1FB0E" w14:textId="0B82444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Mattina, G. F., &amp; Steiner, M. (2016). The need for inclusion of sex and age of onset variables in genetic association studies of obsessive–compulsive disorder: Overview.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Progress in Neuro-Psychopharmacology and Biological Psychiatry, 67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107-116. https://doi.org/10.1016/j.pnpbp.2016.01.012</w:t>
      </w:r>
    </w:p>
    <w:p w14:paraId="3168F6EB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Mayorga-Lascano, M., Moreta-Herrera, R., León-Tamayo, L., &amp; Troncozo-Guevara, M. (2019). Actitudes favorables y consumo de alcohol en adolescentes ecuatorianos. Análisis correlacional y comparativo entre grupos de riesgo y no riesgo.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Health &amp; addictions/Salud y drogas, 19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(2), 139-138. https://doi.org/10.21134/haaj.v19i2.455.</w:t>
      </w:r>
    </w:p>
    <w:p w14:paraId="22D55D01" w14:textId="33EEF054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McHugh, K., Votaw, V. R., Sugarman, D. E., &amp; Greenfield, S. F. (2018). Sex and gender differences in substance use disorders.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Clinical Psychology Review, 66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12-23. https://doi.org/10.1016/j.cpr.2017.10.012</w:t>
      </w:r>
    </w:p>
    <w:p w14:paraId="6E5DBBB6" w14:textId="06AB054F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Mekonen, T., Fekadu, W., Chane, T., &amp; Bitew, S. (2017). Problematic alcohol use among university students.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Frontiers in psychiatry, 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86. https://doi.org/10.3389/fpsyt.2017.00086</w:t>
      </w:r>
    </w:p>
    <w:p w14:paraId="1CF738D8" w14:textId="6084B565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Mora, C. A., &amp; Herrán, O. F. (2019). 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Prevalencia de consumo de alcohol y de alcoholismo en estudiantes universitarios de Villavicencio, Colombia.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Revista de la Facultad de Medicina, 67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>(2), 225-233. https://doi.org/10.15446/revfacmed.v67n2.69282.</w:t>
      </w:r>
    </w:p>
    <w:p w14:paraId="534C7688" w14:textId="6B5FAE12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Moreta-Herrera, R., Almache-Moya, A., Vargas-Espín, A., &amp; Vaca-Quintana, D. (2020).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Levels and Patterns of Alcohol Consumption: a Descriptive Study in Ecuadorian Teenagers.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Mental Health and Addiction, 18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(2), 422-431. https://doi.org/10.1007/s11469-019-00197-9</w:t>
      </w:r>
    </w:p>
    <w:p w14:paraId="376C24DC" w14:textId="1D8C6C25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Moreta-Herrera, R., Mayorga-Lascano, M., &amp; Carrera-Aldás, J. (2019). Actitudes hacia el consumo de sustancias. Diferencias entre colegiales y universitarios en el 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lastRenderedPageBreak/>
        <w:t xml:space="preserve">Ecuador.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Revista Española de drogodependencias, 44</w:t>
      </w:r>
      <w:r w:rsidRPr="00E23BFC">
        <w:rPr>
          <w:rFonts w:ascii="Times New Roman" w:hAnsi="Times New Roman" w:cs="Times New Roman"/>
          <w:noProof/>
          <w:sz w:val="24"/>
          <w:szCs w:val="24"/>
          <w:lang w:val="es-MX"/>
        </w:rPr>
        <w:t>(3), 13-26.  https://pesquisa.bvsalud.org/portal/resource/pt/ibc-187422</w:t>
      </w:r>
    </w:p>
    <w:p w14:paraId="4ACEE383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Moreta-Herrera, R., Mayorga-Lascano, P., León-Tamayo, A., &amp; Ilaja-Verdesoto, B. (2018). Consumo de sustancias legales, ilegales y fármacos en adolescentes y factores de riesgo asociados a la exposición reciente.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Health and Addictions/Salud y drogas, 18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39-50. http://dx.doi.org/10.21134/haaj.v18i1.333.</w:t>
      </w:r>
    </w:p>
    <w:p w14:paraId="115BC635" w14:textId="2F798427" w:rsidR="00C22E12" w:rsidRDefault="003E1F00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3E1F00">
        <w:rPr>
          <w:rFonts w:ascii="Times New Roman" w:hAnsi="Times New Roman" w:cs="Times New Roman"/>
          <w:noProof/>
          <w:sz w:val="24"/>
          <w:szCs w:val="24"/>
        </w:rPr>
        <w:t xml:space="preserve">Moreta-Herrera, R.; Rodas, J.; Lara-Salazar, M. (2021). Factor validity of Alcohol use Disorders Identification Test (AUDIT) using robust estimations in Ecuadorian adolescents. </w:t>
      </w:r>
      <w:r w:rsidRPr="003E1F00">
        <w:rPr>
          <w:rFonts w:ascii="Times New Roman" w:hAnsi="Times New Roman" w:cs="Times New Roman"/>
          <w:i/>
          <w:iCs/>
          <w:noProof/>
          <w:sz w:val="24"/>
          <w:szCs w:val="24"/>
        </w:rPr>
        <w:t>Alcohol &amp; Alcoholism</w:t>
      </w:r>
      <w:r w:rsidRPr="003E1F00">
        <w:rPr>
          <w:rFonts w:ascii="Times New Roman" w:hAnsi="Times New Roman" w:cs="Times New Roman"/>
          <w:noProof/>
          <w:sz w:val="24"/>
          <w:szCs w:val="24"/>
        </w:rPr>
        <w:t>. 56(4), 482-489. https://doi.org/10.1093/alcalc/agaa126</w:t>
      </w:r>
    </w:p>
    <w:p w14:paraId="7DFAFF63" w14:textId="11DAC8F3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National Institutes of Health (NIH). (2015, June 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National Institutes for Health Turning Discovery into Health.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Retrieved from https://grants.nih.gov/grants/guide/notice-files/not-od-15-102.html</w:t>
      </w:r>
    </w:p>
    <w:p w14:paraId="21248143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Pan American Health Organization (PAHO). 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(2018).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Informe sobre el control del tabaco en la Región de las Américas.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E23BFC">
        <w:rPr>
          <w:rFonts w:ascii="Times New Roman" w:hAnsi="Times New Roman" w:cs="Times New Roman"/>
          <w:noProof/>
          <w:sz w:val="24"/>
          <w:szCs w:val="24"/>
        </w:rPr>
        <w:t>Washington D.C.: OPS.</w:t>
      </w:r>
    </w:p>
    <w:p w14:paraId="107FAA67" w14:textId="1E33B92D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Pedrelli, P., MacPherson, L., Khan, A. J., Shapero, B. G., Fisher, L. B., Nyer, M., &amp; Silveri, M. M. (2018). Sex differences in the association between heavy drinking and behavioral distress tolerance and emotional reactivity among non-depressed college students.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Alcohol and alcoholism, 53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(6), 674-681. . https://doi.org/10.1093/alcalc/agy045</w:t>
      </w:r>
    </w:p>
    <w:p w14:paraId="0CB8FAB4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Peltzer, K., &amp; Pengpid, S. (2018). Concurrent tobacco use and binge drinking among university students in 30 countries in Africa, Asia, Latin America, and the Caribbean.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Mental Health and Addiction, 16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(1), 164-174. https://doi.org/10.1007/s11469-017-9850-z.</w:t>
      </w:r>
    </w:p>
    <w:p w14:paraId="2F76713B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R Core Team. (2019).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R: A language and environment for statistical computing. , R Foundation for Statistical Computing.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Vienna, Austria: R Foundation for Statistical Computing.</w:t>
      </w:r>
    </w:p>
    <w:p w14:paraId="6DE2B3DB" w14:textId="7F71036A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Reddy, D. S. (2017). The neuroendocrine basis of sex differences in epilepsy.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Pharmacology Biochemistry and Behavior, 152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97-104. https://doi.org/10.1016/j.pbb.2016.07.002</w:t>
      </w:r>
    </w:p>
    <w:p w14:paraId="2D1AC714" w14:textId="23F946A3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Rich-Edwards, J. W., Kaiser, U. B., Chen, G. L., Manson, J. E., &amp; Goldstein, J. M. (2018). Sex and Gender Differences Research Design for Basic, Clinical, and Population Studies: Essentials for Investigators.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Endocrine Reviews, 39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>(4), 424–439. https://doi.org/10.1210/er.2017-00246</w:t>
      </w:r>
    </w:p>
    <w:p w14:paraId="7754211B" w14:textId="36E0861C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Ruisoto, P., Cacho, R., López-Goñi, J., Vaca, S., &amp; Jiménez, M. (2016).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Prevalence and profile of alcohol consumption among university students in Ecuador.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Gaceta Sanitaria, 30</w:t>
      </w: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>(5), 370-374. https://doi.org/10.1016/j.gaceta.2016.02.008</w:t>
      </w:r>
    </w:p>
    <w:p w14:paraId="7186F6A7" w14:textId="4DAA092C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Ruisoto, P., Vaca, S., López-Goñi, J., Cacho, R., &amp; Fernández-Suárez, I. (2017).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Gender Differences in Problematic Alcohol Consumption in University Professors.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Environmental Research and Public Health, 14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(9), 1069. https://doi.org/10.3390/ijerph14091069</w:t>
      </w:r>
    </w:p>
    <w:p w14:paraId="61B14998" w14:textId="3E1C8C6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Salvatore, J. E., Cho, S. B., &amp; Dick, D. M. (2017). 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Genes, Environments, and Sex Differences in Alcohol Research.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Journal of Studies on Alcohol and Drugs, 78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(4), 494-501. https://doi.org/10.15288/jsad.2017.78.494</w:t>
      </w:r>
    </w:p>
    <w:p w14:paraId="69613FD5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Saunders, J., Aasland, O., Babor, T., De la Fuente, J., &amp; Grant, M. (1993). Development of the Alcohol Use Disorders Identification Test (AUDIT): WHO collaborative project on early detection of persons with harmful alcohol consumption-II.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Addiction, 88</w:t>
      </w:r>
      <w:r w:rsidRPr="00E23BFC">
        <w:rPr>
          <w:rFonts w:ascii="Times New Roman" w:hAnsi="Times New Roman" w:cs="Times New Roman"/>
          <w:noProof/>
          <w:sz w:val="24"/>
          <w:szCs w:val="24"/>
        </w:rPr>
        <w:t>, 791-804. https://doi.org/10.1111/j.1360-0443.1993.tb02093.x.</w:t>
      </w:r>
    </w:p>
    <w:p w14:paraId="52DAB2A2" w14:textId="247DB60B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(2018).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Global Status Report on Alcohol and Health 2018.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E23BFC">
        <w:rPr>
          <w:rFonts w:ascii="Times New Roman" w:hAnsi="Times New Roman" w:cs="Times New Roman"/>
          <w:noProof/>
          <w:sz w:val="24"/>
          <w:szCs w:val="24"/>
        </w:rPr>
        <w:t>: World Health Organization.</w:t>
      </w:r>
    </w:p>
    <w:p w14:paraId="2B03CC0A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(2019).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WHO Report on the Global Tobacco Epidemic.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Geneva: World Health Organization.</w:t>
      </w:r>
    </w:p>
    <w:p w14:paraId="4BB777A5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(2019).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WHO global report on trends in prevalence of tobacco use 2000-2025.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Geneva: World Health Organization.</w:t>
      </w:r>
    </w:p>
    <w:p w14:paraId="5875D0E1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(WHO). (2020).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Tobacco Use and Mental Health Conditions.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Copenhagen: World Health Organization.</w:t>
      </w:r>
    </w:p>
    <w:p w14:paraId="3ADB1CB5" w14:textId="77777777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World Health Organization [WHO]. (1992).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AUDIT. The Alcohol Use Disorders Identification Test: guidelines for use in primary health care.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 Geneva: WHO.</w:t>
      </w:r>
    </w:p>
    <w:p w14:paraId="02E924D9" w14:textId="04C46FDA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Yang, W., Warrington, N. M., Taylor, S. J., Whitmire, P., Carrasco, E., Singleton, K. W., . . . Rubin, J. B. (2019). Sex differences in GBM revealed by analysis of </w:t>
      </w:r>
      <w:r w:rsidRPr="00E23BF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patient imaging, transcriptome, and survival data.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Science Translational Medicine, 11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(473). </w:t>
      </w:r>
      <w:r w:rsidR="00180944">
        <w:rPr>
          <w:rFonts w:ascii="Times New Roman" w:hAnsi="Times New Roman" w:cs="Times New Roman"/>
          <w:noProof/>
          <w:sz w:val="24"/>
          <w:szCs w:val="24"/>
        </w:rPr>
        <w:t>https://doi.org/</w:t>
      </w:r>
      <w:r w:rsidRPr="00E23BFC">
        <w:rPr>
          <w:rFonts w:ascii="Times New Roman" w:hAnsi="Times New Roman" w:cs="Times New Roman"/>
          <w:noProof/>
          <w:sz w:val="24"/>
          <w:szCs w:val="24"/>
        </w:rPr>
        <w:t>10.1126/scitranslmed.aao5253</w:t>
      </w:r>
    </w:p>
    <w:p w14:paraId="45374B2F" w14:textId="6430D566" w:rsidR="00E23BFC" w:rsidRPr="00E23BFC" w:rsidRDefault="00E23BFC" w:rsidP="00E23BFC">
      <w:pPr>
        <w:pStyle w:val="Bibliography"/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Zang, Y., Wang, R., Miao, L., Zhu, L., Jiang, H., &amp; Yuan, H. (2015). Different levels in alcohol and tobacco consumption in head and neck cancer patients from 1957 to 2013. </w:t>
      </w:r>
      <w:r w:rsidRPr="00E23BFC">
        <w:rPr>
          <w:rFonts w:ascii="Times New Roman" w:hAnsi="Times New Roman" w:cs="Times New Roman"/>
          <w:i/>
          <w:iCs/>
          <w:noProof/>
          <w:sz w:val="24"/>
          <w:szCs w:val="24"/>
        </w:rPr>
        <w:t>Plos One, 10</w:t>
      </w:r>
      <w:r w:rsidRPr="00E23BFC">
        <w:rPr>
          <w:rFonts w:ascii="Times New Roman" w:hAnsi="Times New Roman" w:cs="Times New Roman"/>
          <w:noProof/>
          <w:sz w:val="24"/>
          <w:szCs w:val="24"/>
        </w:rPr>
        <w:t xml:space="preserve">(4), 1-13. </w:t>
      </w:r>
      <w:r w:rsidR="00180944">
        <w:rPr>
          <w:rFonts w:ascii="Times New Roman" w:hAnsi="Times New Roman" w:cs="Times New Roman"/>
          <w:noProof/>
          <w:sz w:val="24"/>
          <w:szCs w:val="24"/>
        </w:rPr>
        <w:t>https://doi.org/</w:t>
      </w:r>
      <w:r w:rsidRPr="00E23BFC">
        <w:rPr>
          <w:rFonts w:ascii="Times New Roman" w:hAnsi="Times New Roman" w:cs="Times New Roman"/>
          <w:noProof/>
          <w:sz w:val="24"/>
          <w:szCs w:val="24"/>
        </w:rPr>
        <w:t>10.1371/journal.pone.0124045</w:t>
      </w:r>
    </w:p>
    <w:p w14:paraId="2E64B503" w14:textId="52102AB8" w:rsidR="00216F8B" w:rsidRPr="00EF776D" w:rsidRDefault="00017DD9" w:rsidP="00E23BF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23BF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359C47B3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FF1F7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471EC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1A6FF" w14:textId="77777777" w:rsidR="00216F8B" w:rsidRPr="00EF776D" w:rsidRDefault="00216F8B" w:rsidP="00FF5B0E">
      <w:pPr>
        <w:shd w:val="clear" w:color="auto" w:fill="FFFFFF" w:themeFill="background1"/>
        <w:autoSpaceDE w:val="0"/>
        <w:autoSpaceDN w:val="0"/>
        <w:adjustRightInd w:val="0"/>
        <w:spacing w:after="0" w:line="40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32365" w14:textId="76CF656D" w:rsidR="00D859EB" w:rsidRPr="00EF776D" w:rsidRDefault="00D859EB" w:rsidP="00FF5B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D859EB" w:rsidRPr="00EF7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7F8EF" w14:textId="77777777" w:rsidR="00F26431" w:rsidRDefault="00F26431" w:rsidP="001D0C3C">
      <w:pPr>
        <w:spacing w:after="0" w:line="240" w:lineRule="auto"/>
      </w:pPr>
      <w:r>
        <w:separator/>
      </w:r>
    </w:p>
  </w:endnote>
  <w:endnote w:type="continuationSeparator" w:id="0">
    <w:p w14:paraId="6F688C5B" w14:textId="77777777" w:rsidR="00F26431" w:rsidRDefault="00F26431" w:rsidP="001D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FE027" w14:textId="77777777" w:rsidR="00F26431" w:rsidRDefault="00F26431" w:rsidP="001D0C3C">
      <w:pPr>
        <w:spacing w:after="0" w:line="240" w:lineRule="auto"/>
      </w:pPr>
      <w:r>
        <w:separator/>
      </w:r>
    </w:p>
  </w:footnote>
  <w:footnote w:type="continuationSeparator" w:id="0">
    <w:p w14:paraId="430B39A8" w14:textId="77777777" w:rsidR="00F26431" w:rsidRDefault="00F26431" w:rsidP="001D0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sTA2tTAzMbawNDVW0lEKTi0uzszPAykwrgUAWZ2XPiwAAAA="/>
  </w:docVars>
  <w:rsids>
    <w:rsidRoot w:val="00660471"/>
    <w:rsid w:val="00017DD9"/>
    <w:rsid w:val="00024601"/>
    <w:rsid w:val="00030087"/>
    <w:rsid w:val="00031956"/>
    <w:rsid w:val="00032075"/>
    <w:rsid w:val="00036C98"/>
    <w:rsid w:val="000410AB"/>
    <w:rsid w:val="000575BE"/>
    <w:rsid w:val="000858F2"/>
    <w:rsid w:val="00090EFC"/>
    <w:rsid w:val="00092A82"/>
    <w:rsid w:val="00094BD5"/>
    <w:rsid w:val="000A1D80"/>
    <w:rsid w:val="000A1E12"/>
    <w:rsid w:val="000A3D91"/>
    <w:rsid w:val="000A4586"/>
    <w:rsid w:val="000A6AD4"/>
    <w:rsid w:val="000B7F3F"/>
    <w:rsid w:val="000D557F"/>
    <w:rsid w:val="000D753E"/>
    <w:rsid w:val="000F578C"/>
    <w:rsid w:val="000F6770"/>
    <w:rsid w:val="00100C5F"/>
    <w:rsid w:val="001136EC"/>
    <w:rsid w:val="0011455F"/>
    <w:rsid w:val="0011619E"/>
    <w:rsid w:val="00122E78"/>
    <w:rsid w:val="001249A7"/>
    <w:rsid w:val="001309D9"/>
    <w:rsid w:val="00135288"/>
    <w:rsid w:val="00145683"/>
    <w:rsid w:val="00157039"/>
    <w:rsid w:val="00160C26"/>
    <w:rsid w:val="00176863"/>
    <w:rsid w:val="00180944"/>
    <w:rsid w:val="00180E13"/>
    <w:rsid w:val="001919D4"/>
    <w:rsid w:val="00193CA1"/>
    <w:rsid w:val="001B2CFA"/>
    <w:rsid w:val="001C16FF"/>
    <w:rsid w:val="001C7606"/>
    <w:rsid w:val="001D0C3C"/>
    <w:rsid w:val="001F2289"/>
    <w:rsid w:val="00203B6D"/>
    <w:rsid w:val="002112B4"/>
    <w:rsid w:val="00211FDE"/>
    <w:rsid w:val="00215D80"/>
    <w:rsid w:val="00216E92"/>
    <w:rsid w:val="00216F8B"/>
    <w:rsid w:val="002173DD"/>
    <w:rsid w:val="0022108D"/>
    <w:rsid w:val="00234BDD"/>
    <w:rsid w:val="002351E1"/>
    <w:rsid w:val="00240933"/>
    <w:rsid w:val="002418EC"/>
    <w:rsid w:val="00241B93"/>
    <w:rsid w:val="00245446"/>
    <w:rsid w:val="00246573"/>
    <w:rsid w:val="002529C4"/>
    <w:rsid w:val="00257D8B"/>
    <w:rsid w:val="0026761D"/>
    <w:rsid w:val="00270867"/>
    <w:rsid w:val="002828A0"/>
    <w:rsid w:val="00290A0A"/>
    <w:rsid w:val="002957E3"/>
    <w:rsid w:val="00295FD1"/>
    <w:rsid w:val="002962EE"/>
    <w:rsid w:val="002B04AC"/>
    <w:rsid w:val="002B4231"/>
    <w:rsid w:val="002B4A4D"/>
    <w:rsid w:val="002B6AFA"/>
    <w:rsid w:val="002B7C1D"/>
    <w:rsid w:val="002C3CDE"/>
    <w:rsid w:val="002C7774"/>
    <w:rsid w:val="002D1DBB"/>
    <w:rsid w:val="002D1E7B"/>
    <w:rsid w:val="002D1F71"/>
    <w:rsid w:val="00305B49"/>
    <w:rsid w:val="003143CD"/>
    <w:rsid w:val="00314584"/>
    <w:rsid w:val="00334724"/>
    <w:rsid w:val="003412D1"/>
    <w:rsid w:val="00346B29"/>
    <w:rsid w:val="003531CD"/>
    <w:rsid w:val="00357F70"/>
    <w:rsid w:val="00361D0B"/>
    <w:rsid w:val="0037083D"/>
    <w:rsid w:val="00375D14"/>
    <w:rsid w:val="003849CA"/>
    <w:rsid w:val="003864A9"/>
    <w:rsid w:val="00391330"/>
    <w:rsid w:val="00397AC8"/>
    <w:rsid w:val="00397FF3"/>
    <w:rsid w:val="003A201A"/>
    <w:rsid w:val="003B0EBE"/>
    <w:rsid w:val="003B13B7"/>
    <w:rsid w:val="003B589A"/>
    <w:rsid w:val="003B7B77"/>
    <w:rsid w:val="003C20FB"/>
    <w:rsid w:val="003C42D1"/>
    <w:rsid w:val="003D31CC"/>
    <w:rsid w:val="003D49ED"/>
    <w:rsid w:val="003D5FA3"/>
    <w:rsid w:val="003E1C1F"/>
    <w:rsid w:val="003E1F00"/>
    <w:rsid w:val="003F4D0D"/>
    <w:rsid w:val="004021D2"/>
    <w:rsid w:val="00406CDF"/>
    <w:rsid w:val="00410BFD"/>
    <w:rsid w:val="004177F3"/>
    <w:rsid w:val="00424B04"/>
    <w:rsid w:val="00431C12"/>
    <w:rsid w:val="0043345F"/>
    <w:rsid w:val="00434463"/>
    <w:rsid w:val="00435484"/>
    <w:rsid w:val="00454E4F"/>
    <w:rsid w:val="00473298"/>
    <w:rsid w:val="0047356A"/>
    <w:rsid w:val="004810C3"/>
    <w:rsid w:val="00487E6B"/>
    <w:rsid w:val="004906B8"/>
    <w:rsid w:val="004912CA"/>
    <w:rsid w:val="004944A2"/>
    <w:rsid w:val="00494EBE"/>
    <w:rsid w:val="004A0B3D"/>
    <w:rsid w:val="004A410D"/>
    <w:rsid w:val="004A65E4"/>
    <w:rsid w:val="004A6659"/>
    <w:rsid w:val="004B5B51"/>
    <w:rsid w:val="004B5BAF"/>
    <w:rsid w:val="004C399E"/>
    <w:rsid w:val="004C773C"/>
    <w:rsid w:val="004D34E0"/>
    <w:rsid w:val="004D7C84"/>
    <w:rsid w:val="004E0F12"/>
    <w:rsid w:val="004E2673"/>
    <w:rsid w:val="004E2DBF"/>
    <w:rsid w:val="004F1F2E"/>
    <w:rsid w:val="005022AC"/>
    <w:rsid w:val="00505C95"/>
    <w:rsid w:val="00512479"/>
    <w:rsid w:val="005173E8"/>
    <w:rsid w:val="005213F1"/>
    <w:rsid w:val="00525BD5"/>
    <w:rsid w:val="00526DD9"/>
    <w:rsid w:val="005423D4"/>
    <w:rsid w:val="00543948"/>
    <w:rsid w:val="00543C12"/>
    <w:rsid w:val="00545BF7"/>
    <w:rsid w:val="0056258B"/>
    <w:rsid w:val="005661BD"/>
    <w:rsid w:val="00573127"/>
    <w:rsid w:val="00577A08"/>
    <w:rsid w:val="00577BB1"/>
    <w:rsid w:val="00592F0A"/>
    <w:rsid w:val="00597E4E"/>
    <w:rsid w:val="005A161C"/>
    <w:rsid w:val="005A3286"/>
    <w:rsid w:val="005A78F2"/>
    <w:rsid w:val="005B3944"/>
    <w:rsid w:val="005B7142"/>
    <w:rsid w:val="005C4436"/>
    <w:rsid w:val="005C63A0"/>
    <w:rsid w:val="005F1856"/>
    <w:rsid w:val="005F738D"/>
    <w:rsid w:val="006120A4"/>
    <w:rsid w:val="00620E1C"/>
    <w:rsid w:val="00623B51"/>
    <w:rsid w:val="006256CA"/>
    <w:rsid w:val="00634DE1"/>
    <w:rsid w:val="00641F57"/>
    <w:rsid w:val="00644E92"/>
    <w:rsid w:val="00645D3E"/>
    <w:rsid w:val="00646FDD"/>
    <w:rsid w:val="00650677"/>
    <w:rsid w:val="006568E8"/>
    <w:rsid w:val="00656A34"/>
    <w:rsid w:val="00660471"/>
    <w:rsid w:val="00663BEB"/>
    <w:rsid w:val="006702EA"/>
    <w:rsid w:val="00682757"/>
    <w:rsid w:val="00690E8C"/>
    <w:rsid w:val="00691467"/>
    <w:rsid w:val="0069283F"/>
    <w:rsid w:val="00693C5E"/>
    <w:rsid w:val="00696989"/>
    <w:rsid w:val="006A02BB"/>
    <w:rsid w:val="006A03E3"/>
    <w:rsid w:val="006A567E"/>
    <w:rsid w:val="006A730F"/>
    <w:rsid w:val="006D1AD9"/>
    <w:rsid w:val="006D31BC"/>
    <w:rsid w:val="006D5B86"/>
    <w:rsid w:val="006D72B2"/>
    <w:rsid w:val="006E159B"/>
    <w:rsid w:val="006F3DE5"/>
    <w:rsid w:val="00713D2F"/>
    <w:rsid w:val="00720BD4"/>
    <w:rsid w:val="00722357"/>
    <w:rsid w:val="00723A8B"/>
    <w:rsid w:val="00725046"/>
    <w:rsid w:val="00725915"/>
    <w:rsid w:val="0072628A"/>
    <w:rsid w:val="00737B80"/>
    <w:rsid w:val="0074664E"/>
    <w:rsid w:val="007516CC"/>
    <w:rsid w:val="0075217F"/>
    <w:rsid w:val="007611D8"/>
    <w:rsid w:val="00763CF1"/>
    <w:rsid w:val="007659C9"/>
    <w:rsid w:val="007757E8"/>
    <w:rsid w:val="00776AC1"/>
    <w:rsid w:val="00782730"/>
    <w:rsid w:val="007828BF"/>
    <w:rsid w:val="007859DD"/>
    <w:rsid w:val="007A577D"/>
    <w:rsid w:val="007C2877"/>
    <w:rsid w:val="007C73E4"/>
    <w:rsid w:val="007E573D"/>
    <w:rsid w:val="007F0806"/>
    <w:rsid w:val="007F5971"/>
    <w:rsid w:val="007F6C75"/>
    <w:rsid w:val="00812E6E"/>
    <w:rsid w:val="0081709C"/>
    <w:rsid w:val="0085071E"/>
    <w:rsid w:val="00852A59"/>
    <w:rsid w:val="008622CE"/>
    <w:rsid w:val="008704B3"/>
    <w:rsid w:val="008712BA"/>
    <w:rsid w:val="0087602A"/>
    <w:rsid w:val="00880AC8"/>
    <w:rsid w:val="00880C1C"/>
    <w:rsid w:val="00880E19"/>
    <w:rsid w:val="00893DB5"/>
    <w:rsid w:val="008A6419"/>
    <w:rsid w:val="008A7364"/>
    <w:rsid w:val="008B1A6E"/>
    <w:rsid w:val="008B7CCD"/>
    <w:rsid w:val="008C3CEE"/>
    <w:rsid w:val="008C78A5"/>
    <w:rsid w:val="008D0BB4"/>
    <w:rsid w:val="008D5962"/>
    <w:rsid w:val="008D65D8"/>
    <w:rsid w:val="008E0889"/>
    <w:rsid w:val="008E2192"/>
    <w:rsid w:val="008E25C7"/>
    <w:rsid w:val="008E4F50"/>
    <w:rsid w:val="008E5F49"/>
    <w:rsid w:val="008F5EC7"/>
    <w:rsid w:val="00900A4B"/>
    <w:rsid w:val="00916BC7"/>
    <w:rsid w:val="00917406"/>
    <w:rsid w:val="00917E45"/>
    <w:rsid w:val="0092447E"/>
    <w:rsid w:val="0092659D"/>
    <w:rsid w:val="0093725D"/>
    <w:rsid w:val="00945526"/>
    <w:rsid w:val="00945F97"/>
    <w:rsid w:val="009467B0"/>
    <w:rsid w:val="00947350"/>
    <w:rsid w:val="009502CE"/>
    <w:rsid w:val="00950542"/>
    <w:rsid w:val="0095730B"/>
    <w:rsid w:val="00960466"/>
    <w:rsid w:val="00964A2B"/>
    <w:rsid w:val="00965398"/>
    <w:rsid w:val="00967FFD"/>
    <w:rsid w:val="00974871"/>
    <w:rsid w:val="009850B5"/>
    <w:rsid w:val="00992D1B"/>
    <w:rsid w:val="009A1626"/>
    <w:rsid w:val="009A1CC3"/>
    <w:rsid w:val="009A1EDA"/>
    <w:rsid w:val="009B2110"/>
    <w:rsid w:val="009B481D"/>
    <w:rsid w:val="009C24AE"/>
    <w:rsid w:val="009C5C3E"/>
    <w:rsid w:val="009C6912"/>
    <w:rsid w:val="009D7460"/>
    <w:rsid w:val="009E5F6D"/>
    <w:rsid w:val="009F02FB"/>
    <w:rsid w:val="009F28E2"/>
    <w:rsid w:val="009F7104"/>
    <w:rsid w:val="00A016D6"/>
    <w:rsid w:val="00A06D8A"/>
    <w:rsid w:val="00A1344D"/>
    <w:rsid w:val="00A165D1"/>
    <w:rsid w:val="00A228DE"/>
    <w:rsid w:val="00A24CFE"/>
    <w:rsid w:val="00A25BAF"/>
    <w:rsid w:val="00A25EC6"/>
    <w:rsid w:val="00A32178"/>
    <w:rsid w:val="00A33C1D"/>
    <w:rsid w:val="00A47DAC"/>
    <w:rsid w:val="00A50BB8"/>
    <w:rsid w:val="00A56606"/>
    <w:rsid w:val="00A66954"/>
    <w:rsid w:val="00A75595"/>
    <w:rsid w:val="00A80BCB"/>
    <w:rsid w:val="00A872D7"/>
    <w:rsid w:val="00A87B99"/>
    <w:rsid w:val="00AB016A"/>
    <w:rsid w:val="00AE1176"/>
    <w:rsid w:val="00AE504C"/>
    <w:rsid w:val="00AE7B00"/>
    <w:rsid w:val="00AF33C1"/>
    <w:rsid w:val="00B07004"/>
    <w:rsid w:val="00B074A8"/>
    <w:rsid w:val="00B10BA9"/>
    <w:rsid w:val="00B12EA9"/>
    <w:rsid w:val="00B24C5A"/>
    <w:rsid w:val="00B30C0B"/>
    <w:rsid w:val="00B408D4"/>
    <w:rsid w:val="00B41215"/>
    <w:rsid w:val="00B51295"/>
    <w:rsid w:val="00B51846"/>
    <w:rsid w:val="00B52073"/>
    <w:rsid w:val="00B569E0"/>
    <w:rsid w:val="00B57A11"/>
    <w:rsid w:val="00B61034"/>
    <w:rsid w:val="00B61E93"/>
    <w:rsid w:val="00B82BE6"/>
    <w:rsid w:val="00B90D99"/>
    <w:rsid w:val="00B9236A"/>
    <w:rsid w:val="00B96F55"/>
    <w:rsid w:val="00BC592A"/>
    <w:rsid w:val="00BD7EEA"/>
    <w:rsid w:val="00BF7D7C"/>
    <w:rsid w:val="00C00F44"/>
    <w:rsid w:val="00C03F47"/>
    <w:rsid w:val="00C202AD"/>
    <w:rsid w:val="00C22AE9"/>
    <w:rsid w:val="00C22E12"/>
    <w:rsid w:val="00C239EA"/>
    <w:rsid w:val="00C25CDD"/>
    <w:rsid w:val="00C3015D"/>
    <w:rsid w:val="00C321D8"/>
    <w:rsid w:val="00C56EEA"/>
    <w:rsid w:val="00C67B60"/>
    <w:rsid w:val="00C80C48"/>
    <w:rsid w:val="00C9351A"/>
    <w:rsid w:val="00CB17E3"/>
    <w:rsid w:val="00CB268A"/>
    <w:rsid w:val="00CB5019"/>
    <w:rsid w:val="00CB543D"/>
    <w:rsid w:val="00CD4E9E"/>
    <w:rsid w:val="00CD6C74"/>
    <w:rsid w:val="00D11F33"/>
    <w:rsid w:val="00D1349F"/>
    <w:rsid w:val="00D23FDE"/>
    <w:rsid w:val="00D3567F"/>
    <w:rsid w:val="00D447D8"/>
    <w:rsid w:val="00D54373"/>
    <w:rsid w:val="00D55E2D"/>
    <w:rsid w:val="00D803E4"/>
    <w:rsid w:val="00D859EB"/>
    <w:rsid w:val="00D92DC0"/>
    <w:rsid w:val="00D93158"/>
    <w:rsid w:val="00D93F77"/>
    <w:rsid w:val="00DA107A"/>
    <w:rsid w:val="00DA69BA"/>
    <w:rsid w:val="00DB3351"/>
    <w:rsid w:val="00DD4D09"/>
    <w:rsid w:val="00DE426E"/>
    <w:rsid w:val="00DF3B41"/>
    <w:rsid w:val="00E073EC"/>
    <w:rsid w:val="00E134CA"/>
    <w:rsid w:val="00E1532B"/>
    <w:rsid w:val="00E23BFC"/>
    <w:rsid w:val="00E27A90"/>
    <w:rsid w:val="00E417A5"/>
    <w:rsid w:val="00E52A7A"/>
    <w:rsid w:val="00E545AC"/>
    <w:rsid w:val="00E566CD"/>
    <w:rsid w:val="00E70F51"/>
    <w:rsid w:val="00E7494E"/>
    <w:rsid w:val="00E74CA4"/>
    <w:rsid w:val="00E74D52"/>
    <w:rsid w:val="00E848DD"/>
    <w:rsid w:val="00E857B4"/>
    <w:rsid w:val="00E932FD"/>
    <w:rsid w:val="00E96E84"/>
    <w:rsid w:val="00EA307D"/>
    <w:rsid w:val="00EA5239"/>
    <w:rsid w:val="00EA7F85"/>
    <w:rsid w:val="00EB1D36"/>
    <w:rsid w:val="00EB7C7E"/>
    <w:rsid w:val="00EC025F"/>
    <w:rsid w:val="00EC21C1"/>
    <w:rsid w:val="00EC3883"/>
    <w:rsid w:val="00EC7813"/>
    <w:rsid w:val="00ED4022"/>
    <w:rsid w:val="00EE4B94"/>
    <w:rsid w:val="00EE5EBB"/>
    <w:rsid w:val="00EE6497"/>
    <w:rsid w:val="00EF5F07"/>
    <w:rsid w:val="00EF776D"/>
    <w:rsid w:val="00F0082F"/>
    <w:rsid w:val="00F0217C"/>
    <w:rsid w:val="00F106F9"/>
    <w:rsid w:val="00F26431"/>
    <w:rsid w:val="00F3035B"/>
    <w:rsid w:val="00F31124"/>
    <w:rsid w:val="00F3601B"/>
    <w:rsid w:val="00F37E6C"/>
    <w:rsid w:val="00F55BE5"/>
    <w:rsid w:val="00F602A9"/>
    <w:rsid w:val="00F61162"/>
    <w:rsid w:val="00F6118A"/>
    <w:rsid w:val="00F702E6"/>
    <w:rsid w:val="00F71914"/>
    <w:rsid w:val="00F7767C"/>
    <w:rsid w:val="00F77B0E"/>
    <w:rsid w:val="00F8052C"/>
    <w:rsid w:val="00F95E19"/>
    <w:rsid w:val="00F966F4"/>
    <w:rsid w:val="00FA4917"/>
    <w:rsid w:val="00FA6433"/>
    <w:rsid w:val="00FB00A2"/>
    <w:rsid w:val="00FB2F61"/>
    <w:rsid w:val="00FC06F7"/>
    <w:rsid w:val="00FC0D34"/>
    <w:rsid w:val="00FC2D8E"/>
    <w:rsid w:val="00FC42BD"/>
    <w:rsid w:val="00FE5D3F"/>
    <w:rsid w:val="00FF19D7"/>
    <w:rsid w:val="00FF5B0E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7BE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1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6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E74D52"/>
  </w:style>
  <w:style w:type="paragraph" w:styleId="BalloonText">
    <w:name w:val="Balloon Text"/>
    <w:basedOn w:val="Normal"/>
    <w:link w:val="BalloonTextChar"/>
    <w:uiPriority w:val="99"/>
    <w:semiHidden/>
    <w:unhideWhenUsed/>
    <w:rsid w:val="00F7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E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1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1D80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eading1Char">
    <w:name w:val="Heading 1 Char"/>
    <w:basedOn w:val="DefaultParagraphFont"/>
    <w:link w:val="Heading1"/>
    <w:uiPriority w:val="9"/>
    <w:rsid w:val="00216F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1D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3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5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D3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D3F"/>
    <w:rPr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6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F70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7F7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1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6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E74D52"/>
  </w:style>
  <w:style w:type="paragraph" w:styleId="BalloonText">
    <w:name w:val="Balloon Text"/>
    <w:basedOn w:val="Normal"/>
    <w:link w:val="BalloonTextChar"/>
    <w:uiPriority w:val="99"/>
    <w:semiHidden/>
    <w:unhideWhenUsed/>
    <w:rsid w:val="00F7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E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1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1D80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eading1Char">
    <w:name w:val="Heading 1 Char"/>
    <w:basedOn w:val="DefaultParagraphFont"/>
    <w:link w:val="Heading1"/>
    <w:uiPriority w:val="9"/>
    <w:rsid w:val="00216F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1D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3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5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D3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D3F"/>
    <w:rPr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6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F70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Sau93</b:Tag>
    <b:SourceType>JournalArticle</b:SourceType>
    <b:Guid>{47905DF7-3985-4AF0-90B6-E2BD071E314B}</b:Guid>
    <b:Title>Development of the Alcohol Use Disorders Identification Test (AUDIT): WHO collaborative project on early detection of persons with harmful alcohol consumption-II</b:Title>
    <b:Year>1993</b:Year>
    <b:Author>
      <b:Author>
        <b:NameList>
          <b:Person>
            <b:Last>Saunders</b:Last>
            <b:First>J.B.</b:First>
          </b:Person>
          <b:Person>
            <b:Last>Aasland</b:Last>
            <b:First>O.G.</b:First>
          </b:Person>
          <b:Person>
            <b:Last>Babor</b:Last>
            <b:First>T.F.</b:First>
          </b:Person>
          <b:Person>
            <b:Last>De la Fuente</b:Last>
            <b:First>J.</b:First>
          </b:Person>
          <b:Person>
            <b:Last>Grant</b:Last>
            <b:First>M.</b:First>
          </b:Person>
        </b:NameList>
      </b:Author>
    </b:Author>
    <b:JournalName>Addiction</b:JournalName>
    <b:Pages>791-804. https://doi.org/10.1111/j.1360-0443.1993.tb02093.x</b:Pages>
    <b:Volume>88</b:Volume>
    <b:RefOrder>3</b:RefOrder>
  </b:Source>
  <b:Source>
    <b:Tag>Wor921</b:Tag>
    <b:SourceType>Book</b:SourceType>
    <b:Guid>{CFBEA308-F4C9-433B-A622-731D4127C2AD}</b:Guid>
    <b:Title>AUDIT. The Alcohol Use Disorders Identification Test: guidelines for use in primary health care</b:Title>
    <b:Year>1992</b:Year>
    <b:Author>
      <b:Author>
        <b:Corporate>World Health Organization [WHO]</b:Corporate>
      </b:Author>
    </b:Author>
    <b:City>Geneva</b:City>
    <b:Publisher>WHO</b:Publisher>
    <b:RefOrder>4</b:RefOrder>
  </b:Source>
  <b:Source>
    <b:Tag>Ato13</b:Tag>
    <b:SourceType>JournalArticle</b:SourceType>
    <b:Guid>{FB80EAA6-72E1-4C5C-9194-D20FAF0A3714}</b:Guid>
    <b:Author>
      <b:Author>
        <b:NameList>
          <b:Person>
            <b:Last>Ato</b:Last>
            <b:First>M.</b:First>
          </b:Person>
          <b:Person>
            <b:Last>López</b:Last>
            <b:First>J.</b:First>
          </b:Person>
          <b:Person>
            <b:Last>Benavente</b:Last>
            <b:First>A.</b:First>
          </b:Person>
        </b:NameList>
      </b:Author>
    </b:Author>
    <b:Title>Un sistema de clasificación de los diseños de investigación en psicología</b:Title>
    <b:JournalName>Anales de Psicología</b:JournalName>
    <b:Year>2013</b:Year>
    <b:Pages>1038-1059. https://doi.org/10.6018/analesps.29.3.178511</b:Pages>
    <b:Volume>29</b:Volume>
    <b:Issue>3</b:Issue>
    <b:RefOrder>5</b:RefOrder>
  </b:Source>
  <b:Source>
    <b:Tag>May19</b:Tag>
    <b:SourceType>JournalArticle</b:SourceType>
    <b:Guid>{17ED527E-9C10-4692-B177-5FD870D8B476}</b:Guid>
    <b:Author>
      <b:Author>
        <b:NameList>
          <b:Person>
            <b:Last>Mayorga-Lascano</b:Last>
            <b:First>M.</b:First>
          </b:Person>
          <b:Person>
            <b:Last>Moreta-Herrera</b:Last>
            <b:First>R.</b:First>
          </b:Person>
          <b:Person>
            <b:Last>León-Tamayo</b:Last>
            <b:First>L.</b:First>
          </b:Person>
          <b:Person>
            <b:Last>Troncozo-Guevara</b:Last>
            <b:First>M.B.</b:First>
          </b:Person>
        </b:NameList>
      </b:Author>
    </b:Author>
    <b:Title>Actitudes favorables y consumo de alcohol en adolescentes ecuatorianos. Análisis correlacional y comparativo entre grupos de riesgo y no riesgo</b:Title>
    <b:JournalName>Health &amp; addictions/Salud y drogas</b:JournalName>
    <b:Year>2019</b:Year>
    <b:Volume>19</b:Volume>
    <b:Issue>2</b:Issue>
    <b:Pages>139-138. https://doi.org/10.21134/haaj.v19i2.455</b:Pages>
    <b:RefOrder>6</b:RefOrder>
  </b:Source>
  <b:Source>
    <b:Tag>Mor17</b:Tag>
    <b:SourceType>JournalArticle</b:SourceType>
    <b:Guid>{924829A2-700C-4EB2-A171-677031383910}</b:Guid>
    <b:Author>
      <b:Author>
        <b:NameList>
          <b:Person>
            <b:Last>Moreta-Herrera</b:Last>
            <b:First>R.</b:First>
          </b:Person>
          <b:Person>
            <b:Last>Mayorga-Lascano</b:Last>
            <b:First>P.</b:First>
          </b:Person>
          <b:Person>
            <b:Last>León-Tamayo</b:Last>
            <b:First>A.</b:First>
          </b:Person>
          <b:Person>
            <b:Last>Ilaja-Verdesoto</b:Last>
            <b:First>B.</b:First>
          </b:Person>
        </b:NameList>
      </b:Author>
    </b:Author>
    <b:Title>Consumo de sustancias legales, ilegales y fármacos en adolescentes y factores de riesgo asociados a la exposición reciente</b:Title>
    <b:JournalName>Health and Addictions/Salud y drogas</b:JournalName>
    <b:Year>2018</b:Year>
    <b:Pages>39-50. http://dx.doi.org/10.21134/haaj.v18i1.333</b:Pages>
    <b:Volume>18</b:Volume>
    <b:Issue>1</b:Issue>
    <b:RefOrder>7</b:RefOrder>
  </b:Source>
  <b:Source>
    <b:Tag>Wor18</b:Tag>
    <b:SourceType>Report</b:SourceType>
    <b:Guid>{400C9A53-EC60-407E-AFD9-09CF82600065}</b:Guid>
    <b:Author>
      <b:Author>
        <b:Corporate>World Health Organization (WHO)</b:Corporate>
      </b:Author>
    </b:Author>
    <b:Title>Global Status Report on Alcohol and Health 2018</b:Title>
    <b:Year>2018</b:Year>
    <b:Publisher>World Health Organization</b:Publisher>
    <b:City>Geneve</b:City>
    <b:RefOrder>8</b:RefOrder>
  </b:Source>
  <b:Source>
    <b:Tag>Wor19</b:Tag>
    <b:SourceType>Report</b:SourceType>
    <b:Guid>{97ED45D9-6B2E-46E6-AF41-8B45C4E00131}</b:Guid>
    <b:Author>
      <b:Author>
        <b:Corporate>World Health Organization (WHO)</b:Corporate>
      </b:Author>
    </b:Author>
    <b:Title> WHO Report on the Global Tobacco Epidemic</b:Title>
    <b:Year>2019</b:Year>
    <b:Publisher>World Health Organization</b:Publisher>
    <b:City>Geneva</b:City>
    <b:RefOrder>9</b:RefOrder>
  </b:Source>
  <b:Source>
    <b:Tag>Wor20</b:Tag>
    <b:SourceType>Report</b:SourceType>
    <b:Guid>{6A829043-1B45-4764-90FE-1B64BEA5F346}</b:Guid>
    <b:Author>
      <b:Author>
        <b:Corporate>World Health Organization (WHO)</b:Corporate>
      </b:Author>
    </b:Author>
    <b:Title>Tobacco Use and Mental Health Conditions</b:Title>
    <b:Year>2020</b:Year>
    <b:Publisher>World Health Organization</b:Publisher>
    <b:City>Copenhagen</b:City>
    <b:RefOrder>10</b:RefOrder>
  </b:Source>
  <b:Source>
    <b:Tag>Wor191</b:Tag>
    <b:SourceType>Report</b:SourceType>
    <b:Guid>{4F74B66B-35BD-434B-AD5A-4E79E0FDCCC4}</b:Guid>
    <b:Author>
      <b:Author>
        <b:Corporate>World Health Organization (WHO)</b:Corporate>
      </b:Author>
    </b:Author>
    <b:Title>WHO global report on trends in prevalence of tobacco use 2000-2025</b:Title>
    <b:Year>2019</b:Year>
    <b:Publisher>World Health Organization</b:Publisher>
    <b:City>Geneva</b:City>
    <b:RefOrder>11</b:RefOrder>
  </b:Source>
  <b:Source>
    <b:Tag>Pan18</b:Tag>
    <b:SourceType>Report</b:SourceType>
    <b:Guid>{29EF2C56-D66C-4F34-9844-32A1C8F29859}</b:Guid>
    <b:Author>
      <b:Author>
        <b:Corporate>Pan American Health Organization (PAHO)</b:Corporate>
      </b:Author>
    </b:Author>
    <b:Title>Informe sobre el control del tabaco en la Región de las Américas</b:Title>
    <b:Year>2018</b:Year>
    <b:Publisher>OPS</b:Publisher>
    <b:City>Washington D.C.</b:City>
    <b:RefOrder>12</b:RefOrder>
  </b:Source>
  <b:Source>
    <b:Tag>Int17</b:Tag>
    <b:SourceType>JournalArticle</b:SourceType>
    <b:Guid>{437642D1-A711-45F4-9FE0-83126B571409}</b:Guid>
    <b:Author>
      <b:Author>
        <b:NameList>
          <b:Person>
            <b:Last>Intarut</b:Last>
            <b:First>N.,</b:First>
            <b:Middle>&amp; Pukdeesamai, P.</b:Middle>
          </b:Person>
        </b:NameList>
      </b:Author>
    </b:Author>
    <b:Title>Socioeconomic inequality in concurrent tobacco and alcohol consumption</b:Title>
    <b:JournalName>Asian Pacific journal of cancer prevention: APJCP</b:JournalName>
    <b:Year>2017</b:Year>
    <b:Pages>1913. https://doi.org/10.22034/APJCP.2017.18.7.1913</b:Pages>
    <b:Volume>18</b:Volume>
    <b:Issue>7</b:Issue>
    <b:RefOrder>13</b:RefOrder>
  </b:Source>
  <b:Source>
    <b:Tag>Pel18</b:Tag>
    <b:SourceType>JournalArticle</b:SourceType>
    <b:Guid>{DB0C25E6-67B3-4750-800B-9395DE404A15}</b:Guid>
    <b:Author>
      <b:Author>
        <b:NameList>
          <b:Person>
            <b:Last>Peltzer</b:Last>
            <b:First>K.</b:First>
          </b:Person>
          <b:Person>
            <b:Last>Pengpid</b:Last>
            <b:First>S.</b:First>
          </b:Person>
        </b:NameList>
      </b:Author>
    </b:Author>
    <b:Title>Concurrent tobacco use and binge drinking among university students in 30 countries in Africa, Asia, Latin America, and the Caribbean.</b:Title>
    <b:JournalName>International Journal of Mental Health and Addiction</b:JournalName>
    <b:Year>2018</b:Year>
    <b:Pages>164-174. https://doi.org/10.1007/s11469-017-9850-z</b:Pages>
    <b:Volume>16</b:Volume>
    <b:Issue>1</b:Issue>
    <b:RefOrder>14</b:RefOrder>
  </b:Source>
  <b:Source>
    <b:Tag>Ped18</b:Tag>
    <b:SourceType>JournalArticle</b:SourceType>
    <b:Guid>{EAB7E3B9-875C-4653-9F60-E195032B62BB}</b:Guid>
    <b:Author>
      <b:Author>
        <b:NameList>
          <b:Person>
            <b:Last>Pedrelli</b:Last>
            <b:First>P.</b:First>
          </b:Person>
          <b:Person>
            <b:Last>MacPherson</b:Last>
            <b:First>L.</b:First>
          </b:Person>
          <b:Person>
            <b:Last>Khan</b:Last>
            <b:First>A.</b:First>
            <b:Middle>J.</b:Middle>
          </b:Person>
          <b:Person>
            <b:Last>Shapero</b:Last>
            <b:First>B.</b:First>
            <b:Middle>G.</b:Middle>
          </b:Person>
          <b:Person>
            <b:Last>Fisher</b:Last>
            <b:First>L.</b:First>
            <b:Middle>B.</b:Middle>
          </b:Person>
          <b:Person>
            <b:Last>Nyer</b:Last>
            <b:First>M.</b:First>
          </b:Person>
          <b:Person>
            <b:Last>Silveri</b:Last>
            <b:First>M.</b:First>
            <b:Middle>M.</b:Middle>
          </b:Person>
        </b:NameList>
      </b:Author>
    </b:Author>
    <b:Title>Sex differences in the association between heavy drinking and behavioral distress tolerance and emotional reactivity among non-depressed college students</b:Title>
    <b:JournalName>Alcohol and alcoholism</b:JournalName>
    <b:Year>2018</b:Year>
    <b:Pages>674-681. </b:Pages>
    <b:Volume>53</b:Volume>
    <b:Issue>6</b:Issue>
    <b:DOI>https://doi.org/10.1093/alcalc/agy045</b:DOI>
    <b:RefOrder>15</b:RefOrder>
  </b:Source>
  <b:Source>
    <b:Tag>Sal17</b:Tag>
    <b:SourceType>JournalArticle</b:SourceType>
    <b:Guid>{9137CB9D-AB89-4CF8-A7AF-E235F9373852}</b:Guid>
    <b:Author>
      <b:Author>
        <b:NameList>
          <b:Person>
            <b:Last>Salvatore</b:Last>
            <b:First>Jessica</b:First>
            <b:Middle>E.</b:Middle>
          </b:Person>
          <b:Person>
            <b:Last>Cho</b:Last>
            <b:First>Seung</b:First>
            <b:Middle>B.</b:Middle>
          </b:Person>
          <b:Person>
            <b:Last>Dick</b:Last>
            <b:First>Danielle</b:First>
            <b:Middle>M.</b:Middle>
          </b:Person>
        </b:NameList>
      </b:Author>
    </b:Author>
    <b:Title>Genes, Environments, and Sex Differences in Alcohol Research</b:Title>
    <b:JournalName>Journal of Studies on Alcohol and Drugs</b:JournalName>
    <b:Year>2017</b:Year>
    <b:Pages>494-501</b:Pages>
    <b:Volume>78</b:Volume>
    <b:Issue>4</b:Issue>
    <b:DOI>https://doi.org/10.15288/jsad.2017.78.494</b:DOI>
    <b:RefOrder>16</b:RefOrder>
  </b:Source>
  <b:Source>
    <b:Tag>Rui16</b:Tag>
    <b:SourceType>JournalArticle</b:SourceType>
    <b:Guid>{50892830-B05B-472D-8926-B6E9AD8CA5D4}</b:Guid>
    <b:Title>Prevalence and profile of alcohol consumption among university students in Ecuador</b:Title>
    <b:Year>2016</b:Year>
    <b:JournalName>Gaceta Sanitaria</b:JournalName>
    <b:Pages>370-374</b:Pages>
    <b:Author>
      <b:Author>
        <b:NameList>
          <b:Person>
            <b:Last>Ruisoto</b:Last>
            <b:First>Pablo</b:First>
          </b:Person>
          <b:Person>
            <b:Last>Cacho</b:Last>
            <b:First>Raúl</b:First>
          </b:Person>
          <b:Person>
            <b:Last>López-Goñi</b:Last>
            <b:First>José</b:First>
          </b:Person>
          <b:Person>
            <b:Last>Vaca</b:Last>
            <b:First>Silvia</b:First>
          </b:Person>
          <b:Person>
            <b:Last>Jiménez</b:Last>
            <b:First>Marco</b:First>
          </b:Person>
        </b:NameList>
      </b:Author>
    </b:Author>
    <b:Volume>30</b:Volume>
    <b:Issue>5</b:Issue>
    <b:DOI>https://doi.org/10.1016/j.gaceta.2016.02.008</b:DOI>
    <b:RefOrder>17</b:RefOrder>
  </b:Source>
  <b:Source>
    <b:Tag>Rui17</b:Tag>
    <b:SourceType>JournalArticle</b:SourceType>
    <b:Guid>{2C9C5450-027E-43BB-AB67-9E6EAFE98B98}</b:Guid>
    <b:Author>
      <b:Author>
        <b:NameList>
          <b:Person>
            <b:Last>Ruisoto</b:Last>
            <b:First>Pablo</b:First>
          </b:Person>
          <b:Person>
            <b:Last>Vaca</b:Last>
            <b:First>Silvia</b:First>
          </b:Person>
          <b:Person>
            <b:Last>López-Goñi</b:Last>
            <b:First>José</b:First>
          </b:Person>
          <b:Person>
            <b:Last>Cacho</b:Last>
            <b:First>Raúl</b:First>
          </b:Person>
          <b:Person>
            <b:Last>Fernández-Suárez</b:Last>
            <b:First>Iván</b:First>
          </b:Person>
        </b:NameList>
      </b:Author>
    </b:Author>
    <b:Title>Gender Differences in Problematic Alcohol Consumption in University Professors</b:Title>
    <b:JournalName>International Journal of Environmental Research and Public Health</b:JournalName>
    <b:Year>2017</b:Year>
    <b:Pages>1069</b:Pages>
    <b:Volume>14</b:Volume>
    <b:Issue>9</b:Issue>
    <b:DOI>https://doi.org/10.3390/ijerph14091069</b:DOI>
    <b:RefOrder>18</b:RefOrder>
  </b:Source>
  <b:Source>
    <b:Tag>Cab19</b:Tag>
    <b:SourceType>JournalArticle</b:SourceType>
    <b:Guid>{D4BEBFBE-BFAD-49C1-819A-E7B7AC6D3C8B}</b:Guid>
    <b:Title>Review of evidence based clinical practice guidelines developed in Latin America and Caribbean during the last decade: an analysis of the methods for grading quality of evidence and topic prioritization</b:Title>
    <b:Year>2019</b:Year>
    <b:Author>
      <b:Author>
        <b:NameList>
          <b:Person>
            <b:Last>Cabrera</b:Last>
            <b:First>Paula</b:First>
          </b:Person>
          <b:Person>
            <b:Last>Pardo</b:Last>
            <b:First>Rodrigo</b:First>
          </b:Person>
        </b:NameList>
      </b:Author>
    </b:Author>
    <b:JournalName>Globalization and Health</b:JournalName>
    <b:Pages>1-10</b:Pages>
    <b:Volume>15</b:Volume>
    <b:Issue>14</b:Issue>
    <b:DOI>https://doi.org/10.1186/s12992-019-0455-0</b:DOI>
    <b:RefOrder>2</b:RefOrder>
  </b:Source>
  <b:Source>
    <b:Tag>Can18</b:Tag>
    <b:SourceType>DocumentFromInternetSite</b:SourceType>
    <b:Guid>{9A4D7C7B-67F0-41F7-8186-BACC26AE73C9}</b:Guid>
    <b:Title>Canadian Institutes of Health Research</b:Title>
    <b:Year>2018</b:Year>
    <b:Author>
      <b:Author>
        <b:Corporate>Canadian Institutes of Health Research</b:Corporate>
      </b:Author>
    </b:Author>
    <b:Month>November</b:Month>
    <b:Day>27</b:Day>
    <b:URL>https://cihr-irsc.gc.ca/e/documents/igh_mythbuster_november_2018_en.pdf</b:URL>
    <b:LCID>en-US</b:LCID>
    <b:RefOrder>19</b:RefOrder>
  </b:Source>
  <b:Source>
    <b:Tag>Nat15</b:Tag>
    <b:SourceType>DocumentFromInternetSite</b:SourceType>
    <b:Guid>{D27B7F60-58E5-41C3-88F5-A7B355F8C270}</b:Guid>
    <b:Title>National Institutes for Health Turning Discovery into Health</b:Title>
    <b:Year>2015</b:Year>
    <b:Author>
      <b:Author>
        <b:Corporate>National Institutes of Health (NIH)</b:Corporate>
      </b:Author>
    </b:Author>
    <b:Month>June</b:Month>
    <b:Day>9</b:Day>
    <b:URL>https://grants.nih.gov/grants/guide/notice-files/not-od-15-102.html</b:URL>
    <b:LCID>en-US</b:LCID>
    <b:RefOrder>20</b:RefOrder>
  </b:Source>
  <b:Source>
    <b:Tag>RCo19</b:Tag>
    <b:SourceType>Book</b:SourceType>
    <b:Guid>{932EAFD9-048F-48BC-B360-A20B53C7678D}</b:Guid>
    <b:Title>R: A language and environment for statistical computing. , R Foundation for Statistical Computing</b:Title>
    <b:Year>2019</b:Year>
    <b:City>Vienna, Austria</b:City>
    <b:Publisher>R Foundation for Statistical Computing</b:Publisher>
    <b:Author>
      <b:Author>
        <b:Corporate>R Core Team</b:Corporate>
      </b:Author>
    </b:Author>
    <b:LCID>en-US</b:LCID>
    <b:RefOrder>21</b:RefOrder>
  </b:Source>
  <b:Source>
    <b:Tag>Aga16</b:Tag>
    <b:SourceType>JournalArticle</b:SourceType>
    <b:Guid>{750C97C2-CEC0-44F3-A863-B2EB3201EDBF}</b:Guid>
    <b:Author>
      <b:Author>
        <b:NameList>
          <b:Person>
            <b:Last>Agabio</b:Last>
            <b:First>Roberta</b:First>
          </b:Person>
          <b:Person>
            <b:Last>Campesi</b:Last>
            <b:First>Ilaria</b:First>
          </b:Person>
          <b:Person>
            <b:Last>Pisanu</b:Last>
            <b:First>Claudia</b:First>
          </b:Person>
          <b:Person>
            <b:Last>Gessa</b:Last>
            <b:First>Gian</b:First>
            <b:Middle>Luigi</b:Middle>
          </b:Person>
          <b:Person>
            <b:Last>Franconi</b:Last>
            <b:First>Flavia</b:First>
          </b:Person>
        </b:NameList>
      </b:Author>
    </b:Author>
    <b:Title>Sex differences in substance use disorders: focus on side effects</b:Title>
    <b:JournalName>Addiction Biology</b:JournalName>
    <b:Year>2016</b:Year>
    <b:Pages>1030-1042</b:Pages>
    <b:Volume>21</b:Volume>
    <b:Issue>5</b:Issue>
    <b:DOI> https://doi.org/10.1111/adb.12395</b:DOI>
    <b:RefOrder>22</b:RefOrder>
  </b:Source>
  <b:Source>
    <b:Tag>Arn20</b:Tag>
    <b:SourceType>JournalArticle</b:SourceType>
    <b:Guid>{A258463B-7758-4DC2-8761-D24A8056DED8}</b:Guid>
    <b:Title>Sex as a Biological Variable: A 5-Year Progress Report and Call to Action</b:Title>
    <b:Year>2020</b:Year>
    <b:Author>
      <b:Author>
        <b:NameList>
          <b:Person>
            <b:Last>Arnegard</b:Last>
            <b:First>Matthew</b:First>
            <b:Middle>E.</b:Middle>
          </b:Person>
          <b:Person>
            <b:Last>Whitten</b:Last>
            <b:First>Lori</b:First>
            <b:Middle>A.</b:Middle>
          </b:Person>
          <b:Person>
            <b:Last>Hunter</b:Last>
            <b:First>Chyren</b:First>
          </b:Person>
          <b:Person>
            <b:Last>Clayton</b:Last>
            <b:First>Janine.</b:First>
          </b:Person>
        </b:NameList>
      </b:Author>
    </b:Author>
    <b:JournalName>Journal of Women’s Health</b:JournalName>
    <b:Pages>858-864</b:Pages>
    <b:Volume>29</b:Volume>
    <b:Issue>6</b:Issue>
    <b:DOI>https://doi.org/10.1089/jwh.2019.8247</b:DOI>
    <b:RefOrder>23</b:RefOrder>
  </b:Source>
  <b:Source>
    <b:Tag>Buc19</b:Tag>
    <b:SourceType>JournalArticle</b:SourceType>
    <b:Guid>{938D84DC-C752-4BA5-98BC-E775E84E0EBC}</b:Guid>
    <b:Author>
      <b:Author>
        <b:NameList>
          <b:Person>
            <b:Last>Buch</b:Last>
            <b:First>Thorsten</b:First>
          </b:Person>
          <b:Person>
            <b:Last>Moos</b:Last>
            <b:First>Katharina</b:First>
          </b:Person>
          <b:Person>
            <b:Last>Ferreira</b:Last>
            <b:First>Filipa</b:First>
            <b:Middle>M.</b:Middle>
          </b:Person>
          <b:Person>
            <b:Last>Fröhlich</b:Last>
            <b:First>Holger</b:First>
          </b:Person>
          <b:Person>
            <b:Last>Gebhard</b:Last>
            <b:First>Catherine</b:First>
          </b:Person>
          <b:Person>
            <b:Last>Tresch</b:Last>
            <b:First>Achim</b:First>
          </b:Person>
        </b:NameList>
      </b:Author>
    </b:Author>
    <b:Title>Benefits of a factorial design focusing on inclusion of female and male animals in one experiment</b:Title>
    <b:JournalName>Journal of Molecular Medicine</b:JournalName>
    <b:Year>2019</b:Year>
    <b:Pages>871-877</b:Pages>
    <b:Volume>97</b:Volume>
    <b:Issue>1</b:Issue>
    <b:DOI>https://doi.org/10.1007/s00109-019-01774-0</b:DOI>
    <b:RefOrder>24</b:RefOrder>
  </b:Source>
  <b:Source>
    <b:Tag>Cas17</b:Tag>
    <b:SourceType>JournalArticle</b:SourceType>
    <b:Guid>{DB234536-CBD7-44B7-B788-C5D94FF91263}</b:Guid>
    <b:Author>
      <b:Author>
        <b:NameList>
          <b:Person>
            <b:Last>Castro-Sánchez</b:Last>
            <b:First>M.</b:First>
          </b:Person>
          <b:Person>
            <b:Last>Puertas-Molero</b:Last>
            <b:First>P.</b:First>
          </b:Person>
          <b:Person>
            <b:Last>Ubago-Jiménez</b:Last>
            <b:First>J.</b:First>
            <b:Middle>L.</b:Middle>
          </b:Person>
          <b:Person>
            <b:Last>Pérez-Cortés</b:Last>
            <b:First>A.</b:First>
            <b:Middle>J.</b:Middle>
          </b:Person>
          <b:Person>
            <b:Last>Linares-Manrique</b:Last>
            <b:First>M.</b:First>
          </b:Person>
          <b:Person>
            <b:Last>Zurita-Ortega</b:Last>
            <b:First>F.</b:First>
          </b:Person>
        </b:NameList>
      </b:Author>
    </b:Author>
    <b:Title>Consumo de tabaco y alcohol en universitarios</b:Title>
    <b:JournalName>Journal of Sport &amp; Health Research</b:JournalName>
    <b:Year>2017</b:Year>
    <b:Pages>151-162</b:Pages>
    <b:Volume>9</b:Volume>
    <b:Issue>1</b:Issue>
    <b:LCID>en-US</b:LCID>
    <b:URL>https://dialnet.unirioja.es/servlet/articulo?codigo=6026406</b:URL>
    <b:RefOrder>25</b:RefOrder>
  </b:Source>
  <b:Source>
    <b:Tag>Con16</b:Tag>
    <b:SourceType>JournalArticle</b:SourceType>
    <b:Guid>{82EF9548-84F0-4886-845B-80900CC9D015}</b:Guid>
    <b:Author>
      <b:Author>
        <b:NameList>
          <b:Person>
            <b:Last>Connor</b:Last>
            <b:First>Jason</b:First>
          </b:Person>
          <b:Person>
            <b:Last>Haber</b:Last>
            <b:First>Paul</b:First>
          </b:Person>
          <b:Person>
            <b:Last>Hall</b:Last>
            <b:First>Wayne</b:First>
          </b:Person>
        </b:NameList>
      </b:Author>
    </b:Author>
    <b:Title>Alcohol use disorders</b:Title>
    <b:JournalName>Tha Lancet</b:JournalName>
    <b:Year>2016</b:Year>
    <b:Pages>988-998</b:Pages>
    <b:Volume>387</b:Volume>
    <b:Issue>10022</b:Issue>
    <b:DOI>https://doi.org/10.1016/S0140-6736(15)00122-1</b:DOI>
    <b:RefOrder>26</b:RefOrder>
  </b:Source>
  <b:Source>
    <b:Tag>Cre16</b:Tag>
    <b:SourceType>JournalArticle</b:SourceType>
    <b:Guid>{5A8A77DB-FE68-46F9-858A-13E663447F1A}</b:Guid>
    <b:Author>
      <b:Author>
        <b:NameList>
          <b:Person>
            <b:Last>Cremonte</b:Last>
            <b:First>Mariana</b:First>
          </b:Person>
          <b:Person>
            <b:Last>Biscarra</b:Last>
            <b:First>María</b:First>
            <b:Middle>Ayelén</b:Middle>
          </b:Person>
          <b:Person>
            <b:Last>Conde</b:Last>
            <b:First>Karina</b:First>
          </b:Person>
          <b:Person>
            <b:Last>Cherpitel</b:Last>
            <b:First>Cheryl</b:First>
          </b:Person>
        </b:NameList>
      </b:Author>
    </b:Author>
    <b:Title>Epidemiology of alcohol consumption and related problems in Latin American countries: Contributions of psychology.</b:Title>
    <b:JournalName>International Journal of Psychology</b:JournalName>
    <b:Year>2016</b:Year>
    <b:Pages>245–252</b:Pages>
    <b:Volume>53</b:Volume>
    <b:Issue>4</b:Issue>
    <b:DOI>https://doi.org/10.1002/ijop.12373</b:DOI>
    <b:RefOrder>27</b:RefOrder>
  </b:Source>
  <b:Source>
    <b:Tag>DeB20</b:Tag>
    <b:SourceType>JournalArticle</b:SourceType>
    <b:Guid>{CFA9D9A4-52B1-4E16-B2EF-E778A2451E5E}</b:Guid>
    <b:Title>Gender-related differences in heart failure: beyond the “one-size-fits-all” paradigm</b:Title>
    <b:Year>2020</b:Year>
    <b:Author>
      <b:Author>
        <b:NameList>
          <b:Person>
            <b:Last>De Bellis</b:Last>
            <b:First>Annamaria</b:First>
          </b:Person>
          <b:Person>
            <b:Last>De Angelis</b:Last>
            <b:First>Giulia</b:First>
          </b:Person>
          <b:Person>
            <b:Last>Fabris</b:Last>
            <b:First>Enrico</b:First>
          </b:Person>
          <b:Person>
            <b:Last>Cannatà</b:Last>
            <b:First>Antonio</b:First>
          </b:Person>
          <b:Person>
            <b:Last>Merlo</b:Last>
            <b:First>Marco</b:First>
          </b:Person>
          <b:Person>
            <b:Last>Sinagra</b:Last>
            <b:First>Gianfranco</b:First>
          </b:Person>
        </b:NameList>
      </b:Author>
    </b:Author>
    <b:JournalName>Heart Failure Reviews</b:JournalName>
    <b:Pages>245-255</b:Pages>
    <b:LCID>en-US</b:LCID>
    <b:Volume>25</b:Volume>
    <b:Issue>2</b:Issue>
    <b:DOI>https://doi.org/10.1007/s10741-019-09824-y</b:DOI>
    <b:RefOrder>28</b:RefOrder>
  </b:Source>
  <b:Source>
    <b:Tag>Fer16</b:Tag>
    <b:SourceType>JournalArticle</b:SourceType>
    <b:Guid>{C55D90AE-E386-4F7D-9DAD-8D5FC0E3C948}</b:Guid>
    <b:Author>
      <b:Author>
        <b:NameList>
          <b:Person>
            <b:Last>Fernández-Castillo</b:Last>
            <b:First>E.</b:First>
          </b:Person>
          <b:Person>
            <b:Last>Pérez</b:Last>
            <b:First>O.</b:First>
            <b:Middle>M.</b:Middle>
          </b:Person>
          <b:Person>
            <b:Last>Roche</b:Last>
            <b:First>J.</b:First>
            <b:Middle>R. F.</b:Middle>
          </b:Person>
          <b:Person>
            <b:Last>Hernández</b:Last>
            <b:First>D.</b:First>
            <b:Middle>S.</b:Middle>
          </b:Person>
          <b:Person>
            <b:Last>Peña</b:Last>
            <b:First>A.</b:First>
            <b:Middle>C.</b:Middle>
          </b:Person>
          <b:Person>
            <b:Last>Ábalo</b:Last>
            <b:First>R.</b:First>
            <b:Middle>G.</b:Middle>
          </b:Person>
        </b:NameList>
      </b:Author>
    </b:Author>
    <b:Title>Consumo de tabaco y alcohol en estudiantes universitarios cubanos</b:Title>
    <b:JournalName>Revista del Hospital Psiquiátrico de La Habana</b:JournalName>
    <b:Year>2016</b:Year>
    <b:Volume>13</b:Volume>
    <b:Issue>2</b:Issue>
    <b:LCID>en-US</b:LCID>
    <b:URL>https://www.medigraphic.com/cgi-bin/new/resumen.cgi?IDARTICULO=67985</b:URL>
    <b:RefOrder>29</b:RefOrder>
  </b:Source>
  <b:Source>
    <b:Tag>Gal20</b:Tag>
    <b:SourceType>JournalArticle</b:SourceType>
    <b:Guid>{ED4F2ADF-EA2F-4478-88ED-8E905CD87A58}</b:Guid>
    <b:Author>
      <b:Author>
        <b:NameList>
          <b:Person>
            <b:Last>Galea</b:Last>
            <b:First>Liisa</b:First>
          </b:Person>
          <b:Person>
            <b:Last>Choleris</b:Last>
            <b:First>Elena</b:First>
          </b:Person>
          <b:Person>
            <b:Last>Albert</b:Last>
            <b:First>Arianne</b:First>
          </b:Person>
          <b:Person>
            <b:Last>McCarthy</b:Last>
            <b:First>Margaret</b:First>
          </b:Person>
          <b:Person>
            <b:Last>Sohrabji</b:Last>
            <b:First>Farida</b:First>
          </b:Person>
        </b:NameList>
      </b:Author>
    </b:Author>
    <b:Title>The promises and pitfalls of sex difference research</b:Title>
    <b:JournalName>Frontiers in Neuroendocrinology</b:JournalName>
    <b:Year>2020</b:Year>
    <b:Volume>56</b:Volume>
    <b:DOI>https://doi.org/10.1016/j.yfrne.2019.100817</b:DOI>
    <b:RefOrder>30</b:RefOrder>
  </b:Source>
  <b:Source>
    <b:Tag>Gar16</b:Tag>
    <b:SourceType>JournalArticle</b:SourceType>
    <b:Guid>{BD7E5E6D-4FBB-4DE3-A6B3-39D7F6B826AD}</b:Guid>
    <b:Author>
      <b:Author>
        <b:NameList>
          <b:Person>
            <b:Last>García-Carretero</b:Last>
            <b:First>Miguel</b:First>
          </b:Person>
          <b:Person>
            <b:Last>Novalbos-Ruiz</b:Last>
            <b:First>José</b:First>
          </b:Person>
          <b:Person>
            <b:Last>Martínez-Delgado</b:Last>
            <b:First>José</b:First>
          </b:Person>
          <b:Person>
            <b:Last>O’Ferrall-González</b:Last>
            <b:First>Cristina</b:First>
          </b:Person>
        </b:NameList>
      </b:Author>
    </b:Author>
    <b:Title>Validación del test para la identificación de trastornos por uso de alcohol en población universitaria: AUDIT y AUDIT-C</b:Title>
    <b:JournalName>Adicciones</b:JournalName>
    <b:Year>2016</b:Year>
    <b:Pages>194-204</b:Pages>
    <b:Volume>28</b:Volume>
    <b:Issue>4</b:Issue>
    <b:DOI>https://doi.org/10.20882/adicciones.775</b:DOI>
    <b:RefOrder>31</b:RefOrder>
  </b:Source>
  <b:Source>
    <b:Tag>Giu19</b:Tag>
    <b:SourceType>JournalArticle</b:SourceType>
    <b:Guid>{33B6E2A0-1A1C-4136-BEAA-7571E139BA85}</b:Guid>
    <b:Author>
      <b:Author>
        <b:NameList>
          <b:Person>
            <b:Last>Giustino</b:Last>
            <b:First>Gennaro</b:First>
          </b:Person>
          <b:Person>
            <b:Last>Overbey</b:Last>
            <b:First>Jessica</b:First>
          </b:Person>
          <b:Person>
            <b:Last>Taylor</b:Last>
            <b:First>Doris</b:First>
          </b:Person>
          <b:Person>
            <b:Last>Ailawadi</b:Last>
            <b:First>Gorav</b:First>
          </b:Person>
          <b:Person>
            <b:Last>Kirkwood</b:Last>
            <b:First>Katherine</b:First>
          </b:Person>
          <b:Person>
            <b:Last>Gillinov</b:Last>
            <b:First>A.</b:First>
          </b:Person>
          <b:Person>
            <b:Last>Dagenais</b:Last>
            <b:First>François</b:First>
          </b:Person>
          <b:Person>
            <b:Last>Mayer</b:Last>
            <b:First>Mary-Lu</b:First>
          </b:Person>
          <b:Person>
            <b:Last>Gelijns</b:Last>
            <b:First>Annetine</b:First>
          </b:Person>
          <b:Person>
            <b:Last>Moskowitz</b:Last>
            <b:First>Alan</b:First>
          </b:Person>
          <b:Person>
            <b:Last>Bagiella</b:Last>
            <b:First>Emilia</b:First>
          </b:Person>
          <b:Person>
            <b:Last>Miller</b:Last>
            <b:First>Marissa</b:First>
          </b:Person>
          <b:Person>
            <b:Last>Smith</b:Last>
            <b:First>Peter</b:First>
          </b:Person>
          <b:Person>
            <b:Last>O'Gara</b:Last>
            <b:First>Patrick</b:First>
          </b:Person>
        </b:NameList>
      </b:Author>
    </b:Author>
    <b:Title>Sex-Based Differences in Outcomes After Mitral Valve Surgery for Severe Ischemic Mitral Regurgitation</b:Title>
    <b:JournalName>Journal of the American College of Cardiology</b:JournalName>
    <b:Year>2019</b:Year>
    <b:Pages>481-490</b:Pages>
    <b:Volume>7</b:Volume>
    <b:Issue>6</b:Issue>
    <b:DOI>10.1016/j.jchf.2019.03.001</b:DOI>
    <b:RefOrder>32</b:RefOrder>
  </b:Source>
  <b:Source>
    <b:Tag>Gog19</b:Tag>
    <b:SourceType>JournalArticle</b:SourceType>
    <b:Guid>{FDFC3EBE-4A43-4733-B1ED-98BEACB9879D}</b:Guid>
    <b:Author>
      <b:Author>
        <b:NameList>
          <b:Person>
            <b:Last>Gogos</b:Last>
            <b:First>Andrea</b:First>
          </b:Person>
          <b:Person>
            <b:Last>Ney</b:Last>
            <b:First>Luke</b:First>
          </b:Person>
          <b:Person>
            <b:Last>Seymour</b:Last>
            <b:First>Natasha</b:First>
          </b:Person>
          <b:Person>
            <b:Last>Van Rheenen</b:Last>
            <b:First>Tamsyn</b:First>
            <b:Middle>E.</b:Middle>
          </b:Person>
          <b:Person>
            <b:Last>Felmingham</b:Last>
            <b:First>Kim</b:First>
            <b:Middle>L.</b:Middle>
          </b:Person>
        </b:NameList>
      </b:Author>
    </b:Author>
    <b:Title>Sex differences in schizophrenia, bipolar disorder, and post‐traumatic stress disorder: Are gonadal hormones the link?</b:Title>
    <b:JournalName>British Journal of Pharmacology</b:JournalName>
    <b:Year>2019</b:Year>
    <b:Pages>4119-4135</b:Pages>
    <b:Volume>176</b:Volume>
    <b:Issue>21</b:Issue>
    <b:DOI> https://doi.org/10.1111/bph.14584</b:DOI>
    <b:RefOrder>33</b:RefOrder>
  </b:Source>
  <b:Source>
    <b:Tag>Gol17</b:Tag>
    <b:SourceType>JournalArticle</b:SourceType>
    <b:Guid>{824E5DEA-A7EB-4604-A4F3-E41608BF0DDF}</b:Guid>
    <b:Author>
      <b:Author>
        <b:NameList>
          <b:Person>
            <b:Last>Golden</b:Last>
            <b:First>Lisa</b:First>
            <b:Middle>C.</b:Middle>
          </b:Person>
          <b:Person>
            <b:Last>Voskuhl</b:Last>
            <b:First>Rhonda</b:First>
          </b:Person>
        </b:NameList>
      </b:Author>
    </b:Author>
    <b:Title>The Importance of Studying Sex Differences in Disease: The Example of Multiple Sclerosis</b:Title>
    <b:JournalName>Journal of Neuroscience Research</b:JournalName>
    <b:Year>2017</b:Year>
    <b:Pages>633-643</b:Pages>
    <b:Volume>95</b:Volume>
    <b:Issue>1</b:Issue>
    <b:DOI>https://doi.org/10.1002/jnr.23955</b:DOI>
    <b:RefOrder>34</b:RefOrder>
  </b:Source>
  <b:Source>
    <b:Tag>Góm18</b:Tag>
    <b:SourceType>JournalArticle</b:SourceType>
    <b:Guid>{D81E15DC-7A13-47EE-9A80-44FBE7D8B9FF}</b:Guid>
    <b:Author>
      <b:Author>
        <b:NameList>
          <b:Person>
            <b:Last>Gómez Cruz</b:Last>
            <b:First>Z.</b:First>
          </b:Person>
          <b:Person>
            <b:Last>Landeros Ramírez</b:Last>
            <b:First>P.</b:First>
          </b:Person>
          <b:Person>
            <b:Last>Noa Pérez</b:Last>
            <b:First>M.</b:First>
          </b:Person>
          <b:Person>
            <b:Last>Patricio Martínez</b:Last>
            <b:First>S.</b:First>
          </b:Person>
        </b:NameList>
      </b:Author>
    </b:Author>
    <b:Title>Consumo de alcohol, tabaco y otras drogas en jóvenes universitarios</b:Title>
    <b:JournalName>Revista Salud Pública y Nutrición</b:JournalName>
    <b:Year>2018</b:Year>
    <b:Pages>1-9</b:Pages>
    <b:Volume>16</b:Volume>
    <b:Issue>4</b:Issue>
    <b:LCID>en-US</b:LCID>
    <b:URL>https://www.medigraphic.com/cgi-bin/new/resumenI.cgi?IDARTICULO=76938</b:URL>
    <b:RefOrder>35</b:RefOrder>
  </b:Source>
  <b:Source>
    <b:Tag>Goo17</b:Tag>
    <b:SourceType>JournalArticle</b:SourceType>
    <b:Guid>{18B71E7B-99ED-4C20-88B6-04EA64CACF66}</b:Guid>
    <b:Title>Global economic cost of smoking-attributable diseases.</b:Title>
    <b:Year>2017</b:Year>
    <b:Author>
      <b:Author>
        <b:NameList>
          <b:Person>
            <b:Last>Goodchild</b:Last>
            <b:First>Mark</b:First>
          </b:Person>
          <b:Person>
            <b:Last>Nargis</b:Last>
            <b:First>Nigar</b:First>
          </b:Person>
          <b:Person>
            <b:Last>Tursan d´Spaignet</b:Last>
            <b:First>Edouard</b:First>
          </b:Person>
        </b:NameList>
      </b:Author>
    </b:Author>
    <b:JournalName>Tobacco Control</b:JournalName>
    <b:Pages>58-64</b:Pages>
    <b:Volume>27</b:Volume>
    <b:Issue>1</b:Issue>
    <b:DOI>http://dx.doi.org/10.1136/tobaccocontrol-2016-053305</b:DOI>
    <b:RefOrder>36</b:RefOrder>
  </b:Source>
  <b:Source>
    <b:Tag>Gru18</b:Tag>
    <b:SourceType>JournalArticle</b:SourceType>
    <b:Guid>{7EBB473A-1A50-43CF-98F9-641E7CC5CBDF}</b:Guid>
    <b:Author>
      <b:Author>
        <b:NameList>
          <b:Person>
            <b:Last>Grucza</b:Last>
            <b:First>Richard</b:First>
          </b:Person>
          <b:Person>
            <b:Last>Sher</b:Last>
            <b:First>Kenneth</b:First>
          </b:Person>
          <b:Person>
            <b:Last>Kerr</b:Last>
            <b:First>William</b:First>
          </b:Person>
          <b:Person>
            <b:Last>Krauss</b:Last>
            <b:First>Melissa</b:First>
          </b:Person>
          <b:Person>
            <b:Last>Lui</b:Last>
            <b:First>Camillia</b:First>
          </b:Person>
          <b:Person>
            <b:Last>McDowell</b:Last>
            <b:First>Yoanna</b:First>
          </b:Person>
          <b:Person>
            <b:Last>Hartz</b:Last>
            <b:First>Sarah</b:First>
          </b:Person>
          <b:Person>
            <b:Last>Virdi</b:Last>
            <b:First>Gurpal</b:First>
          </b:Person>
          <b:Person>
            <b:Last>Bierut</b:Last>
            <b:First>Laura</b:First>
          </b:Person>
        </b:NameList>
      </b:Author>
    </b:Author>
    <b:Title>Trends in Adult Alcohol Use and Binge Drinking in the Early 21st Century United States: A Meta-Analysis of Six National Survey Series.</b:Title>
    <b:JournalName>Alcoholism: Clinical and Experimental Research</b:JournalName>
    <b:Year>2018</b:Year>
    <b:Pages>1939-1950</b:Pages>
    <b:Volume>42</b:Volume>
    <b:Issue>10</b:Issue>
    <b:DOI> https://doi.org/10.1111/acer.13859</b:DOI>
    <b:RefOrder>37</b:RefOrder>
  </b:Source>
  <b:Source>
    <b:Tag>Haa09</b:Tag>
    <b:SourceType>JournalArticle</b:SourceType>
    <b:Guid>{A8E8EAAB-5E0A-4DC4-AD6D-5E097B8E3B6D}</b:Guid>
    <b:LCID>en-US</b:LCID>
    <b:Author>
      <b:Author>
        <b:NameList>
          <b:Person>
            <b:Last>Haack</b:Last>
            <b:First>Sara</b:First>
          </b:Person>
          <b:Person>
            <b:Last>Seeringer</b:Last>
            <b:First>Angela</b:First>
          </b:Person>
          <b:Person>
            <b:Last>Thürmann</b:Last>
            <b:First>Petra</b:First>
            <b:Middle>A.</b:Middle>
          </b:Person>
          <b:Person>
            <b:Last>Becker</b:Last>
            <b:First>Thomas</b:First>
          </b:Person>
          <b:Person>
            <b:Last>Kirchheiner</b:Last>
            <b:First>Julia</b:First>
          </b:Person>
        </b:NameList>
      </b:Author>
    </b:Author>
    <b:Title>Sex-specific differences in side effects of psychotropic drugs: genes or gender?</b:Title>
    <b:JournalName>Pharmacogenomics</b:JournalName>
    <b:Year>2009</b:Year>
    <b:Pages>1511-1526</b:Pages>
    <b:Volume>10</b:Volume>
    <b:Issue>9</b:Issue>
    <b:DOI>https://doi.org/10.2217/pgs.09.102</b:DOI>
    <b:RefOrder>38</b:RefOrder>
  </b:Source>
  <b:Source>
    <b:Tag>Ham16</b:Tag>
    <b:SourceType>JournalArticle</b:SourceType>
    <b:Guid>{4C0592CC-C724-42B9-8410-3510B352A401}</b:Guid>
    <b:Author>
      <b:Author>
        <b:NameList>
          <b:Person>
            <b:Last>Hammerslag</b:Last>
            <b:First>Lindsey</b:First>
            <b:Middle>R.</b:Middle>
          </b:Person>
          <b:Person>
            <b:Last>Gulley</b:Last>
            <b:First>Joshua</b:First>
            <b:Middle>M.</b:Middle>
          </b:Person>
        </b:NameList>
      </b:Author>
    </b:Author>
    <b:Title>Sex differences in behavior and neural development and their role in adolescent vulnerability to substance use</b:Title>
    <b:JournalName>Behavioural Brain Research</b:JournalName>
    <b:Year>2016</b:Year>
    <b:Pages>15-26</b:Pages>
    <b:Volume>298</b:Volume>
    <b:Issue>1</b:Issue>
    <b:DOI>https://doi.org/10.1016/j.bbr.2015.04.008</b:DOI>
    <b:RefOrder>1</b:RefOrder>
  </b:Source>
  <b:Source>
    <b:Tag>LiR16</b:Tag>
    <b:SourceType>JournalArticle</b:SourceType>
    <b:Guid>{B5A23D31-6A36-4C8B-A83C-6B04C0ABEF22}</b:Guid>
    <b:Author>
      <b:Author>
        <b:NameList>
          <b:Person>
            <b:Last>Li</b:Last>
            <b:First>Rena</b:First>
          </b:Person>
          <b:Person>
            <b:Last>Ma</b:Last>
            <b:First>Xin</b:First>
          </b:Person>
          <b:Person>
            <b:Last>Wang</b:Last>
            <b:First>Gang</b:First>
          </b:Person>
          <b:Person>
            <b:Last>Yang</b:Last>
            <b:First>Jian</b:First>
          </b:Person>
          <b:Person>
            <b:Last>Wang</b:Last>
            <b:First>Chuanyue</b:First>
          </b:Person>
        </b:NameList>
      </b:Author>
    </b:Author>
    <b:Title>Why sex differences in schizophrenia?</b:Title>
    <b:JournalName>Journal of Translational Neuroscience</b:JournalName>
    <b:Year>2016</b:Year>
    <b:Pages>37-42</b:Pages>
    <b:LCID>en-US</b:LCID>
    <b:Volume>1</b:Volume>
    <b:Issue>1</b:Issue>
    <b:URL>https://www.ncbi.nlm.nih.gov/pmc/articles/PMC5688947/</b:URL>
    <b:RefOrder>39</b:RefOrder>
  </b:Source>
  <b:Source>
    <b:Tag>Lon11</b:Tag>
    <b:SourceType>JournalArticle</b:SourceType>
    <b:Guid>{D444F89D-C733-477E-ACF2-FEF6943D467A}</b:Guid>
    <b:Author>
      <b:Author>
        <b:NameList>
          <b:Person>
            <b:Last>Londoño</b:Last>
            <b:First>C.</b:First>
          </b:Person>
          <b:Person>
            <b:Last>Rodríguez</b:Last>
            <b:First>I.</b:First>
          </b:Person>
          <b:Person>
            <b:Last>Gantiva</b:Last>
            <b:First>C.</b:First>
          </b:Person>
        </b:NameList>
      </b:Author>
    </b:Author>
    <b:Title>Cuestionario para la clasificación de consumidores de cigarrillo (C4) para jóvenes</b:Title>
    <b:JournalName>Diversitas: Perspectivas en psicología</b:JournalName>
    <b:Year>2011</b:Year>
    <b:Pages>281-291</b:Pages>
    <b:Volume>7</b:Volume>
    <b:Issue>2</b:Issue>
    <b:LCID>en-US</b:LCID>
    <b:URL>http://www.scielo.org.co/scielo.php?pid=S1794-99982011000200007&amp;script=sci_abstract&amp;tlng=en</b:URL>
    <b:RefOrder>40</b:RefOrder>
  </b:Source>
  <b:Source>
    <b:Tag>Mae15</b:Tag>
    <b:SourceType>JournalArticle</b:SourceType>
    <b:Guid>{9FE6F85F-2D42-475C-816B-B78EDF9D3318}</b:Guid>
    <b:Author>
      <b:Author>
        <b:NameList>
          <b:Person>
            <b:Last>Maeng</b:Last>
            <b:First>Lisa</b:First>
            <b:Middle>Y.</b:Middle>
          </b:Person>
          <b:Person>
            <b:Last>Milad</b:Last>
            <b:First>Mohammed</b:First>
            <b:Middle>R.</b:Middle>
          </b:Person>
        </b:NameList>
      </b:Author>
    </b:Author>
    <b:Title>Sex differences in anxiety disorders: Interactions between fear, stress, and gonadal hormones</b:Title>
    <b:JournalName>Hormones and Behavior</b:JournalName>
    <b:Year>2015</b:Year>
    <b:Pages>106-117</b:Pages>
    <b:Volume>76</b:Volume>
    <b:DOI>https://doi.org/10.1016/j.yhbeh.2015.04.002</b:DOI>
    <b:RefOrder>41</b:RefOrder>
  </b:Source>
  <b:Source>
    <b:Tag>Mat16</b:Tag>
    <b:SourceType>JournalArticle</b:SourceType>
    <b:Guid>{FD880B34-9078-40F5-BDBC-8A36B33809FA}</b:Guid>
    <b:Author>
      <b:Author>
        <b:NameList>
          <b:Person>
            <b:Last>Mattina</b:Last>
            <b:First>Gabriella</b:First>
            <b:Middle>F.</b:Middle>
          </b:Person>
          <b:Person>
            <b:Last>Steiner</b:Last>
            <b:First>Meir</b:First>
          </b:Person>
        </b:NameList>
      </b:Author>
    </b:Author>
    <b:Title>The need for inclusion of sex and age of onset variables in genetic association studies of obsessive–compulsive disorder: Overview</b:Title>
    <b:JournalName>Progress in Neuro-Psychopharmacology and Biological Psychiatry</b:JournalName>
    <b:Year>2016</b:Year>
    <b:Pages>107-116</b:Pages>
    <b:Volume>67</b:Volume>
    <b:DOI>https://doi.org/10.1016/j.pnpbp.2016.01.012</b:DOI>
    <b:RefOrder>42</b:RefOrder>
  </b:Source>
  <b:Source>
    <b:Tag>McH18</b:Tag>
    <b:SourceType>JournalArticle</b:SourceType>
    <b:Guid>{DBFEB0A4-4539-4EEB-AAD3-0244FEA3F82E}</b:Guid>
    <b:Author>
      <b:Author>
        <b:NameList>
          <b:Person>
            <b:Last>McHugh</b:Last>
            <b:First>Kathryn</b:First>
          </b:Person>
          <b:Person>
            <b:Last>Votaw</b:Last>
            <b:First>Victoria</b:First>
            <b:Middle>R.</b:Middle>
          </b:Person>
          <b:Person>
            <b:Last>Sugarman</b:Last>
            <b:First>Dawn</b:First>
            <b:Middle>E.</b:Middle>
          </b:Person>
          <b:Person>
            <b:Last>Greenfield</b:Last>
            <b:First>Shelly</b:First>
            <b:Middle>F.</b:Middle>
          </b:Person>
        </b:NameList>
      </b:Author>
    </b:Author>
    <b:Title>Sex and gender differences in substance use disorders</b:Title>
    <b:JournalName>Clinical Psychology Review</b:JournalName>
    <b:Year>2018</b:Year>
    <b:Pages>12-23</b:Pages>
    <b:Volume>66</b:Volume>
    <b:DOI>https://doi.org/10.1016/j.cpr.2017.10.012</b:DOI>
    <b:RefOrder>43</b:RefOrder>
  </b:Source>
  <b:Source>
    <b:Tag>Mek17</b:Tag>
    <b:SourceType>JournalArticle</b:SourceType>
    <b:Guid>{F23C1B0D-74BF-4C33-A0C1-C6D92D036910}</b:Guid>
    <b:Author>
      <b:Author>
        <b:NameList>
          <b:Person>
            <b:Last>Mekonen</b:Last>
            <b:First>T.</b:First>
          </b:Person>
          <b:Person>
            <b:Last>Fekadu</b:Last>
            <b:First>W.</b:First>
          </b:Person>
          <b:Person>
            <b:Last>Chane</b:Last>
            <b:First>T.</b:First>
          </b:Person>
          <b:Person>
            <b:Last>Bitew</b:Last>
            <b:First>S.</b:First>
          </b:Person>
        </b:NameList>
      </b:Author>
    </b:Author>
    <b:Title>Problematic alcohol use among university students</b:Title>
    <b:JournalName>Frontiers in psychiatry</b:JournalName>
    <b:Year>2017</b:Year>
    <b:Pages>86</b:Pages>
    <b:Volume>8</b:Volume>
    <b:DOI>https://doi.org/10.3389/fpsyt.2017.00086</b:DOI>
    <b:RefOrder>44</b:RefOrder>
  </b:Source>
  <b:Source>
    <b:Tag>Mor194</b:Tag>
    <b:SourceType>JournalArticle</b:SourceType>
    <b:Guid>{F55D5DE1-9633-40C8-9A56-461323A88B7A}</b:Guid>
    <b:Author>
      <b:Author>
        <b:NameList>
          <b:Person>
            <b:Last>Mora</b:Last>
            <b:First>C.</b:First>
            <b:Middle>A.</b:Middle>
          </b:Person>
          <b:Person>
            <b:Last>Herrán</b:Last>
            <b:First>O.</b:First>
            <b:Middle>F.</b:Middle>
          </b:Person>
        </b:NameList>
      </b:Author>
    </b:Author>
    <b:Title>Prevalencia de consumo de alcohol y de alcoholismo en estudiantes universitarios de Villavicencio, Colombia</b:Title>
    <b:JournalName>Revista de la Facultad de Medicina</b:JournalName>
    <b:Year>2019</b:Year>
    <b:Pages>225-233</b:Pages>
    <b:Volume>67</b:Volume>
    <b:Issue>2</b:Issue>
    <b:DOI>https://doi.org/10.15446/revfacmed.v67n2.69282.</b:DOI>
    <b:RefOrder>45</b:RefOrder>
  </b:Source>
  <b:Source>
    <b:Tag>Mor19</b:Tag>
    <b:SourceType>JournalArticle</b:SourceType>
    <b:Guid>{37ECF015-F0BD-4E84-9995-2D59CC6A2848}</b:Guid>
    <b:Author>
      <b:Author>
        <b:NameList>
          <b:Person>
            <b:Last>Moreta-Herrera</b:Last>
            <b:First>R.</b:First>
          </b:Person>
          <b:Person>
            <b:Last>Mayorga-Lascano</b:Last>
            <b:First>M.</b:First>
          </b:Person>
          <b:Person>
            <b:Last>Carrera-Aldás</b:Last>
            <b:First>J.C.</b:First>
          </b:Person>
        </b:NameList>
      </b:Author>
    </b:Author>
    <b:Title>Actitudes hacia el consumo de sustancias. Diferencias entre colegiales y universitarios en el Ecuador</b:Title>
    <b:JournalName>Revista Española de drogodependencias</b:JournalName>
    <b:Year>2019</b:Year>
    <b:Pages>13-26</b:Pages>
    <b:Volume>44</b:Volume>
    <b:Issue>3</b:Issue>
    <b:LCID>en-US</b:LCID>
    <b:URL>https://pesquisa.bvsalud.org/portal/resource/pt/ibc-187422</b:URL>
    <b:RefOrder>46</b:RefOrder>
  </b:Source>
  <b:Source>
    <b:Tag>Mor202</b:Tag>
    <b:SourceType>JournalArticle</b:SourceType>
    <b:Guid>{83B04C90-CA50-4FBB-87F6-F6E225A3CCAC}</b:Guid>
    <b:Author>
      <b:Author>
        <b:NameList>
          <b:Person>
            <b:Last>Moreta-Herrera</b:Last>
            <b:First>Rodrigo</b:First>
          </b:Person>
          <b:Person>
            <b:Last>Almache-Moya</b:Last>
            <b:First>Anita</b:First>
          </b:Person>
          <b:Person>
            <b:Last>Vargas-Espín</b:Last>
            <b:First>Alba</b:First>
          </b:Person>
          <b:Person>
            <b:Last>Vaca-Quintana</b:Last>
            <b:First>Diego</b:First>
          </b:Person>
        </b:NameList>
      </b:Author>
    </b:Author>
    <b:Title>Levels and Patterns of Alcohol Consumption: a Descriptive Study in Ecuadorian Teenagers.</b:Title>
    <b:JournalName>International Journal of Mental Health and Addiction</b:JournalName>
    <b:Year>2020</b:Year>
    <b:Pages>422-431</b:Pages>
    <b:Volume>18</b:Volume>
    <b:Issue>2</b:Issue>
    <b:DOI>https://doi.org/10.1007/s11469-019-00197-9</b:DOI>
    <b:RefOrder>47</b:RefOrder>
  </b:Source>
  <b:Source>
    <b:Tag>Red17</b:Tag>
    <b:SourceType>JournalArticle</b:SourceType>
    <b:Guid>{07B431DD-09C9-4C1D-999B-1F261AA91111}</b:Guid>
    <b:Author>
      <b:Author>
        <b:NameList>
          <b:Person>
            <b:Last>Reddy</b:Last>
            <b:First>Doodipala</b:First>
            <b:Middle>S.</b:Middle>
          </b:Person>
        </b:NameList>
      </b:Author>
    </b:Author>
    <b:Title>The neuroendocrine basis of sex differences in epilepsy</b:Title>
    <b:JournalName>Pharmacology Biochemistry and Behavior</b:JournalName>
    <b:Year>2017</b:Year>
    <b:Pages>97-104</b:Pages>
    <b:Volume>152</b:Volume>
    <b:DOI>https://doi.org/10.1016/j.pbb.2016.07.002</b:DOI>
    <b:RefOrder>48</b:RefOrder>
  </b:Source>
  <b:Source>
    <b:Tag>Ric18</b:Tag>
    <b:SourceType>JournalArticle</b:SourceType>
    <b:Guid>{17F995D8-830B-4FDD-AC78-E48A8EE3DBB7}</b:Guid>
    <b:Author>
      <b:Author>
        <b:NameList>
          <b:Person>
            <b:Last>Rich-Edwards</b:Last>
            <b:First>Janet</b:First>
            <b:Middle>W.</b:Middle>
          </b:Person>
          <b:Person>
            <b:Last>Kaiser</b:Last>
            <b:First>Ursula</b:First>
            <b:Middle>B.</b:Middle>
          </b:Person>
          <b:Person>
            <b:Last>Chen</b:Last>
            <b:First>Grace</b:First>
            <b:Middle>L.</b:Middle>
          </b:Person>
          <b:Person>
            <b:Last>Manson</b:Last>
            <b:First>JoAnn</b:First>
            <b:Middle>E.</b:Middle>
          </b:Person>
          <b:Person>
            <b:Last>Goldstein</b:Last>
            <b:First>Jill</b:First>
            <b:Middle>M.</b:Middle>
          </b:Person>
        </b:NameList>
      </b:Author>
    </b:Author>
    <b:Title>Sex and Gender Differences Research Design for Basic, Clinical, and Population Studies: Essentials for Investigators</b:Title>
    <b:JournalName>Endocrine Reviews</b:JournalName>
    <b:Year>2018</b:Year>
    <b:Pages>424–439</b:Pages>
    <b:Volume>39</b:Volume>
    <b:Issue>4</b:Issue>
    <b:DOI>https://doi.org/10.1210/er.2017-00246</b:DOI>
    <b:RefOrder>49</b:RefOrder>
  </b:Source>
  <b:Source>
    <b:Tag>Yan19</b:Tag>
    <b:SourceType>JournalArticle</b:SourceType>
    <b:Guid>{EF4A3CEE-F9BC-460A-A53A-952133CD31A9}</b:Guid>
    <b:Author>
      <b:Author>
        <b:NameList>
          <b:Person>
            <b:Last>Yang</b:Last>
            <b:First>Wei</b:First>
          </b:Person>
          <b:Person>
            <b:Last>Warrington</b:Last>
            <b:First>Nicole</b:First>
            <b:Middle>M.</b:Middle>
          </b:Person>
          <b:Person>
            <b:Last>Taylor</b:Last>
            <b:First>Sara</b:First>
            <b:Middle>J.</b:Middle>
          </b:Person>
          <b:Person>
            <b:Last>Whitmire</b:Last>
            <b:First>Paula</b:First>
          </b:Person>
          <b:Person>
            <b:Last>Carrasco</b:Last>
            <b:First>Eduardo</b:First>
          </b:Person>
          <b:Person>
            <b:Last>Singleton</b:Last>
            <b:First>Kyle</b:First>
            <b:Middle>W.</b:Middle>
          </b:Person>
          <b:Person>
            <b:Last>Wu</b:Last>
            <b:First>Ningying</b:First>
          </b:Person>
          <b:Person>
            <b:Last>Lathia</b:Last>
            <b:First>Justin</b:First>
            <b:Middle>D.</b:Middle>
          </b:Person>
          <b:Person>
            <b:Last>Berens</b:Last>
            <b:First>Michael</b:First>
            <b:Middle>E.</b:Middle>
          </b:Person>
          <b:Person>
            <b:Last>Kim</b:Last>
            <b:First>Albert</b:First>
            <b:Middle>H.</b:Middle>
          </b:Person>
          <b:Person>
            <b:Last>Barnholtz-Sloan</b:Last>
            <b:First>Jill</b:First>
            <b:Middle>S.</b:Middle>
          </b:Person>
          <b:Person>
            <b:Last>Swanson</b:Last>
            <b:First>Kristin</b:First>
            <b:Middle>R.</b:Middle>
          </b:Person>
          <b:Person>
            <b:Last>Luo</b:Last>
            <b:First>Jingqin</b:First>
          </b:Person>
          <b:Person>
            <b:Last>Rubin</b:Last>
            <b:First>Joshua</b:First>
            <b:Middle>B.</b:Middle>
          </b:Person>
        </b:NameList>
      </b:Author>
    </b:Author>
    <b:Title>Sex differences in GBM revealed by analysis of patient imaging, transcriptome, and survival data</b:Title>
    <b:JournalName>Science Translational Medicine</b:JournalName>
    <b:Year>2019</b:Year>
    <b:Volume>11</b:Volume>
    <b:Issue>473</b:Issue>
    <b:DOI>10.1126/scitranslmed.aao5253</b:DOI>
    <b:RefOrder>50</b:RefOrder>
  </b:Source>
  <b:Source>
    <b:Tag>Zan15</b:Tag>
    <b:SourceType>JournalArticle</b:SourceType>
    <b:Guid>{55905506-C695-46EF-89D2-5ECE7DA86F7C}</b:Guid>
    <b:Author>
      <b:Author>
        <b:NameList>
          <b:Person>
            <b:Last>Zang</b:Last>
            <b:First>Yu</b:First>
          </b:Person>
          <b:Person>
            <b:Last>Wang</b:Last>
            <b:First>Ruixia</b:First>
          </b:Person>
          <b:Person>
            <b:Last>Miao</b:Last>
            <b:First>Limin</b:First>
          </b:Person>
          <b:Person>
            <b:Last>Zhu</b:Last>
            <b:First>Longbiao</b:First>
          </b:Person>
          <b:Person>
            <b:Last>Jiang</b:Last>
            <b:First>Hongbing</b:First>
          </b:Person>
          <b:Person>
            <b:Last>Yuan</b:Last>
            <b:First>Hua</b:First>
          </b:Person>
        </b:NameList>
      </b:Author>
    </b:Author>
    <b:Title>Different levels in alcohol and tobacco consumption in head and neck cancer patients from 1957 to 2013</b:Title>
    <b:JournalName>Plos One</b:JournalName>
    <b:Year>2015</b:Year>
    <b:Pages>1-13</b:Pages>
    <b:LCID>en-US</b:LCID>
    <b:Volume>10</b:Volume>
    <b:Issue>4</b:Issue>
    <b:DOI>10.1371/journal.pone.0124045</b:DOI>
    <b:RefOrder>51</b:RefOrder>
  </b:Source>
  <b:Source>
    <b:Tag>Bab01</b:Tag>
    <b:SourceType>Book</b:SourceType>
    <b:Guid>{F3A90DD6-2927-448C-A4D6-A525FB85E293}</b:Guid>
    <b:Author>
      <b:Author>
        <b:NameList>
          <b:Person>
            <b:Last>Babor</b:Last>
            <b:First>T.F.</b:First>
          </b:Person>
          <b:Person>
            <b:Last>Higgins-Biddle</b:Last>
            <b:First>J.C.</b:First>
          </b:Person>
          <b:Person>
            <b:Last>Saunders</b:Last>
            <b:First>J.B.</b:First>
          </b:Person>
          <b:Person>
            <b:Last>Monteiro</b:Last>
            <b:First>M.G.</b:First>
          </b:Person>
        </b:NameList>
      </b:Author>
    </b:Author>
    <b:Title>AUDIT Cuestionario de Identificación de los Transtornos debidos al Consumo de Alcohol. Pautas para su utilización en Atención Primaria</b:Title>
    <b:Year>2001</b:Year>
    <b:City>Ginebra, Suiza</b:City>
    <b:Publisher>WHO - Generalitat Valenciana Conselleria de Benestar Social</b:Publisher>
    <b:RefOrder>52</b:RefOrder>
  </b:Source>
  <b:Source>
    <b:Tag>Mor204</b:Tag>
    <b:SourceType>JournalArticle</b:SourceType>
    <b:Guid>{144DD55D-8D47-4E7C-B3C5-6F2C44E0E737}</b:Guid>
    <b:Author>
      <b:Author>
        <b:NameList>
          <b:Person>
            <b:Last>Moreta-Herrera</b:Last>
            <b:First>R.</b:First>
          </b:Person>
          <b:Person>
            <b:Last>Rodas</b:Last>
            <b:First>J.</b:First>
          </b:Person>
          <b:Person>
            <b:Last>Lara-Salazar</b:Last>
            <b:First>M.</b:First>
          </b:Person>
        </b:NameList>
      </b:Author>
    </b:Author>
    <b:Title>Factor validity of Alcohol use Disorders Identification Test (AUDIT) using robust estimations in Ecuadorian adolescents</b:Title>
    <b:JournalName>Alcohol &amp; Alcoholism</b:JournalName>
    <b:Year>2021</b:Year>
    <b:Pages>482-489</b:Pages>
    <b:Volume>56</b:Volume>
    <b:Issue>4</b:Issue>
    <b:DOI>10.1093/alcalc/agaa126</b:DOI>
    <b:RefOrder>53</b:RefOrder>
  </b:Source>
</b:Sources>
</file>

<file path=customXml/itemProps1.xml><?xml version="1.0" encoding="utf-8"?>
<ds:datastoreItem xmlns:ds="http://schemas.openxmlformats.org/officeDocument/2006/customXml" ds:itemID="{CD7B385F-7F64-824D-807E-54E71D0D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6492</Words>
  <Characters>37008</Characters>
  <Application>Microsoft Macintosh Word</Application>
  <DocSecurity>0</DocSecurity>
  <Lines>308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STORE</dc:creator>
  <cp:keywords/>
  <dc:description/>
  <cp:lastModifiedBy>Melissa Morgan</cp:lastModifiedBy>
  <cp:revision>2</cp:revision>
  <dcterms:created xsi:type="dcterms:W3CDTF">2021-11-16T16:55:00Z</dcterms:created>
  <dcterms:modified xsi:type="dcterms:W3CDTF">2021-11-16T16:55:00Z</dcterms:modified>
</cp:coreProperties>
</file>