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76" w:rsidRDefault="00033738">
      <w:pPr>
        <w:spacing w:after="0"/>
      </w:pPr>
      <w:bookmarkStart w:id="0" w:name="_GoBack"/>
      <w:bookmarkEnd w:id="0"/>
      <w:r>
        <w:rPr>
          <w:b/>
        </w:rPr>
        <w:t xml:space="preserve">Título: </w:t>
      </w:r>
      <w:r>
        <w:t xml:space="preserve">Comportamiento Sexual de Personas en Parejas Estables Desde una Perspectiva Sistémica. </w:t>
      </w:r>
    </w:p>
    <w:p w:rsidR="00D41E76" w:rsidRDefault="00D41E76">
      <w:pPr>
        <w:spacing w:after="0"/>
      </w:pPr>
    </w:p>
    <w:p w:rsidR="00D41E76" w:rsidRDefault="00033738">
      <w:pPr>
        <w:spacing w:after="0"/>
        <w:rPr>
          <w:b/>
          <w:lang w:val="en-US"/>
        </w:rPr>
      </w:pPr>
      <w:r>
        <w:rPr>
          <w:b/>
          <w:lang w:val="en-US"/>
        </w:rPr>
        <w:t xml:space="preserve">Title: </w:t>
      </w:r>
      <w:r>
        <w:rPr>
          <w:lang w:val="en-US"/>
        </w:rPr>
        <w:t xml:space="preserve">Sexual Behavior of People in Romantic Stable Relationships from a Systemic Perspective. </w:t>
      </w:r>
    </w:p>
    <w:p w:rsidR="00D41E76" w:rsidRDefault="00D41E76">
      <w:pPr>
        <w:spacing w:after="0"/>
        <w:rPr>
          <w:lang w:val="en-US"/>
        </w:rPr>
      </w:pPr>
    </w:p>
    <w:p w:rsidR="00D41E76" w:rsidRDefault="00033738">
      <w:pPr>
        <w:pStyle w:val="Ttulo1"/>
        <w:spacing w:before="0"/>
      </w:pPr>
      <w:r>
        <w:t xml:space="preserve">Resumen </w:t>
      </w:r>
    </w:p>
    <w:p w:rsidR="00D41E76" w:rsidRDefault="00D41E76">
      <w:pPr>
        <w:spacing w:after="0"/>
      </w:pPr>
    </w:p>
    <w:p w:rsidR="00D41E76" w:rsidRDefault="00033738">
      <w:pPr>
        <w:spacing w:after="0" w:line="240" w:lineRule="auto"/>
      </w:pPr>
      <w:r>
        <w:t>En la presente investigación, se tomó la Teoría de los Cuatro Holones Sexuales como principal referente conceptual, pues ofrece un acercamiento integral al estudio de la sexualidad humana. Se escogieron 140 participantes que tuvieran pareja estable por un período de 5 años o más, por ser esta un espacio privilegiado para las manifestaciones de sexualidad, especialmente para un análisis de género. El estudio, de enfoque cuantitativo, escogió la variable comportamiento sexual como expresión de las configuraciones de sexualidad. La información fue recogida a través de un cuestionario y los datos obtenidos se procesaron en el programa estadístico IBM SPSS Statistics</w:t>
      </w:r>
      <w:r w:rsidR="00B832DE">
        <w:t xml:space="preserve"> versión 22</w:t>
      </w:r>
      <w:r>
        <w:t>. El comportamiento sexual de los participantes se caracteriza por: lazos de esposo/a y novio/a con convivencia permanente; vínculos heterosexuales, presencia de coito vaginal, prácticas buco-genitales, caricias y besos eróticos, fantasías y juegos; poca búsqueda de descendencia, a pesar de haber poca protección sexual; estrategias de resolución de confl</w:t>
      </w:r>
      <w:r w:rsidR="00B832DE">
        <w:t>ictos favorables. Se apreciaron</w:t>
      </w:r>
      <w:r>
        <w:t xml:space="preserve"> diferencias significativas entre hombres y mujeres en los holones erotismo</w:t>
      </w:r>
      <w:r w:rsidR="00CE2524" w:rsidRPr="00CE2524">
        <w:t xml:space="preserve"> </w:t>
      </w:r>
      <w:r w:rsidR="00CE2524">
        <w:t>y género</w:t>
      </w:r>
      <w:r>
        <w:t>, con evidencia de roles de género patriarcales</w:t>
      </w:r>
      <w:r w:rsidR="00CE2524">
        <w:t xml:space="preserve"> en este último holón</w:t>
      </w:r>
      <w:r>
        <w:t xml:space="preserve">. Todos los comportamientos fueron reportados con alta satisfacción. </w:t>
      </w:r>
    </w:p>
    <w:p w:rsidR="00D41E76" w:rsidRDefault="00033738">
      <w:pPr>
        <w:spacing w:after="0" w:line="240" w:lineRule="auto"/>
      </w:pPr>
      <w:r>
        <w:rPr>
          <w:b/>
        </w:rPr>
        <w:t>Palabras Claves:</w:t>
      </w:r>
      <w:r>
        <w:t xml:space="preserve"> Comportamiento Sexual, Pareja, Género, Vínculo Afectivo, Erotismo, Reproducción.</w:t>
      </w:r>
    </w:p>
    <w:p w:rsidR="00D41E76" w:rsidRDefault="00D41E76">
      <w:pPr>
        <w:spacing w:after="0"/>
      </w:pPr>
    </w:p>
    <w:p w:rsidR="00D41E76" w:rsidRDefault="00033738">
      <w:pPr>
        <w:pStyle w:val="Ttulo1"/>
        <w:spacing w:before="0"/>
        <w:rPr>
          <w:lang w:val="en-US"/>
        </w:rPr>
      </w:pPr>
      <w:r>
        <w:rPr>
          <w:lang w:val="en-US"/>
        </w:rPr>
        <w:t>Abstract</w:t>
      </w:r>
    </w:p>
    <w:p w:rsidR="00D41E76" w:rsidRDefault="00D41E76">
      <w:pPr>
        <w:spacing w:after="0"/>
        <w:rPr>
          <w:lang w:val="en-US"/>
        </w:rPr>
      </w:pPr>
    </w:p>
    <w:p w:rsidR="00D41E76" w:rsidRDefault="00033738" w:rsidP="00B832DE">
      <w:pPr>
        <w:spacing w:after="0" w:line="240" w:lineRule="auto"/>
        <w:rPr>
          <w:lang w:val="en-US"/>
        </w:rPr>
      </w:pPr>
      <w:r>
        <w:rPr>
          <w:lang w:val="en-US"/>
        </w:rPr>
        <w:t>In this research, the Theory of the Four Sexual Holons was taken as the main conceptual reference, since it offers a comprehensive approach to the study of human sexuality. There were chosen 140 participants who had a stable partner for a 5 year period or more, as stable relationships are a privileged space for manifestations of sexuality, especially for a gender analysis. The quantitative study chose the sexual behavior variable as an expression of sexuality configurations. The information was collected with a questionnaire and the data obtained were processed in the statistical program IBM SPSS Statistics. The sexual behavior of the participants is characterized by: ties of husband / wife and boyfriend / girlfriend with permanent cohabitation; heterosexual ties, presence of vaginal intercourse, oral-genital practices, erotic caresses and kisses, fantasies and sexual games; existence of little tendency to search for offspring, despite having little sexual protection; favorable conflict resolution strategies. Significant differences between men and women appeared in the gender and erotic holones, with shown evidence of patriarchal gender roles. All behaviors were reported with high satisfaction.</w:t>
      </w:r>
    </w:p>
    <w:p w:rsidR="00D41E76" w:rsidRDefault="00033738">
      <w:pPr>
        <w:spacing w:line="240" w:lineRule="auto"/>
        <w:rPr>
          <w:lang w:val="en-US"/>
        </w:rPr>
      </w:pPr>
      <w:r>
        <w:rPr>
          <w:b/>
          <w:lang w:val="en-US"/>
        </w:rPr>
        <w:t xml:space="preserve">Keywords: </w:t>
      </w:r>
      <w:r w:rsidR="00B832DE">
        <w:rPr>
          <w:lang w:val="en-US"/>
        </w:rPr>
        <w:t>Sexual B</w:t>
      </w:r>
      <w:r>
        <w:rPr>
          <w:lang w:val="en-US"/>
        </w:rPr>
        <w:t xml:space="preserve">ehavior, Romantic Stable Relationship, Gender, Emotional Bond, Eroticism, Reproduction.  </w:t>
      </w:r>
    </w:p>
    <w:p w:rsidR="00D41E76" w:rsidRDefault="00D41E76">
      <w:pPr>
        <w:spacing w:line="240" w:lineRule="auto"/>
        <w:rPr>
          <w:b/>
          <w:lang w:val="en-US"/>
        </w:rPr>
      </w:pPr>
    </w:p>
    <w:p w:rsidR="00D41E76" w:rsidRDefault="00033738">
      <w:pPr>
        <w:pStyle w:val="Ttulo1"/>
        <w:spacing w:before="0" w:line="480" w:lineRule="auto"/>
      </w:pPr>
      <w:r>
        <w:lastRenderedPageBreak/>
        <w:t>Introducción</w:t>
      </w:r>
    </w:p>
    <w:p w:rsidR="00D41E76" w:rsidRDefault="00033738">
      <w:pPr>
        <w:ind w:firstLine="709"/>
      </w:pPr>
      <w:r>
        <w:t xml:space="preserve">El modelo propuesto por Eusebio Rubio, comprende que la </w:t>
      </w:r>
      <w:r>
        <w:rPr>
          <w:i/>
        </w:rPr>
        <w:t>sexualidad</w:t>
      </w:r>
      <w:r>
        <w:t xml:space="preserve"> es “el resultado de la integración de cuatro potencialidades humanas que dan origen a los cuatro holones sexuales, a saber: la reproductividad, el género, el erotismo y la vinculación afectiva interpersonal” (Rubio, 1994, p. 29). Se basa en la Teoría del Sistema General, por lo que cada holón se encuentra en integración con los demás. Esto ocurre a través de la “adscripción de sentido, significado y afecto” a todo cuanto las personas y grupos vivencian como resultado de sus potencialidades biológicas (Lamas, </w:t>
      </w:r>
      <w:r>
        <w:rPr>
          <w:noProof/>
        </w:rPr>
        <w:t>2001,</w:t>
      </w:r>
      <w:r>
        <w:t xml:space="preserve"> p. 76). Lo anterior muestra otra de las fortalezas de esta teoría: reconoce el papel de los aspectos biológicos, psicológicos y sociales en la sexualidad. </w:t>
      </w:r>
    </w:p>
    <w:p w:rsidR="00D41E76" w:rsidRDefault="00033738">
      <w:pPr>
        <w:ind w:firstLine="709"/>
      </w:pPr>
      <w:r>
        <w:t xml:space="preserve">La </w:t>
      </w:r>
      <w:r>
        <w:rPr>
          <w:i/>
        </w:rPr>
        <w:t>reproductividad</w:t>
      </w:r>
      <w:r>
        <w:t xml:space="preserve"> es resultado de la propia existencia, de modo que es “tanto la posibilidad humana de producir individuos que en gran medida sean similares (que no idénticos) a los que los produjeron, como las construcciones mentales que se producen acerca de esta posibilidad” (Rubio, 1994, p. 32). Se incluyen todas aquellas actividades y significaciones expresadas a partir de la conducta reproductiva general, independientemente de la tenencia de hijos/as. En investigaciones anteriores, se ha descrito cómo las mujeres, suelen ocupar el rol de cuidadoras; además, son reconocidas como poseedoras del “poder de las relaciones”, lo que las coloca más “cerca” de sus hijos/as desde el punto de vista emocional. Por su parte, los hombres ejercen regularmente el rol de proveedor económico y figura de autoridad en el hogar, por lo que tienden a ser los que “disciplinan”</w:t>
      </w:r>
      <w:r>
        <w:rPr>
          <w:i/>
        </w:rPr>
        <w:t xml:space="preserve"> </w:t>
      </w:r>
      <w:r>
        <w:t xml:space="preserve">a la prole. En el país, los estudios sobre el tema dan cuenta de la distribución sexista de las funciones parentales; además, se describe una hiperbolización de la función económica de la familia, desplazando a las funciones educativa, cultural y la recreación (López y Sánchez, 2012; Tomé, 2014). </w:t>
      </w:r>
    </w:p>
    <w:p w:rsidR="00D41E76" w:rsidRDefault="00033738">
      <w:pPr>
        <w:ind w:firstLine="709"/>
      </w:pPr>
      <w:r>
        <w:t xml:space="preserve">En lo concerniente al holón </w:t>
      </w:r>
      <w:r>
        <w:rPr>
          <w:i/>
        </w:rPr>
        <w:t>género</w:t>
      </w:r>
      <w:r>
        <w:t xml:space="preserve"> en sí, se define como “la serie de construcciones mentales respecto a la pertenencia o no del individuo a las categorías dimórficas de los seres humanos: masculina y femenina, así como las características del individuo que lo ubican en algún punto del rango de diferencias” (Rubio, 1994, p. 34). Vinculado a esto se encuentran los roles de género, que constituyen guiones sociales sobre lo esperado de hombres y mujeres (González y Castellanos, 1996). Estas normas regulan desde la forma de vestir y de hablar, hasta ocupaciones laborales y gustos personales; en muchas ocasiones vivenciadas como opresión. La relación de pareja es uno de los escenarios donde más se observan los estereotipos de género y existen múltiples investigaciones que lo han abordado (Centro de Estudios de </w:t>
      </w:r>
      <w:r>
        <w:lastRenderedPageBreak/>
        <w:t xml:space="preserve">Antropología de la Mujer, 2011; González y Castellanos, 1996; Lara, </w:t>
      </w:r>
      <w:r>
        <w:rPr>
          <w:noProof/>
        </w:rPr>
        <w:t>1994</w:t>
      </w:r>
      <w:r>
        <w:t>; López y Sánchez, 2012; Rubio, s.f.; Waisblat y Sáenz, 2013).</w:t>
      </w:r>
    </w:p>
    <w:p w:rsidR="00D41E76" w:rsidRDefault="00033738">
      <w:pPr>
        <w:ind w:firstLine="709"/>
      </w:pPr>
      <w:r>
        <w:t xml:space="preserve">El </w:t>
      </w:r>
      <w:r>
        <w:rPr>
          <w:i/>
        </w:rPr>
        <w:t>erotismo</w:t>
      </w:r>
      <w:r>
        <w:t xml:space="preserve"> es entendido como aquellos “procesos humanos en torno al apetito por la excitación sexual, la excitación misma y el orgasmo, sus resultantes en la calidad placentera de esas vivencias humanas, así como las construcciones mentales alrededor de estas experiencias” (Rubio, 1994, p. 36). Existe multiplicidad de formas de expresión del erotismo, manifestada en diversas orientaciones sexo-eróticas y preferencias que se relacionan de modo diverso con los procesos de identificación sexual. Esta relación no es en ningún modo directa, sino que las combinaciones son tan variadas como los seres humanos. La orientación sexo-erótica se vincula al género y es entendida como “la dirección de los intereses afectivo-sexuales de una persona” (Rathus, 2005; como se cita en Brenes, 2015, p.37). Además, existe gran diversidad de prácticas sexuales, las más comunes resultan: masturbación, coito vaginal, prácticas buco-genitales, caricias, fantasías y juegos, etc. (Faílde y Bimbela, 2008; López E., 2013; Moral, 2009; Velazco, 1994). Se destaca también una tendencia creciente al uso de la tecnología en el erotismo y un aumento preferencial del autoerotismo </w:t>
      </w:r>
      <w:r>
        <w:rPr>
          <w:noProof/>
        </w:rPr>
        <w:t xml:space="preserve">(Fernández, 2004). </w:t>
      </w:r>
    </w:p>
    <w:p w:rsidR="00D41E76" w:rsidRDefault="00033738">
      <w:pPr>
        <w:ind w:firstLine="709"/>
      </w:pPr>
      <w:r>
        <w:t xml:space="preserve">Los patrones tradicionales del patriarcado establecen una pasividad erótica en la mujer y una conducta activa, casi agresiva, en el hombre. Ellas no debían buscar los encuentros eróticos y comportarse como </w:t>
      </w:r>
      <w:r>
        <w:rPr>
          <w:i/>
        </w:rPr>
        <w:t>objeto</w:t>
      </w:r>
      <w:r>
        <w:t xml:space="preserve"> de satisfacción del hombre, ignorando generalmente su propio placer. Para ellos, era esencial mantener una posición de poder en la relación, desde el cortejo hasta la convivencia marital</w:t>
      </w:r>
      <w:r>
        <w:rPr>
          <w:noProof/>
        </w:rPr>
        <w:t xml:space="preserve"> (Orlandini y Orlandini, 2015)</w:t>
      </w:r>
      <w:r>
        <w:t xml:space="preserve">. Muchos de estos mandamientos sociales aún tienen vigencia en nuestros días a pesar de los avances en cuanto a derechos sexuales. </w:t>
      </w:r>
    </w:p>
    <w:p w:rsidR="00D41E76" w:rsidRDefault="00033738">
      <w:pPr>
        <w:ind w:firstLine="709"/>
      </w:pPr>
      <w:r>
        <w:t xml:space="preserve">Se entiende por </w:t>
      </w:r>
      <w:r>
        <w:rPr>
          <w:i/>
        </w:rPr>
        <w:t>vinculación afectiva</w:t>
      </w:r>
      <w:r>
        <w:t xml:space="preserve"> “la capacidad humana de desarrollar afectos intensos (resonancia afectiva) ante la presencia o ausencia, disponibilidad o indisponibilidad de otro ser humano en específico, así como las construcciones mentales, individuales y sociales que de ellos se derivan” (Rubio, 1994, p. 37). Existe diversidad de formas de vincularse y, según Rubio, la más ideal es el amor, pues ofrece amplias posibilidades para desarrollar las potencialidades sexuales. Según (González y Castellanos, 1996) la pareja representa “la trascendencia de la sexualidad hacia una dimensión interaccional, esencialmente social, donde tiene lugar el encuentro con el otro yo y se establecen vinculaciones afectivas y eróticas en la comunicación física y espiritual, al ofrecer y obtener placer, satisfacción, amor y felicidad” (pp. 3-4). </w:t>
      </w:r>
    </w:p>
    <w:p w:rsidR="00D41E76" w:rsidRDefault="00033738">
      <w:pPr>
        <w:ind w:firstLine="709"/>
      </w:pPr>
      <w:r>
        <w:lastRenderedPageBreak/>
        <w:t xml:space="preserve">Toda pareja está compuesta por sujetos con su propia historia y singularidad, que debe encontrarse con los de la otra persona, sentando las bases para una “producción vincular” (Rojas, 2013). Así como cada persona presenta maneras propias de manifestar su sexualidad, también las tendrá cada pareja como conjunto, a modo de construcción compartida. El análisis de las estrategias en el manejo de conflictos resulta esencial para comprender la dinámica de funcionamiento de las parejas. Entre los resultados investigativos sobre el tema, se destaca la propuesta de Verderber en 1999; (como se cita en Alegría, 2007): </w:t>
      </w:r>
    </w:p>
    <w:p w:rsidR="00D41E76" w:rsidRDefault="00033738">
      <w:pPr>
        <w:pStyle w:val="Prrafodelista"/>
        <w:numPr>
          <w:ilvl w:val="0"/>
          <w:numId w:val="1"/>
        </w:numPr>
        <w:spacing w:after="0"/>
      </w:pPr>
      <w:r>
        <w:t>Retraerse: apartarse física y psicológicamente. Si se practica reiteradamente, lleva al deterioro de la relación, aunque puede resultar efectivo temporalmente.</w:t>
      </w:r>
    </w:p>
    <w:p w:rsidR="00D41E76" w:rsidRDefault="00033738">
      <w:pPr>
        <w:pStyle w:val="Prrafodelista"/>
        <w:numPr>
          <w:ilvl w:val="0"/>
          <w:numId w:val="1"/>
        </w:numPr>
        <w:spacing w:after="0"/>
      </w:pPr>
      <w:r>
        <w:t xml:space="preserve">Adaptación: ceder ante las demandas del otro y desatender las propias. Puede generar relaciones de poder, lo cual no es favorable para el vínculo ni para sus miembros. </w:t>
      </w:r>
    </w:p>
    <w:p w:rsidR="00D41E76" w:rsidRDefault="00033738">
      <w:pPr>
        <w:pStyle w:val="Prrafodelista"/>
        <w:numPr>
          <w:ilvl w:val="0"/>
          <w:numId w:val="1"/>
        </w:numPr>
        <w:spacing w:after="0"/>
      </w:pPr>
      <w:r>
        <w:t xml:space="preserve">Obligar: intentar satisfacer sus propias demandas o tomar ventaja a través de la violencia psicológica o física, coacción, o manipulación. Puede llegar a ser muy dañina. </w:t>
      </w:r>
    </w:p>
    <w:p w:rsidR="00D41E76" w:rsidRDefault="00033738">
      <w:pPr>
        <w:pStyle w:val="Prrafodelista"/>
        <w:numPr>
          <w:ilvl w:val="0"/>
          <w:numId w:val="1"/>
        </w:numPr>
        <w:spacing w:after="0"/>
      </w:pPr>
      <w:r>
        <w:t xml:space="preserve">Compromiso: intentar resolver el conflicto obteniendo alguna satisfacción para ambos; utilizar la negociación para lograr algo más, diferente a las demandas iniciales. </w:t>
      </w:r>
    </w:p>
    <w:p w:rsidR="00D41E76" w:rsidRDefault="00033738">
      <w:pPr>
        <w:pStyle w:val="Prrafodelista"/>
        <w:numPr>
          <w:ilvl w:val="0"/>
          <w:numId w:val="1"/>
        </w:numPr>
      </w:pPr>
      <w:r>
        <w:t xml:space="preserve">Colaboración: tratar de satisfacer ambas demandas y llegar a una solución satisfactoria. Se discuten los problemas y sentimientos. Es el medio más eficaz y apropiado. </w:t>
      </w:r>
    </w:p>
    <w:p w:rsidR="00D41E76" w:rsidRDefault="00033738">
      <w:pPr>
        <w:ind w:firstLine="709"/>
      </w:pPr>
      <w:r>
        <w:t xml:space="preserve">El concepto que se utilizó para comprender el comportamiento sexual en pareja fue construido por Rodríguez (2020) a partir de un análisis de los elementos teóricos descritos: “conductas o acciones eróticas, identitarias, vinculares y reproductivas; generadoras de diferentes niveles de satisfacción, enmarcadas en una relación con intimidad, significados compartidos y compromiso mantenidos en el tiempo”.  </w:t>
      </w:r>
    </w:p>
    <w:p w:rsidR="00D41E76" w:rsidRDefault="00033738">
      <w:pPr>
        <w:spacing w:after="0"/>
        <w:ind w:firstLine="709"/>
      </w:pPr>
      <w:r>
        <w:t xml:space="preserve">El comportamiento de las variables demográficas y de desarrollo social en el país despierta la necesidad de estudiar la sexualidad en pareja como decisora demográfica e indicador de los efectos de las políticas sociales orientadas al bienestar y desarrollo social y familiar. En anteriores estudios se ha descrito un crecimiento de uniones consensuales y vínculos no convivientes con baja estabilidad </w:t>
      </w:r>
      <w:r>
        <w:rPr>
          <w:noProof/>
        </w:rPr>
        <w:t>(Fernández, 2004)</w:t>
      </w:r>
      <w:r>
        <w:t>. La presente investigación ofrece una visión que integra aquellos aspectos más íntimos como el erotismo y el género</w:t>
      </w:r>
      <w:r w:rsidR="00557DE1">
        <w:t>,</w:t>
      </w:r>
      <w:r>
        <w:t xml:space="preserve"> con los más evidentes de la sexualidad humana como la reproductividad y las tendencias en vinculaciones afectivas. Se abre así la posibilidad de explorar todos los factores que pueden estar influyendo en la dinámica socio-económica actual de la nación. El análisis enfocado en el género de los participantes permite indagar en los efectos de aquellas políticas sociales </w:t>
      </w:r>
      <w:r>
        <w:lastRenderedPageBreak/>
        <w:t xml:space="preserve">orientadas a la equidad de género, así como la satisfacción relativa a los mismos. Además, como se ha explicado, el género constituye un aspecto que transversaliza de forma activa la sexualidad, por lo que su estudio diferenciado del resto de los holones se hace necesario. Se propusieron así los objetivos: 1) caracterizar el comportamiento sexual de los participantes; 2) analizar el comportamiento sexual de los participantes teniendo en cuenta su género.  </w:t>
      </w:r>
    </w:p>
    <w:p w:rsidR="00D41E76" w:rsidRDefault="00D41E76">
      <w:pPr>
        <w:spacing w:after="0"/>
        <w:ind w:firstLine="709"/>
      </w:pPr>
    </w:p>
    <w:p w:rsidR="00D41E76" w:rsidRDefault="00033738">
      <w:pPr>
        <w:pStyle w:val="Ttulo1"/>
        <w:spacing w:before="0" w:line="480" w:lineRule="auto"/>
      </w:pPr>
      <w:r>
        <w:t>Método</w:t>
      </w:r>
    </w:p>
    <w:p w:rsidR="00D41E76" w:rsidRDefault="00033738">
      <w:pPr>
        <w:spacing w:after="0"/>
        <w:ind w:firstLine="709"/>
      </w:pPr>
      <w:r>
        <w:t>La investigación tuvo un enfoque metodológico cuantitativo. El diseño fue no experimental y transeccional, de modo que se evaluaron las variables como se dan naturalmente en un espacio de tiempo corto y bien determinado. El alcance propuesto fue descriptivo.</w:t>
      </w:r>
    </w:p>
    <w:p w:rsidR="00D41E76" w:rsidRDefault="00D41E76">
      <w:pPr>
        <w:spacing w:after="0"/>
      </w:pPr>
    </w:p>
    <w:p w:rsidR="00D41E76" w:rsidRDefault="00033738">
      <w:pPr>
        <w:pStyle w:val="Ttulo2"/>
        <w:spacing w:before="0" w:line="480" w:lineRule="auto"/>
      </w:pPr>
      <w:r>
        <w:t>Participantes</w:t>
      </w:r>
    </w:p>
    <w:p w:rsidR="00D41E76" w:rsidRDefault="00033738">
      <w:pPr>
        <w:spacing w:after="0"/>
        <w:ind w:firstLine="709"/>
      </w:pPr>
      <w:r>
        <w:t>La muestra estuvo compuesta por 140 participantes residentes en la misma zona territorial. Fueron seleccionados a partir de un muestreo por bola de nueve, pues no se buscó representatividad estadística. Los participantes debían cumplir con los siguientes criterios de inclusión: 1) tener más de 18 años; 2) tener una relación de pareja con al menos 5 años de duración. El criterio de edad responde a que a partir de la juventud las relaciones de pareja regularmente son estables, no sucediendo así en edades anteriores. El criterio de duración de la relación de pareja se incluyó para tratar de garantizar la existencia de un vínculo consolidado, que permitiera explorar la sexualidad compartida. Las características sociodemográficas de la muestra se ofrecen en la siguiente tabla:</w:t>
      </w:r>
    </w:p>
    <w:p w:rsidR="00D41E76" w:rsidRDefault="00D41E76">
      <w:pPr>
        <w:spacing w:after="0" w:line="480" w:lineRule="auto"/>
      </w:pPr>
    </w:p>
    <w:p w:rsidR="00D41E76" w:rsidRDefault="00033738">
      <w:pPr>
        <w:spacing w:after="0"/>
        <w:rPr>
          <w:b/>
        </w:rPr>
      </w:pPr>
      <w:r>
        <w:rPr>
          <w:b/>
        </w:rPr>
        <w:t>Tabla 1</w:t>
      </w:r>
    </w:p>
    <w:p w:rsidR="00D41E76" w:rsidRDefault="00D41E76">
      <w:pPr>
        <w:spacing w:after="0"/>
        <w:rPr>
          <w:b/>
        </w:rPr>
      </w:pPr>
    </w:p>
    <w:p w:rsidR="00D41E76" w:rsidRDefault="00033738">
      <w:pPr>
        <w:spacing w:after="0"/>
        <w:rPr>
          <w:i/>
        </w:rPr>
      </w:pPr>
      <w:r>
        <w:rPr>
          <w:i/>
        </w:rPr>
        <w:t>Características Sociodemográficas de la Muestra</w:t>
      </w:r>
    </w:p>
    <w:p w:rsidR="00D41E76" w:rsidRDefault="00D41E76">
      <w:pPr>
        <w:spacing w:after="0" w:line="276" w:lineRule="auto"/>
      </w:pPr>
    </w:p>
    <w:tbl>
      <w:tblPr>
        <w:tblStyle w:val="Tablanormal21"/>
        <w:tblW w:w="0" w:type="auto"/>
        <w:tblLook w:val="04A0" w:firstRow="1" w:lastRow="0" w:firstColumn="1" w:lastColumn="0" w:noHBand="0" w:noVBand="1"/>
      </w:tblPr>
      <w:tblGrid>
        <w:gridCol w:w="3686"/>
        <w:gridCol w:w="3402"/>
        <w:gridCol w:w="1972"/>
      </w:tblGrid>
      <w:tr w:rsidR="00D41E76" w:rsidTr="00D41E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88" w:type="dxa"/>
            <w:gridSpan w:val="2"/>
          </w:tcPr>
          <w:p w:rsidR="00D41E76" w:rsidRDefault="00033738">
            <w:pPr>
              <w:pStyle w:val="tablasygraficos"/>
              <w:jc w:val="center"/>
            </w:pPr>
            <w:r>
              <w:t>Características Sociodemográficas</w:t>
            </w:r>
          </w:p>
        </w:tc>
        <w:tc>
          <w:tcPr>
            <w:tcW w:w="1972" w:type="dxa"/>
          </w:tcPr>
          <w:p w:rsidR="00D41E76" w:rsidRDefault="00033738">
            <w:pPr>
              <w:pStyle w:val="tablasygraficos"/>
              <w:jc w:val="center"/>
              <w:cnfStyle w:val="100000000000" w:firstRow="1" w:lastRow="0" w:firstColumn="0" w:lastColumn="0" w:oddVBand="0" w:evenVBand="0" w:oddHBand="0" w:evenHBand="0" w:firstRowFirstColumn="0" w:firstRowLastColumn="0" w:lastRowFirstColumn="0" w:lastRowLastColumn="0"/>
            </w:pPr>
            <w:r>
              <w:t>Porcentajes (%)</w:t>
            </w:r>
          </w:p>
        </w:tc>
      </w:tr>
      <w:tr w:rsidR="00D41E76" w:rsidTr="00D41E76">
        <w:trPr>
          <w:cnfStyle w:val="000000100000" w:firstRow="0" w:lastRow="0" w:firstColumn="0" w:lastColumn="0" w:oddVBand="0" w:evenVBand="0" w:oddHBand="1"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3686" w:type="dxa"/>
            <w:vMerge w:val="restart"/>
          </w:tcPr>
          <w:p w:rsidR="00D41E76" w:rsidRDefault="00033738">
            <w:pPr>
              <w:pStyle w:val="tablasygraficos"/>
            </w:pPr>
            <w:r>
              <w:t>Sexo</w:t>
            </w: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Hombres</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42.9</w:t>
            </w:r>
          </w:p>
        </w:tc>
      </w:tr>
      <w:tr w:rsidR="00D41E76" w:rsidTr="00D41E76">
        <w:trPr>
          <w:trHeight w:val="112"/>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Mujeres</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57.1</w:t>
            </w:r>
          </w:p>
        </w:tc>
      </w:tr>
      <w:tr w:rsidR="00D41E76" w:rsidTr="00D41E76">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686" w:type="dxa"/>
            <w:vMerge w:val="restart"/>
          </w:tcPr>
          <w:p w:rsidR="00D41E76" w:rsidRDefault="00D41E76">
            <w:pPr>
              <w:pStyle w:val="tablasygraficos"/>
            </w:pPr>
          </w:p>
          <w:p w:rsidR="00D41E76" w:rsidRDefault="00033738">
            <w:pPr>
              <w:pStyle w:val="tablasygraficos"/>
            </w:pPr>
            <w:r>
              <w:t>Edad</w:t>
            </w: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Juventud (18-35 años)</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35.7</w:t>
            </w:r>
          </w:p>
        </w:tc>
      </w:tr>
      <w:tr w:rsidR="00D41E76" w:rsidTr="00D41E76">
        <w:trPr>
          <w:trHeight w:val="75"/>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Adultez Media (36-59 años)</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42.9</w:t>
            </w:r>
          </w:p>
        </w:tc>
      </w:tr>
      <w:tr w:rsidR="00D41E76" w:rsidTr="00D41E76">
        <w:trPr>
          <w:cnfStyle w:val="000000100000" w:firstRow="0" w:lastRow="0" w:firstColumn="0" w:lastColumn="0" w:oddVBand="0" w:evenVBand="0" w:oddHBand="1" w:evenHBand="0" w:firstRowFirstColumn="0" w:firstRowLastColumn="0" w:lastRowFirstColumn="0" w:lastRowLastColumn="0"/>
          <w:trHeight w:val="75"/>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Adultez Mayor (más de 60 años)</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21.4</w:t>
            </w:r>
          </w:p>
        </w:tc>
      </w:tr>
      <w:tr w:rsidR="00D41E76" w:rsidTr="00D41E76">
        <w:trPr>
          <w:trHeight w:val="57"/>
        </w:trPr>
        <w:tc>
          <w:tcPr>
            <w:cnfStyle w:val="001000000000" w:firstRow="0" w:lastRow="0" w:firstColumn="1" w:lastColumn="0" w:oddVBand="0" w:evenVBand="0" w:oddHBand="0" w:evenHBand="0" w:firstRowFirstColumn="0" w:firstRowLastColumn="0" w:lastRowFirstColumn="0" w:lastRowLastColumn="0"/>
            <w:tcW w:w="3686" w:type="dxa"/>
            <w:vMerge w:val="restart"/>
          </w:tcPr>
          <w:p w:rsidR="00D41E76" w:rsidRDefault="00D41E76">
            <w:pPr>
              <w:pStyle w:val="tablasygraficos"/>
            </w:pPr>
          </w:p>
          <w:p w:rsidR="00D41E76" w:rsidRDefault="00D41E76">
            <w:pPr>
              <w:pStyle w:val="tablasygraficos"/>
            </w:pPr>
          </w:p>
          <w:p w:rsidR="00D41E76" w:rsidRDefault="00033738">
            <w:pPr>
              <w:pStyle w:val="tablasygraficos"/>
            </w:pPr>
            <w:r>
              <w:lastRenderedPageBreak/>
              <w:t>Estado Civil</w:t>
            </w: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lastRenderedPageBreak/>
              <w:t>Soltero/a</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11.4</w:t>
            </w:r>
          </w:p>
        </w:tc>
      </w:tr>
      <w:tr w:rsidR="00D41E76" w:rsidTr="00D41E76">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 xml:space="preserve">Unión Consensual </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34.3</w:t>
            </w:r>
          </w:p>
        </w:tc>
      </w:tr>
      <w:tr w:rsidR="00D41E76" w:rsidTr="00D41E76">
        <w:trPr>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Casado/a</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49.3</w:t>
            </w:r>
          </w:p>
        </w:tc>
      </w:tr>
      <w:tr w:rsidR="00D41E76" w:rsidTr="00D41E76">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Divorciado/a</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4.3</w:t>
            </w:r>
          </w:p>
        </w:tc>
      </w:tr>
      <w:tr w:rsidR="00D41E76" w:rsidTr="00D41E76">
        <w:trPr>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Viudo/a</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0.7</w:t>
            </w:r>
          </w:p>
        </w:tc>
      </w:tr>
      <w:tr w:rsidR="00D41E76" w:rsidTr="00D41E76">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686" w:type="dxa"/>
            <w:vMerge w:val="restart"/>
          </w:tcPr>
          <w:p w:rsidR="00D41E76" w:rsidRDefault="00D41E76">
            <w:pPr>
              <w:pStyle w:val="tablasygraficos"/>
            </w:pPr>
          </w:p>
          <w:p w:rsidR="00D41E76" w:rsidRDefault="00D41E76">
            <w:pPr>
              <w:pStyle w:val="tablasygraficos"/>
            </w:pPr>
          </w:p>
          <w:p w:rsidR="00D41E76" w:rsidRDefault="00033738">
            <w:pPr>
              <w:pStyle w:val="tablasygraficos"/>
            </w:pPr>
            <w:r>
              <w:t>Tiempo en la relación de pareja</w:t>
            </w: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5-10 años</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45.3</w:t>
            </w:r>
          </w:p>
        </w:tc>
      </w:tr>
      <w:tr w:rsidR="00D41E76" w:rsidTr="00D41E76">
        <w:trPr>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11-15 años</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16.5</w:t>
            </w:r>
          </w:p>
        </w:tc>
      </w:tr>
      <w:tr w:rsidR="00D41E76" w:rsidTr="00D41E76">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16-20 años</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12.2</w:t>
            </w:r>
          </w:p>
        </w:tc>
      </w:tr>
      <w:tr w:rsidR="00D41E76" w:rsidTr="00D41E76">
        <w:trPr>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21-25 años</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7.2</w:t>
            </w:r>
          </w:p>
        </w:tc>
      </w:tr>
      <w:tr w:rsidR="00D41E76" w:rsidTr="00D41E76">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26-30 años</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6.5</w:t>
            </w:r>
          </w:p>
        </w:tc>
      </w:tr>
      <w:tr w:rsidR="00D41E76" w:rsidTr="00D41E76">
        <w:trPr>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Más de 30 años</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12.2</w:t>
            </w:r>
          </w:p>
        </w:tc>
      </w:tr>
      <w:tr w:rsidR="00D41E76" w:rsidTr="00D41E76">
        <w:trPr>
          <w:cnfStyle w:val="000000100000" w:firstRow="0" w:lastRow="0" w:firstColumn="0" w:lastColumn="0" w:oddVBand="0" w:evenVBand="0" w:oddHBand="1" w:evenHBand="0" w:firstRowFirstColumn="0" w:firstRowLastColumn="0" w:lastRowFirstColumn="0" w:lastRowLastColumn="0"/>
          <w:trHeight w:val="56"/>
        </w:trPr>
        <w:tc>
          <w:tcPr>
            <w:cnfStyle w:val="001000000000" w:firstRow="0" w:lastRow="0" w:firstColumn="1" w:lastColumn="0" w:oddVBand="0" w:evenVBand="0" w:oddHBand="0" w:evenHBand="0" w:firstRowFirstColumn="0" w:firstRowLastColumn="0" w:lastRowFirstColumn="0" w:lastRowLastColumn="0"/>
            <w:tcW w:w="3686" w:type="dxa"/>
            <w:vMerge w:val="restart"/>
          </w:tcPr>
          <w:p w:rsidR="00D41E76" w:rsidRDefault="00033738">
            <w:pPr>
              <w:pStyle w:val="tablasygraficos"/>
            </w:pPr>
            <w:r>
              <w:t>Convivencia</w:t>
            </w:r>
          </w:p>
        </w:tc>
        <w:tc>
          <w:tcPr>
            <w:tcW w:w="3402"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Sí</w:t>
            </w:r>
          </w:p>
        </w:tc>
        <w:tc>
          <w:tcPr>
            <w:tcW w:w="1972"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90.6</w:t>
            </w:r>
          </w:p>
        </w:tc>
      </w:tr>
      <w:tr w:rsidR="00D41E76" w:rsidTr="00D41E76">
        <w:trPr>
          <w:trHeight w:val="56"/>
        </w:trPr>
        <w:tc>
          <w:tcPr>
            <w:cnfStyle w:val="001000000000" w:firstRow="0" w:lastRow="0" w:firstColumn="1" w:lastColumn="0" w:oddVBand="0" w:evenVBand="0" w:oddHBand="0" w:evenHBand="0" w:firstRowFirstColumn="0" w:firstRowLastColumn="0" w:lastRowFirstColumn="0" w:lastRowLastColumn="0"/>
            <w:tcW w:w="3686" w:type="dxa"/>
            <w:vMerge/>
          </w:tcPr>
          <w:p w:rsidR="00D41E76" w:rsidRDefault="00D41E76">
            <w:pPr>
              <w:pStyle w:val="tablasygraficos"/>
            </w:pPr>
          </w:p>
        </w:tc>
        <w:tc>
          <w:tcPr>
            <w:tcW w:w="3402" w:type="dxa"/>
          </w:tcPr>
          <w:p w:rsidR="00D41E76" w:rsidRDefault="00033738">
            <w:pPr>
              <w:pStyle w:val="tablasygraficos"/>
              <w:cnfStyle w:val="000000000000" w:firstRow="0" w:lastRow="0" w:firstColumn="0" w:lastColumn="0" w:oddVBand="0" w:evenVBand="0" w:oddHBand="0" w:evenHBand="0" w:firstRowFirstColumn="0" w:firstRowLastColumn="0" w:lastRowFirstColumn="0" w:lastRowLastColumn="0"/>
            </w:pPr>
            <w:r>
              <w:t>No</w:t>
            </w:r>
          </w:p>
        </w:tc>
        <w:tc>
          <w:tcPr>
            <w:tcW w:w="1972"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9.4</w:t>
            </w:r>
          </w:p>
        </w:tc>
      </w:tr>
    </w:tbl>
    <w:p w:rsidR="00D41E76" w:rsidRDefault="00D41E76">
      <w:pPr>
        <w:spacing w:after="0"/>
      </w:pPr>
    </w:p>
    <w:p w:rsidR="00D41E76" w:rsidRDefault="00033738">
      <w:pPr>
        <w:pStyle w:val="Ttulo2"/>
        <w:spacing w:before="0" w:line="480" w:lineRule="auto"/>
      </w:pPr>
      <w:r>
        <w:t>Instrumentos</w:t>
      </w:r>
    </w:p>
    <w:p w:rsidR="00D41E76" w:rsidRDefault="00033738">
      <w:pPr>
        <w:spacing w:after="0"/>
        <w:ind w:firstLine="709"/>
      </w:pPr>
      <w:r>
        <w:t xml:space="preserve">Se utilizó el </w:t>
      </w:r>
      <w:r>
        <w:rPr>
          <w:i/>
        </w:rPr>
        <w:t>Cuestionario de Comportamiento Sexual en Pareja</w:t>
      </w:r>
      <w:r>
        <w:t xml:space="preserve">, elaborado en el periodo de 2018-2019 y validado por criterio de expertos. Fue sometido a un pilotaje anterior a su aplicación definitiva, que posibilitó su perfeccionamiento. Evalúa la variable en cada uno de los holones de la sexualidad; así como la satisfacción de los participantes al respecto. Presenta dos partes: 1) datos sociodemográficos; y 2) preguntas del cuestionario; estas son estructuradas y en su mayoría cerradas, para un total de 4 preguntas con incisos. Las escalas utilizadas son de tipo Likert hasta la pregunta 3.2; mientras que de respuesta múltiple la 4.2 y la 4.9. El índice de fiabilidad para la pregunta 1 fue de 0,819 y para la pregunta 4 de 0, 941. Las preguntas 2 y 3 del cuestionario no pudieron ser incluidas en los estadígrafos de fiabilidad por la existencia de valores perdidos, provocados por los requerimientos de las preguntas y diferencias de escala.  </w:t>
      </w:r>
    </w:p>
    <w:p w:rsidR="00D41E76" w:rsidRDefault="00D41E76">
      <w:pPr>
        <w:spacing w:after="0"/>
      </w:pPr>
    </w:p>
    <w:p w:rsidR="00D41E76" w:rsidRDefault="00033738">
      <w:pPr>
        <w:pStyle w:val="Ttulo2"/>
        <w:spacing w:before="0" w:line="480" w:lineRule="auto"/>
      </w:pPr>
      <w:r>
        <w:t>Procedimientos</w:t>
      </w:r>
    </w:p>
    <w:p w:rsidR="00D41E76" w:rsidRDefault="00033738">
      <w:pPr>
        <w:spacing w:after="0"/>
        <w:ind w:firstLine="709"/>
      </w:pPr>
      <w:r>
        <w:t xml:space="preserve">Primeramente, los participantes fueron consultados sobre su voluntad y disponibilidad de participación en el estudio; además, recibieron una breve explicación sobre los objetivos del mismo. Habiendo aceptado, se programó para cada caso una sesión individual para aplicar el cuestionario. Los participantes fueron informados con mayor profundidad sobre las características, así como del carácter anónimo, confidencial y exclusivo para fines científicos de los datos recogidos. Antes de pasar a la aplicación del instrumento, se recibió el consentimiento informado de cada uno de los participantes. No existió conflicto de intereses. </w:t>
      </w:r>
    </w:p>
    <w:p w:rsidR="00D41E76" w:rsidRDefault="00D41E76">
      <w:pPr>
        <w:spacing w:after="0"/>
      </w:pPr>
    </w:p>
    <w:p w:rsidR="00D41E76" w:rsidRDefault="00033738">
      <w:pPr>
        <w:pStyle w:val="Ttulo2"/>
        <w:spacing w:before="0" w:line="480" w:lineRule="auto"/>
      </w:pPr>
      <w:r>
        <w:lastRenderedPageBreak/>
        <w:t>Análisis estadístico</w:t>
      </w:r>
    </w:p>
    <w:p w:rsidR="00D41E76" w:rsidRDefault="00033738">
      <w:pPr>
        <w:spacing w:after="0"/>
        <w:ind w:firstLine="709"/>
      </w:pPr>
      <w:r>
        <w:t>Se realizó la tabulación de la información recogida en una base de datos del programa IBM SPSS Statistics para Windows versión 22, a partir de un libro de códigos previamente elaborado. Luego se ejecutó un análisis a partir de estadística descriptiva de los datos obtenidos. Para los análisis de género, se realizaron comparaciones de medias en función de la variable sexo en aquellas variables donde se describe teóricamente la influencia de los roles de género en el comportamiento sexual. La muestra no tenía una distribución normal, de acuerdo a los datos obtenidos en la prueba de Kolmogorov Smirnov; por lo que se realizó la prueba U de Mann-Whitney, partiendo de la siguiente hipótesis nula: no existen diferencias significativas entre el comportamiento sexual de hombres y mujeres. Se consideró que para que esta sea rechazada p ≤ 0.05</w:t>
      </w:r>
      <w:r>
        <w:rPr>
          <w:rFonts w:ascii="Arial" w:hAnsi="Arial" w:cs="Arial"/>
        </w:rPr>
        <w:t xml:space="preserve">. </w:t>
      </w:r>
      <w:r>
        <w:t xml:space="preserve"> </w:t>
      </w:r>
    </w:p>
    <w:p w:rsidR="00D41E76" w:rsidRDefault="00D41E76">
      <w:pPr>
        <w:spacing w:after="0"/>
      </w:pPr>
    </w:p>
    <w:p w:rsidR="00D41E76" w:rsidRDefault="00033738">
      <w:pPr>
        <w:pStyle w:val="Ttulo1"/>
        <w:spacing w:before="0" w:line="480" w:lineRule="auto"/>
      </w:pPr>
      <w:r>
        <w:t>Resultados</w:t>
      </w:r>
    </w:p>
    <w:p w:rsidR="00D41E76" w:rsidRDefault="00033738">
      <w:pPr>
        <w:ind w:firstLine="709"/>
      </w:pPr>
      <w:r>
        <w:t>De manera general, las respuestas de los participantes fueron relativamente homogéneas. Además, la tendencia en la muestra es hacia los valores elevados de satisfacción, aún ante la no realización de alguna conducta.</w:t>
      </w:r>
    </w:p>
    <w:p w:rsidR="00D41E76" w:rsidRDefault="00033738">
      <w:pPr>
        <w:ind w:firstLine="709"/>
      </w:pPr>
      <w:r>
        <w:t xml:space="preserve">En el holón reproductividad, el 59.7% no utiliza medios de protección sexual, del cual el 63.9% son mujeres. Aquellos que sí lo hacen prefieren el preservativo (38.5% lo usa </w:t>
      </w:r>
      <w:r>
        <w:rPr>
          <w:i/>
        </w:rPr>
        <w:t>siempre</w:t>
      </w:r>
      <w:r>
        <w:t xml:space="preserve">; 15.4% </w:t>
      </w:r>
      <w:r>
        <w:rPr>
          <w:i/>
        </w:rPr>
        <w:t>casi siempre</w:t>
      </w:r>
      <w:r>
        <w:t xml:space="preserve"> y 21.2% </w:t>
      </w:r>
      <w:r>
        <w:rPr>
          <w:i/>
        </w:rPr>
        <w:t>a veces</w:t>
      </w:r>
      <w:r>
        <w:t xml:space="preserve">), la interrupción del coito (6.3% lo hace </w:t>
      </w:r>
      <w:r>
        <w:rPr>
          <w:i/>
        </w:rPr>
        <w:t>siempre</w:t>
      </w:r>
      <w:r>
        <w:t xml:space="preserve">; 2.2% </w:t>
      </w:r>
      <w:r>
        <w:rPr>
          <w:i/>
        </w:rPr>
        <w:t>casi siempre</w:t>
      </w:r>
      <w:r>
        <w:t xml:space="preserve"> y 18.8% </w:t>
      </w:r>
      <w:r>
        <w:rPr>
          <w:i/>
        </w:rPr>
        <w:t>a veces</w:t>
      </w:r>
      <w:r>
        <w:t xml:space="preserve">) y el método del calendario (4.3% lo usa </w:t>
      </w:r>
      <w:r>
        <w:rPr>
          <w:i/>
        </w:rPr>
        <w:t>casi siempre</w:t>
      </w:r>
      <w:r>
        <w:t xml:space="preserve"> y 21.3% </w:t>
      </w:r>
      <w:r>
        <w:rPr>
          <w:i/>
        </w:rPr>
        <w:t>a veces</w:t>
      </w:r>
      <w:r>
        <w:t xml:space="preserve">). Sobre las interrupciones de embarazos, el 93.6% de las mujeres participantes lo ha hecho, de ellas el 84% de 1 a 3 veces. El 45.6% de los participantes declaró que su pareja se ha interrumpido embarazos, para un 95% </w:t>
      </w:r>
      <w:r w:rsidR="00557DE1">
        <w:t xml:space="preserve">de estas </w:t>
      </w:r>
      <w:r>
        <w:t xml:space="preserve">que lo ha hecho de 1 a 3 veces. </w:t>
      </w:r>
    </w:p>
    <w:p w:rsidR="00D41E76" w:rsidRDefault="00033738">
      <w:pPr>
        <w:ind w:firstLine="709"/>
      </w:pPr>
      <w:r>
        <w:t xml:space="preserve">El 77.2% de los participantes no realiza acciones para tener descendencia; aquellas personas que sí lo hacen han dejado de protegerse sexualmente (76.9% lo hace </w:t>
      </w:r>
      <w:r>
        <w:rPr>
          <w:i/>
        </w:rPr>
        <w:t>siempre</w:t>
      </w:r>
      <w:r>
        <w:t xml:space="preserve">) o mantienen relaciones sexuales desprotegidas en días fértiles (50% lo hace </w:t>
      </w:r>
      <w:r>
        <w:rPr>
          <w:i/>
        </w:rPr>
        <w:t>siempre</w:t>
      </w:r>
      <w:r>
        <w:t xml:space="preserve"> y 16.7% </w:t>
      </w:r>
      <w:r>
        <w:rPr>
          <w:i/>
        </w:rPr>
        <w:t>casi siempre</w:t>
      </w:r>
      <w:r>
        <w:t xml:space="preserve">). Se encontró que el 73.6% de los encuestados tiene hijos/as propios/as, de estos el 87.4% tiene de 1 a 2 hijos/as. Sobre las parejas de los participantes, el 71% tiene hijos/as y, en el 65.3% de los casos, son comunes. </w:t>
      </w:r>
    </w:p>
    <w:p w:rsidR="00D41E76" w:rsidRDefault="00033738">
      <w:pPr>
        <w:spacing w:after="0"/>
        <w:ind w:firstLine="709"/>
        <w:rPr>
          <w:rFonts w:ascii="Arial" w:hAnsi="Arial" w:cs="Arial"/>
        </w:rPr>
      </w:pPr>
      <w:r>
        <w:t xml:space="preserve">El 68.8% de la muestra ejerce la parentalidad con la madre/padre de sus hijos/as, seguido de un 15.5% que lo hace con su pareja que no es el progenitor/a de su descendencia. En la Tabla 2 se muestran los datos relativos a las actividades en el ejercicio de la parentalidad. No se </w:t>
      </w:r>
      <w:r>
        <w:lastRenderedPageBreak/>
        <w:t>encontraron diferencias significativas entre hombres y mujeres en cuanto a frecuencia y satisfacción en estas conductas (p = 0.073 y p = 0.169 respectivamente</w:t>
      </w:r>
      <w:r>
        <w:rPr>
          <w:rFonts w:ascii="Arial" w:hAnsi="Arial" w:cs="Arial"/>
        </w:rPr>
        <w:t xml:space="preserve">). </w:t>
      </w:r>
    </w:p>
    <w:p w:rsidR="00D41E76" w:rsidRDefault="00D41E76">
      <w:pPr>
        <w:spacing w:after="0" w:line="480" w:lineRule="auto"/>
        <w:rPr>
          <w:rFonts w:ascii="Arial" w:hAnsi="Arial" w:cs="Arial"/>
        </w:rPr>
      </w:pPr>
    </w:p>
    <w:p w:rsidR="00D41E76" w:rsidRDefault="00033738">
      <w:pPr>
        <w:spacing w:after="0"/>
        <w:rPr>
          <w:b/>
        </w:rPr>
      </w:pPr>
      <w:r>
        <w:rPr>
          <w:b/>
        </w:rPr>
        <w:t>Tabla 2</w:t>
      </w:r>
    </w:p>
    <w:p w:rsidR="00D41E76" w:rsidRDefault="00D41E76">
      <w:pPr>
        <w:spacing w:after="0"/>
        <w:rPr>
          <w:b/>
        </w:rPr>
      </w:pPr>
    </w:p>
    <w:p w:rsidR="00D41E76" w:rsidRDefault="00033738">
      <w:pPr>
        <w:spacing w:after="0"/>
        <w:rPr>
          <w:i/>
        </w:rPr>
      </w:pPr>
      <w:r>
        <w:rPr>
          <w:i/>
        </w:rPr>
        <w:t>Porcentajes de la Frecuencia de Realización de las Actividades en el Ejercicio de la Parentalidad</w:t>
      </w:r>
    </w:p>
    <w:p w:rsidR="00D41E76" w:rsidRDefault="00D41E76">
      <w:pPr>
        <w:spacing w:after="0" w:line="276" w:lineRule="auto"/>
      </w:pPr>
    </w:p>
    <w:tbl>
      <w:tblPr>
        <w:tblStyle w:val="Tablanormal21"/>
        <w:tblW w:w="9035" w:type="dxa"/>
        <w:jc w:val="center"/>
        <w:tblLayout w:type="fixed"/>
        <w:tblLook w:val="04A0" w:firstRow="1" w:lastRow="0" w:firstColumn="1" w:lastColumn="0" w:noHBand="0" w:noVBand="1"/>
      </w:tblPr>
      <w:tblGrid>
        <w:gridCol w:w="3372"/>
        <w:gridCol w:w="855"/>
        <w:gridCol w:w="1275"/>
        <w:gridCol w:w="993"/>
        <w:gridCol w:w="1524"/>
        <w:gridCol w:w="1016"/>
      </w:tblGrid>
      <w:tr w:rsidR="00D41E76" w:rsidTr="00D41E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2" w:type="dxa"/>
          </w:tcPr>
          <w:p w:rsidR="00D41E76" w:rsidRDefault="00D41E76">
            <w:pPr>
              <w:pStyle w:val="tablasygraficos"/>
            </w:pPr>
          </w:p>
        </w:tc>
        <w:tc>
          <w:tcPr>
            <w:tcW w:w="5663" w:type="dxa"/>
            <w:gridSpan w:val="5"/>
          </w:tcPr>
          <w:p w:rsidR="00D41E76" w:rsidRDefault="00033738">
            <w:pPr>
              <w:pStyle w:val="tablasygraficos"/>
              <w:jc w:val="center"/>
              <w:cnfStyle w:val="100000000000" w:firstRow="1" w:lastRow="0" w:firstColumn="0" w:lastColumn="0" w:oddVBand="0" w:evenVBand="0" w:oddHBand="0" w:evenHBand="0" w:firstRowFirstColumn="0" w:firstRowLastColumn="0" w:lastRowFirstColumn="0" w:lastRowLastColumn="0"/>
            </w:pPr>
            <w:r>
              <w:t>Frecuencias en Porciento (%)</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2" w:type="dxa"/>
          </w:tcPr>
          <w:p w:rsidR="00D41E76" w:rsidRDefault="00033738">
            <w:pPr>
              <w:pStyle w:val="tablasygraficos"/>
              <w:jc w:val="center"/>
            </w:pPr>
            <w:r>
              <w:t>Actividades</w:t>
            </w:r>
          </w:p>
        </w:tc>
        <w:tc>
          <w:tcPr>
            <w:tcW w:w="855"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Nunca</w:t>
            </w:r>
          </w:p>
        </w:tc>
        <w:tc>
          <w:tcPr>
            <w:tcW w:w="1275"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Casi nunca</w:t>
            </w:r>
          </w:p>
        </w:tc>
        <w:tc>
          <w:tcPr>
            <w:tcW w:w="993"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A veces</w:t>
            </w:r>
          </w:p>
        </w:tc>
        <w:tc>
          <w:tcPr>
            <w:tcW w:w="1524"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Casi siempre</w:t>
            </w:r>
          </w:p>
        </w:tc>
        <w:tc>
          <w:tcPr>
            <w:tcW w:w="1016"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Siempre</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3372" w:type="dxa"/>
          </w:tcPr>
          <w:p w:rsidR="00D41E76" w:rsidRDefault="00033738">
            <w:pPr>
              <w:pStyle w:val="tablasygraficos"/>
            </w:pPr>
            <w:r>
              <w:t>Acompañar su inserción escolar</w:t>
            </w:r>
          </w:p>
        </w:tc>
        <w:tc>
          <w:tcPr>
            <w:tcW w:w="8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14.9</w:t>
            </w:r>
          </w:p>
        </w:tc>
        <w:tc>
          <w:tcPr>
            <w:tcW w:w="127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1.1</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9.6</w:t>
            </w:r>
          </w:p>
        </w:tc>
        <w:tc>
          <w:tcPr>
            <w:tcW w:w="152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16</w:t>
            </w:r>
          </w:p>
        </w:tc>
        <w:tc>
          <w:tcPr>
            <w:tcW w:w="1016"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58.5</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2" w:type="dxa"/>
          </w:tcPr>
          <w:p w:rsidR="00D41E76" w:rsidRDefault="00033738">
            <w:pPr>
              <w:pStyle w:val="tablasygraficos"/>
            </w:pPr>
            <w:r>
              <w:t>Regular su comportamiento</w:t>
            </w:r>
          </w:p>
        </w:tc>
        <w:tc>
          <w:tcPr>
            <w:tcW w:w="8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10.2</w:t>
            </w:r>
          </w:p>
        </w:tc>
        <w:tc>
          <w:tcPr>
            <w:tcW w:w="127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10.2</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18.4</w:t>
            </w:r>
          </w:p>
        </w:tc>
        <w:tc>
          <w:tcPr>
            <w:tcW w:w="152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16.3</w:t>
            </w:r>
          </w:p>
        </w:tc>
        <w:tc>
          <w:tcPr>
            <w:tcW w:w="1016"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44.9</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3372" w:type="dxa"/>
          </w:tcPr>
          <w:p w:rsidR="00D41E76" w:rsidRDefault="00033738">
            <w:pPr>
              <w:pStyle w:val="tablasygraficos"/>
            </w:pPr>
            <w:r>
              <w:t>Brindar afecto y atención</w:t>
            </w:r>
          </w:p>
        </w:tc>
        <w:tc>
          <w:tcPr>
            <w:tcW w:w="8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w:t>
            </w:r>
          </w:p>
        </w:tc>
        <w:tc>
          <w:tcPr>
            <w:tcW w:w="127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w:t>
            </w:r>
          </w:p>
        </w:tc>
        <w:tc>
          <w:tcPr>
            <w:tcW w:w="152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6</w:t>
            </w:r>
          </w:p>
        </w:tc>
        <w:tc>
          <w:tcPr>
            <w:tcW w:w="1016"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92</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3372" w:type="dxa"/>
          </w:tcPr>
          <w:p w:rsidR="00D41E76" w:rsidRDefault="00033738">
            <w:pPr>
              <w:pStyle w:val="tablasygraficos"/>
            </w:pPr>
            <w:r>
              <w:t>Cuidar de su subsistencia</w:t>
            </w:r>
          </w:p>
        </w:tc>
        <w:tc>
          <w:tcPr>
            <w:tcW w:w="8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w:t>
            </w:r>
          </w:p>
        </w:tc>
        <w:tc>
          <w:tcPr>
            <w:tcW w:w="127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4.9</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7.8</w:t>
            </w:r>
          </w:p>
        </w:tc>
        <w:tc>
          <w:tcPr>
            <w:tcW w:w="152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6.9</w:t>
            </w:r>
          </w:p>
        </w:tc>
        <w:tc>
          <w:tcPr>
            <w:tcW w:w="1016"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78.4</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3372" w:type="dxa"/>
          </w:tcPr>
          <w:p w:rsidR="00D41E76" w:rsidRDefault="00033738">
            <w:pPr>
              <w:pStyle w:val="tablasygraficos"/>
            </w:pPr>
            <w:r>
              <w:t>Salir a pasear, jugar, ver animados</w:t>
            </w:r>
          </w:p>
        </w:tc>
        <w:tc>
          <w:tcPr>
            <w:tcW w:w="8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2.9</w:t>
            </w:r>
          </w:p>
        </w:tc>
        <w:tc>
          <w:tcPr>
            <w:tcW w:w="127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5.9</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37.3</w:t>
            </w:r>
          </w:p>
        </w:tc>
        <w:tc>
          <w:tcPr>
            <w:tcW w:w="152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21.6</w:t>
            </w:r>
          </w:p>
        </w:tc>
        <w:tc>
          <w:tcPr>
            <w:tcW w:w="1016"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32.4</w:t>
            </w:r>
          </w:p>
        </w:tc>
      </w:tr>
    </w:tbl>
    <w:p w:rsidR="00D41E76" w:rsidRDefault="00D41E76">
      <w:pPr>
        <w:spacing w:after="0" w:line="480" w:lineRule="auto"/>
        <w:ind w:firstLine="709"/>
      </w:pPr>
    </w:p>
    <w:p w:rsidR="00D41E76" w:rsidRDefault="00033738">
      <w:pPr>
        <w:spacing w:after="0"/>
        <w:ind w:firstLine="709"/>
      </w:pPr>
      <w:r>
        <w:t>En el holón género, se encontraron diferencias significativas entre hombres y mujeres en lo concerniente a las conductas de cuidado de la imagen (p = 0); juego erótico y cortejo (p = 0.015) y de subsistencia (p = 0). Además, se encontraron diferencias significativas en la satisfacción con las dos últimas (p = 0.046 y p = 0,002 respectivamente). En este sentido, los hombres mostraron valores de satisfacción más elevados. En la siguiente figura se muestran los porcentajes acumulados correspondientes a altas frecuencias de realización (</w:t>
      </w:r>
      <w:r>
        <w:rPr>
          <w:i/>
        </w:rPr>
        <w:t>siempre</w:t>
      </w:r>
      <w:r>
        <w:t xml:space="preserve"> y </w:t>
      </w:r>
      <w:r>
        <w:rPr>
          <w:i/>
        </w:rPr>
        <w:t>casi siempre</w:t>
      </w:r>
      <w:r>
        <w:t>) en cada una de las conductas relacionadas:</w:t>
      </w:r>
    </w:p>
    <w:p w:rsidR="00D41E76" w:rsidRDefault="00D41E76">
      <w:pPr>
        <w:spacing w:after="0" w:line="480" w:lineRule="auto"/>
      </w:pPr>
    </w:p>
    <w:p w:rsidR="00D41E76" w:rsidRDefault="00033738">
      <w:pPr>
        <w:spacing w:after="0"/>
        <w:rPr>
          <w:b/>
        </w:rPr>
      </w:pPr>
      <w:r>
        <w:rPr>
          <w:b/>
        </w:rPr>
        <w:t>Figura 1</w:t>
      </w:r>
    </w:p>
    <w:p w:rsidR="00D41E76" w:rsidRDefault="00D41E76">
      <w:pPr>
        <w:spacing w:after="0"/>
      </w:pPr>
    </w:p>
    <w:p w:rsidR="00D41E76" w:rsidRDefault="00033738">
      <w:pPr>
        <w:spacing w:after="0"/>
        <w:rPr>
          <w:i/>
        </w:rPr>
      </w:pPr>
      <w:r>
        <w:rPr>
          <w:i/>
        </w:rPr>
        <w:t>Realización de las Conductas de Cuidado de la Imagen Corporal; Juego Erótico y Cortejo y Subsistencia en Hombres y Mujeres</w:t>
      </w:r>
    </w:p>
    <w:p w:rsidR="00D41E76" w:rsidRDefault="00D41E76">
      <w:pPr>
        <w:spacing w:after="0"/>
        <w:rPr>
          <w:i/>
        </w:rPr>
      </w:pPr>
    </w:p>
    <w:p w:rsidR="00D41E76" w:rsidRDefault="00D41E76">
      <w:pPr>
        <w:spacing w:after="0"/>
        <w:rPr>
          <w:i/>
        </w:rPr>
      </w:pPr>
    </w:p>
    <w:p w:rsidR="00D41E76" w:rsidRDefault="00D41E76">
      <w:pPr>
        <w:spacing w:after="0"/>
        <w:rPr>
          <w:i/>
        </w:rPr>
      </w:pPr>
    </w:p>
    <w:p w:rsidR="00D41E76" w:rsidRDefault="00D41E76">
      <w:pPr>
        <w:spacing w:after="0"/>
        <w:rPr>
          <w:i/>
        </w:rPr>
      </w:pPr>
    </w:p>
    <w:p w:rsidR="00D41E76" w:rsidRDefault="00D41E76">
      <w:pPr>
        <w:spacing w:after="0"/>
        <w:rPr>
          <w:i/>
        </w:rPr>
      </w:pPr>
    </w:p>
    <w:p w:rsidR="00D41E76" w:rsidRDefault="00033738">
      <w:pPr>
        <w:spacing w:after="0" w:line="276" w:lineRule="auto"/>
      </w:pPr>
      <w:r>
        <w:t xml:space="preserve"> </w:t>
      </w:r>
    </w:p>
    <w:p w:rsidR="00D41E76" w:rsidRDefault="00033738">
      <w:pPr>
        <w:tabs>
          <w:tab w:val="left" w:pos="4536"/>
        </w:tabs>
        <w:spacing w:after="0"/>
        <w:jc w:val="center"/>
        <w:rPr>
          <w:rFonts w:asciiTheme="minorHAnsi" w:hAnsiTheme="minorHAnsi"/>
          <w:b/>
        </w:rPr>
      </w:pPr>
      <w:r>
        <w:rPr>
          <w:rFonts w:asciiTheme="minorHAnsi" w:hAnsiTheme="minorHAnsi"/>
          <w:b/>
        </w:rPr>
        <w:lastRenderedPageBreak/>
        <w:t>Cuidado de la Imagen Corporal</w:t>
      </w:r>
    </w:p>
    <w:p w:rsidR="00D41E76" w:rsidRDefault="00FD42B6">
      <w:pPr>
        <w:tabs>
          <w:tab w:val="left" w:pos="4536"/>
        </w:tabs>
        <w:spacing w:after="0"/>
      </w:pPr>
      <w:r>
        <w:rPr>
          <w:noProof/>
          <w:lang w:eastAsia="es-ES"/>
        </w:rPr>
        <w:pict>
          <v:shapetype id="_x0000_t202" coordsize="21600,21600" o:spt="202" path="m,l,21600r21600,l21600,xe">
            <v:stroke joinstyle="miter"/>
            <v:path gradientshapeok="t" o:connecttype="rect"/>
          </v:shapetype>
          <v:shape id="1027" o:spid="_x0000_s1040" type="#_x0000_t202" style="position:absolute;left:0;text-align:left;margin-left:316.85pt;margin-top:10.1pt;width:81pt;height:110.6pt;z-index:5;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Pintarse las uñas</w:t>
                  </w:r>
                </w:p>
              </w:txbxContent>
            </v:textbox>
            <w10:wrap type="square"/>
          </v:shape>
        </w:pict>
      </w:r>
      <w:r>
        <w:rPr>
          <w:noProof/>
          <w:lang w:eastAsia="es-ES"/>
        </w:rPr>
        <w:pict>
          <v:shape id="1028" o:spid="_x0000_s1039" type="#_x0000_t202" style="position:absolute;left:0;text-align:left;margin-left:176.6pt;margin-top:10.85pt;width:76.5pt;height:110.6pt;z-index:3;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Sacarse las cejas</w:t>
                  </w:r>
                </w:p>
              </w:txbxContent>
            </v:textbox>
            <w10:wrap type="square"/>
          </v:shape>
        </w:pict>
      </w:r>
      <w:r>
        <w:rPr>
          <w:noProof/>
          <w:lang w:eastAsia="es-ES"/>
        </w:rPr>
        <w:pict>
          <v:shape id="1029" o:spid="_x0000_s1038" type="#_x0000_t202" style="position:absolute;left:0;text-align:left;margin-left:1.1pt;margin-top:5.6pt;width:138pt;height:110.6pt;z-index:4;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Afeitarse (axilas, brazos, piernas, genitales)</w:t>
                  </w:r>
                </w:p>
              </w:txbxContent>
            </v:textbox>
            <w10:wrap type="square"/>
          </v:shape>
        </w:pict>
      </w:r>
      <w:r>
        <w:rPr>
          <w:noProof/>
          <w:lang w:eastAsia="es-ES"/>
        </w:rPr>
        <w:pict>
          <v:shape id="1030" o:spid="_x0000_s1037" type="#_x0000_t202" style="position:absolute;left:0;text-align:left;margin-left:1.1pt;margin-top:5.6pt;width:138pt;height:110.6pt;z-index:2;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Afeitarse (axilas, brazos, piernas, genitales)</w:t>
                  </w:r>
                </w:p>
              </w:txbxContent>
            </v:textbox>
            <w10:wrap type="square"/>
          </v:shape>
        </w:pict>
      </w:r>
    </w:p>
    <w:p w:rsidR="00D41E76" w:rsidRDefault="00D41E76">
      <w:pPr>
        <w:tabs>
          <w:tab w:val="left" w:pos="2977"/>
        </w:tabs>
        <w:spacing w:after="0"/>
      </w:pPr>
    </w:p>
    <w:p w:rsidR="00D41E76" w:rsidRDefault="00557DE1">
      <w:pPr>
        <w:tabs>
          <w:tab w:val="left" w:pos="2977"/>
        </w:tabs>
        <w:spacing w:after="0"/>
      </w:pPr>
      <w:r w:rsidRPr="00724900">
        <w:rPr>
          <w:noProof/>
          <w:lang w:eastAsia="es-ES"/>
        </w:rPr>
        <w:drawing>
          <wp:inline distT="0" distB="0" distL="0" distR="0" wp14:anchorId="621643EC" wp14:editId="0B389BB0">
            <wp:extent cx="1828800" cy="962025"/>
            <wp:effectExtent l="0" t="0" r="0" b="0"/>
            <wp:docPr id="82" name="Gráfico 8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sidRPr="00724900">
        <w:rPr>
          <w:noProof/>
          <w:lang w:eastAsia="es-ES"/>
        </w:rPr>
        <w:drawing>
          <wp:inline distT="0" distB="0" distL="0" distR="0" wp14:anchorId="5DCD51E1" wp14:editId="28CB0E64">
            <wp:extent cx="1828800" cy="962025"/>
            <wp:effectExtent l="0" t="0" r="0" b="0"/>
            <wp:docPr id="89" name="Gráfico 89"/>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sidRPr="00724900">
        <w:rPr>
          <w:noProof/>
          <w:lang w:eastAsia="es-ES"/>
        </w:rPr>
        <w:drawing>
          <wp:inline distT="0" distB="0" distL="0" distR="0" wp14:anchorId="365E929A" wp14:editId="652ADE15">
            <wp:extent cx="1828800" cy="962025"/>
            <wp:effectExtent l="0" t="0" r="0" b="0"/>
            <wp:docPr id="90" name="Gráfico 90"/>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D41E76" w:rsidRDefault="00FD42B6">
      <w:pPr>
        <w:tabs>
          <w:tab w:val="left" w:pos="4536"/>
        </w:tabs>
        <w:spacing w:after="0"/>
        <w:jc w:val="center"/>
        <w:rPr>
          <w:rFonts w:asciiTheme="minorHAnsi" w:hAnsiTheme="minorHAnsi"/>
          <w:b/>
        </w:rPr>
      </w:pPr>
      <w:r>
        <w:rPr>
          <w:noProof/>
          <w:lang w:eastAsia="es-ES"/>
        </w:rPr>
        <w:pict>
          <v:shape id="1037" o:spid="_x0000_s1036" type="#_x0000_t202" style="position:absolute;left:0;text-align:left;margin-left:229.85pt;margin-top:19.35pt;width:132pt;height:110.6pt;z-index:7;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 xml:space="preserve">Prefiere las iniciativas sexuales de su pareja </w:t>
                  </w:r>
                </w:p>
              </w:txbxContent>
            </v:textbox>
            <w10:wrap type="square"/>
          </v:shape>
        </w:pict>
      </w:r>
      <w:r w:rsidR="00033738">
        <w:rPr>
          <w:rFonts w:asciiTheme="minorHAnsi" w:hAnsiTheme="minorHAnsi"/>
          <w:b/>
        </w:rPr>
        <w:t xml:space="preserve">Juego Erótico </w:t>
      </w:r>
    </w:p>
    <w:p w:rsidR="00D41E76" w:rsidRDefault="00FD42B6">
      <w:pPr>
        <w:tabs>
          <w:tab w:val="left" w:pos="4536"/>
        </w:tabs>
        <w:spacing w:after="0"/>
        <w:jc w:val="center"/>
        <w:rPr>
          <w:rFonts w:asciiTheme="minorHAnsi" w:hAnsiTheme="minorHAnsi"/>
          <w:b/>
        </w:rPr>
      </w:pPr>
      <w:r>
        <w:rPr>
          <w:noProof/>
          <w:lang w:eastAsia="es-ES"/>
        </w:rPr>
        <w:pict>
          <v:shape id="1038" o:spid="_x0000_s1035" type="#_x0000_t202" style="position:absolute;left:0;text-align:left;margin-left:94.85pt;margin-top:1.85pt;width:110.25pt;height:110.6pt;z-index:6;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Tiene iniciativas sexuales</w:t>
                  </w:r>
                </w:p>
              </w:txbxContent>
            </v:textbox>
            <w10:wrap type="square"/>
          </v:shape>
        </w:pict>
      </w:r>
    </w:p>
    <w:p w:rsidR="00D41E76" w:rsidRDefault="00D41E76">
      <w:pPr>
        <w:spacing w:after="0" w:line="240" w:lineRule="auto"/>
      </w:pPr>
    </w:p>
    <w:p w:rsidR="00D41E76" w:rsidRDefault="00557DE1">
      <w:pPr>
        <w:spacing w:after="0" w:line="240" w:lineRule="auto"/>
        <w:jc w:val="center"/>
      </w:pPr>
      <w:r w:rsidRPr="00724900">
        <w:rPr>
          <w:noProof/>
          <w:lang w:eastAsia="es-ES"/>
        </w:rPr>
        <w:drawing>
          <wp:inline distT="0" distB="0" distL="0" distR="0" wp14:anchorId="6C6CD744" wp14:editId="268B4D42">
            <wp:extent cx="1828800" cy="962025"/>
            <wp:effectExtent l="0" t="0" r="0" b="0"/>
            <wp:docPr id="94" name="Gráfico 9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724900">
        <w:rPr>
          <w:noProof/>
          <w:lang w:eastAsia="es-ES"/>
        </w:rPr>
        <w:drawing>
          <wp:inline distT="0" distB="0" distL="0" distR="0" wp14:anchorId="5DF8E835" wp14:editId="30F1169E">
            <wp:extent cx="1828800" cy="962025"/>
            <wp:effectExtent l="0" t="0" r="0" b="0"/>
            <wp:docPr id="95" name="Gráfico 9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D41E76" w:rsidRDefault="00D41E76">
      <w:pPr>
        <w:spacing w:after="0"/>
        <w:jc w:val="center"/>
        <w:rPr>
          <w:rFonts w:asciiTheme="minorHAnsi" w:hAnsiTheme="minorHAnsi"/>
          <w:b/>
        </w:rPr>
      </w:pPr>
    </w:p>
    <w:p w:rsidR="00D41E76" w:rsidRDefault="00033738">
      <w:pPr>
        <w:spacing w:after="0"/>
        <w:jc w:val="center"/>
        <w:rPr>
          <w:rFonts w:asciiTheme="minorHAnsi" w:hAnsiTheme="minorHAnsi"/>
          <w:b/>
        </w:rPr>
      </w:pPr>
      <w:r>
        <w:rPr>
          <w:rFonts w:asciiTheme="minorHAnsi" w:hAnsiTheme="minorHAnsi"/>
          <w:b/>
        </w:rPr>
        <w:t>Posición en el Cortejo</w:t>
      </w:r>
    </w:p>
    <w:p w:rsidR="00D41E76" w:rsidRDefault="00FD42B6">
      <w:pPr>
        <w:spacing w:after="0"/>
        <w:jc w:val="center"/>
      </w:pPr>
      <w:r>
        <w:rPr>
          <w:noProof/>
          <w:lang w:eastAsia="es-ES"/>
        </w:rPr>
        <w:pict>
          <v:shape id="1043" o:spid="_x0000_s1034" type="#_x0000_t202" style="position:absolute;left:0;text-align:left;margin-left:232.1pt;margin-top:4.2pt;width:126.75pt;height:110.6pt;z-index:9;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Se hace cortejar por su pareja</w:t>
                  </w:r>
                </w:p>
              </w:txbxContent>
            </v:textbox>
            <w10:wrap type="square"/>
          </v:shape>
        </w:pict>
      </w:r>
      <w:r>
        <w:rPr>
          <w:noProof/>
          <w:lang w:eastAsia="es-ES"/>
        </w:rPr>
        <w:pict>
          <v:shape id="1044" o:spid="_x0000_s1033" type="#_x0000_t202" style="position:absolute;left:0;text-align:left;margin-left:100.85pt;margin-top:3.45pt;width:89.25pt;height:110.6pt;z-index:8;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Corteja a su pareja</w:t>
                  </w:r>
                </w:p>
              </w:txbxContent>
            </v:textbox>
            <w10:wrap type="square"/>
          </v:shape>
        </w:pict>
      </w:r>
    </w:p>
    <w:p w:rsidR="00D41E76" w:rsidRDefault="00D41E76">
      <w:pPr>
        <w:spacing w:after="0" w:line="240" w:lineRule="auto"/>
      </w:pPr>
    </w:p>
    <w:p w:rsidR="00D41E76" w:rsidRDefault="00557DE1">
      <w:pPr>
        <w:spacing w:after="0"/>
        <w:jc w:val="center"/>
      </w:pPr>
      <w:r w:rsidRPr="00724900">
        <w:rPr>
          <w:noProof/>
          <w:lang w:eastAsia="es-ES"/>
        </w:rPr>
        <w:drawing>
          <wp:inline distT="0" distB="0" distL="0" distR="0" wp14:anchorId="6E7EC5A1" wp14:editId="1070A0E9">
            <wp:extent cx="1828800" cy="962025"/>
            <wp:effectExtent l="0" t="0" r="0" b="0"/>
            <wp:docPr id="98" name="Gráfico 9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724900">
        <w:rPr>
          <w:noProof/>
          <w:lang w:eastAsia="es-ES"/>
        </w:rPr>
        <w:drawing>
          <wp:inline distT="0" distB="0" distL="0" distR="0" wp14:anchorId="6A748B65" wp14:editId="14149E86">
            <wp:extent cx="1828800" cy="962025"/>
            <wp:effectExtent l="0" t="0" r="0" b="0"/>
            <wp:docPr id="99" name="Gráfico 99"/>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D41E76" w:rsidRDefault="00FD42B6">
      <w:pPr>
        <w:spacing w:after="0"/>
        <w:jc w:val="center"/>
        <w:rPr>
          <w:rFonts w:asciiTheme="minorHAnsi" w:hAnsiTheme="minorHAnsi"/>
          <w:b/>
        </w:rPr>
      </w:pPr>
      <w:r>
        <w:rPr>
          <w:noProof/>
          <w:lang w:eastAsia="es-ES"/>
        </w:rPr>
        <w:pict>
          <v:shape id="1049" o:spid="_x0000_s1032" type="#_x0000_t202" style="position:absolute;left:0;text-align:left;margin-left:148.85pt;margin-top:32.3pt;width:115.5pt;height:110.6pt;z-index:11;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Asume gastos económicos</w:t>
                  </w:r>
                </w:p>
              </w:txbxContent>
            </v:textbox>
            <w10:wrap type="square"/>
          </v:shape>
        </w:pict>
      </w:r>
      <w:r>
        <w:rPr>
          <w:noProof/>
          <w:lang w:eastAsia="es-ES"/>
        </w:rPr>
        <w:pict>
          <v:shape id="1050" o:spid="_x0000_s1031" type="#_x0000_t202" style="position:absolute;left:0;text-align:left;margin-left:6.35pt;margin-top:31.55pt;width:115.5pt;height:110.6pt;z-index:10;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Realiza labores domésticas</w:t>
                  </w:r>
                </w:p>
              </w:txbxContent>
            </v:textbox>
            <w10:wrap type="square"/>
          </v:shape>
        </w:pict>
      </w:r>
      <w:r>
        <w:rPr>
          <w:noProof/>
          <w:lang w:eastAsia="es-ES"/>
        </w:rPr>
        <w:pict>
          <v:shape id="1051" o:spid="_x0000_s1030" type="#_x0000_t202" style="position:absolute;left:0;text-align:left;margin-left:282.3pt;margin-top:31.55pt;width:159.75pt;height:110.6pt;z-index:12;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 xml:space="preserve">Asume la reparación y mantenimiento del hogar </w:t>
                  </w:r>
                </w:p>
              </w:txbxContent>
            </v:textbox>
            <w10:wrap type="square"/>
          </v:shape>
        </w:pict>
      </w:r>
      <w:r w:rsidR="00033738">
        <w:rPr>
          <w:rFonts w:asciiTheme="minorHAnsi" w:hAnsiTheme="minorHAnsi"/>
          <w:b/>
        </w:rPr>
        <w:t>Subsistencia</w:t>
      </w:r>
    </w:p>
    <w:p w:rsidR="00D41E76" w:rsidRDefault="00D41E76">
      <w:pPr>
        <w:spacing w:after="0" w:line="240" w:lineRule="auto"/>
        <w:rPr>
          <w:rFonts w:asciiTheme="minorHAnsi" w:hAnsiTheme="minorHAnsi"/>
          <w:b/>
        </w:rPr>
      </w:pPr>
    </w:p>
    <w:p w:rsidR="00D41E76" w:rsidRDefault="00557DE1">
      <w:pPr>
        <w:spacing w:after="0"/>
      </w:pPr>
      <w:r w:rsidRPr="00724900">
        <w:rPr>
          <w:noProof/>
          <w:lang w:eastAsia="es-ES"/>
        </w:rPr>
        <w:drawing>
          <wp:inline distT="0" distB="0" distL="0" distR="0" wp14:anchorId="27E28E6F" wp14:editId="397F08F3">
            <wp:extent cx="1828800" cy="962025"/>
            <wp:effectExtent l="0" t="0" r="0" b="0"/>
            <wp:docPr id="102" name="Gráfico 10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724900">
        <w:rPr>
          <w:noProof/>
          <w:lang w:eastAsia="es-ES"/>
        </w:rPr>
        <w:drawing>
          <wp:inline distT="0" distB="0" distL="0" distR="0" wp14:anchorId="066F8B50" wp14:editId="004037B6">
            <wp:extent cx="1828800" cy="962025"/>
            <wp:effectExtent l="0" t="0" r="0" b="0"/>
            <wp:docPr id="103" name="Gráfico 103"/>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r w:rsidRPr="00724900">
        <w:rPr>
          <w:noProof/>
          <w:lang w:eastAsia="es-ES"/>
        </w:rPr>
        <w:drawing>
          <wp:inline distT="0" distB="0" distL="0" distR="0" wp14:anchorId="7B2DD130" wp14:editId="27BF2037">
            <wp:extent cx="1828800" cy="962025"/>
            <wp:effectExtent l="0" t="0" r="0" b="0"/>
            <wp:docPr id="104" name="Gráfico 104"/>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D41E76" w:rsidRDefault="00D41E76">
      <w:pPr>
        <w:spacing w:after="0"/>
      </w:pPr>
    </w:p>
    <w:p w:rsidR="00D41E76" w:rsidRDefault="00D41E76">
      <w:pPr>
        <w:spacing w:after="0"/>
      </w:pPr>
    </w:p>
    <w:p w:rsidR="00D41E76" w:rsidRDefault="00D41E76">
      <w:pPr>
        <w:spacing w:after="0"/>
      </w:pPr>
    </w:p>
    <w:p w:rsidR="00D41E76" w:rsidRDefault="00D41E76">
      <w:pPr>
        <w:spacing w:after="0"/>
      </w:pPr>
    </w:p>
    <w:p w:rsidR="00D41E76" w:rsidRDefault="00FD42B6">
      <w:pPr>
        <w:spacing w:after="0"/>
      </w:pPr>
      <w:r>
        <w:rPr>
          <w:noProof/>
          <w:lang w:eastAsia="es-ES"/>
        </w:rPr>
        <w:lastRenderedPageBreak/>
        <w:pict>
          <v:shape id="1058" o:spid="_x0000_s1029" type="#_x0000_t202" style="position:absolute;left:0;text-align:left;margin-left:221.55pt;margin-top:9.35pt;width:149.25pt;height:110.6pt;z-index:14;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 xml:space="preserve">Se encarga del cuidado de otros </w:t>
                  </w:r>
                </w:p>
              </w:txbxContent>
            </v:textbox>
            <w10:wrap type="square"/>
          </v:shape>
        </w:pict>
      </w:r>
      <w:r>
        <w:rPr>
          <w:noProof/>
          <w:lang w:eastAsia="es-ES"/>
        </w:rPr>
        <w:pict>
          <v:shape id="1059" o:spid="_x0000_s1028" type="#_x0000_t202" style="position:absolute;left:0;text-align:left;margin-left:78.3pt;margin-top:8.6pt;width:149.25pt;height:110.6pt;z-index:13;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Compra alimentos y útiles del hogar</w:t>
                  </w:r>
                </w:p>
              </w:txbxContent>
            </v:textbox>
            <w10:wrap type="square"/>
          </v:shape>
        </w:pict>
      </w:r>
    </w:p>
    <w:p w:rsidR="00D41E76" w:rsidRDefault="00D41E76">
      <w:pPr>
        <w:spacing w:after="0" w:line="240" w:lineRule="auto"/>
      </w:pPr>
    </w:p>
    <w:p w:rsidR="00D41E76" w:rsidRDefault="00557DE1">
      <w:pPr>
        <w:spacing w:after="0"/>
        <w:jc w:val="center"/>
      </w:pPr>
      <w:r w:rsidRPr="00724900">
        <w:rPr>
          <w:noProof/>
          <w:lang w:eastAsia="es-ES"/>
        </w:rPr>
        <w:drawing>
          <wp:inline distT="0" distB="0" distL="0" distR="0" wp14:anchorId="555B7C65" wp14:editId="31C00310">
            <wp:extent cx="1828800" cy="962025"/>
            <wp:effectExtent l="0" t="0" r="0" b="0"/>
            <wp:docPr id="105" name="Gráfico 10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Pr="00724900">
        <w:rPr>
          <w:noProof/>
          <w:lang w:eastAsia="es-ES"/>
        </w:rPr>
        <w:drawing>
          <wp:inline distT="0" distB="0" distL="0" distR="0" wp14:anchorId="55DA892D" wp14:editId="3BCD5AB7">
            <wp:extent cx="1828800" cy="962025"/>
            <wp:effectExtent l="0" t="0" r="0" b="0"/>
            <wp:docPr id="106" name="Gráfico 106"/>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D41E76" w:rsidRDefault="00D41E76">
      <w:pPr>
        <w:spacing w:after="0" w:line="276" w:lineRule="auto"/>
        <w:ind w:firstLine="709"/>
      </w:pPr>
    </w:p>
    <w:p w:rsidR="00D41E76" w:rsidRDefault="00033738">
      <w:pPr>
        <w:spacing w:after="0"/>
        <w:ind w:firstLine="709"/>
      </w:pPr>
      <w:r>
        <w:t>Sobre el holón erotismo y relacionado a la vinculación afectiva, se encontró que el 94.8% de los participantes declaró orientación sexo-erótica heterosexual, mientras que el 5.1% declaró ser homosexual. Sobre las acciones ante el deseo sexual, no se encontraron diferencias significativas entre hombres y mujeres en cuanto a la frecuencia y a la satisfacción (p = 0.939 y p = 0.67 respectivamente). Los porcentajes de cómo se comportó esto en la muestra se presentan a continuación:</w:t>
      </w:r>
    </w:p>
    <w:p w:rsidR="00D41E76" w:rsidRDefault="00D41E76">
      <w:pPr>
        <w:spacing w:after="0" w:line="480" w:lineRule="auto"/>
        <w:ind w:firstLine="709"/>
      </w:pPr>
    </w:p>
    <w:p w:rsidR="00D41E76" w:rsidRDefault="00033738">
      <w:pPr>
        <w:spacing w:after="0"/>
        <w:rPr>
          <w:b/>
        </w:rPr>
      </w:pPr>
      <w:r>
        <w:rPr>
          <w:b/>
        </w:rPr>
        <w:t>Tabla 3</w:t>
      </w:r>
    </w:p>
    <w:p w:rsidR="00D41E76" w:rsidRDefault="00D41E76">
      <w:pPr>
        <w:spacing w:after="0"/>
        <w:rPr>
          <w:b/>
        </w:rPr>
      </w:pPr>
    </w:p>
    <w:p w:rsidR="00D41E76" w:rsidRDefault="00033738">
      <w:pPr>
        <w:spacing w:after="0"/>
        <w:rPr>
          <w:i/>
        </w:rPr>
      </w:pPr>
      <w:r>
        <w:rPr>
          <w:i/>
        </w:rPr>
        <w:t xml:space="preserve">Porcentajes de la Frecuencia de Acciones Ante la Presencia de Deseo Sexual en los Participantes  </w:t>
      </w:r>
    </w:p>
    <w:p w:rsidR="00D41E76" w:rsidRDefault="00D41E76">
      <w:pPr>
        <w:spacing w:after="0" w:line="276" w:lineRule="auto"/>
      </w:pPr>
    </w:p>
    <w:tbl>
      <w:tblPr>
        <w:tblStyle w:val="Tablanormal21"/>
        <w:tblW w:w="9035" w:type="dxa"/>
        <w:jc w:val="center"/>
        <w:tblLayout w:type="fixed"/>
        <w:tblLook w:val="04A0" w:firstRow="1" w:lastRow="0" w:firstColumn="1" w:lastColumn="0" w:noHBand="0" w:noVBand="1"/>
      </w:tblPr>
      <w:tblGrid>
        <w:gridCol w:w="4395"/>
        <w:gridCol w:w="708"/>
        <w:gridCol w:w="993"/>
        <w:gridCol w:w="850"/>
        <w:gridCol w:w="1134"/>
        <w:gridCol w:w="955"/>
      </w:tblGrid>
      <w:tr w:rsidR="00D41E76" w:rsidTr="00D41E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D41E76">
            <w:pPr>
              <w:pStyle w:val="tablasygraficos"/>
            </w:pPr>
          </w:p>
        </w:tc>
        <w:tc>
          <w:tcPr>
            <w:tcW w:w="4640" w:type="dxa"/>
            <w:gridSpan w:val="5"/>
          </w:tcPr>
          <w:p w:rsidR="00D41E76" w:rsidRDefault="00033738">
            <w:pPr>
              <w:pStyle w:val="tablasygraficos"/>
              <w:jc w:val="center"/>
              <w:cnfStyle w:val="100000000000" w:firstRow="1" w:lastRow="0" w:firstColumn="0" w:lastColumn="0" w:oddVBand="0" w:evenVBand="0" w:oddHBand="0" w:evenHBand="0" w:firstRowFirstColumn="0" w:firstRowLastColumn="0" w:lastRowFirstColumn="0" w:lastRowLastColumn="0"/>
            </w:pPr>
            <w:r>
              <w:t>Frecuencias en Porciento (%)</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jc w:val="center"/>
            </w:pPr>
            <w:r>
              <w:t>Acciones</w:t>
            </w:r>
          </w:p>
        </w:tc>
        <w:tc>
          <w:tcPr>
            <w:tcW w:w="708"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Nunca</w:t>
            </w:r>
          </w:p>
        </w:tc>
        <w:tc>
          <w:tcPr>
            <w:tcW w:w="993"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Casi nunca</w:t>
            </w:r>
          </w:p>
        </w:tc>
        <w:tc>
          <w:tcPr>
            <w:tcW w:w="850"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A veces</w:t>
            </w:r>
          </w:p>
        </w:tc>
        <w:tc>
          <w:tcPr>
            <w:tcW w:w="1134"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Casi siempre</w:t>
            </w:r>
          </w:p>
        </w:tc>
        <w:tc>
          <w:tcPr>
            <w:tcW w:w="955"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Siempre</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Cuando siente deseo sexual busca satisfacerse con su pareja</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2.2</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2.9</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9.4</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25.2</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60.4</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Cuando siente deseo sexual busca satisfacerse con otra persona que no es su pareja</w:t>
            </w:r>
          </w:p>
        </w:tc>
        <w:tc>
          <w:tcPr>
            <w:tcW w:w="708"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78.8</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7.3</w:t>
            </w:r>
          </w:p>
        </w:tc>
        <w:tc>
          <w:tcPr>
            <w:tcW w:w="850"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10.2</w:t>
            </w:r>
          </w:p>
        </w:tc>
        <w:tc>
          <w:tcPr>
            <w:tcW w:w="113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1.5</w:t>
            </w:r>
          </w:p>
        </w:tc>
        <w:tc>
          <w:tcPr>
            <w:tcW w:w="9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1.2</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Cuando no siente deseo sexual lo hace para complacer a su pareja</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27.7</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23.4</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39.4</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4.4</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5.1</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Cuando no siente deseo sexual lo hace para evitar problemas</w:t>
            </w:r>
          </w:p>
        </w:tc>
        <w:tc>
          <w:tcPr>
            <w:tcW w:w="708"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55.5</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17.5</w:t>
            </w:r>
          </w:p>
        </w:tc>
        <w:tc>
          <w:tcPr>
            <w:tcW w:w="850"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21.2</w:t>
            </w:r>
          </w:p>
        </w:tc>
        <w:tc>
          <w:tcPr>
            <w:tcW w:w="113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2.9</w:t>
            </w:r>
          </w:p>
        </w:tc>
        <w:tc>
          <w:tcPr>
            <w:tcW w:w="9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2.9</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Cuando no siente deseo sexual se niega</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21.7</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13.8</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31.2</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13</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20.3</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Cuando siente deseo sexual espera a que se le pase</w:t>
            </w:r>
          </w:p>
        </w:tc>
        <w:tc>
          <w:tcPr>
            <w:tcW w:w="708"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41.8</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25.4</w:t>
            </w:r>
          </w:p>
        </w:tc>
        <w:tc>
          <w:tcPr>
            <w:tcW w:w="850"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24.6</w:t>
            </w:r>
          </w:p>
        </w:tc>
        <w:tc>
          <w:tcPr>
            <w:tcW w:w="113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6</w:t>
            </w:r>
          </w:p>
        </w:tc>
        <w:tc>
          <w:tcPr>
            <w:tcW w:w="9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2.2</w:t>
            </w:r>
          </w:p>
        </w:tc>
      </w:tr>
    </w:tbl>
    <w:p w:rsidR="00D41E76" w:rsidRDefault="00D41E76">
      <w:pPr>
        <w:spacing w:after="0" w:line="480" w:lineRule="auto"/>
        <w:ind w:firstLine="709"/>
      </w:pPr>
    </w:p>
    <w:p w:rsidR="00D41E76" w:rsidRDefault="00033738">
      <w:pPr>
        <w:spacing w:after="0"/>
        <w:ind w:firstLine="709"/>
      </w:pPr>
      <w:r>
        <w:t xml:space="preserve">En lo concerniente a las prácticas eróticas, se encontraron diferencias significativas entre hombres y mujeres en la frecuencia de realización de prácticas buco-genitales (p = 0.017), esto no ocurrió así con la satisfacción al respecto (p = 0.145). Se hace necesario recordar, que los participantes no eran pareja entre sí, lo que explica los resultados de la siguiente figura, </w:t>
      </w:r>
      <w:r>
        <w:lastRenderedPageBreak/>
        <w:t>donde se muestran los valores de los porcentajes de frecuencias acumuladas elevadas (</w:t>
      </w:r>
      <w:r>
        <w:rPr>
          <w:i/>
        </w:rPr>
        <w:t>siempre</w:t>
      </w:r>
      <w:r>
        <w:t xml:space="preserve"> o </w:t>
      </w:r>
      <w:r>
        <w:rPr>
          <w:i/>
        </w:rPr>
        <w:t>casi siempre</w:t>
      </w:r>
      <w:r>
        <w:t>):</w:t>
      </w:r>
    </w:p>
    <w:p w:rsidR="00D41E76" w:rsidRDefault="00D41E76">
      <w:pPr>
        <w:spacing w:after="0" w:line="480" w:lineRule="auto"/>
        <w:ind w:firstLine="709"/>
      </w:pPr>
    </w:p>
    <w:p w:rsidR="00D41E76" w:rsidRDefault="00033738">
      <w:pPr>
        <w:spacing w:after="0"/>
        <w:rPr>
          <w:b/>
        </w:rPr>
      </w:pPr>
      <w:r>
        <w:rPr>
          <w:b/>
        </w:rPr>
        <w:t>Figura 2</w:t>
      </w:r>
    </w:p>
    <w:p w:rsidR="00D41E76" w:rsidRDefault="00D41E76">
      <w:pPr>
        <w:spacing w:after="0"/>
        <w:rPr>
          <w:b/>
        </w:rPr>
      </w:pPr>
    </w:p>
    <w:p w:rsidR="00D41E76" w:rsidRDefault="00033738">
      <w:pPr>
        <w:spacing w:after="0"/>
        <w:rPr>
          <w:i/>
        </w:rPr>
      </w:pPr>
      <w:r>
        <w:rPr>
          <w:i/>
        </w:rPr>
        <w:t>Realización de las Prácticas Buco-Genitales en Hombres y Mujeres</w:t>
      </w:r>
    </w:p>
    <w:p w:rsidR="00D41E76" w:rsidRDefault="00D41E76">
      <w:pPr>
        <w:spacing w:after="0" w:line="276" w:lineRule="auto"/>
      </w:pPr>
    </w:p>
    <w:p w:rsidR="00D41E76" w:rsidRDefault="00FD42B6">
      <w:pPr>
        <w:tabs>
          <w:tab w:val="left" w:pos="4536"/>
        </w:tabs>
        <w:spacing w:after="0"/>
        <w:jc w:val="center"/>
        <w:rPr>
          <w:rFonts w:asciiTheme="minorHAnsi" w:hAnsiTheme="minorHAnsi"/>
          <w:b/>
        </w:rPr>
      </w:pPr>
      <w:r>
        <w:rPr>
          <w:noProof/>
          <w:lang w:eastAsia="es-ES"/>
        </w:rPr>
        <w:pict>
          <v:shape id="1064" o:spid="_x0000_s1027" type="#_x0000_t202" style="position:absolute;left:0;text-align:left;margin-left:231.35pt;margin-top:19.65pt;width:127.5pt;height:110.6pt;z-index:16;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Recibir sexo oral de su pareja</w:t>
                  </w:r>
                </w:p>
              </w:txbxContent>
            </v:textbox>
            <w10:wrap type="square"/>
          </v:shape>
        </w:pict>
      </w:r>
      <w:r>
        <w:rPr>
          <w:noProof/>
          <w:lang w:eastAsia="es-ES"/>
        </w:rPr>
        <w:pict>
          <v:shape id="1065" o:spid="_x0000_s1026" type="#_x0000_t202" style="position:absolute;left:0;text-align:left;margin-left:25.8pt;margin-top:18.95pt;width:149.25pt;height:110.6pt;z-index:15;visibility:visible;mso-width-percent:0;mso-height-percent:200;mso-wrap-distance-top:3.6pt;mso-wrap-distance-bottom:3.6pt;mso-position-horizontal-relative:text;mso-position-vertical-relative:text;mso-width-percent:0;mso-height-percent:200;mso-width-relative:margin;mso-height-relative:margin" stroked="f">
            <v:textbox style="mso-fit-shape-to-text:t">
              <w:txbxContent>
                <w:p w:rsidR="00D41E76" w:rsidRDefault="00033738">
                  <w:pPr>
                    <w:pStyle w:val="tablasygraficos"/>
                    <w:spacing w:line="240" w:lineRule="auto"/>
                    <w:jc w:val="left"/>
                  </w:pPr>
                  <w:r>
                    <w:t>Realizar sexo oral a su pareja</w:t>
                  </w:r>
                </w:p>
              </w:txbxContent>
            </v:textbox>
            <w10:wrap type="square"/>
          </v:shape>
        </w:pict>
      </w:r>
      <w:r w:rsidR="00033738">
        <w:rPr>
          <w:i/>
        </w:rPr>
        <w:t xml:space="preserve"> </w:t>
      </w:r>
      <w:r w:rsidR="00033738">
        <w:rPr>
          <w:rFonts w:asciiTheme="minorHAnsi" w:hAnsiTheme="minorHAnsi"/>
          <w:b/>
        </w:rPr>
        <w:t>Prácticas Buco-genitales</w:t>
      </w:r>
    </w:p>
    <w:p w:rsidR="00D41E76" w:rsidRDefault="00D41E76">
      <w:pPr>
        <w:spacing w:after="0"/>
        <w:rPr>
          <w:i/>
        </w:rPr>
      </w:pPr>
    </w:p>
    <w:p w:rsidR="00D41E76" w:rsidRDefault="00CF49BF">
      <w:pPr>
        <w:tabs>
          <w:tab w:val="left" w:pos="4536"/>
        </w:tabs>
        <w:spacing w:after="0"/>
      </w:pPr>
      <w:r w:rsidRPr="00724900">
        <w:rPr>
          <w:noProof/>
          <w:lang w:eastAsia="es-ES"/>
        </w:rPr>
        <w:drawing>
          <wp:inline distT="0" distB="0" distL="0" distR="0" wp14:anchorId="4A1341BA" wp14:editId="5FCD5356">
            <wp:extent cx="2826327" cy="115189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724900">
        <w:rPr>
          <w:noProof/>
          <w:lang w:eastAsia="es-ES"/>
        </w:rPr>
        <w:drawing>
          <wp:inline distT="0" distB="0" distL="0" distR="0" wp14:anchorId="51E0F59B" wp14:editId="3E3B1500">
            <wp:extent cx="2826327" cy="1151890"/>
            <wp:effectExtent l="0" t="0" r="0" b="0"/>
            <wp:docPr id="4" name="Gráfico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D41E76" w:rsidRDefault="00D41E76">
      <w:pPr>
        <w:spacing w:after="0" w:line="480" w:lineRule="auto"/>
        <w:ind w:firstLine="709"/>
      </w:pPr>
    </w:p>
    <w:p w:rsidR="00D41E76" w:rsidRDefault="00033738">
      <w:pPr>
        <w:spacing w:after="0"/>
        <w:ind w:firstLine="709"/>
      </w:pPr>
      <w:r>
        <w:t>En el resto de las prácticas eróticas no se encontraron diferencias significativas entre los sexos (p &gt; 0.05). Los porcentajes correspondientes a las frecuencias de realización de dichas prácticas en toda la muestra se recogen en la siguiente figura:</w:t>
      </w: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D41E76">
      <w:pPr>
        <w:spacing w:after="0" w:line="480" w:lineRule="auto"/>
        <w:ind w:firstLine="709"/>
      </w:pPr>
    </w:p>
    <w:p w:rsidR="00D41E76" w:rsidRDefault="00033738">
      <w:pPr>
        <w:spacing w:after="0"/>
        <w:rPr>
          <w:b/>
        </w:rPr>
      </w:pPr>
      <w:r>
        <w:rPr>
          <w:b/>
        </w:rPr>
        <w:lastRenderedPageBreak/>
        <w:t>Figura 3</w:t>
      </w:r>
    </w:p>
    <w:p w:rsidR="00D41E76" w:rsidRDefault="00D41E76">
      <w:pPr>
        <w:spacing w:after="0"/>
        <w:rPr>
          <w:b/>
        </w:rPr>
      </w:pPr>
    </w:p>
    <w:p w:rsidR="00D41E76" w:rsidRDefault="00033738">
      <w:pPr>
        <w:spacing w:after="0"/>
        <w:rPr>
          <w:i/>
        </w:rPr>
      </w:pPr>
      <w:r>
        <w:rPr>
          <w:i/>
        </w:rPr>
        <w:t>Realización de las Prácticas Eróticas de los Participantes</w:t>
      </w:r>
    </w:p>
    <w:p w:rsidR="00D41E76" w:rsidRDefault="00D41E76">
      <w:pPr>
        <w:spacing w:after="0" w:line="276" w:lineRule="auto"/>
      </w:pPr>
    </w:p>
    <w:p w:rsidR="00D41E76" w:rsidRDefault="00033738">
      <w:pPr>
        <w:spacing w:after="0"/>
      </w:pPr>
      <w:r>
        <w:rPr>
          <w:noProof/>
          <w:lang w:eastAsia="es-ES"/>
        </w:rPr>
        <w:drawing>
          <wp:inline distT="0" distB="0" distL="114300" distR="114300">
            <wp:extent cx="5486400" cy="3200400"/>
            <wp:effectExtent l="0" t="0" r="0" b="0"/>
            <wp:docPr id="107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D41E76" w:rsidRDefault="00D41E76">
      <w:pPr>
        <w:spacing w:after="0" w:line="480" w:lineRule="auto"/>
        <w:ind w:firstLine="709"/>
      </w:pPr>
    </w:p>
    <w:p w:rsidR="00D41E76" w:rsidRDefault="00033738">
      <w:pPr>
        <w:spacing w:after="0"/>
        <w:ind w:firstLine="709"/>
      </w:pPr>
      <w:r>
        <w:t>Con respecto al holón vincular y en relación a los tipos de vínculos, los resultados se muestran en la siguiente tabla:</w:t>
      </w:r>
    </w:p>
    <w:p w:rsidR="00D41E76" w:rsidRDefault="00D41E76">
      <w:pPr>
        <w:spacing w:after="0" w:line="480" w:lineRule="auto"/>
      </w:pPr>
    </w:p>
    <w:p w:rsidR="00D41E76" w:rsidRDefault="00033738">
      <w:pPr>
        <w:spacing w:after="0"/>
        <w:rPr>
          <w:b/>
        </w:rPr>
      </w:pPr>
      <w:r>
        <w:rPr>
          <w:b/>
        </w:rPr>
        <w:t xml:space="preserve">Tabla 4 </w:t>
      </w:r>
    </w:p>
    <w:p w:rsidR="00D41E76" w:rsidRDefault="00D41E76">
      <w:pPr>
        <w:spacing w:after="0"/>
        <w:rPr>
          <w:b/>
        </w:rPr>
      </w:pPr>
    </w:p>
    <w:p w:rsidR="00D41E76" w:rsidRDefault="00033738">
      <w:pPr>
        <w:spacing w:after="0"/>
        <w:rPr>
          <w:i/>
        </w:rPr>
      </w:pPr>
      <w:r>
        <w:rPr>
          <w:i/>
        </w:rPr>
        <w:t xml:space="preserve">Porcentajes de la Frecuencia de Tenencia de los Diferentes Tipos de Vínculos </w:t>
      </w:r>
    </w:p>
    <w:p w:rsidR="00D41E76" w:rsidRDefault="00D41E76">
      <w:pPr>
        <w:spacing w:after="0" w:line="276" w:lineRule="auto"/>
      </w:pPr>
    </w:p>
    <w:tbl>
      <w:tblPr>
        <w:tblStyle w:val="Tablanormal21"/>
        <w:tblW w:w="9035" w:type="dxa"/>
        <w:jc w:val="center"/>
        <w:tblLayout w:type="fixed"/>
        <w:tblLook w:val="04A0" w:firstRow="1" w:lastRow="0" w:firstColumn="1" w:lastColumn="0" w:noHBand="0" w:noVBand="1"/>
      </w:tblPr>
      <w:tblGrid>
        <w:gridCol w:w="4395"/>
        <w:gridCol w:w="708"/>
        <w:gridCol w:w="993"/>
        <w:gridCol w:w="850"/>
        <w:gridCol w:w="1134"/>
        <w:gridCol w:w="955"/>
      </w:tblGrid>
      <w:tr w:rsidR="00D41E76" w:rsidTr="00D41E76">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D41E76">
            <w:pPr>
              <w:pStyle w:val="tablasygraficos"/>
            </w:pPr>
          </w:p>
        </w:tc>
        <w:tc>
          <w:tcPr>
            <w:tcW w:w="4640" w:type="dxa"/>
            <w:gridSpan w:val="5"/>
          </w:tcPr>
          <w:p w:rsidR="00D41E76" w:rsidRDefault="00033738">
            <w:pPr>
              <w:pStyle w:val="tablasygraficos"/>
              <w:jc w:val="center"/>
              <w:cnfStyle w:val="100000000000" w:firstRow="1" w:lastRow="0" w:firstColumn="0" w:lastColumn="0" w:oddVBand="0" w:evenVBand="0" w:oddHBand="0" w:evenHBand="0" w:firstRowFirstColumn="0" w:firstRowLastColumn="0" w:lastRowFirstColumn="0" w:lastRowLastColumn="0"/>
            </w:pPr>
            <w:r>
              <w:t>Frecuencias en Porciento (%)</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jc w:val="center"/>
            </w:pPr>
            <w:r>
              <w:t>Tipos de Relación</w:t>
            </w:r>
          </w:p>
        </w:tc>
        <w:tc>
          <w:tcPr>
            <w:tcW w:w="708"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Nunca</w:t>
            </w:r>
          </w:p>
        </w:tc>
        <w:tc>
          <w:tcPr>
            <w:tcW w:w="993"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Casi nunca</w:t>
            </w:r>
          </w:p>
        </w:tc>
        <w:tc>
          <w:tcPr>
            <w:tcW w:w="850"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A veces</w:t>
            </w:r>
          </w:p>
        </w:tc>
        <w:tc>
          <w:tcPr>
            <w:tcW w:w="1134"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Casi siempre</w:t>
            </w:r>
          </w:p>
        </w:tc>
        <w:tc>
          <w:tcPr>
            <w:tcW w:w="955" w:type="dxa"/>
          </w:tcPr>
          <w:p w:rsidR="00D41E76" w:rsidRDefault="00033738">
            <w:pPr>
              <w:pStyle w:val="tablasygraficos"/>
              <w:cnfStyle w:val="000000100000" w:firstRow="0" w:lastRow="0" w:firstColumn="0" w:lastColumn="0" w:oddVBand="0" w:evenVBand="0" w:oddHBand="1" w:evenHBand="0" w:firstRowFirstColumn="0" w:firstRowLastColumn="0" w:lastRowFirstColumn="0" w:lastRowLastColumn="0"/>
            </w:pPr>
            <w:r>
              <w:t>Siempre</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Amigos con beneficios</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90.7</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3.9</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5.4</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Descargantes</w:t>
            </w:r>
          </w:p>
        </w:tc>
        <w:tc>
          <w:tcPr>
            <w:tcW w:w="708"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88.1</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3.2</w:t>
            </w:r>
          </w:p>
        </w:tc>
        <w:tc>
          <w:tcPr>
            <w:tcW w:w="850"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8.7</w:t>
            </w:r>
          </w:p>
        </w:tc>
        <w:tc>
          <w:tcPr>
            <w:tcW w:w="113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w:t>
            </w:r>
          </w:p>
        </w:tc>
        <w:tc>
          <w:tcPr>
            <w:tcW w:w="9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Novio/a sin convivencia</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81.1</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2.5</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7.4</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3.3</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4.9</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Novio/a con convivencia ocasional</w:t>
            </w:r>
          </w:p>
        </w:tc>
        <w:tc>
          <w:tcPr>
            <w:tcW w:w="708"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79.8</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5</w:t>
            </w:r>
          </w:p>
        </w:tc>
        <w:tc>
          <w:tcPr>
            <w:tcW w:w="850"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8.4</w:t>
            </w:r>
          </w:p>
        </w:tc>
        <w:tc>
          <w:tcPr>
            <w:tcW w:w="113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2.5</w:t>
            </w:r>
          </w:p>
        </w:tc>
        <w:tc>
          <w:tcPr>
            <w:tcW w:w="9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4.2</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Novio/a con convivencia permanente</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51.6</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1.6</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1.6</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3.2</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41.9</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Esposo/a sin convivencia</w:t>
            </w:r>
          </w:p>
        </w:tc>
        <w:tc>
          <w:tcPr>
            <w:tcW w:w="708"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92.1</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3.5</w:t>
            </w:r>
          </w:p>
        </w:tc>
        <w:tc>
          <w:tcPr>
            <w:tcW w:w="850"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0.9</w:t>
            </w:r>
          </w:p>
        </w:tc>
        <w:tc>
          <w:tcPr>
            <w:tcW w:w="113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0.9</w:t>
            </w:r>
          </w:p>
        </w:tc>
        <w:tc>
          <w:tcPr>
            <w:tcW w:w="9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2.6</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Esposo/a con convivencia ocasional</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93.4</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3.3</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2.5</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0.8</w:t>
            </w:r>
          </w:p>
        </w:tc>
      </w:tr>
      <w:tr w:rsidR="00D41E76" w:rsidTr="00D41E76">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Esposo/a con convivencia permanente</w:t>
            </w:r>
          </w:p>
        </w:tc>
        <w:tc>
          <w:tcPr>
            <w:tcW w:w="708"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43.8</w:t>
            </w:r>
          </w:p>
        </w:tc>
        <w:tc>
          <w:tcPr>
            <w:tcW w:w="993"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1.5</w:t>
            </w:r>
          </w:p>
        </w:tc>
        <w:tc>
          <w:tcPr>
            <w:tcW w:w="850"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0.8</w:t>
            </w:r>
          </w:p>
        </w:tc>
        <w:tc>
          <w:tcPr>
            <w:tcW w:w="1134"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0.8</w:t>
            </w:r>
          </w:p>
        </w:tc>
        <w:tc>
          <w:tcPr>
            <w:tcW w:w="955" w:type="dxa"/>
          </w:tcPr>
          <w:p w:rsidR="00D41E76" w:rsidRDefault="00033738">
            <w:pPr>
              <w:pStyle w:val="tablasygraficos"/>
              <w:jc w:val="center"/>
              <w:cnfStyle w:val="000000100000" w:firstRow="0" w:lastRow="0" w:firstColumn="0" w:lastColumn="0" w:oddVBand="0" w:evenVBand="0" w:oddHBand="1" w:evenHBand="0" w:firstRowFirstColumn="0" w:firstRowLastColumn="0" w:lastRowFirstColumn="0" w:lastRowLastColumn="0"/>
            </w:pPr>
            <w:r>
              <w:t>53.1</w:t>
            </w:r>
          </w:p>
        </w:tc>
      </w:tr>
      <w:tr w:rsidR="00D41E76" w:rsidTr="00D41E76">
        <w:trPr>
          <w:jc w:val="center"/>
        </w:trPr>
        <w:tc>
          <w:tcPr>
            <w:cnfStyle w:val="001000000000" w:firstRow="0" w:lastRow="0" w:firstColumn="1" w:lastColumn="0" w:oddVBand="0" w:evenVBand="0" w:oddHBand="0" w:evenHBand="0" w:firstRowFirstColumn="0" w:firstRowLastColumn="0" w:lastRowFirstColumn="0" w:lastRowLastColumn="0"/>
            <w:tcW w:w="4395" w:type="dxa"/>
          </w:tcPr>
          <w:p w:rsidR="00D41E76" w:rsidRDefault="00033738">
            <w:pPr>
              <w:pStyle w:val="tablasygraficos"/>
            </w:pPr>
            <w:r>
              <w:t>Trío/trieja</w:t>
            </w:r>
          </w:p>
        </w:tc>
        <w:tc>
          <w:tcPr>
            <w:tcW w:w="708"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96.7</w:t>
            </w:r>
          </w:p>
        </w:tc>
        <w:tc>
          <w:tcPr>
            <w:tcW w:w="993"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1.7</w:t>
            </w:r>
          </w:p>
        </w:tc>
        <w:tc>
          <w:tcPr>
            <w:tcW w:w="850"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1.7</w:t>
            </w:r>
          </w:p>
        </w:tc>
        <w:tc>
          <w:tcPr>
            <w:tcW w:w="1134"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w:t>
            </w:r>
          </w:p>
        </w:tc>
        <w:tc>
          <w:tcPr>
            <w:tcW w:w="955" w:type="dxa"/>
          </w:tcPr>
          <w:p w:rsidR="00D41E76" w:rsidRDefault="00033738">
            <w:pPr>
              <w:pStyle w:val="tablasygraficos"/>
              <w:jc w:val="center"/>
              <w:cnfStyle w:val="000000000000" w:firstRow="0" w:lastRow="0" w:firstColumn="0" w:lastColumn="0" w:oddVBand="0" w:evenVBand="0" w:oddHBand="0" w:evenHBand="0" w:firstRowFirstColumn="0" w:firstRowLastColumn="0" w:lastRowFirstColumn="0" w:lastRowLastColumn="0"/>
            </w:pPr>
            <w:r>
              <w:t>-</w:t>
            </w:r>
          </w:p>
        </w:tc>
      </w:tr>
    </w:tbl>
    <w:p w:rsidR="00D41E76" w:rsidRDefault="00033738">
      <w:pPr>
        <w:spacing w:after="0"/>
        <w:ind w:firstLine="709"/>
      </w:pPr>
      <w:r>
        <w:lastRenderedPageBreak/>
        <w:t>Sobre las estrategias de resolución de conflictos, no se encontraron diferencias significativas entre hombres y mujeres en la frecuencia y la satisfacción (p = 0.65 y p = 0.138 respectivamente). Los resultados generales para todos los participantes se muestran en la siguiente figura:</w:t>
      </w:r>
    </w:p>
    <w:p w:rsidR="00D41E76" w:rsidRDefault="00D41E76">
      <w:pPr>
        <w:spacing w:after="0" w:line="480" w:lineRule="auto"/>
        <w:ind w:firstLine="709"/>
      </w:pPr>
    </w:p>
    <w:p w:rsidR="00D41E76" w:rsidRDefault="00033738">
      <w:pPr>
        <w:spacing w:after="0"/>
        <w:rPr>
          <w:b/>
        </w:rPr>
      </w:pPr>
      <w:r>
        <w:rPr>
          <w:b/>
        </w:rPr>
        <w:t>Figura 4</w:t>
      </w:r>
    </w:p>
    <w:p w:rsidR="00D41E76" w:rsidRDefault="00D41E76">
      <w:pPr>
        <w:spacing w:after="0"/>
        <w:rPr>
          <w:b/>
        </w:rPr>
      </w:pPr>
    </w:p>
    <w:p w:rsidR="00D41E76" w:rsidRDefault="00033738">
      <w:pPr>
        <w:spacing w:after="0"/>
        <w:rPr>
          <w:i/>
        </w:rPr>
      </w:pPr>
      <w:r>
        <w:rPr>
          <w:i/>
        </w:rPr>
        <w:t>Realización de las Estrategias de Resolución de Conflictos</w:t>
      </w:r>
    </w:p>
    <w:p w:rsidR="00D41E76" w:rsidRDefault="00033738">
      <w:pPr>
        <w:spacing w:after="0" w:line="276" w:lineRule="auto"/>
      </w:pPr>
      <w:r>
        <w:t xml:space="preserve"> </w:t>
      </w:r>
    </w:p>
    <w:p w:rsidR="00D41E76" w:rsidRDefault="00033738">
      <w:pPr>
        <w:spacing w:after="0"/>
      </w:pPr>
      <w:r>
        <w:rPr>
          <w:noProof/>
          <w:lang w:eastAsia="es-ES"/>
        </w:rPr>
        <w:drawing>
          <wp:inline distT="0" distB="0" distL="114300" distR="114300">
            <wp:extent cx="5486400" cy="3200400"/>
            <wp:effectExtent l="0" t="0" r="0" b="0"/>
            <wp:docPr id="1073"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D41E76" w:rsidRDefault="00D41E76">
      <w:pPr>
        <w:spacing w:after="0" w:line="480" w:lineRule="auto"/>
      </w:pPr>
    </w:p>
    <w:p w:rsidR="00D41E76" w:rsidRDefault="00033738">
      <w:pPr>
        <w:pStyle w:val="Ttulo1"/>
        <w:spacing w:before="0" w:line="480" w:lineRule="auto"/>
      </w:pPr>
      <w:r>
        <w:t>Discusión</w:t>
      </w:r>
    </w:p>
    <w:p w:rsidR="00D41E76" w:rsidRDefault="00033738">
      <w:pPr>
        <w:ind w:firstLine="709"/>
      </w:pPr>
      <w:r>
        <w:t>La mayoría de los participantes ya tiene hijos/as, y la cantidad y edad de los mismos es coherente con los resultados de recientes estudios demográficos</w:t>
      </w:r>
      <w:r w:rsidR="00CE2524">
        <w:t xml:space="preserve"> en el país</w:t>
      </w:r>
      <w:r>
        <w:t xml:space="preserve">. Lo anterior también ocurre con la tendencia hallada a la poca realización de acciones para tener descendencia. Resulta interesante el poco uso de medios de protección sexual, de manera que, aunque no se declaran acciones para tener hijos/as tampoco son explicitadas estrategias para no tenerlos/as. Finalmente, existen porcientos elevados de interrupciones de embarazos, tanto de los participantes como de sus parejas. Estos elementos inclinan a concluir que no existe intención en la muestra de tener descendencia o ampliar la que ya poseen; además de que, en lugar de utilizar medios anticonceptivos, la principal estrategia para evitar tener hijos/as es la </w:t>
      </w:r>
      <w:r>
        <w:lastRenderedPageBreak/>
        <w:t>interrupción del embarazo. Esto puede deberse a factores de las políticas de salud y culturales</w:t>
      </w:r>
      <w:r w:rsidR="00CE2524">
        <w:t xml:space="preserve"> de la nación</w:t>
      </w:r>
      <w:r>
        <w:t xml:space="preserve">. </w:t>
      </w:r>
    </w:p>
    <w:p w:rsidR="00D41E76" w:rsidRDefault="00033738">
      <w:pPr>
        <w:ind w:firstLine="709"/>
      </w:pPr>
      <w:r>
        <w:t>Sobre el ejercicio de la parentalidad, se observa en la mayoría de la muestra la presencia de ambos progenitores en la crianza, lo que habla a favor del desarrollo de la descendencia. Las actividades más realizadas por los participantes en el ejercicio del rol fueron brindar afecto y atención y cuidar de su subsistencia, mientras que la realizada con menos frecuencia fue salir a pasear, jugar, ver animados. Se observa como son conservadas las funciones económicas y afectivas de la familia, mientras el esparcimiento familiar ocupa el porcentaje más bajo, esto coincide en cierta medida con lo descrito en investigaciones anteriores en el país (López y Sánchez, 2012; Tomé, 2014). También sobre este tema, se ha de destacar la no existencia de diferencias significativas entre hombres y mujeres en las acciones del ejercicio de este rol. Esto entra en contraste con lo descrito en investigaciones como (López y Sánchez, 2012; Tomé, 2014), al menos a nivel comportamental.</w:t>
      </w:r>
    </w:p>
    <w:p w:rsidR="00D41E76" w:rsidRDefault="00033738">
      <w:pPr>
        <w:ind w:firstLine="709"/>
      </w:pPr>
      <w:r>
        <w:t xml:space="preserve">Algo diferente sucede en el holón género, donde hubo presencia de profundas distancias en el comportamiento sexual de hombres y mujeres, confirmándose así la prevalencia de estereotipos de género. Las mujeres declararon asumir con mayor frecuencia las conductas de cuidado de la imagen corporal, el cuidado de otros y las tareas domésticas. Por su parte, los hombres declararon ser más activos en el juego erótico, de modo que tienen más iniciativas sexuales aunque, a su vez, un porciento representativo de hombres declaró preferir las iniciativas de su pareja. Además, se observó con claridad la relación mujer pasiva-hombre activo en el cortejo, con contrastes en los porcentajes. Los hombres asumen casi en su totalidad los gastos económicos y las reparaciones del hogar, tal y como es descrito en los referentes teóricos (Centro de Estudios de Antropología de la Mujer, 2011; González y Castellanos, 1996; Lara, </w:t>
      </w:r>
      <w:r>
        <w:rPr>
          <w:noProof/>
        </w:rPr>
        <w:t>1994</w:t>
      </w:r>
      <w:r>
        <w:t xml:space="preserve">; López y Sánchez, 2012; Orlandini y Orlandini, 2015; Rubio, s.f.; Waisblat y Sáenz, 2013). Además, la aparición de diferencias significativas, a favor de los hombres, en la satisfacción con las conductas de subsistencia y de juego erótico es otro indicativo de las brechas entre los géneros. </w:t>
      </w:r>
    </w:p>
    <w:p w:rsidR="00D41E76" w:rsidRDefault="00033738">
      <w:pPr>
        <w:ind w:firstLine="709"/>
      </w:pPr>
      <w:r>
        <w:t>Vinculado a los elementos del juego erótico, ya en el holón erotismo, se encontró que la mayoría de los participantes declara orientación sexo-erótica heterosexual, mientras que la homosexual fue minoría. Esto puede estar apuntando a una tendencia</w:t>
      </w:r>
      <w:r w:rsidR="00CE2524">
        <w:t xml:space="preserve"> en el país</w:t>
      </w:r>
      <w:r>
        <w:t xml:space="preserve"> de</w:t>
      </w:r>
      <w:r w:rsidR="00CE2524">
        <w:t xml:space="preserve"> que</w:t>
      </w:r>
      <w:r w:rsidR="00CF49BF">
        <w:t xml:space="preserve"> los vínculos homosexuales </w:t>
      </w:r>
      <w:r>
        <w:t>no</w:t>
      </w:r>
      <w:r w:rsidR="00CE2524">
        <w:t xml:space="preserve"> se prolonguen</w:t>
      </w:r>
      <w:r>
        <w:t xml:space="preserve"> hasta 5 años o más. Para confirmar esto se hace necesario el diseño de nuevas investigaciones. En lo concerniente a las acciones de asunción </w:t>
      </w:r>
      <w:r>
        <w:lastRenderedPageBreak/>
        <w:t xml:space="preserve">del deseo, se observó que los participantes tienden a buscar a la pareja para satisfacerse sexualmente y que, a su vez, lo que menos realizan es buscar a un tercero, externo a la relación. Esto está dando cuentas del funcionamiento de la vinculación erótica en las relaciones de pareja descrita por González y Castellanos (1996), pues para los participantes el vínculo constituye el primer espacio de satisfacción sexual. </w:t>
      </w:r>
    </w:p>
    <w:p w:rsidR="00D41E76" w:rsidRDefault="00033738">
      <w:pPr>
        <w:ind w:firstLine="709"/>
      </w:pPr>
      <w:r>
        <w:t xml:space="preserve">Sobre las prácticas eróticas específicamente, se encontraron contrastes en la ejecución y recepción de las prácticas buco-genitales entre hombres y mujeres. Son ellos los más activos en esta práctica, lo cual apunta a la necesidad de profundizar los estudios sobre el tema. En lo concerniente a las demás prácticas eróticas, resulta interesante la no existencia de diferencias significativas entre hombres y mujeres, lo que representa una ruptura con las tendencias patriarcales que establecen roles de pasividad y pro-actividad en mujeres y hombres respectivamente </w:t>
      </w:r>
      <w:r>
        <w:rPr>
          <w:noProof/>
        </w:rPr>
        <w:t>(Orlandini y Orlandini, 2015). También sobre estas prácticas, s</w:t>
      </w:r>
      <w:r>
        <w:t>e mantienen las tendencias descritas en la teoría como más comunes: coito vaginal, prácticas buco-genitales, caricias y besos eróticos, fantasías y juegos (Faílde y Bimbela, 2008; López E., 2013; Moral, 2009; Velazco, 1994.). En contraste, no se observa una representación alta de las prácticas autoeróticas ni del uso de la tecnología y de juguetes sexuales que, según lo planteado por Fernández (2004) deberían ir en aumento. Habría que analizar, en futuras indagaciones, si estos valores se deben a las características del vínculo como estable y formalizado o como generalidad</w:t>
      </w:r>
      <w:r w:rsidR="00CE2524">
        <w:t xml:space="preserve"> en las parejas del país</w:t>
      </w:r>
      <w:r>
        <w:t xml:space="preserve">. </w:t>
      </w:r>
    </w:p>
    <w:p w:rsidR="00D41E76" w:rsidRDefault="00033738">
      <w:pPr>
        <w:ind w:firstLine="709"/>
      </w:pPr>
      <w:r>
        <w:t xml:space="preserve">Los resultados en el holón vincular mostraron otro contraste con lo propuesto por esta última autora: la existencia de una tendencia en la muestra a las relaciones de pareja reconocidas desde lo social como estables: novio/a y esposo/a con convivencia permanente. Esto dista de lo descrito por (Fernández, 2004) sobre la creciente cifra de relaciones poco estables y no convivientes. Un factor importante a considerar es el segundo criterio de selección: los participantes se encontraban en vínculos de 5 años o más de duración, lo que puede ser considerado por muchos como una relación estable. Además, esto tiene coherencia con la tendencia en la muestra a realizar prácticas favorables de resolución de conflictos, pues es esperado que los vínculos duraderos apliquen estrategias a favor de la relación. También sobre este tema, se encontró que, a pesar de esperarse que las mujeres tengan mayores habilidades en la resolución de conflictos y la comprensión de emociones (López y Sánchez, 2012; Tomé, 2014), no aparecieron diferencias significativas entre </w:t>
      </w:r>
      <w:r w:rsidR="00CF49BF">
        <w:t>los sexos</w:t>
      </w:r>
      <w:r>
        <w:t xml:space="preserve">. </w:t>
      </w:r>
    </w:p>
    <w:p w:rsidR="00D41E76" w:rsidRDefault="00033738">
      <w:pPr>
        <w:ind w:firstLine="709"/>
      </w:pPr>
      <w:r>
        <w:lastRenderedPageBreak/>
        <w:t xml:space="preserve">Como se ha explicado con anterioridad, la perspectiva holónica permite obtener una visión integrada de la sexualidad, por lo que a continuación se muestran algunas reflexiones en función de los resultados. El hecho de que los participantes utilicen poca protección sexual puede deberse a tendencias demográficas como al grado de estabilidad y confianza en la relación. Una vez que el vínculo es exclusivo sexualmente y se confía en ello, los medios de protección sexual pueden perder su función contra las enfermedades de transmisión sexual y ser considerados como anticonceptivos exclusivamente. Además, la estabilidad del vínculo puede también guardar relación con la presencia de descendencia, puesto que lo esperado es que exista cierto grado de consolidación en la relación antes de tener hijos/as. A su vez, unido a los aspectos socio-económicos, esto puede explicar la poca tendencia a buscar descendencia, pues en la mayoría de los casos ya existe.  </w:t>
      </w:r>
    </w:p>
    <w:p w:rsidR="00D41E76" w:rsidRDefault="00033738">
      <w:pPr>
        <w:ind w:firstLine="709"/>
      </w:pPr>
      <w:r>
        <w:t xml:space="preserve">En coherencia con lo anterior, la mayoría de los participantes poseen vínculos heterosexuales que, debido a regulaciones legales, tienen más posibilidades de tener hijos/as. También en el holón erotismo, la tendencia a buscar a la pareja para satisfacer los deseos sexuales muestra la consolidación erótico-vincular en la relación, característica de los vínculos estables que ya han alcanzado una intimidad psicológica y erótica satisfactoria. A su vez dicha estabilidad, unida a la convivencia permanente encontrada, sienta las bases esenciales para la reproducción de estereotipos de género, tal y como se encontró en los resultados. De hecho, la presencia de estos y la tendencia a vínculos heterosexuales es digno de análisis más profundos; se requiere la realización de investigaciones similares con parejas homosexuales en el país, para luego comparar los resultados.  </w:t>
      </w:r>
    </w:p>
    <w:p w:rsidR="00D41E76" w:rsidRDefault="00033738">
      <w:pPr>
        <w:ind w:firstLine="709"/>
      </w:pPr>
      <w:r>
        <w:t xml:space="preserve">Al analizar con detenimiento aquellos aspectos donde se encontraron diferencias entre hombres y mujeres, es posible observar que se concentran en los elementos orientados al espacio público y social, como la subsistencia, el cuidado de la imagen, el cortejo, etc. No ocurre así con aquello más privado de la pareja, como las prácticas eróticas y las estrategias de resolución de conflictos. Estos elementos apuntan a pensar que si bien hay una presencia de los patrones patriarcales en la pareja esta parece no alcanzar la intimidad de la misma en el sentido más estricto de la palabra. </w:t>
      </w:r>
    </w:p>
    <w:p w:rsidR="00D41E76" w:rsidRDefault="00033738">
      <w:pPr>
        <w:pStyle w:val="Ttulo1"/>
        <w:spacing w:before="0" w:line="480" w:lineRule="auto"/>
      </w:pPr>
      <w:r>
        <w:t>Consideraciones finales</w:t>
      </w:r>
    </w:p>
    <w:p w:rsidR="00D41E76" w:rsidRDefault="00033738">
      <w:pPr>
        <w:ind w:firstLine="709"/>
      </w:pPr>
      <w:r>
        <w:t xml:space="preserve">Como fue posible apreciar, muchos de los resultados de la investigación muestran coherencia con las tendencias sociodemográficas descritas en indagaciones anteriores. Sin embargo, se observan contrastes en cuanto a la configuración vincular. Por otra parte, se </w:t>
      </w:r>
      <w:r>
        <w:lastRenderedPageBreak/>
        <w:t xml:space="preserve">encontró que, si bien hay logros en cuanto a los roles de género en la crianza de los hijos/as, estos siguen reproduciéndose en el espacio doméstico; los que a su vez se relacionan con varios aspectos de la vida erótica de la pareja. A pesar del incentivo de las políticas sociales en dirección a la equidad de género, se continúan entreviendo las diferencias y sus expresiones comportamentales. Instar y promover la presencia de las mujeres en el mundo laboral no es suficiente para alcanzar tales propósitos, pues se siguen reproduciendo los roles patriarcales en los espacios privados, difíciles de alcanzar por las políticas sociales y que requieren nuevos enfoques de intervención social. </w:t>
      </w:r>
    </w:p>
    <w:p w:rsidR="00D41E76" w:rsidRDefault="00033738">
      <w:pPr>
        <w:ind w:firstLine="709"/>
      </w:pPr>
      <w:r>
        <w:t xml:space="preserve">Un detalle importante a tener en cuenta, es que los valores de satisfacción encontrados fueron elevados en todos los aspectos, lo que puede indicar que, a pesar de que los roles de género son descritos como opresores, pueden existir personas que se encuentren satisfechas con el desempeño de los mismos. Se hace necesario por tanto, indagar más sobre el tema en futuras líneas de </w:t>
      </w:r>
      <w:r w:rsidR="00225A1A">
        <w:t>estudio</w:t>
      </w:r>
      <w:r>
        <w:t xml:space="preserve">. </w:t>
      </w:r>
    </w:p>
    <w:p w:rsidR="00D41E76" w:rsidRDefault="00033738">
      <w:pPr>
        <w:ind w:firstLine="709"/>
      </w:pPr>
      <w:r>
        <w:t>La investigación aporta una perspectiva integradora que trae a la luz elementos de la sexualidad en pareja poco estudiados en la trayectoria investigativa del país. Además, ha comenzado a ilustrar el panorama del comportamiento sexual en pareja, aunque aún quedan elementos por profundizar, especialmente en el campo de la satisfacción.  Por otra parte, el acercamiento cuantitativo utilizado limita las posibilidades de obtener una noción acabada del tema; pues pueden haber diversas realidades psicológicas detrás del mismo comportamiento reportado en un instrumento estandarizado. Esto despierta la necesidad de utilizar perspectivas mixtas en próximas líneas de investigación, con diversidad de instrumentos. Además, resalta la necesidad de estudiar estos aspectos a partir de muestreos que permitan la representatividad estadística.</w:t>
      </w:r>
    </w:p>
    <w:p w:rsidR="00D41E76" w:rsidRDefault="00033738">
      <w:pPr>
        <w:spacing w:line="259" w:lineRule="auto"/>
        <w:jc w:val="left"/>
        <w:rPr>
          <w:rFonts w:eastAsiaTheme="majorEastAsia" w:cstheme="majorBidi"/>
          <w:b/>
          <w:szCs w:val="32"/>
        </w:rPr>
      </w:pPr>
      <w:r>
        <w:br w:type="page"/>
      </w:r>
    </w:p>
    <w:p w:rsidR="00D41E76" w:rsidRDefault="00033738">
      <w:pPr>
        <w:pStyle w:val="Ttulo1"/>
        <w:spacing w:line="480" w:lineRule="auto"/>
      </w:pPr>
      <w:r>
        <w:lastRenderedPageBreak/>
        <w:t>Referencias</w:t>
      </w:r>
    </w:p>
    <w:p w:rsidR="00D41E76" w:rsidRDefault="00033738">
      <w:pPr>
        <w:ind w:left="709" w:hanging="709"/>
      </w:pPr>
      <w:r>
        <w:rPr>
          <w:noProof/>
        </w:rPr>
        <w:t xml:space="preserve">Brenes, L. (2015, noviembre). Tesis Doctoral . </w:t>
      </w:r>
      <w:r>
        <w:rPr>
          <w:i/>
          <w:iCs/>
          <w:noProof/>
        </w:rPr>
        <w:t>Experiencia afectivo-sexual y percepción de la calidad de vida en personas adultas-jóvenes: Revisión sistemática y estudio empírico con costarricenses</w:t>
      </w:r>
      <w:r>
        <w:rPr>
          <w:noProof/>
        </w:rPr>
        <w:t>. Barcelona, España.</w:t>
      </w:r>
      <w:r>
        <w:t xml:space="preserve"> </w:t>
      </w:r>
      <w:hyperlink r:id="rId23" w:history="1">
        <w:r w:rsidR="00050254" w:rsidRPr="00170D58">
          <w:rPr>
            <w:rStyle w:val="Hipervnculo"/>
          </w:rPr>
          <w:t>https://dialnet.unirioja.es/servlet/tesis?codigo=75137</w:t>
        </w:r>
      </w:hyperlink>
      <w:r w:rsidR="00050254">
        <w:rPr>
          <w:u w:val="single"/>
        </w:rPr>
        <w:t xml:space="preserve"> </w:t>
      </w:r>
    </w:p>
    <w:p w:rsidR="00D41E76" w:rsidRDefault="00033738">
      <w:pPr>
        <w:pStyle w:val="Bibliografa"/>
        <w:spacing w:after="0" w:line="480" w:lineRule="auto"/>
        <w:ind w:left="720" w:hanging="720"/>
        <w:rPr>
          <w:noProof/>
        </w:rPr>
      </w:pPr>
      <w:r>
        <w:rPr>
          <w:noProof/>
        </w:rPr>
        <w:t xml:space="preserve">Centro de Estudios de Antropología de la Mujer. (2011). </w:t>
      </w:r>
      <w:r>
        <w:rPr>
          <w:i/>
          <w:iCs/>
          <w:noProof/>
        </w:rPr>
        <w:t>Género y sexualidad en el Mexico Antiguo.</w:t>
      </w:r>
      <w:r>
        <w:rPr>
          <w:noProof/>
        </w:rPr>
        <w:t xml:space="preserve"> (M. López, y M. J. Rodríguez-Shadow, Edits.) Manantiales, Puebla, México.</w:t>
      </w:r>
    </w:p>
    <w:p w:rsidR="00D41E76" w:rsidRDefault="00033738">
      <w:pPr>
        <w:ind w:left="709" w:hanging="709"/>
      </w:pPr>
      <w:r>
        <w:rPr>
          <w:noProof/>
        </w:rPr>
        <w:t xml:space="preserve">Fernández, L. (2004, junio/diciembre). Amor y sexualidad: Algunos Desafíos. </w:t>
      </w:r>
      <w:r>
        <w:rPr>
          <w:i/>
          <w:iCs/>
          <w:noProof/>
        </w:rPr>
        <w:t>Universidades</w:t>
      </w:r>
      <w:r>
        <w:rPr>
          <w:noProof/>
        </w:rPr>
        <w:t xml:space="preserve">, 21-33. </w:t>
      </w:r>
      <w:hyperlink r:id="rId24" w:history="1">
        <w:r w:rsidR="00050254" w:rsidRPr="00170D58">
          <w:rPr>
            <w:rStyle w:val="Hipervnculo"/>
          </w:rPr>
          <w:t>http://www.redalyc.org/articulo.oa?id=37302804</w:t>
        </w:r>
      </w:hyperlink>
      <w:r w:rsidR="00050254">
        <w:rPr>
          <w:u w:val="single"/>
        </w:rPr>
        <w:t xml:space="preserve"> </w:t>
      </w:r>
    </w:p>
    <w:p w:rsidR="00D41E76" w:rsidRDefault="00033738">
      <w:pPr>
        <w:pStyle w:val="Bibliografa"/>
        <w:spacing w:after="0" w:line="480" w:lineRule="auto"/>
        <w:ind w:left="720" w:hanging="720"/>
        <w:rPr>
          <w:noProof/>
        </w:rPr>
      </w:pPr>
      <w:r>
        <w:rPr>
          <w:noProof/>
        </w:rPr>
        <w:t xml:space="preserve">González, A., y Castellanos, B. (1996) Personalidad sexuada y sexualidad personalizada. En A. González, y B. Castellanos, </w:t>
      </w:r>
      <w:r>
        <w:rPr>
          <w:i/>
          <w:iCs/>
          <w:noProof/>
        </w:rPr>
        <w:t>Sexualidad y géneros: Alternativas para su educación ante los retos del siglo XXI.</w:t>
      </w:r>
      <w:r>
        <w:rPr>
          <w:noProof/>
        </w:rPr>
        <w:t xml:space="preserve"> </w:t>
      </w:r>
    </w:p>
    <w:p w:rsidR="00D41E76" w:rsidRPr="00CE2524" w:rsidRDefault="00033738">
      <w:pPr>
        <w:ind w:left="709" w:hanging="709"/>
      </w:pPr>
      <w:r>
        <w:rPr>
          <w:noProof/>
        </w:rPr>
        <w:t xml:space="preserve">Lamas, H. (2001). Modelos De Sexualidad Humana. </w:t>
      </w:r>
      <w:r w:rsidRPr="00CE2524">
        <w:rPr>
          <w:i/>
          <w:iCs/>
          <w:noProof/>
        </w:rPr>
        <w:t>Liberabit</w:t>
      </w:r>
      <w:r w:rsidRPr="00CE2524">
        <w:rPr>
          <w:noProof/>
        </w:rPr>
        <w:t xml:space="preserve">, 71-78. </w:t>
      </w:r>
      <w:hyperlink r:id="rId25" w:history="1">
        <w:r w:rsidR="00050254" w:rsidRPr="00170D58">
          <w:rPr>
            <w:rStyle w:val="Hipervnculo"/>
          </w:rPr>
          <w:t>https://es.scribd.com/document/359571241/Modelos-de-Estudio-de-La-Sexualidad</w:t>
        </w:r>
      </w:hyperlink>
      <w:r w:rsidR="00050254">
        <w:rPr>
          <w:u w:val="single"/>
        </w:rPr>
        <w:t xml:space="preserve"> </w:t>
      </w:r>
    </w:p>
    <w:p w:rsidR="00D41E76" w:rsidRDefault="00033738">
      <w:pPr>
        <w:ind w:left="709" w:hanging="709"/>
      </w:pPr>
      <w:r w:rsidRPr="00CE2524">
        <w:rPr>
          <w:noProof/>
        </w:rPr>
        <w:t xml:space="preserve">Lara, A. (1994). </w:t>
      </w:r>
      <w:r>
        <w:rPr>
          <w:noProof/>
        </w:rPr>
        <w:t xml:space="preserve">Masculinidad y feminidad. En </w:t>
      </w:r>
      <w:r>
        <w:rPr>
          <w:i/>
          <w:iCs/>
          <w:noProof/>
        </w:rPr>
        <w:t>Antología de la sexualidad humana,</w:t>
      </w:r>
      <w:r>
        <w:rPr>
          <w:noProof/>
        </w:rPr>
        <w:t xml:space="preserve"> (págs. 315-331). México D.F. </w:t>
      </w:r>
      <w:hyperlink r:id="rId26" w:history="1">
        <w:r w:rsidR="00050254" w:rsidRPr="00170D58">
          <w:rPr>
            <w:rStyle w:val="Hipervnculo"/>
          </w:rPr>
          <w:t>https://dialnet.unirioja.es/servlet/articulo?codigo=5766242</w:t>
        </w:r>
      </w:hyperlink>
      <w:r w:rsidR="00050254">
        <w:rPr>
          <w:u w:val="single"/>
        </w:rPr>
        <w:t xml:space="preserve"> </w:t>
      </w:r>
    </w:p>
    <w:p w:rsidR="00D41E76" w:rsidRDefault="00033738">
      <w:pPr>
        <w:pStyle w:val="Bibliografa"/>
        <w:spacing w:after="0" w:line="480" w:lineRule="auto"/>
        <w:ind w:left="720" w:hanging="720"/>
        <w:rPr>
          <w:noProof/>
        </w:rPr>
      </w:pPr>
      <w:r>
        <w:rPr>
          <w:noProof/>
        </w:rPr>
        <w:t xml:space="preserve">López, C., y Sánchez, L. (2012, junio). Tesis de Diploma. </w:t>
      </w:r>
      <w:r>
        <w:rPr>
          <w:i/>
          <w:iCs/>
          <w:noProof/>
        </w:rPr>
        <w:t>Relaciones de pareja: un espacio particular donde se entrelazan género y poder</w:t>
      </w:r>
      <w:r>
        <w:rPr>
          <w:noProof/>
        </w:rPr>
        <w:t>. La Habana, Cuba.</w:t>
      </w:r>
    </w:p>
    <w:p w:rsidR="00D41E76" w:rsidRDefault="00033738">
      <w:pPr>
        <w:ind w:left="709" w:hanging="709"/>
      </w:pPr>
      <w:r>
        <w:rPr>
          <w:noProof/>
        </w:rPr>
        <w:t xml:space="preserve">López, E. (2013, junio). Tesis de Maestría. </w:t>
      </w:r>
      <w:r>
        <w:rPr>
          <w:i/>
          <w:iCs/>
          <w:noProof/>
        </w:rPr>
        <w:t>Deseo y actitudes sexuales en parejas universitarias</w:t>
      </w:r>
      <w:r>
        <w:rPr>
          <w:noProof/>
        </w:rPr>
        <w:t xml:space="preserve">. Almería. </w:t>
      </w:r>
      <w:hyperlink r:id="rId27" w:history="1">
        <w:r w:rsidR="00050254" w:rsidRPr="00170D58">
          <w:rPr>
            <w:rStyle w:val="Hipervnculo"/>
          </w:rPr>
          <w:t>http://repositorio.ual.es/handle/10835/2356</w:t>
        </w:r>
      </w:hyperlink>
      <w:r w:rsidR="00050254">
        <w:rPr>
          <w:u w:val="single"/>
        </w:rPr>
        <w:t xml:space="preserve"> </w:t>
      </w:r>
    </w:p>
    <w:p w:rsidR="00D41E76" w:rsidRDefault="00033738">
      <w:pPr>
        <w:ind w:left="709" w:hanging="709"/>
      </w:pPr>
      <w:r>
        <w:rPr>
          <w:noProof/>
        </w:rPr>
        <w:t xml:space="preserve">Moral, J. (2009). Fantasías sexuales en estudiantes universitaros mexicanos. </w:t>
      </w:r>
      <w:r>
        <w:rPr>
          <w:i/>
          <w:iCs/>
          <w:noProof/>
        </w:rPr>
        <w:t>Revista Interamericana de Psicología, 44</w:t>
      </w:r>
      <w:r>
        <w:rPr>
          <w:noProof/>
        </w:rPr>
        <w:t xml:space="preserve">(2), 246-255. </w:t>
      </w:r>
      <w:hyperlink r:id="rId28" w:history="1">
        <w:r w:rsidR="00050254" w:rsidRPr="00170D58">
          <w:rPr>
            <w:rStyle w:val="Hipervnculo"/>
          </w:rPr>
          <w:t>http://www.redalyc.org/articulo.oa?id=28420641005</w:t>
        </w:r>
      </w:hyperlink>
      <w:r w:rsidR="00050254">
        <w:rPr>
          <w:u w:val="single"/>
        </w:rPr>
        <w:t xml:space="preserve"> </w:t>
      </w:r>
    </w:p>
    <w:p w:rsidR="00D41E76" w:rsidRDefault="00033738">
      <w:pPr>
        <w:pStyle w:val="Bibliografa"/>
        <w:spacing w:after="0" w:line="480" w:lineRule="auto"/>
        <w:ind w:left="720" w:hanging="720"/>
        <w:rPr>
          <w:noProof/>
        </w:rPr>
      </w:pPr>
      <w:r>
        <w:rPr>
          <w:noProof/>
        </w:rPr>
        <w:t xml:space="preserve">Orlandini, A., y Orlandini, A. (2015). </w:t>
      </w:r>
      <w:r>
        <w:rPr>
          <w:i/>
          <w:iCs/>
          <w:noProof/>
        </w:rPr>
        <w:t>Diccionario del amor.</w:t>
      </w:r>
      <w:r>
        <w:rPr>
          <w:noProof/>
        </w:rPr>
        <w:t xml:space="preserve"> (C. M. Díaz, Ed.) Santiago de Cuba, Cuba: Editorial Oriente.</w:t>
      </w:r>
    </w:p>
    <w:p w:rsidR="00D41E76" w:rsidRDefault="00033738">
      <w:pPr>
        <w:pStyle w:val="Bibliografa"/>
        <w:spacing w:after="0" w:line="480" w:lineRule="auto"/>
        <w:ind w:left="720" w:hanging="720"/>
        <w:rPr>
          <w:noProof/>
        </w:rPr>
      </w:pPr>
      <w:r>
        <w:rPr>
          <w:noProof/>
        </w:rPr>
        <w:t xml:space="preserve">Rojas, M. C. (2013). Parejas de hoy: Conflictos y diversidad. </w:t>
      </w:r>
      <w:r>
        <w:rPr>
          <w:i/>
          <w:iCs/>
          <w:noProof/>
        </w:rPr>
        <w:t>Vínculo-Revista do NESME, 10</w:t>
      </w:r>
      <w:r>
        <w:rPr>
          <w:noProof/>
        </w:rPr>
        <w:t>(2), 30-34.</w:t>
      </w:r>
    </w:p>
    <w:p w:rsidR="00D41E76" w:rsidRDefault="00033738">
      <w:pPr>
        <w:ind w:left="709" w:hanging="709"/>
      </w:pPr>
      <w:r>
        <w:rPr>
          <w:noProof/>
        </w:rPr>
        <w:lastRenderedPageBreak/>
        <w:t xml:space="preserve">Rubio, E. (1994). Introducción al estudio de la sexualidad humana. En </w:t>
      </w:r>
      <w:r>
        <w:rPr>
          <w:i/>
          <w:iCs/>
          <w:noProof/>
        </w:rPr>
        <w:t>Antología de la sexualidad humana</w:t>
      </w:r>
      <w:r>
        <w:rPr>
          <w:noProof/>
        </w:rPr>
        <w:t xml:space="preserve">, (págs. 17-46). México D.F.: Miguel Ángel Porrúa. </w:t>
      </w:r>
      <w:hyperlink r:id="rId29" w:history="1">
        <w:r w:rsidR="00050254" w:rsidRPr="00170D58">
          <w:rPr>
            <w:rStyle w:val="Hipervnculo"/>
          </w:rPr>
          <w:t>https://www.worldcat.org/title/introduccion-al-estudio-de-la-sexualidad-humana/oclc/69851638</w:t>
        </w:r>
      </w:hyperlink>
      <w:r w:rsidR="00050254">
        <w:rPr>
          <w:u w:val="single"/>
        </w:rPr>
        <w:t xml:space="preserve"> </w:t>
      </w:r>
    </w:p>
    <w:p w:rsidR="00D41E76" w:rsidRDefault="00033738">
      <w:pPr>
        <w:pStyle w:val="Bibliografa"/>
        <w:spacing w:after="0" w:line="480" w:lineRule="auto"/>
        <w:ind w:left="720" w:hanging="720"/>
        <w:rPr>
          <w:noProof/>
        </w:rPr>
      </w:pPr>
      <w:r>
        <w:rPr>
          <w:noProof/>
        </w:rPr>
        <w:t xml:space="preserve">Rubio, E. (s.f.). </w:t>
      </w:r>
      <w:r>
        <w:rPr>
          <w:i/>
          <w:iCs/>
          <w:noProof/>
        </w:rPr>
        <w:t>Sobre la sexualidad humana: los cuatro holones sexuales</w:t>
      </w:r>
      <w:r>
        <w:rPr>
          <w:noProof/>
        </w:rPr>
        <w:t xml:space="preserve">, 108-125. </w:t>
      </w:r>
      <w:hyperlink r:id="rId30" w:history="1">
        <w:r w:rsidR="00050254" w:rsidRPr="00170D58">
          <w:rPr>
            <w:rStyle w:val="Hipervnculo"/>
            <w:noProof/>
          </w:rPr>
          <w:t>https://www.google.com/url?sa=t&amp;amp;source=web&amp;amp;rct=j&amp;amp;url=https://www.icmujeres.gob.mx/wp-content/uploads/2020/05/Sobre-la-sexualidad-humana.pdf&amp;amp;ved=2ahUKEwjypK6VtcfsAhVou1kKHSe0B7YQFjAAegQIARAB&amp;amp;usg=AOvVaw0XMVRnnPg2GHxLJIvmW6Hx</w:t>
        </w:r>
      </w:hyperlink>
      <w:r w:rsidR="00050254">
        <w:rPr>
          <w:noProof/>
        </w:rPr>
        <w:t xml:space="preserve"> </w:t>
      </w:r>
    </w:p>
    <w:p w:rsidR="00D41E76" w:rsidRDefault="00033738">
      <w:pPr>
        <w:ind w:left="709" w:hanging="709"/>
      </w:pPr>
      <w:r>
        <w:rPr>
          <w:noProof/>
        </w:rPr>
        <w:t xml:space="preserve">Tomé, C. M. (2014, junio). </w:t>
      </w:r>
      <w:r>
        <w:t xml:space="preserve">Poder y desigualdades económicas en parejas cubanas. Una perspectiva de género. </w:t>
      </w:r>
      <w:r>
        <w:rPr>
          <w:i/>
        </w:rPr>
        <w:t xml:space="preserve">Alternativas cubanas en Psicología, 6 </w:t>
      </w:r>
      <w:r>
        <w:t>(17), 33-44</w:t>
      </w:r>
      <w:r>
        <w:rPr>
          <w:noProof/>
        </w:rPr>
        <w:t xml:space="preserve">. </w:t>
      </w:r>
      <w:hyperlink r:id="rId31" w:history="1">
        <w:r w:rsidR="00050254" w:rsidRPr="00170D58">
          <w:rPr>
            <w:rStyle w:val="Hipervnculo"/>
          </w:rPr>
          <w:t>https://www.researchgate.net/publication/333808903_PODER_Y_DESIGUALDADES_ECONOMICAS_EN_PAREJAS_CUBANAS_UNA_PERSPECTIVA_DE_GENERO</w:t>
        </w:r>
      </w:hyperlink>
      <w:r w:rsidR="00050254">
        <w:rPr>
          <w:u w:val="single"/>
        </w:rPr>
        <w:t xml:space="preserve"> </w:t>
      </w:r>
    </w:p>
    <w:p w:rsidR="00D41E76" w:rsidRDefault="00033738">
      <w:pPr>
        <w:pStyle w:val="Bibliografa"/>
        <w:spacing w:after="0" w:line="480" w:lineRule="auto"/>
        <w:ind w:left="720" w:hanging="720"/>
        <w:rPr>
          <w:noProof/>
        </w:rPr>
      </w:pPr>
      <w:r>
        <w:rPr>
          <w:noProof/>
        </w:rPr>
        <w:t xml:space="preserve">Velazco, A. C. (1994). La expresión heterosexual del erotismo. </w:t>
      </w:r>
      <w:r>
        <w:rPr>
          <w:i/>
          <w:iCs/>
          <w:noProof/>
        </w:rPr>
        <w:t xml:space="preserve">Antología de la sexualidad humana, </w:t>
      </w:r>
      <w:r>
        <w:rPr>
          <w:noProof/>
        </w:rPr>
        <w:t xml:space="preserve"> 573-59. </w:t>
      </w:r>
      <w:hyperlink r:id="rId32" w:history="1">
        <w:r w:rsidR="00050254" w:rsidRPr="00170D58">
          <w:rPr>
            <w:rStyle w:val="Hipervnculo"/>
            <w:noProof/>
          </w:rPr>
          <w:t>https://pesquisa.bvsalud.org/portal/resource/pt/lil-188022</w:t>
        </w:r>
      </w:hyperlink>
      <w:r w:rsidR="00050254">
        <w:rPr>
          <w:noProof/>
        </w:rPr>
        <w:t xml:space="preserve"> </w:t>
      </w:r>
    </w:p>
    <w:p w:rsidR="00D41E76" w:rsidRDefault="00033738">
      <w:pPr>
        <w:pStyle w:val="Bibliografa"/>
        <w:spacing w:after="0" w:line="480" w:lineRule="auto"/>
        <w:ind w:left="720" w:hanging="720"/>
        <w:rPr>
          <w:noProof/>
        </w:rPr>
      </w:pPr>
      <w:r>
        <w:rPr>
          <w:noProof/>
        </w:rPr>
        <w:t xml:space="preserve">Waisblat, A., y Sáenz, A. (2013). La Construcción Sociohistórica de los Roles Masculino y Femenino. Patriarcado, Capitalismo y Desigualdades Instaladas. </w:t>
      </w:r>
      <w:r>
        <w:rPr>
          <w:i/>
          <w:iCs/>
          <w:noProof/>
        </w:rPr>
        <w:t>Sexología y sociedad</w:t>
      </w:r>
      <w:r>
        <w:rPr>
          <w:noProof/>
        </w:rPr>
        <w:t>, 172-194.</w:t>
      </w:r>
    </w:p>
    <w:p w:rsidR="00D41E76" w:rsidRDefault="00D41E76">
      <w:pPr>
        <w:spacing w:after="0" w:line="480" w:lineRule="auto"/>
      </w:pPr>
    </w:p>
    <w:p w:rsidR="00D41E76" w:rsidRDefault="00D41E76">
      <w:pPr>
        <w:spacing w:after="0"/>
      </w:pPr>
    </w:p>
    <w:sectPr w:rsidR="00D41E76">
      <w:headerReference w:type="even" r:id="rId33"/>
      <w:headerReference w:type="default" r:id="rId34"/>
      <w:footerReference w:type="even" r:id="rId35"/>
      <w:footerReference w:type="default" r:id="rId36"/>
      <w:headerReference w:type="first" r:id="rId37"/>
      <w:footerReference w:type="first" r:id="rId38"/>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42B6" w:rsidRDefault="00FD42B6">
      <w:pPr>
        <w:spacing w:after="0" w:line="240" w:lineRule="auto"/>
      </w:pPr>
      <w:r>
        <w:separator/>
      </w:r>
    </w:p>
  </w:endnote>
  <w:endnote w:type="continuationSeparator" w:id="0">
    <w:p w:rsidR="00FD42B6" w:rsidRDefault="00FD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42" w:rsidRDefault="00F31D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42" w:rsidRDefault="00F31D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42" w:rsidRDefault="00F31D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42B6" w:rsidRDefault="00FD42B6">
      <w:pPr>
        <w:spacing w:after="0" w:line="240" w:lineRule="auto"/>
      </w:pPr>
      <w:r>
        <w:separator/>
      </w:r>
    </w:p>
  </w:footnote>
  <w:footnote w:type="continuationSeparator" w:id="0">
    <w:p w:rsidR="00FD42B6" w:rsidRDefault="00FD4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42" w:rsidRDefault="00F31D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1E76" w:rsidRDefault="00033738">
    <w:pPr>
      <w:pStyle w:val="Encabezado"/>
      <w:jc w:val="right"/>
    </w:pPr>
    <w:r>
      <w:fldChar w:fldCharType="begin"/>
    </w:r>
    <w:r>
      <w:instrText>PAGE   \* MERGEFORMAT</w:instrText>
    </w:r>
    <w:r>
      <w:fldChar w:fldCharType="separate"/>
    </w:r>
    <w:r w:rsidR="00864B14">
      <w:rPr>
        <w:noProof/>
      </w:rPr>
      <w:t>19</w:t>
    </w:r>
    <w:r>
      <w:fldChar w:fldCharType="end"/>
    </w:r>
  </w:p>
  <w:p w:rsidR="00D41E76" w:rsidRDefault="00D41E76">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D42" w:rsidRDefault="00F31D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E3F6E"/>
    <w:multiLevelType w:val="hybridMultilevel"/>
    <w:tmpl w:val="ABAA1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removePersonalInformation/>
  <w:removeDateAndTim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76"/>
    <w:rsid w:val="00033738"/>
    <w:rsid w:val="00050254"/>
    <w:rsid w:val="001F47B9"/>
    <w:rsid w:val="00225A1A"/>
    <w:rsid w:val="00557DE1"/>
    <w:rsid w:val="00864B14"/>
    <w:rsid w:val="00B832DE"/>
    <w:rsid w:val="00CE2524"/>
    <w:rsid w:val="00CF49BF"/>
    <w:rsid w:val="00D41E76"/>
    <w:rsid w:val="00F31D42"/>
    <w:rsid w:val="00FD42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360" w:lineRule="auto"/>
      <w:jc w:val="both"/>
    </w:pPr>
    <w:rPr>
      <w:rFonts w:ascii="Times New Roman" w:hAnsi="Times New Roman"/>
      <w:sz w:val="24"/>
    </w:rPr>
  </w:style>
  <w:style w:type="paragraph" w:styleId="Ttulo1">
    <w:name w:val="heading 1"/>
    <w:basedOn w:val="Normal"/>
    <w:next w:val="Normal"/>
    <w:link w:val="Ttulo1Car"/>
    <w:uiPriority w:val="9"/>
    <w:qFormat/>
    <w:pPr>
      <w:keepNext/>
      <w:keepLines/>
      <w:spacing w:before="240" w:after="0"/>
      <w:jc w:val="center"/>
      <w:outlineLvl w:val="0"/>
    </w:pPr>
    <w:rPr>
      <w:rFonts w:eastAsiaTheme="majorEastAsia" w:cstheme="majorBidi"/>
      <w:b/>
      <w:szCs w:val="32"/>
    </w:rPr>
  </w:style>
  <w:style w:type="paragraph" w:styleId="Ttulo2">
    <w:name w:val="heading 2"/>
    <w:basedOn w:val="Normal"/>
    <w:next w:val="Normal"/>
    <w:link w:val="Ttulo2Car"/>
    <w:uiPriority w:val="9"/>
    <w:qFormat/>
    <w:pPr>
      <w:keepNext/>
      <w:keepLines/>
      <w:spacing w:before="40" w:after="0"/>
      <w:outlineLvl w:val="1"/>
    </w:pPr>
    <w:rPr>
      <w:rFonts w:eastAsiaTheme="majorEastAsia" w:cstheme="majorBidi"/>
      <w:b/>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Times New Roman" w:eastAsiaTheme="majorEastAsia" w:hAnsi="Times New Roman" w:cstheme="majorBidi"/>
      <w:b/>
      <w:sz w:val="24"/>
      <w:szCs w:val="32"/>
    </w:rPr>
  </w:style>
  <w:style w:type="character" w:customStyle="1" w:styleId="Ttulo2Car">
    <w:name w:val="Título 2 Car"/>
    <w:basedOn w:val="Fuentedeprrafopredeter"/>
    <w:link w:val="Ttulo2"/>
    <w:uiPriority w:val="9"/>
    <w:rPr>
      <w:rFonts w:ascii="Times New Roman" w:eastAsiaTheme="majorEastAsia" w:hAnsi="Times New Roman" w:cstheme="majorBidi"/>
      <w:b/>
      <w:sz w:val="24"/>
      <w:szCs w:val="26"/>
    </w:rPr>
  </w:style>
  <w:style w:type="paragraph" w:styleId="Prrafodelista">
    <w:name w:val="List Paragraph"/>
    <w:basedOn w:val="Normal"/>
    <w:uiPriority w:val="34"/>
    <w:qFormat/>
    <w:pPr>
      <w:ind w:left="720"/>
      <w:contextualSpacing/>
    </w:pPr>
  </w:style>
  <w:style w:type="table" w:styleId="Tablaconcuadrcula">
    <w:name w:val="Table Grid"/>
    <w:basedOn w:val="Tablanormal"/>
    <w:uiPriority w:val="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21">
    <w:name w:val="Tabla normal 21"/>
    <w:basedOn w:val="Tablanormal"/>
    <w:uiPriority w:val="42"/>
    <w:pPr>
      <w:spacing w:after="0" w:line="240" w:lineRule="auto"/>
    </w:p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tablasygraficos">
    <w:name w:val="tablas y graficos"/>
    <w:basedOn w:val="Normal"/>
    <w:link w:val="tablasygraficosCar"/>
    <w:qFormat/>
    <w:pPr>
      <w:spacing w:after="0"/>
    </w:pPr>
    <w:rPr>
      <w:rFonts w:asciiTheme="minorHAnsi" w:hAnsiTheme="minorHAnsi"/>
      <w:sz w:val="18"/>
    </w:rPr>
  </w:style>
  <w:style w:type="paragraph" w:styleId="Encabezado">
    <w:name w:val="header"/>
    <w:basedOn w:val="Normal"/>
    <w:link w:val="EncabezadoCar"/>
    <w:uiPriority w:val="99"/>
    <w:pPr>
      <w:tabs>
        <w:tab w:val="center" w:pos="4252"/>
        <w:tab w:val="right" w:pos="8504"/>
      </w:tabs>
      <w:spacing w:after="0" w:line="240" w:lineRule="auto"/>
    </w:pPr>
  </w:style>
  <w:style w:type="character" w:customStyle="1" w:styleId="tablasygraficosCar">
    <w:name w:val="tablas y graficos Car"/>
    <w:basedOn w:val="Fuentedeprrafopredeter"/>
    <w:link w:val="tablasygraficos"/>
    <w:rPr>
      <w:sz w:val="18"/>
    </w:rPr>
  </w:style>
  <w:style w:type="character" w:customStyle="1" w:styleId="EncabezadoCar">
    <w:name w:val="Encabezado Car"/>
    <w:basedOn w:val="Fuentedeprrafopredeter"/>
    <w:link w:val="Encabezado"/>
    <w:uiPriority w:val="99"/>
    <w:rPr>
      <w:rFonts w:ascii="Times New Roman" w:hAnsi="Times New Roman"/>
      <w:sz w:val="24"/>
    </w:rPr>
  </w:style>
  <w:style w:type="paragraph" w:styleId="Piedepgina">
    <w:name w:val="footer"/>
    <w:basedOn w:val="Normal"/>
    <w:link w:val="PiedepginaCar"/>
    <w:uiPriority w:val="9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Pr>
      <w:rFonts w:ascii="Times New Roman" w:hAnsi="Times New Roman"/>
      <w:sz w:val="24"/>
    </w:rPr>
  </w:style>
  <w:style w:type="paragraph" w:styleId="NormalWeb">
    <w:name w:val="Normal (Web)"/>
    <w:basedOn w:val="Normal"/>
    <w:uiPriority w:val="99"/>
    <w:pPr>
      <w:spacing w:before="100" w:beforeAutospacing="1" w:after="100" w:afterAutospacing="1" w:line="240" w:lineRule="auto"/>
      <w:jc w:val="left"/>
    </w:pPr>
    <w:rPr>
      <w:rFonts w:eastAsiaTheme="minorEastAsia" w:cs="Times New Roman"/>
      <w:szCs w:val="24"/>
      <w:lang w:eastAsia="es-ES"/>
    </w:rPr>
  </w:style>
  <w:style w:type="paragraph" w:styleId="Bibliografa">
    <w:name w:val="Bibliography"/>
    <w:basedOn w:val="Normal"/>
    <w:next w:val="Normal"/>
    <w:uiPriority w:val="37"/>
  </w:style>
  <w:style w:type="paragraph" w:styleId="Textodeglobo">
    <w:name w:val="Balloon Text"/>
    <w:basedOn w:val="Normal"/>
    <w:link w:val="TextodegloboCar"/>
    <w:uiPriority w:val="9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hAnsi="Segoe UI" w:cs="Segoe UI"/>
      <w:sz w:val="18"/>
      <w:szCs w:val="18"/>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line="240" w:lineRule="auto"/>
    </w:pPr>
    <w:rPr>
      <w:sz w:val="20"/>
      <w:szCs w:val="20"/>
    </w:rPr>
  </w:style>
  <w:style w:type="character" w:customStyle="1" w:styleId="TextocomentarioCar">
    <w:name w:val="Texto comentario Car"/>
    <w:basedOn w:val="Fuentedeprrafopredeter"/>
    <w:link w:val="Textocomentario"/>
    <w:uiPriority w:val="99"/>
    <w:rPr>
      <w:rFonts w:ascii="Times New Roman" w:hAnsi="Times New Roman"/>
      <w:sz w:val="20"/>
      <w:szCs w:val="20"/>
    </w:rPr>
  </w:style>
  <w:style w:type="paragraph" w:styleId="Asuntodelcomentario">
    <w:name w:val="annotation subject"/>
    <w:basedOn w:val="Textocomentario"/>
    <w:next w:val="Textocomentario"/>
    <w:link w:val="AsuntodelcomentarioCar"/>
    <w:uiPriority w:val="99"/>
    <w:rPr>
      <w:b/>
      <w:bCs/>
    </w:rPr>
  </w:style>
  <w:style w:type="character" w:customStyle="1" w:styleId="AsuntodelcomentarioCar">
    <w:name w:val="Asunto del comentario Car"/>
    <w:basedOn w:val="TextocomentarioCar"/>
    <w:link w:val="Asuntodelcomentario"/>
    <w:uiPriority w:val="99"/>
    <w:rPr>
      <w:rFonts w:ascii="Times New Roman" w:hAnsi="Times New Roman"/>
      <w:b/>
      <w:bCs/>
      <w:sz w:val="20"/>
      <w:szCs w:val="20"/>
    </w:rPr>
  </w:style>
  <w:style w:type="character" w:styleId="Hipervnculo">
    <w:name w:val="Hyperlink"/>
    <w:basedOn w:val="Fuentedeprrafopredeter"/>
    <w:uiPriority w:val="99"/>
    <w:unhideWhenUsed/>
    <w:rsid w:val="0005025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dialnet.unirioja.es/servlet/articulo?codigo=5766242" TargetMode="External"/><Relationship Id="rId39" Type="http://schemas.openxmlformats.org/officeDocument/2006/relationships/fontTable" Target="fontTable.xml"/><Relationship Id="rId21" Type="http://schemas.openxmlformats.org/officeDocument/2006/relationships/chart" Target="charts/chart15.xml"/><Relationship Id="rId34" Type="http://schemas.openxmlformats.org/officeDocument/2006/relationships/header" Target="header2.xml"/><Relationship Id="rId7" Type="http://schemas.openxmlformats.org/officeDocument/2006/relationships/chart" Target="charts/chart1.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es.scribd.com/document/359571241/Modelos-de-Estudio-de-La-Sexualida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chart" Target="charts/chart10.xml"/><Relationship Id="rId20" Type="http://schemas.openxmlformats.org/officeDocument/2006/relationships/chart" Target="charts/chart14.xml"/><Relationship Id="rId29" Type="http://schemas.openxmlformats.org/officeDocument/2006/relationships/hyperlink" Target="https://www.worldcat.org/title/introduccion-al-estudio-de-la-sexualidad-humana/oclc/69851638"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24" Type="http://schemas.openxmlformats.org/officeDocument/2006/relationships/hyperlink" Target="http://www.redalyc.org/articulo.oa?id=37302804" TargetMode="External"/><Relationship Id="rId32" Type="http://schemas.openxmlformats.org/officeDocument/2006/relationships/hyperlink" Target="https://pesquisa.bvsalud.org/portal/resource/pt/lil-188022"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hart" Target="charts/chart9.xml"/><Relationship Id="rId23" Type="http://schemas.openxmlformats.org/officeDocument/2006/relationships/hyperlink" Target="https://dialnet.unirioja.es/servlet/tesis?codigo=75137" TargetMode="External"/><Relationship Id="rId28" Type="http://schemas.openxmlformats.org/officeDocument/2006/relationships/hyperlink" Target="http://www.redalyc.org/articulo.oa?id=28420641005" TargetMode="External"/><Relationship Id="rId36" Type="http://schemas.openxmlformats.org/officeDocument/2006/relationships/footer" Target="footer2.xml"/><Relationship Id="rId10" Type="http://schemas.openxmlformats.org/officeDocument/2006/relationships/chart" Target="charts/chart4.xml"/><Relationship Id="rId19" Type="http://schemas.openxmlformats.org/officeDocument/2006/relationships/chart" Target="charts/chart13.xml"/><Relationship Id="rId31" Type="http://schemas.openxmlformats.org/officeDocument/2006/relationships/hyperlink" Target="https://www.researchgate.net/publication/333808903_PODER_Y_DESIGUALDADES_ECONOMICAS_EN_PAREJAS_CUBANAS_UNA_PERSPECTIVA_DE_GENERO" TargetMode="Externa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repositorio.ual.es/handle/10835/2356" TargetMode="External"/><Relationship Id="rId30" Type="http://schemas.openxmlformats.org/officeDocument/2006/relationships/hyperlink" Target="https://www.google.com/url?sa=t&amp;amp;source=web&amp;amp;rct=j&amp;amp;url=https://www.icmujeres.gob.mx/wp-content/uploads/2020/05/Sobre-la-sexualidad-humana.pdf&amp;amp;ved=2ahUKEwjypK6VtcfsAhVou1kKHSe0B7YQFjAAegQIARAB&amp;amp;usg=AOvVaw0XMVRnnPg2GHxLJIvmW6Hx" TargetMode="External"/><Relationship Id="rId35" Type="http://schemas.openxmlformats.org/officeDocument/2006/relationships/footer" Target="footer1.xml"/><Relationship Id="rId8" Type="http://schemas.openxmlformats.org/officeDocument/2006/relationships/chart" Target="charts/chart2.xml"/><Relationship Id="rId3" Type="http://schemas.openxmlformats.org/officeDocument/2006/relationships/settings" Target="settings.xml"/></Relationships>
</file>

<file path=word/charts/_rels/chart1.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1.xml"/><Relationship Id="rId1" Type="http://schemas.microsoft.com/office/2011/relationships/chartStyle" Target="style1.xml"/><Relationship Id="rId5" Type="http://schemas.openxmlformats.org/officeDocument/2006/relationships/package" Target="../embeddings/Hoja_de_c_lculo_de_Microsoft_Excel1.xlsx"/><Relationship Id="rId4" Type="http://schemas.openxmlformats.org/officeDocument/2006/relationships/image" Target="../media/image2.wmf"/></Relationships>
</file>

<file path=word/charts/_rels/chart10.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10.xml"/><Relationship Id="rId1" Type="http://schemas.microsoft.com/office/2011/relationships/chartStyle" Target="style10.xml"/><Relationship Id="rId5" Type="http://schemas.openxmlformats.org/officeDocument/2006/relationships/package" Target="../embeddings/Hoja_de_c_lculo_de_Microsoft_Excel10.xlsx"/><Relationship Id="rId4" Type="http://schemas.openxmlformats.org/officeDocument/2006/relationships/image" Target="../media/image2.wmf"/></Relationships>
</file>

<file path=word/charts/_rels/chart11.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11.xml"/><Relationship Id="rId1" Type="http://schemas.microsoft.com/office/2011/relationships/chartStyle" Target="style11.xml"/><Relationship Id="rId5" Type="http://schemas.openxmlformats.org/officeDocument/2006/relationships/package" Target="../embeddings/Hoja_de_c_lculo_de_Microsoft_Excel11.xlsx"/><Relationship Id="rId4" Type="http://schemas.openxmlformats.org/officeDocument/2006/relationships/image" Target="../media/image2.wmf"/></Relationships>
</file>

<file path=word/charts/_rels/chart12.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12.xml"/><Relationship Id="rId1" Type="http://schemas.microsoft.com/office/2011/relationships/chartStyle" Target="style12.xml"/><Relationship Id="rId5" Type="http://schemas.openxmlformats.org/officeDocument/2006/relationships/package" Target="../embeddings/Hoja_de_c_lculo_de_Microsoft_Excel12.xlsx"/><Relationship Id="rId4" Type="http://schemas.openxmlformats.org/officeDocument/2006/relationships/image" Target="../media/image2.wmf"/></Relationships>
</file>

<file path=word/charts/_rels/chart13.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13.xml"/><Relationship Id="rId1" Type="http://schemas.microsoft.com/office/2011/relationships/chartStyle" Target="style13.xml"/><Relationship Id="rId5" Type="http://schemas.openxmlformats.org/officeDocument/2006/relationships/package" Target="../embeddings/Hoja_de_c_lculo_de_Microsoft_Excel13.xlsx"/><Relationship Id="rId4" Type="http://schemas.openxmlformats.org/officeDocument/2006/relationships/image" Target="../media/image2.wmf"/></Relationships>
</file>

<file path=word/charts/_rels/chart14.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14.xml"/><Relationship Id="rId1" Type="http://schemas.microsoft.com/office/2011/relationships/chartStyle" Target="style14.xml"/><Relationship Id="rId5" Type="http://schemas.openxmlformats.org/officeDocument/2006/relationships/package" Target="../embeddings/Hoja_de_c_lculo_de_Microsoft_Excel14.xlsx"/><Relationship Id="rId4" Type="http://schemas.openxmlformats.org/officeDocument/2006/relationships/image" Target="../media/image2.wmf"/></Relationships>
</file>

<file path=word/charts/_rels/chart15.xml.rels><?xml version="1.0" encoding="UTF-8" standalone="yes"?>
<Relationships xmlns="http://schemas.openxmlformats.org/package/2006/relationships"><Relationship Id="rId1" Type="http://schemas.openxmlformats.org/officeDocument/2006/relationships/package" Target="../embeddings/Hoja_de_c_lculo_de_Microsoft_Excel15.xlsx"/></Relationships>
</file>

<file path=word/charts/_rels/chart16.xml.rels><?xml version="1.0" encoding="UTF-8" standalone="yes"?>
<Relationships xmlns="http://schemas.openxmlformats.org/package/2006/relationships"><Relationship Id="rId1" Type="http://schemas.openxmlformats.org/officeDocument/2006/relationships/package" Target="../embeddings/Hoja_de_c_lculo_de_Microsoft_Excel16.xlsx"/></Relationships>
</file>

<file path=word/charts/_rels/chart2.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2.xml"/><Relationship Id="rId1" Type="http://schemas.microsoft.com/office/2011/relationships/chartStyle" Target="style2.xml"/><Relationship Id="rId5" Type="http://schemas.openxmlformats.org/officeDocument/2006/relationships/package" Target="../embeddings/Hoja_de_c_lculo_de_Microsoft_Excel2.xlsx"/><Relationship Id="rId4" Type="http://schemas.openxmlformats.org/officeDocument/2006/relationships/image" Target="../media/image2.wmf"/></Relationships>
</file>

<file path=word/charts/_rels/chart3.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3.xml"/><Relationship Id="rId1" Type="http://schemas.microsoft.com/office/2011/relationships/chartStyle" Target="style3.xml"/><Relationship Id="rId5" Type="http://schemas.openxmlformats.org/officeDocument/2006/relationships/package" Target="../embeddings/Hoja_de_c_lculo_de_Microsoft_Excel3.xlsx"/><Relationship Id="rId4" Type="http://schemas.openxmlformats.org/officeDocument/2006/relationships/image" Target="../media/image2.wmf"/></Relationships>
</file>

<file path=word/charts/_rels/chart4.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4.xml"/><Relationship Id="rId1" Type="http://schemas.microsoft.com/office/2011/relationships/chartStyle" Target="style4.xml"/><Relationship Id="rId5" Type="http://schemas.openxmlformats.org/officeDocument/2006/relationships/package" Target="../embeddings/Hoja_de_c_lculo_de_Microsoft_Excel4.xlsx"/><Relationship Id="rId4" Type="http://schemas.openxmlformats.org/officeDocument/2006/relationships/image" Target="../media/image2.wmf"/></Relationships>
</file>

<file path=word/charts/_rels/chart5.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5.xml"/><Relationship Id="rId1" Type="http://schemas.microsoft.com/office/2011/relationships/chartStyle" Target="style5.xml"/><Relationship Id="rId5" Type="http://schemas.openxmlformats.org/officeDocument/2006/relationships/package" Target="../embeddings/Hoja_de_c_lculo_de_Microsoft_Excel5.xlsx"/><Relationship Id="rId4" Type="http://schemas.openxmlformats.org/officeDocument/2006/relationships/image" Target="../media/image2.wmf"/></Relationships>
</file>

<file path=word/charts/_rels/chart6.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6.xml"/><Relationship Id="rId1" Type="http://schemas.microsoft.com/office/2011/relationships/chartStyle" Target="style6.xml"/><Relationship Id="rId5" Type="http://schemas.openxmlformats.org/officeDocument/2006/relationships/package" Target="../embeddings/Hoja_de_c_lculo_de_Microsoft_Excel6.xlsx"/><Relationship Id="rId4" Type="http://schemas.openxmlformats.org/officeDocument/2006/relationships/image" Target="../media/image2.wmf"/></Relationships>
</file>

<file path=word/charts/_rels/chart7.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7.xml"/><Relationship Id="rId1" Type="http://schemas.microsoft.com/office/2011/relationships/chartStyle" Target="style7.xml"/><Relationship Id="rId5" Type="http://schemas.openxmlformats.org/officeDocument/2006/relationships/package" Target="../embeddings/Hoja_de_c_lculo_de_Microsoft_Excel7.xlsx"/><Relationship Id="rId4" Type="http://schemas.openxmlformats.org/officeDocument/2006/relationships/image" Target="../media/image2.wmf"/></Relationships>
</file>

<file path=word/charts/_rels/chart8.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8.xml"/><Relationship Id="rId1" Type="http://schemas.microsoft.com/office/2011/relationships/chartStyle" Target="style8.xml"/><Relationship Id="rId5" Type="http://schemas.openxmlformats.org/officeDocument/2006/relationships/package" Target="../embeddings/Hoja_de_c_lculo_de_Microsoft_Excel8.xlsx"/><Relationship Id="rId4" Type="http://schemas.openxmlformats.org/officeDocument/2006/relationships/image" Target="../media/image2.wmf"/></Relationships>
</file>

<file path=word/charts/_rels/chart9.xml.rels><?xml version="1.0" encoding="UTF-8" standalone="yes"?>
<Relationships xmlns="http://schemas.openxmlformats.org/package/2006/relationships"><Relationship Id="rId3" Type="http://schemas.openxmlformats.org/officeDocument/2006/relationships/image" Target="../media/image1.wmf"/><Relationship Id="rId2" Type="http://schemas.microsoft.com/office/2011/relationships/chartColorStyle" Target="colors9.xml"/><Relationship Id="rId1" Type="http://schemas.microsoft.com/office/2011/relationships/chartStyle" Target="style9.xml"/><Relationship Id="rId5" Type="http://schemas.openxmlformats.org/officeDocument/2006/relationships/package" Target="../embeddings/Hoja_de_c_lculo_de_Microsoft_Excel9.xlsx"/><Relationship Id="rId4" Type="http://schemas.openxmlformats.org/officeDocument/2006/relationships/image" Target="../media/image2.wmf"/></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Afeitarse</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27777777777777762"/>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12499999999999988"/>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57.6</c:v>
                </c:pt>
                <c:pt idx="1">
                  <c:v>82.5</c:v>
                </c:pt>
              </c:numCache>
            </c:numRef>
          </c:val>
        </c:ser>
        <c:dLbls>
          <c:dLblPos val="outEnd"/>
          <c:showLegendKey val="0"/>
          <c:showVal val="1"/>
          <c:showCatName val="0"/>
          <c:showSerName val="0"/>
          <c:showPercent val="0"/>
          <c:showBubbleSize val="0"/>
        </c:dLbls>
        <c:gapWidth val="37"/>
        <c:axId val="1657789376"/>
        <c:axId val="1657804608"/>
      </c:barChart>
      <c:catAx>
        <c:axId val="1657789376"/>
        <c:scaling>
          <c:orientation val="minMax"/>
        </c:scaling>
        <c:delete val="1"/>
        <c:axPos val="l"/>
        <c:numFmt formatCode="General" sourceLinked="1"/>
        <c:majorTickMark val="none"/>
        <c:minorTickMark val="none"/>
        <c:tickLblPos val="nextTo"/>
        <c:crossAx val="1657804608"/>
        <c:crosses val="autoZero"/>
        <c:auto val="1"/>
        <c:lblAlgn val="ctr"/>
        <c:lblOffset val="100"/>
        <c:noMultiLvlLbl val="0"/>
      </c:catAx>
      <c:valAx>
        <c:axId val="1657804608"/>
        <c:scaling>
          <c:orientation val="minMax"/>
        </c:scaling>
        <c:delete val="1"/>
        <c:axPos val="b"/>
        <c:numFmt formatCode="General" sourceLinked="1"/>
        <c:majorTickMark val="none"/>
        <c:minorTickMark val="none"/>
        <c:tickLblPos val="nextTo"/>
        <c:crossAx val="16577893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Asume la reparación y mantenimiento del hogar</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18055555555555555"/>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54861111111111116"/>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83</c:v>
                </c:pt>
                <c:pt idx="1">
                  <c:v>28.7</c:v>
                </c:pt>
              </c:numCache>
            </c:numRef>
          </c:val>
        </c:ser>
        <c:dLbls>
          <c:dLblPos val="outEnd"/>
          <c:showLegendKey val="0"/>
          <c:showVal val="1"/>
          <c:showCatName val="0"/>
          <c:showSerName val="0"/>
          <c:showPercent val="0"/>
          <c:showBubbleSize val="0"/>
        </c:dLbls>
        <c:gapWidth val="37"/>
        <c:axId val="1652699312"/>
        <c:axId val="1570213264"/>
      </c:barChart>
      <c:catAx>
        <c:axId val="1652699312"/>
        <c:scaling>
          <c:orientation val="minMax"/>
        </c:scaling>
        <c:delete val="1"/>
        <c:axPos val="l"/>
        <c:numFmt formatCode="General" sourceLinked="1"/>
        <c:majorTickMark val="none"/>
        <c:minorTickMark val="none"/>
        <c:tickLblPos val="nextTo"/>
        <c:crossAx val="1570213264"/>
        <c:crosses val="autoZero"/>
        <c:auto val="1"/>
        <c:lblAlgn val="ctr"/>
        <c:lblOffset val="100"/>
        <c:noMultiLvlLbl val="0"/>
      </c:catAx>
      <c:valAx>
        <c:axId val="1570213264"/>
        <c:scaling>
          <c:orientation val="minMax"/>
        </c:scaling>
        <c:delete val="1"/>
        <c:axPos val="b"/>
        <c:numFmt formatCode="General" sourceLinked="1"/>
        <c:majorTickMark val="none"/>
        <c:minorTickMark val="none"/>
        <c:tickLblPos val="nextTo"/>
        <c:crossAx val="165269931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Compra alimentos y útiles para el hogar</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18055555555555555"/>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28472222222222221"/>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72.8</c:v>
                </c:pt>
                <c:pt idx="1">
                  <c:v>59.4</c:v>
                </c:pt>
              </c:numCache>
            </c:numRef>
          </c:val>
        </c:ser>
        <c:dLbls>
          <c:dLblPos val="outEnd"/>
          <c:showLegendKey val="0"/>
          <c:showVal val="1"/>
          <c:showCatName val="0"/>
          <c:showSerName val="0"/>
          <c:showPercent val="0"/>
          <c:showBubbleSize val="0"/>
        </c:dLbls>
        <c:gapWidth val="37"/>
        <c:axId val="1570209456"/>
        <c:axId val="1570219792"/>
      </c:barChart>
      <c:catAx>
        <c:axId val="1570209456"/>
        <c:scaling>
          <c:orientation val="minMax"/>
        </c:scaling>
        <c:delete val="1"/>
        <c:axPos val="l"/>
        <c:numFmt formatCode="General" sourceLinked="1"/>
        <c:majorTickMark val="none"/>
        <c:minorTickMark val="none"/>
        <c:tickLblPos val="nextTo"/>
        <c:crossAx val="1570219792"/>
        <c:crosses val="autoZero"/>
        <c:auto val="1"/>
        <c:lblAlgn val="ctr"/>
        <c:lblOffset val="100"/>
        <c:noMultiLvlLbl val="0"/>
      </c:catAx>
      <c:valAx>
        <c:axId val="1570219792"/>
        <c:scaling>
          <c:orientation val="minMax"/>
        </c:scaling>
        <c:delete val="1"/>
        <c:axPos val="b"/>
        <c:numFmt formatCode="General" sourceLinked="1"/>
        <c:majorTickMark val="none"/>
        <c:minorTickMark val="none"/>
        <c:tickLblPos val="nextTo"/>
        <c:crossAx val="15702094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Se encagra del cuidado de otros</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49305555555555558"/>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34027777777777779"/>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72.400000000000006</c:v>
                </c:pt>
                <c:pt idx="1">
                  <c:v>75</c:v>
                </c:pt>
              </c:numCache>
            </c:numRef>
          </c:val>
        </c:ser>
        <c:dLbls>
          <c:dLblPos val="outEnd"/>
          <c:showLegendKey val="0"/>
          <c:showVal val="1"/>
          <c:showCatName val="0"/>
          <c:showSerName val="0"/>
          <c:showPercent val="0"/>
          <c:showBubbleSize val="0"/>
        </c:dLbls>
        <c:gapWidth val="37"/>
        <c:axId val="1570220880"/>
        <c:axId val="1570206192"/>
      </c:barChart>
      <c:catAx>
        <c:axId val="1570220880"/>
        <c:scaling>
          <c:orientation val="minMax"/>
        </c:scaling>
        <c:delete val="1"/>
        <c:axPos val="l"/>
        <c:numFmt formatCode="General" sourceLinked="1"/>
        <c:majorTickMark val="none"/>
        <c:minorTickMark val="none"/>
        <c:tickLblPos val="nextTo"/>
        <c:crossAx val="1570206192"/>
        <c:crosses val="autoZero"/>
        <c:auto val="1"/>
        <c:lblAlgn val="ctr"/>
        <c:lblOffset val="100"/>
        <c:noMultiLvlLbl val="0"/>
      </c:catAx>
      <c:valAx>
        <c:axId val="1570206192"/>
        <c:scaling>
          <c:orientation val="minMax"/>
        </c:scaling>
        <c:delete val="1"/>
        <c:axPos val="b"/>
        <c:numFmt formatCode="General" sourceLinked="1"/>
        <c:majorTickMark val="none"/>
        <c:minorTickMark val="none"/>
        <c:tickLblPos val="nextTo"/>
        <c:crossAx val="15702208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Realizar sexo oral a su pareja</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2147978412810758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4162452446253207"/>
                  <c:y val="-2.5266154282729865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47.4</c:v>
                </c:pt>
                <c:pt idx="1">
                  <c:v>32</c:v>
                </c:pt>
              </c:numCache>
            </c:numRef>
          </c:val>
        </c:ser>
        <c:dLbls>
          <c:dLblPos val="outEnd"/>
          <c:showLegendKey val="0"/>
          <c:showVal val="1"/>
          <c:showCatName val="0"/>
          <c:showSerName val="0"/>
          <c:showPercent val="0"/>
          <c:showBubbleSize val="0"/>
        </c:dLbls>
        <c:gapWidth val="37"/>
        <c:axId val="1570210544"/>
        <c:axId val="1570212176"/>
      </c:barChart>
      <c:catAx>
        <c:axId val="1570210544"/>
        <c:scaling>
          <c:orientation val="minMax"/>
        </c:scaling>
        <c:delete val="1"/>
        <c:axPos val="l"/>
        <c:numFmt formatCode="General" sourceLinked="1"/>
        <c:majorTickMark val="none"/>
        <c:minorTickMark val="none"/>
        <c:tickLblPos val="nextTo"/>
        <c:crossAx val="1570212176"/>
        <c:crosses val="autoZero"/>
        <c:auto val="1"/>
        <c:lblAlgn val="ctr"/>
        <c:lblOffset val="100"/>
        <c:noMultiLvlLbl val="0"/>
      </c:catAx>
      <c:valAx>
        <c:axId val="1570212176"/>
        <c:scaling>
          <c:orientation val="minMax"/>
        </c:scaling>
        <c:delete val="1"/>
        <c:axPos val="b"/>
        <c:numFmt formatCode="General" sourceLinked="1"/>
        <c:majorTickMark val="none"/>
        <c:minorTickMark val="none"/>
        <c:tickLblPos val="nextTo"/>
        <c:crossAx val="157021054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Recibir sexo oral de su pareja</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15433530920994426"/>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38362452446253209"/>
                  <c:y val="-2.5266154282729865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54.2</c:v>
                </c:pt>
                <c:pt idx="1">
                  <c:v>35.4</c:v>
                </c:pt>
              </c:numCache>
            </c:numRef>
          </c:val>
        </c:ser>
        <c:dLbls>
          <c:dLblPos val="outEnd"/>
          <c:showLegendKey val="0"/>
          <c:showVal val="1"/>
          <c:showCatName val="0"/>
          <c:showSerName val="0"/>
          <c:showPercent val="0"/>
          <c:showBubbleSize val="0"/>
        </c:dLbls>
        <c:gapWidth val="37"/>
        <c:axId val="1570213808"/>
        <c:axId val="1570214352"/>
      </c:barChart>
      <c:catAx>
        <c:axId val="1570213808"/>
        <c:scaling>
          <c:orientation val="minMax"/>
        </c:scaling>
        <c:delete val="1"/>
        <c:axPos val="l"/>
        <c:numFmt formatCode="General" sourceLinked="1"/>
        <c:majorTickMark val="none"/>
        <c:minorTickMark val="none"/>
        <c:tickLblPos val="nextTo"/>
        <c:crossAx val="1570214352"/>
        <c:crosses val="autoZero"/>
        <c:auto val="1"/>
        <c:lblAlgn val="ctr"/>
        <c:lblOffset val="100"/>
        <c:noMultiLvlLbl val="0"/>
      </c:catAx>
      <c:valAx>
        <c:axId val="1570214352"/>
        <c:scaling>
          <c:orientation val="minMax"/>
        </c:scaling>
        <c:delete val="1"/>
        <c:axPos val="b"/>
        <c:numFmt formatCode="General" sourceLinked="1"/>
        <c:majorTickMark val="none"/>
        <c:minorTickMark val="none"/>
        <c:tickLblPos val="nextTo"/>
        <c:crossAx val="157021380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Hoja1!$B$1</c:f>
              <c:strCache>
                <c:ptCount val="1"/>
                <c:pt idx="0">
                  <c:v>Nunca</c:v>
                </c:pt>
              </c:strCache>
            </c:strRef>
          </c:tx>
          <c:spPr>
            <a:pattFill prst="pct25">
              <a:fgClr>
                <a:schemeClr val="tx1">
                  <a:lumMod val="65000"/>
                  <a:lumOff val="35000"/>
                </a:schemeClr>
              </a:fgClr>
              <a:bgClr>
                <a:schemeClr val="bg1"/>
              </a:bgClr>
            </a:pattFill>
            <a:ln>
              <a:noFill/>
            </a:ln>
            <a:effectLst/>
          </c:spPr>
          <c:invertIfNegative val="0"/>
          <c:dLbls>
            <c:dLbl>
              <c:idx val="0"/>
              <c:layout>
                <c:manualLayout>
                  <c:x val="4.6296296296296294E-3"/>
                  <c:y val="-2.7777777777777776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1"/>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2"/>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3"/>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4"/>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5"/>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6"/>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8"/>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9"/>
              <c:layout>
                <c:manualLayout>
                  <c:x val="0"/>
                  <c:y val="-2.7777777777777814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10"/>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1"/>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2"/>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solidFill>
                <a:schemeClr val="bg1"/>
              </a:solid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Hoja1!$A$2:$A$14</c:f>
              <c:strCache>
                <c:ptCount val="13"/>
                <c:pt idx="0">
                  <c:v>Caricias y besos</c:v>
                </c:pt>
                <c:pt idx="1">
                  <c:v>Bailes eróticos</c:v>
                </c:pt>
                <c:pt idx="2">
                  <c:v>Uso de juguetes sexuales</c:v>
                </c:pt>
                <c:pt idx="3">
                  <c:v>Uso de alimentos</c:v>
                </c:pt>
                <c:pt idx="4">
                  <c:v>Visualización de pornografía</c:v>
                </c:pt>
                <c:pt idx="5">
                  <c:v>Grabación de la propia relación sexual</c:v>
                </c:pt>
                <c:pt idx="6">
                  <c:v>Masturbación</c:v>
                </c:pt>
                <c:pt idx="7">
                  <c:v>Masturbar a la pareja</c:v>
                </c:pt>
                <c:pt idx="8">
                  <c:v>Masturbación mutua</c:v>
                </c:pt>
                <c:pt idx="9">
                  <c:v>Coito vaginal</c:v>
                </c:pt>
                <c:pt idx="10">
                  <c:v>Coito anal</c:v>
                </c:pt>
                <c:pt idx="11">
                  <c:v>Ver a otras personas tener relaciones sexuales</c:v>
                </c:pt>
                <c:pt idx="12">
                  <c:v>Tener prácticas sexuales en zonas públicas</c:v>
                </c:pt>
              </c:strCache>
            </c:strRef>
          </c:cat>
          <c:val>
            <c:numRef>
              <c:f>Hoja1!$B$2:$B$14</c:f>
              <c:numCache>
                <c:formatCode>General</c:formatCode>
                <c:ptCount val="13"/>
                <c:pt idx="0">
                  <c:v>2.9</c:v>
                </c:pt>
                <c:pt idx="1">
                  <c:v>40.700000000000003</c:v>
                </c:pt>
                <c:pt idx="2">
                  <c:v>69.599999999999994</c:v>
                </c:pt>
                <c:pt idx="3">
                  <c:v>70.400000000000006</c:v>
                </c:pt>
                <c:pt idx="4">
                  <c:v>49.3</c:v>
                </c:pt>
                <c:pt idx="5">
                  <c:v>75</c:v>
                </c:pt>
                <c:pt idx="6">
                  <c:v>40.9</c:v>
                </c:pt>
                <c:pt idx="7">
                  <c:v>19.899999999999999</c:v>
                </c:pt>
                <c:pt idx="8">
                  <c:v>20.3</c:v>
                </c:pt>
                <c:pt idx="9">
                  <c:v>6.6</c:v>
                </c:pt>
                <c:pt idx="10">
                  <c:v>49.6</c:v>
                </c:pt>
                <c:pt idx="11">
                  <c:v>95.6</c:v>
                </c:pt>
                <c:pt idx="12">
                  <c:v>80.3</c:v>
                </c:pt>
              </c:numCache>
            </c:numRef>
          </c:val>
        </c:ser>
        <c:ser>
          <c:idx val="1"/>
          <c:order val="1"/>
          <c:tx>
            <c:strRef>
              <c:f>Hoja1!$C$1</c:f>
              <c:strCache>
                <c:ptCount val="1"/>
                <c:pt idx="0">
                  <c:v>Casi nunca</c:v>
                </c:pt>
              </c:strCache>
            </c:strRef>
          </c:tx>
          <c:spPr>
            <a:pattFill prst="dkHorz">
              <a:fgClr>
                <a:schemeClr val="tx1">
                  <a:lumMod val="65000"/>
                  <a:lumOff val="35000"/>
                </a:schemeClr>
              </a:fgClr>
              <a:bgClr>
                <a:schemeClr val="bg1"/>
              </a:bgClr>
            </a:pattFill>
            <a:ln>
              <a:noFill/>
            </a:ln>
            <a:effectLst/>
          </c:spPr>
          <c:invertIfNegative val="0"/>
          <c:dLbls>
            <c:dLbl>
              <c:idx val="0"/>
              <c:layout>
                <c:manualLayout>
                  <c:x val="4.8611111111111112E-2"/>
                  <c:y val="-3.5714285714285712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1"/>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2"/>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3"/>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4"/>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5"/>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6"/>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8"/>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9"/>
              <c:layout>
                <c:manualLayout>
                  <c:x val="1.1574074074074073E-2"/>
                  <c:y val="-3.1746031746031779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10"/>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1"/>
              <c:layout>
                <c:manualLayout>
                  <c:x val="-3.7037037037037035E-2"/>
                  <c:y val="-2.3809523809523808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12"/>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solidFill>
                <a:schemeClr val="bg1"/>
              </a:solid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Hoja1!$A$2:$A$14</c:f>
              <c:strCache>
                <c:ptCount val="13"/>
                <c:pt idx="0">
                  <c:v>Caricias y besos</c:v>
                </c:pt>
                <c:pt idx="1">
                  <c:v>Bailes eróticos</c:v>
                </c:pt>
                <c:pt idx="2">
                  <c:v>Uso de juguetes sexuales</c:v>
                </c:pt>
                <c:pt idx="3">
                  <c:v>Uso de alimentos</c:v>
                </c:pt>
                <c:pt idx="4">
                  <c:v>Visualización de pornografía</c:v>
                </c:pt>
                <c:pt idx="5">
                  <c:v>Grabación de la propia relación sexual</c:v>
                </c:pt>
                <c:pt idx="6">
                  <c:v>Masturbación</c:v>
                </c:pt>
                <c:pt idx="7">
                  <c:v>Masturbar a la pareja</c:v>
                </c:pt>
                <c:pt idx="8">
                  <c:v>Masturbación mutua</c:v>
                </c:pt>
                <c:pt idx="9">
                  <c:v>Coito vaginal</c:v>
                </c:pt>
                <c:pt idx="10">
                  <c:v>Coito anal</c:v>
                </c:pt>
                <c:pt idx="11">
                  <c:v>Ver a otras personas tener relaciones sexuales</c:v>
                </c:pt>
                <c:pt idx="12">
                  <c:v>Tener prácticas sexuales en zonas públicas</c:v>
                </c:pt>
              </c:strCache>
            </c:strRef>
          </c:cat>
          <c:val>
            <c:numRef>
              <c:f>Hoja1!$C$2:$C$14</c:f>
              <c:numCache>
                <c:formatCode>General</c:formatCode>
                <c:ptCount val="13"/>
                <c:pt idx="0">
                  <c:v>0.7</c:v>
                </c:pt>
                <c:pt idx="1">
                  <c:v>19.3</c:v>
                </c:pt>
                <c:pt idx="2">
                  <c:v>12.6</c:v>
                </c:pt>
                <c:pt idx="3">
                  <c:v>12.6</c:v>
                </c:pt>
                <c:pt idx="4">
                  <c:v>19.899999999999999</c:v>
                </c:pt>
                <c:pt idx="5">
                  <c:v>9.6</c:v>
                </c:pt>
                <c:pt idx="6">
                  <c:v>10.199999999999999</c:v>
                </c:pt>
                <c:pt idx="7">
                  <c:v>8.8000000000000007</c:v>
                </c:pt>
                <c:pt idx="8">
                  <c:v>13.8</c:v>
                </c:pt>
                <c:pt idx="9">
                  <c:v>0.7</c:v>
                </c:pt>
                <c:pt idx="10">
                  <c:v>15</c:v>
                </c:pt>
                <c:pt idx="11">
                  <c:v>2.2000000000000002</c:v>
                </c:pt>
                <c:pt idx="12">
                  <c:v>14.6</c:v>
                </c:pt>
              </c:numCache>
            </c:numRef>
          </c:val>
        </c:ser>
        <c:ser>
          <c:idx val="2"/>
          <c:order val="2"/>
          <c:tx>
            <c:strRef>
              <c:f>Hoja1!$D$1</c:f>
              <c:strCache>
                <c:ptCount val="1"/>
                <c:pt idx="0">
                  <c:v>A veces</c:v>
                </c:pt>
              </c:strCache>
            </c:strRef>
          </c:tx>
          <c:spPr>
            <a:pattFill prst="wave">
              <a:fgClr>
                <a:schemeClr val="tx1">
                  <a:lumMod val="65000"/>
                  <a:lumOff val="35000"/>
                </a:schemeClr>
              </a:fgClr>
              <a:bgClr>
                <a:schemeClr val="bg1"/>
              </a:bgClr>
            </a:pattFill>
            <a:ln>
              <a:noFill/>
            </a:ln>
            <a:effectLst/>
          </c:spPr>
          <c:invertIfNegative val="0"/>
          <c:dLbls>
            <c:dLbl>
              <c:idx val="0"/>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2"/>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3"/>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4"/>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5"/>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6"/>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8"/>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9"/>
              <c:layout>
                <c:manualLayout>
                  <c:x val="4.629629629629621E-2"/>
                  <c:y val="-4.365079365079369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10"/>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1"/>
              <c:layout>
                <c:manualLayout>
                  <c:x val="2.3148148148146451E-3"/>
                  <c:y val="-3.9682539682539666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12"/>
              <c:layout>
                <c:manualLayout>
                  <c:x val="0"/>
                  <c:y val="-4.7619047619047616E-2"/>
                </c:manualLayout>
              </c:layout>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Hoja1!$A$2:$A$14</c:f>
              <c:strCache>
                <c:ptCount val="13"/>
                <c:pt idx="0">
                  <c:v>Caricias y besos</c:v>
                </c:pt>
                <c:pt idx="1">
                  <c:v>Bailes eróticos</c:v>
                </c:pt>
                <c:pt idx="2">
                  <c:v>Uso de juguetes sexuales</c:v>
                </c:pt>
                <c:pt idx="3">
                  <c:v>Uso de alimentos</c:v>
                </c:pt>
                <c:pt idx="4">
                  <c:v>Visualización de pornografía</c:v>
                </c:pt>
                <c:pt idx="5">
                  <c:v>Grabación de la propia relación sexual</c:v>
                </c:pt>
                <c:pt idx="6">
                  <c:v>Masturbación</c:v>
                </c:pt>
                <c:pt idx="7">
                  <c:v>Masturbar a la pareja</c:v>
                </c:pt>
                <c:pt idx="8">
                  <c:v>Masturbación mutua</c:v>
                </c:pt>
                <c:pt idx="9">
                  <c:v>Coito vaginal</c:v>
                </c:pt>
                <c:pt idx="10">
                  <c:v>Coito anal</c:v>
                </c:pt>
                <c:pt idx="11">
                  <c:v>Ver a otras personas tener relaciones sexuales</c:v>
                </c:pt>
                <c:pt idx="12">
                  <c:v>Tener prácticas sexuales en zonas públicas</c:v>
                </c:pt>
              </c:strCache>
            </c:strRef>
          </c:cat>
          <c:val>
            <c:numRef>
              <c:f>Hoja1!$D$2:$D$14</c:f>
              <c:numCache>
                <c:formatCode>General</c:formatCode>
                <c:ptCount val="13"/>
                <c:pt idx="0">
                  <c:v>8</c:v>
                </c:pt>
                <c:pt idx="1">
                  <c:v>34.799999999999997</c:v>
                </c:pt>
                <c:pt idx="2">
                  <c:v>16.3</c:v>
                </c:pt>
                <c:pt idx="3">
                  <c:v>16.3</c:v>
                </c:pt>
                <c:pt idx="4">
                  <c:v>28.7</c:v>
                </c:pt>
                <c:pt idx="5">
                  <c:v>14.7</c:v>
                </c:pt>
                <c:pt idx="6">
                  <c:v>42.3</c:v>
                </c:pt>
                <c:pt idx="7">
                  <c:v>55.1</c:v>
                </c:pt>
                <c:pt idx="8">
                  <c:v>51.4</c:v>
                </c:pt>
                <c:pt idx="9">
                  <c:v>6.6</c:v>
                </c:pt>
                <c:pt idx="10">
                  <c:v>25.6</c:v>
                </c:pt>
                <c:pt idx="11">
                  <c:v>0.7</c:v>
                </c:pt>
                <c:pt idx="12">
                  <c:v>5.0999999999999996</c:v>
                </c:pt>
              </c:numCache>
            </c:numRef>
          </c:val>
        </c:ser>
        <c:ser>
          <c:idx val="3"/>
          <c:order val="3"/>
          <c:tx>
            <c:strRef>
              <c:f>Hoja1!$E$1</c:f>
              <c:strCache>
                <c:ptCount val="1"/>
                <c:pt idx="0">
                  <c:v>Casi siempre</c:v>
                </c:pt>
              </c:strCache>
            </c:strRef>
          </c:tx>
          <c:spPr>
            <a:pattFill prst="dkVert">
              <a:fgClr>
                <a:schemeClr val="tx1">
                  <a:lumMod val="65000"/>
                  <a:lumOff val="35000"/>
                </a:schemeClr>
              </a:fgClr>
              <a:bgClr>
                <a:schemeClr val="bg1"/>
              </a:bgClr>
            </a:pattFill>
            <a:ln>
              <a:noFill/>
            </a:ln>
            <a:effectLst/>
          </c:spPr>
          <c:invertIfNegative val="0"/>
          <c:dLbls>
            <c:dLbl>
              <c:idx val="0"/>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
              <c:layout>
                <c:manualLayout>
                  <c:x val="-3.2407407407407579E-2"/>
                  <c:y val="-3.968253968253968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2"/>
              <c:layout>
                <c:manualLayout>
                  <c:x val="9.2592592592590887E-3"/>
                  <c:y val="-2.7777777777777776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4"/>
              <c:layout>
                <c:manualLayout>
                  <c:x val="-3.7037037037037035E-2"/>
                  <c:y val="-3.5714285714285789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5"/>
              <c:layout>
                <c:manualLayout>
                  <c:x val="6.9444444444444441E-3"/>
                  <c:y val="-2.7777777777777849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6"/>
              <c:layout>
                <c:manualLayout>
                  <c:x val="-2.3148148148148147E-3"/>
                  <c:y val="-2.7777777777777776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dLbl>
              <c:idx val="7"/>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8"/>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9"/>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0"/>
              <c:layout>
                <c:manualLayout>
                  <c:x val="0"/>
                  <c:y val="-3.1746031746031779E-2"/>
                </c:manualLayout>
              </c:layout>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Hoja1!$A$2:$A$14</c:f>
              <c:strCache>
                <c:ptCount val="13"/>
                <c:pt idx="0">
                  <c:v>Caricias y besos</c:v>
                </c:pt>
                <c:pt idx="1">
                  <c:v>Bailes eróticos</c:v>
                </c:pt>
                <c:pt idx="2">
                  <c:v>Uso de juguetes sexuales</c:v>
                </c:pt>
                <c:pt idx="3">
                  <c:v>Uso de alimentos</c:v>
                </c:pt>
                <c:pt idx="4">
                  <c:v>Visualización de pornografía</c:v>
                </c:pt>
                <c:pt idx="5">
                  <c:v>Grabación de la propia relación sexual</c:v>
                </c:pt>
                <c:pt idx="6">
                  <c:v>Masturbación</c:v>
                </c:pt>
                <c:pt idx="7">
                  <c:v>Masturbar a la pareja</c:v>
                </c:pt>
                <c:pt idx="8">
                  <c:v>Masturbación mutua</c:v>
                </c:pt>
                <c:pt idx="9">
                  <c:v>Coito vaginal</c:v>
                </c:pt>
                <c:pt idx="10">
                  <c:v>Coito anal</c:v>
                </c:pt>
                <c:pt idx="11">
                  <c:v>Ver a otras personas tener relaciones sexuales</c:v>
                </c:pt>
                <c:pt idx="12">
                  <c:v>Tener prácticas sexuales en zonas públicas</c:v>
                </c:pt>
              </c:strCache>
            </c:strRef>
          </c:cat>
          <c:val>
            <c:numRef>
              <c:f>Hoja1!$E$2:$E$14</c:f>
              <c:numCache>
                <c:formatCode>General</c:formatCode>
                <c:ptCount val="13"/>
                <c:pt idx="0">
                  <c:v>21</c:v>
                </c:pt>
                <c:pt idx="1">
                  <c:v>0.7</c:v>
                </c:pt>
                <c:pt idx="2">
                  <c:v>1.5</c:v>
                </c:pt>
                <c:pt idx="4">
                  <c:v>1.5</c:v>
                </c:pt>
                <c:pt idx="5">
                  <c:v>0.7</c:v>
                </c:pt>
                <c:pt idx="6">
                  <c:v>5.8</c:v>
                </c:pt>
                <c:pt idx="7">
                  <c:v>14</c:v>
                </c:pt>
                <c:pt idx="8">
                  <c:v>13</c:v>
                </c:pt>
                <c:pt idx="9">
                  <c:v>19.7</c:v>
                </c:pt>
                <c:pt idx="10">
                  <c:v>3.8</c:v>
                </c:pt>
              </c:numCache>
            </c:numRef>
          </c:val>
        </c:ser>
        <c:ser>
          <c:idx val="4"/>
          <c:order val="4"/>
          <c:tx>
            <c:strRef>
              <c:f>Hoja1!$F$1</c:f>
              <c:strCache>
                <c:ptCount val="1"/>
                <c:pt idx="0">
                  <c:v>Siempre</c:v>
                </c:pt>
              </c:strCache>
            </c:strRef>
          </c:tx>
          <c:spPr>
            <a:pattFill prst="pct60">
              <a:fgClr>
                <a:schemeClr val="tx1">
                  <a:lumMod val="65000"/>
                  <a:lumOff val="35000"/>
                </a:schemeClr>
              </a:fgClr>
              <a:bgClr>
                <a:schemeClr val="bg1"/>
              </a:bgClr>
            </a:pattFill>
            <a:ln>
              <a:noFill/>
            </a:ln>
            <a:effectLst/>
          </c:spPr>
          <c:invertIfNegative val="0"/>
          <c:dLbls>
            <c:dLbl>
              <c:idx val="0"/>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
              <c:layout>
                <c:manualLayout>
                  <c:x val="1.6203703703703703E-2"/>
                  <c:y val="-2.3809523809523808E-2"/>
                </c:manualLayout>
              </c:layout>
              <c:showLegendKey val="0"/>
              <c:showVal val="1"/>
              <c:showCatName val="0"/>
              <c:showSerName val="0"/>
              <c:showPercent val="0"/>
              <c:showBubbleSize val="0"/>
              <c:extLst>
                <c:ext xmlns:c15="http://schemas.microsoft.com/office/drawing/2012/chart" uri="{CE6537A1-D6FC-4f65-9D91-7224C49458BB}"/>
              </c:extLst>
            </c:dLbl>
            <c:dLbl>
              <c:idx val="3"/>
              <c:layout>
                <c:manualLayout>
                  <c:x val="6.9444444444444441E-3"/>
                  <c:y val="-3.1746031746031744E-2"/>
                </c:manualLayout>
              </c:layout>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441E-3"/>
                  <c:y val="-3.1746031746031821E-2"/>
                </c:manualLayout>
              </c:layout>
              <c:showLegendKey val="0"/>
              <c:showVal val="1"/>
              <c:showCatName val="0"/>
              <c:showSerName val="0"/>
              <c:showPercent val="0"/>
              <c:showBubbleSize val="0"/>
              <c:extLst>
                <c:ext xmlns:c15="http://schemas.microsoft.com/office/drawing/2012/chart" uri="{CE6537A1-D6FC-4f65-9D91-7224C49458BB}"/>
              </c:extLst>
            </c:dLbl>
            <c:dLbl>
              <c:idx val="6"/>
              <c:layout>
                <c:manualLayout>
                  <c:x val="6.9444444444444441E-3"/>
                  <c:y val="-1.9841269841269913E-2"/>
                </c:manualLayout>
              </c:layout>
              <c:showLegendKey val="0"/>
              <c:showVal val="1"/>
              <c:showCatName val="0"/>
              <c:showSerName val="0"/>
              <c:showPercent val="0"/>
              <c:showBubbleSize val="0"/>
              <c:extLst>
                <c:ext xmlns:c15="http://schemas.microsoft.com/office/drawing/2012/chart" uri="{CE6537A1-D6FC-4f65-9D91-7224C49458BB}"/>
              </c:extLst>
            </c:dLbl>
            <c:dLbl>
              <c:idx val="7"/>
              <c:layout>
                <c:manualLayout>
                  <c:x val="9.2592592592590887E-3"/>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8"/>
              <c:layout>
                <c:manualLayout>
                  <c:x val="6.9444444444444441E-3"/>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9"/>
              <c:spPr>
                <a:solidFill>
                  <a:schemeClr val="bg1"/>
                </a:solidFill>
                <a:ln>
                  <a:noFill/>
                </a:ln>
                <a:effectLst/>
              </c:spPr>
              <c:txPr>
                <a:bodyPr wrap="square" lIns="38100" tIns="19050" rIns="38100" bIns="19050" anchor="ctr">
                  <a:noAutofit/>
                </a:bodyPr>
                <a:lstStyle/>
                <a:p>
                  <a:pPr>
                    <a:defRPr sz="900"/>
                  </a:pPr>
                  <a:endParaRPr lang="es-ES"/>
                </a:p>
              </c:txP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0"/>
              <c:layout>
                <c:manualLayout>
                  <c:x val="4.6296296296296294E-3"/>
                  <c:y val="-2.7777777777777776E-2"/>
                </c:manualLayout>
              </c:layout>
              <c:showLegendKey val="0"/>
              <c:showVal val="1"/>
              <c:showCatName val="0"/>
              <c:showSerName val="0"/>
              <c:showPercent val="0"/>
              <c:showBubbleSize val="0"/>
              <c:extLst>
                <c:ext xmlns:c15="http://schemas.microsoft.com/office/drawing/2012/chart" uri="{CE6537A1-D6FC-4f65-9D91-7224C49458BB}"/>
              </c:extLst>
            </c:dLbl>
            <c:dLbl>
              <c:idx val="11"/>
              <c:layout>
                <c:manualLayout>
                  <c:x val="9.2592592592590887E-3"/>
                  <c:y val="-7.9365079365079361E-3"/>
                </c:manualLayout>
              </c:layout>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wrap="square" lIns="38100" tIns="19050" rIns="38100" bIns="19050" anchor="ctr">
                <a:spAutoFit/>
              </a:bodyPr>
              <a:lstStyle/>
              <a:p>
                <a:pPr>
                  <a:defRPr sz="900"/>
                </a:pPr>
                <a:endParaRPr lang="es-ES"/>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Hoja1!$A$2:$A$14</c:f>
              <c:strCache>
                <c:ptCount val="13"/>
                <c:pt idx="0">
                  <c:v>Caricias y besos</c:v>
                </c:pt>
                <c:pt idx="1">
                  <c:v>Bailes eróticos</c:v>
                </c:pt>
                <c:pt idx="2">
                  <c:v>Uso de juguetes sexuales</c:v>
                </c:pt>
                <c:pt idx="3">
                  <c:v>Uso de alimentos</c:v>
                </c:pt>
                <c:pt idx="4">
                  <c:v>Visualización de pornografía</c:v>
                </c:pt>
                <c:pt idx="5">
                  <c:v>Grabación de la propia relación sexual</c:v>
                </c:pt>
                <c:pt idx="6">
                  <c:v>Masturbación</c:v>
                </c:pt>
                <c:pt idx="7">
                  <c:v>Masturbar a la pareja</c:v>
                </c:pt>
                <c:pt idx="8">
                  <c:v>Masturbación mutua</c:v>
                </c:pt>
                <c:pt idx="9">
                  <c:v>Coito vaginal</c:v>
                </c:pt>
                <c:pt idx="10">
                  <c:v>Coito anal</c:v>
                </c:pt>
                <c:pt idx="11">
                  <c:v>Ver a otras personas tener relaciones sexuales</c:v>
                </c:pt>
                <c:pt idx="12">
                  <c:v>Tener prácticas sexuales en zonas públicas</c:v>
                </c:pt>
              </c:strCache>
            </c:strRef>
          </c:cat>
          <c:val>
            <c:numRef>
              <c:f>Hoja1!$F$2:$F$14</c:f>
              <c:numCache>
                <c:formatCode>General</c:formatCode>
                <c:ptCount val="13"/>
                <c:pt idx="0">
                  <c:v>67.400000000000006</c:v>
                </c:pt>
                <c:pt idx="1">
                  <c:v>4.4000000000000004</c:v>
                </c:pt>
                <c:pt idx="3">
                  <c:v>0.7</c:v>
                </c:pt>
                <c:pt idx="4">
                  <c:v>0.7</c:v>
                </c:pt>
                <c:pt idx="6">
                  <c:v>0.7</c:v>
                </c:pt>
                <c:pt idx="7">
                  <c:v>2.2000000000000002</c:v>
                </c:pt>
                <c:pt idx="8">
                  <c:v>1.4</c:v>
                </c:pt>
                <c:pt idx="9">
                  <c:v>66.400000000000006</c:v>
                </c:pt>
                <c:pt idx="10">
                  <c:v>6</c:v>
                </c:pt>
                <c:pt idx="11">
                  <c:v>1.5</c:v>
                </c:pt>
              </c:numCache>
            </c:numRef>
          </c:val>
        </c:ser>
        <c:dLbls>
          <c:showLegendKey val="0"/>
          <c:showVal val="1"/>
          <c:showCatName val="0"/>
          <c:showSerName val="0"/>
          <c:showPercent val="0"/>
          <c:showBubbleSize val="0"/>
        </c:dLbls>
        <c:gapWidth val="150"/>
        <c:overlap val="100"/>
        <c:axId val="1654408032"/>
        <c:axId val="1654410752"/>
      </c:barChart>
      <c:catAx>
        <c:axId val="165440803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ES"/>
          </a:p>
        </c:txPr>
        <c:crossAx val="1654410752"/>
        <c:crosses val="autoZero"/>
        <c:auto val="1"/>
        <c:lblAlgn val="ctr"/>
        <c:lblOffset val="100"/>
        <c:noMultiLvlLbl val="0"/>
      </c:catAx>
      <c:valAx>
        <c:axId val="1654410752"/>
        <c:scaling>
          <c:orientation val="minMax"/>
        </c:scaling>
        <c:delete val="1"/>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654408032"/>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Hoja1!$B$1</c:f>
              <c:strCache>
                <c:ptCount val="1"/>
                <c:pt idx="0">
                  <c:v>Nunca</c:v>
                </c:pt>
              </c:strCache>
            </c:strRef>
          </c:tx>
          <c:spPr>
            <a:pattFill prst="pct25">
              <a:fgClr>
                <a:schemeClr val="tx1">
                  <a:lumMod val="65000"/>
                  <a:lumOff val="35000"/>
                </a:schemeClr>
              </a:fgClr>
              <a:bgClr>
                <a:schemeClr val="bg1"/>
              </a:bgClr>
            </a:pattFill>
            <a:ln>
              <a:noFill/>
            </a:ln>
            <a:effectLst/>
          </c:spPr>
          <c:invertIfNegative val="0"/>
          <c:dLbls>
            <c:dLbl>
              <c:idx val="0"/>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
              <c:layout>
                <c:manualLayout>
                  <c:x val="-8.4875562720133283E-17"/>
                  <c:y val="-3.96825396825396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2"/>
              <c:layout>
                <c:manualLayout>
                  <c:x val="0"/>
                  <c:y val="-3.9682539682539757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3"/>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4"/>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5"/>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6"/>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layout>
                <c:manualLayout>
                  <c:x val="1.1574074074073988E-2"/>
                  <c:y val="-4.7619047619047616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Hoja1!$A$2:$A$9</c:f>
              <c:strCache>
                <c:ptCount val="8"/>
                <c:pt idx="0">
                  <c:v>Ignorar la situación</c:v>
                </c:pt>
                <c:pt idx="1">
                  <c:v>Cambiar las conductas propias que provocan el problema porque se reconocen los errores </c:v>
                </c:pt>
                <c:pt idx="2">
                  <c:v>Tratar de llegar a un acuerdo que satisfaga a ambos</c:v>
                </c:pt>
                <c:pt idx="3">
                  <c:v>Ceder ante lo que el otro quiere</c:v>
                </c:pt>
                <c:pt idx="4">
                  <c:v>Presionar e imponer al otro</c:v>
                </c:pt>
                <c:pt idx="5">
                  <c:v>Cumplir con la demanda del otro a cambio de algo más</c:v>
                </c:pt>
                <c:pt idx="6">
                  <c:v>Esperar a que pase un tiempo para hablar</c:v>
                </c:pt>
                <c:pt idx="7">
                  <c:v>Entender las causas del conflicto y las emociones de ambos</c:v>
                </c:pt>
              </c:strCache>
            </c:strRef>
          </c:cat>
          <c:val>
            <c:numRef>
              <c:f>Hoja1!$B$2:$B$9</c:f>
              <c:numCache>
                <c:formatCode>General</c:formatCode>
                <c:ptCount val="8"/>
                <c:pt idx="0">
                  <c:v>40.6</c:v>
                </c:pt>
                <c:pt idx="1">
                  <c:v>5.2</c:v>
                </c:pt>
                <c:pt idx="2">
                  <c:v>4.3</c:v>
                </c:pt>
                <c:pt idx="3">
                  <c:v>13.8</c:v>
                </c:pt>
                <c:pt idx="4">
                  <c:v>35</c:v>
                </c:pt>
                <c:pt idx="5">
                  <c:v>28.7</c:v>
                </c:pt>
                <c:pt idx="6">
                  <c:v>11.6</c:v>
                </c:pt>
                <c:pt idx="7">
                  <c:v>2.2000000000000002</c:v>
                </c:pt>
              </c:numCache>
            </c:numRef>
          </c:val>
        </c:ser>
        <c:ser>
          <c:idx val="1"/>
          <c:order val="1"/>
          <c:tx>
            <c:strRef>
              <c:f>Hoja1!$C$1</c:f>
              <c:strCache>
                <c:ptCount val="1"/>
                <c:pt idx="0">
                  <c:v>Casi nunca</c:v>
                </c:pt>
              </c:strCache>
            </c:strRef>
          </c:tx>
          <c:spPr>
            <a:pattFill prst="dkHorz">
              <a:fgClr>
                <a:schemeClr val="tx1">
                  <a:lumMod val="65000"/>
                  <a:lumOff val="35000"/>
                </a:schemeClr>
              </a:fgClr>
              <a:bgClr>
                <a:schemeClr val="bg1"/>
              </a:bgClr>
            </a:pattFill>
            <a:ln>
              <a:noFill/>
            </a:ln>
            <a:effectLst/>
          </c:spPr>
          <c:invertIfNegative val="0"/>
          <c:dLbls>
            <c:dLbl>
              <c:idx val="0"/>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
              <c:layout>
                <c:manualLayout>
                  <c:x val="1.1574074074074073E-2"/>
                  <c:y val="-3.968238345206848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layout>
                    <c:manualLayout>
                      <c:w val="4.019666812481773E-2"/>
                      <c:h val="5.549618797650293E-2"/>
                    </c:manualLayout>
                  </c15:layout>
                </c:ext>
              </c:extLst>
            </c:dLbl>
            <c:dLbl>
              <c:idx val="2"/>
              <c:layout>
                <c:manualLayout>
                  <c:x val="3.7037037037037035E-2"/>
                  <c:y val="-4.3650793650793725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3"/>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4"/>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5"/>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6"/>
              <c:layout>
                <c:manualLayout>
                  <c:x val="-8.4875562720133283E-17"/>
                  <c:y val="-3.96825396825396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7"/>
              <c:layout>
                <c:manualLayout>
                  <c:x val="5.5555555555555552E-2"/>
                  <c:y val="-5.1587301587301584E-2"/>
                </c:manualLayout>
              </c:layout>
              <c:dLblPos val="ctr"/>
              <c:showLegendKey val="0"/>
              <c:showVal val="1"/>
              <c:showCatName val="0"/>
              <c:showSerName val="0"/>
              <c:showPercent val="0"/>
              <c:showBubbleSize val="0"/>
              <c:extLst>
                <c:ext xmlns:c15="http://schemas.microsoft.com/office/drawing/2012/chart" uri="{CE6537A1-D6FC-4f65-9D91-7224C49458BB}"/>
              </c:extLst>
            </c:dLbl>
            <c:spPr>
              <a:solidFill>
                <a:schemeClr val="bg1"/>
              </a:solid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Hoja1!$A$2:$A$9</c:f>
              <c:strCache>
                <c:ptCount val="8"/>
                <c:pt idx="0">
                  <c:v>Ignorar la situación</c:v>
                </c:pt>
                <c:pt idx="1">
                  <c:v>Cambiar las conductas propias que provocan el problema porque se reconocen los errores </c:v>
                </c:pt>
                <c:pt idx="2">
                  <c:v>Tratar de llegar a un acuerdo que satisfaga a ambos</c:v>
                </c:pt>
                <c:pt idx="3">
                  <c:v>Ceder ante lo que el otro quiere</c:v>
                </c:pt>
                <c:pt idx="4">
                  <c:v>Presionar e imponer al otro</c:v>
                </c:pt>
                <c:pt idx="5">
                  <c:v>Cumplir con la demanda del otro a cambio de algo más</c:v>
                </c:pt>
                <c:pt idx="6">
                  <c:v>Esperar a que pase un tiempo para hablar</c:v>
                </c:pt>
                <c:pt idx="7">
                  <c:v>Entender las causas del conflicto y las emociones de ambos</c:v>
                </c:pt>
              </c:strCache>
            </c:strRef>
          </c:cat>
          <c:val>
            <c:numRef>
              <c:f>Hoja1!$C$2:$C$9</c:f>
              <c:numCache>
                <c:formatCode>General</c:formatCode>
                <c:ptCount val="8"/>
                <c:pt idx="0">
                  <c:v>17.399999999999999</c:v>
                </c:pt>
                <c:pt idx="1">
                  <c:v>3.7</c:v>
                </c:pt>
                <c:pt idx="2">
                  <c:v>0.7</c:v>
                </c:pt>
                <c:pt idx="3">
                  <c:v>14.5</c:v>
                </c:pt>
                <c:pt idx="4">
                  <c:v>30.7</c:v>
                </c:pt>
                <c:pt idx="5">
                  <c:v>14</c:v>
                </c:pt>
                <c:pt idx="6">
                  <c:v>10.9</c:v>
                </c:pt>
                <c:pt idx="7">
                  <c:v>3.6</c:v>
                </c:pt>
              </c:numCache>
            </c:numRef>
          </c:val>
        </c:ser>
        <c:ser>
          <c:idx val="2"/>
          <c:order val="2"/>
          <c:tx>
            <c:strRef>
              <c:f>Hoja1!$D$1</c:f>
              <c:strCache>
                <c:ptCount val="1"/>
                <c:pt idx="0">
                  <c:v>A veces</c:v>
                </c:pt>
              </c:strCache>
            </c:strRef>
          </c:tx>
          <c:spPr>
            <a:pattFill prst="wave">
              <a:fgClr>
                <a:schemeClr val="tx1">
                  <a:lumMod val="65000"/>
                  <a:lumOff val="35000"/>
                </a:schemeClr>
              </a:fgClr>
              <a:bgClr>
                <a:schemeClr val="bg1"/>
              </a:bgClr>
            </a:pattFill>
            <a:ln>
              <a:noFill/>
            </a:ln>
            <a:effectLst/>
          </c:spPr>
          <c:invertIfNegative val="0"/>
          <c:dLbls>
            <c:dLbl>
              <c:idx val="0"/>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1"/>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2"/>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3"/>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4"/>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5"/>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6"/>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solidFill>
                <a:schemeClr val="bg1"/>
              </a:solid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Hoja1!$A$2:$A$9</c:f>
              <c:strCache>
                <c:ptCount val="8"/>
                <c:pt idx="0">
                  <c:v>Ignorar la situación</c:v>
                </c:pt>
                <c:pt idx="1">
                  <c:v>Cambiar las conductas propias que provocan el problema porque se reconocen los errores </c:v>
                </c:pt>
                <c:pt idx="2">
                  <c:v>Tratar de llegar a un acuerdo que satisfaga a ambos</c:v>
                </c:pt>
                <c:pt idx="3">
                  <c:v>Ceder ante lo que el otro quiere</c:v>
                </c:pt>
                <c:pt idx="4">
                  <c:v>Presionar e imponer al otro</c:v>
                </c:pt>
                <c:pt idx="5">
                  <c:v>Cumplir con la demanda del otro a cambio de algo más</c:v>
                </c:pt>
                <c:pt idx="6">
                  <c:v>Esperar a que pase un tiempo para hablar</c:v>
                </c:pt>
                <c:pt idx="7">
                  <c:v>Entender las causas del conflicto y las emociones de ambos</c:v>
                </c:pt>
              </c:strCache>
            </c:strRef>
          </c:cat>
          <c:val>
            <c:numRef>
              <c:f>Hoja1!$D$2:$D$9</c:f>
              <c:numCache>
                <c:formatCode>General</c:formatCode>
                <c:ptCount val="8"/>
                <c:pt idx="0">
                  <c:v>34.1</c:v>
                </c:pt>
                <c:pt idx="1">
                  <c:v>36.299999999999997</c:v>
                </c:pt>
                <c:pt idx="2">
                  <c:v>18.600000000000001</c:v>
                </c:pt>
                <c:pt idx="3">
                  <c:v>56.5</c:v>
                </c:pt>
                <c:pt idx="4">
                  <c:v>27</c:v>
                </c:pt>
                <c:pt idx="5">
                  <c:v>41.9</c:v>
                </c:pt>
                <c:pt idx="6">
                  <c:v>41.3</c:v>
                </c:pt>
                <c:pt idx="7">
                  <c:v>25.5</c:v>
                </c:pt>
              </c:numCache>
            </c:numRef>
          </c:val>
        </c:ser>
        <c:ser>
          <c:idx val="3"/>
          <c:order val="3"/>
          <c:tx>
            <c:strRef>
              <c:f>Hoja1!$E$1</c:f>
              <c:strCache>
                <c:ptCount val="1"/>
                <c:pt idx="0">
                  <c:v>Casi siempre</c:v>
                </c:pt>
              </c:strCache>
            </c:strRef>
          </c:tx>
          <c:spPr>
            <a:pattFill prst="dkVert">
              <a:fgClr>
                <a:schemeClr val="tx1">
                  <a:lumMod val="65000"/>
                  <a:lumOff val="35000"/>
                </a:schemeClr>
              </a:fgClr>
              <a:bgClr>
                <a:schemeClr val="bg1"/>
              </a:bgClr>
            </a:pattFill>
            <a:ln>
              <a:noFill/>
            </a:ln>
            <a:effectLst/>
          </c:spPr>
          <c:invertIfNegative val="0"/>
          <c:dLbls>
            <c:dLbl>
              <c:idx val="0"/>
              <c:layout>
                <c:manualLayout>
                  <c:x val="-4.6296296296297994E-3"/>
                  <c:y val="-3.96825396825396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1"/>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2"/>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3"/>
              <c:layout>
                <c:manualLayout>
                  <c:x val="-2.3148148148148147E-3"/>
                  <c:y val="-3.96825396825396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9.2592592592592587E-3"/>
                  <c:y val="-4.365079365079364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9.2592592592592587E-3"/>
                  <c:y val="-3.5714285714285712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6"/>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solidFill>
                <a:schemeClr val="bg1"/>
              </a:solid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Hoja1!$A$2:$A$9</c:f>
              <c:strCache>
                <c:ptCount val="8"/>
                <c:pt idx="0">
                  <c:v>Ignorar la situación</c:v>
                </c:pt>
                <c:pt idx="1">
                  <c:v>Cambiar las conductas propias que provocan el problema porque se reconocen los errores </c:v>
                </c:pt>
                <c:pt idx="2">
                  <c:v>Tratar de llegar a un acuerdo que satisfaga a ambos</c:v>
                </c:pt>
                <c:pt idx="3">
                  <c:v>Ceder ante lo que el otro quiere</c:v>
                </c:pt>
                <c:pt idx="4">
                  <c:v>Presionar e imponer al otro</c:v>
                </c:pt>
                <c:pt idx="5">
                  <c:v>Cumplir con la demanda del otro a cambio de algo más</c:v>
                </c:pt>
                <c:pt idx="6">
                  <c:v>Esperar a que pase un tiempo para hablar</c:v>
                </c:pt>
                <c:pt idx="7">
                  <c:v>Entender las causas del conflicto y las emociones de ambos</c:v>
                </c:pt>
              </c:strCache>
            </c:strRef>
          </c:cat>
          <c:val>
            <c:numRef>
              <c:f>Hoja1!$E$2:$E$9</c:f>
              <c:numCache>
                <c:formatCode>General</c:formatCode>
                <c:ptCount val="8"/>
                <c:pt idx="0">
                  <c:v>5.0999999999999996</c:v>
                </c:pt>
                <c:pt idx="1">
                  <c:v>38.5</c:v>
                </c:pt>
                <c:pt idx="2">
                  <c:v>37.9</c:v>
                </c:pt>
                <c:pt idx="3">
                  <c:v>8.6999999999999993</c:v>
                </c:pt>
                <c:pt idx="4">
                  <c:v>6.6</c:v>
                </c:pt>
                <c:pt idx="5">
                  <c:v>11</c:v>
                </c:pt>
                <c:pt idx="6">
                  <c:v>21.7</c:v>
                </c:pt>
                <c:pt idx="7">
                  <c:v>38</c:v>
                </c:pt>
              </c:numCache>
            </c:numRef>
          </c:val>
        </c:ser>
        <c:ser>
          <c:idx val="4"/>
          <c:order val="4"/>
          <c:tx>
            <c:strRef>
              <c:f>Hoja1!$F$1</c:f>
              <c:strCache>
                <c:ptCount val="1"/>
                <c:pt idx="0">
                  <c:v>Siempre</c:v>
                </c:pt>
              </c:strCache>
            </c:strRef>
          </c:tx>
          <c:spPr>
            <a:pattFill prst="pct60">
              <a:fgClr>
                <a:schemeClr val="tx1">
                  <a:lumMod val="65000"/>
                  <a:lumOff val="35000"/>
                </a:schemeClr>
              </a:fgClr>
              <a:bgClr>
                <a:schemeClr val="bg1"/>
              </a:bgClr>
            </a:pattFill>
            <a:ln>
              <a:noFill/>
            </a:ln>
            <a:effectLst/>
          </c:spPr>
          <c:invertIfNegative val="0"/>
          <c:dLbls>
            <c:dLbl>
              <c:idx val="0"/>
              <c:layout>
                <c:manualLayout>
                  <c:x val="1.1574074074074073E-2"/>
                  <c:y val="-3.96825396825396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1"/>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2"/>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3"/>
              <c:layout>
                <c:manualLayout>
                  <c:x val="0"/>
                  <c:y val="-3.968253968253968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4"/>
              <c:layout>
                <c:manualLayout>
                  <c:x val="6.9444444444444441E-3"/>
                  <c:y val="-3.5714285714285712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5"/>
              <c:layout>
                <c:manualLayout>
                  <c:x val="4.6296296296296294E-3"/>
                  <c:y val="-3.9682539682539722E-2"/>
                </c:manualLayout>
              </c:layout>
              <c:spPr>
                <a:no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extLst>
            </c:dLbl>
            <c:dLbl>
              <c:idx val="6"/>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dLbl>
              <c:idx val="7"/>
              <c:spPr>
                <a:solidFill>
                  <a:schemeClr val="bg1"/>
                </a:solidFill>
                <a:ln>
                  <a:noFill/>
                </a:ln>
                <a:effectLst/>
              </c:spPr>
              <c:txPr>
                <a:bodyPr wrap="square" lIns="38100" tIns="19050" rIns="38100" bIns="19050" anchor="ctr">
                  <a:noAutofit/>
                </a:bodyPr>
                <a:lstStyle/>
                <a:p>
                  <a:pPr>
                    <a:defRPr sz="900"/>
                  </a:pPr>
                  <a:endParaRPr lang="es-ES"/>
                </a:p>
              </c:txPr>
              <c:dLblPos val="ctr"/>
              <c:showLegendKey val="0"/>
              <c:showVal val="1"/>
              <c:showCatName val="0"/>
              <c:showSerName val="0"/>
              <c:showPercent val="0"/>
              <c:showBubbleSize val="0"/>
              <c:extLst>
                <c:ext xmlns:c15="http://schemas.microsoft.com/office/drawing/2012/chart" uri="{CE6537A1-D6FC-4f65-9D91-7224C49458BB}">
                  <c15:spPr xmlns:c15="http://schemas.microsoft.com/office/drawing/2012/chart">
                    <a:prstGeom prst="rect">
                      <a:avLst/>
                    </a:prstGeom>
                  </c15:spPr>
                </c:ext>
              </c:extLst>
            </c:dLbl>
            <c:spPr>
              <a:solidFill>
                <a:schemeClr val="bg1"/>
              </a:solidFill>
              <a:ln>
                <a:noFill/>
              </a:ln>
              <a:effectLst/>
            </c:spPr>
            <c:txPr>
              <a:bodyPr wrap="square" lIns="38100" tIns="19050" rIns="38100" bIns="19050" anchor="ctr">
                <a:spAutoFit/>
              </a:bodyPr>
              <a:lstStyle/>
              <a:p>
                <a:pPr>
                  <a:defRPr sz="900"/>
                </a:pPr>
                <a:endParaRPr lang="es-E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Hoja1!$A$2:$A$9</c:f>
              <c:strCache>
                <c:ptCount val="8"/>
                <c:pt idx="0">
                  <c:v>Ignorar la situación</c:v>
                </c:pt>
                <c:pt idx="1">
                  <c:v>Cambiar las conductas propias que provocan el problema porque se reconocen los errores </c:v>
                </c:pt>
                <c:pt idx="2">
                  <c:v>Tratar de llegar a un acuerdo que satisfaga a ambos</c:v>
                </c:pt>
                <c:pt idx="3">
                  <c:v>Ceder ante lo que el otro quiere</c:v>
                </c:pt>
                <c:pt idx="4">
                  <c:v>Presionar e imponer al otro</c:v>
                </c:pt>
                <c:pt idx="5">
                  <c:v>Cumplir con la demanda del otro a cambio de algo más</c:v>
                </c:pt>
                <c:pt idx="6">
                  <c:v>Esperar a que pase un tiempo para hablar</c:v>
                </c:pt>
                <c:pt idx="7">
                  <c:v>Entender las causas del conflicto y las emociones de ambos</c:v>
                </c:pt>
              </c:strCache>
            </c:strRef>
          </c:cat>
          <c:val>
            <c:numRef>
              <c:f>Hoja1!$F$2:$F$9</c:f>
              <c:numCache>
                <c:formatCode>General</c:formatCode>
                <c:ptCount val="8"/>
                <c:pt idx="0">
                  <c:v>2.9</c:v>
                </c:pt>
                <c:pt idx="1">
                  <c:v>16.3</c:v>
                </c:pt>
                <c:pt idx="2">
                  <c:v>38.6</c:v>
                </c:pt>
                <c:pt idx="3">
                  <c:v>6.5</c:v>
                </c:pt>
                <c:pt idx="4">
                  <c:v>0.7</c:v>
                </c:pt>
                <c:pt idx="5">
                  <c:v>0.4</c:v>
                </c:pt>
                <c:pt idx="6">
                  <c:v>14.5</c:v>
                </c:pt>
                <c:pt idx="7">
                  <c:v>30.7</c:v>
                </c:pt>
              </c:numCache>
            </c:numRef>
          </c:val>
        </c:ser>
        <c:dLbls>
          <c:dLblPos val="ctr"/>
          <c:showLegendKey val="0"/>
          <c:showVal val="1"/>
          <c:showCatName val="0"/>
          <c:showSerName val="0"/>
          <c:showPercent val="0"/>
          <c:showBubbleSize val="0"/>
        </c:dLbls>
        <c:gapWidth val="150"/>
        <c:overlap val="100"/>
        <c:axId val="1654409120"/>
        <c:axId val="1654407488"/>
      </c:barChart>
      <c:catAx>
        <c:axId val="16544091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mn-lt"/>
                <a:ea typeface="+mn-ea"/>
                <a:cs typeface="+mn-cs"/>
              </a:defRPr>
            </a:pPr>
            <a:endParaRPr lang="es-ES"/>
          </a:p>
        </c:txPr>
        <c:crossAx val="1654407488"/>
        <c:crosses val="autoZero"/>
        <c:auto val="1"/>
        <c:lblAlgn val="ctr"/>
        <c:lblOffset val="100"/>
        <c:noMultiLvlLbl val="0"/>
      </c:catAx>
      <c:valAx>
        <c:axId val="1654407488"/>
        <c:scaling>
          <c:orientation val="minMax"/>
        </c:scaling>
        <c:delete val="1"/>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crossAx val="165440912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E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E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Sacarse las cejas</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55555555555555558"/>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25"/>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17.2</c:v>
                </c:pt>
                <c:pt idx="1">
                  <c:v>65</c:v>
                </c:pt>
              </c:numCache>
            </c:numRef>
          </c:val>
        </c:ser>
        <c:dLbls>
          <c:dLblPos val="outEnd"/>
          <c:showLegendKey val="0"/>
          <c:showVal val="1"/>
          <c:showCatName val="0"/>
          <c:showSerName val="0"/>
          <c:showPercent val="0"/>
          <c:showBubbleSize val="0"/>
        </c:dLbls>
        <c:gapWidth val="37"/>
        <c:axId val="1657793728"/>
        <c:axId val="1657796992"/>
      </c:barChart>
      <c:catAx>
        <c:axId val="1657793728"/>
        <c:scaling>
          <c:orientation val="minMax"/>
        </c:scaling>
        <c:delete val="1"/>
        <c:axPos val="l"/>
        <c:numFmt formatCode="General" sourceLinked="1"/>
        <c:majorTickMark val="none"/>
        <c:minorTickMark val="none"/>
        <c:tickLblPos val="nextTo"/>
        <c:crossAx val="1657796992"/>
        <c:crosses val="autoZero"/>
        <c:auto val="1"/>
        <c:lblAlgn val="ctr"/>
        <c:lblOffset val="100"/>
        <c:noMultiLvlLbl val="0"/>
      </c:catAx>
      <c:valAx>
        <c:axId val="1657796992"/>
        <c:scaling>
          <c:orientation val="minMax"/>
        </c:scaling>
        <c:delete val="1"/>
        <c:axPos val="b"/>
        <c:numFmt formatCode="General" sourceLinked="1"/>
        <c:majorTickMark val="none"/>
        <c:minorTickMark val="none"/>
        <c:tickLblPos val="nextTo"/>
        <c:crossAx val="16577937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Pintarse las uñas</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70833333333333337"/>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26388888888888878"/>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3.4</c:v>
                </c:pt>
                <c:pt idx="1">
                  <c:v>63.7</c:v>
                </c:pt>
              </c:numCache>
            </c:numRef>
          </c:val>
        </c:ser>
        <c:dLbls>
          <c:dLblPos val="outEnd"/>
          <c:showLegendKey val="0"/>
          <c:showVal val="1"/>
          <c:showCatName val="0"/>
          <c:showSerName val="0"/>
          <c:showPercent val="0"/>
          <c:showBubbleSize val="0"/>
        </c:dLbls>
        <c:gapWidth val="37"/>
        <c:axId val="1657800256"/>
        <c:axId val="1657801888"/>
      </c:barChart>
      <c:catAx>
        <c:axId val="1657800256"/>
        <c:scaling>
          <c:orientation val="minMax"/>
        </c:scaling>
        <c:delete val="1"/>
        <c:axPos val="l"/>
        <c:numFmt formatCode="General" sourceLinked="1"/>
        <c:majorTickMark val="none"/>
        <c:minorTickMark val="none"/>
        <c:tickLblPos val="nextTo"/>
        <c:crossAx val="1657801888"/>
        <c:crosses val="autoZero"/>
        <c:auto val="1"/>
        <c:lblAlgn val="ctr"/>
        <c:lblOffset val="100"/>
        <c:noMultiLvlLbl val="0"/>
      </c:catAx>
      <c:valAx>
        <c:axId val="1657801888"/>
        <c:scaling>
          <c:orientation val="minMax"/>
        </c:scaling>
        <c:delete val="1"/>
        <c:axPos val="b"/>
        <c:numFmt formatCode="General" sourceLinked="1"/>
        <c:majorTickMark val="none"/>
        <c:minorTickMark val="none"/>
        <c:tickLblPos val="nextTo"/>
        <c:crossAx val="165780025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Tiene iniciativas sexuales</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3125"/>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47916666666666669"/>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51.7</c:v>
                </c:pt>
                <c:pt idx="1">
                  <c:v>35</c:v>
                </c:pt>
              </c:numCache>
            </c:numRef>
          </c:val>
        </c:ser>
        <c:dLbls>
          <c:dLblPos val="outEnd"/>
          <c:showLegendKey val="0"/>
          <c:showVal val="1"/>
          <c:showCatName val="0"/>
          <c:showSerName val="0"/>
          <c:showPercent val="0"/>
          <c:showBubbleSize val="0"/>
        </c:dLbls>
        <c:gapWidth val="37"/>
        <c:axId val="1652700400"/>
        <c:axId val="1652703120"/>
      </c:barChart>
      <c:catAx>
        <c:axId val="1652700400"/>
        <c:scaling>
          <c:orientation val="minMax"/>
        </c:scaling>
        <c:delete val="1"/>
        <c:axPos val="l"/>
        <c:numFmt formatCode="General" sourceLinked="1"/>
        <c:majorTickMark val="none"/>
        <c:minorTickMark val="none"/>
        <c:tickLblPos val="nextTo"/>
        <c:crossAx val="1652703120"/>
        <c:crosses val="autoZero"/>
        <c:auto val="1"/>
        <c:lblAlgn val="ctr"/>
        <c:lblOffset val="100"/>
        <c:noMultiLvlLbl val="0"/>
      </c:catAx>
      <c:valAx>
        <c:axId val="1652703120"/>
        <c:scaling>
          <c:orientation val="minMax"/>
        </c:scaling>
        <c:delete val="1"/>
        <c:axPos val="b"/>
        <c:numFmt formatCode="General" sourceLinked="1"/>
        <c:majorTickMark val="none"/>
        <c:minorTickMark val="none"/>
        <c:tickLblPos val="nextTo"/>
        <c:crossAx val="165270040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Prefiere las iniciativas sexuales de su pareja</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4.1666666666666664E-2"/>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20833333333333334"/>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37.9</c:v>
                </c:pt>
                <c:pt idx="1">
                  <c:v>30</c:v>
                </c:pt>
              </c:numCache>
            </c:numRef>
          </c:val>
        </c:ser>
        <c:dLbls>
          <c:dLblPos val="outEnd"/>
          <c:showLegendKey val="0"/>
          <c:showVal val="1"/>
          <c:showCatName val="0"/>
          <c:showSerName val="0"/>
          <c:showPercent val="0"/>
          <c:showBubbleSize val="0"/>
        </c:dLbls>
        <c:gapWidth val="37"/>
        <c:axId val="1652711280"/>
        <c:axId val="1652696048"/>
      </c:barChart>
      <c:catAx>
        <c:axId val="1652711280"/>
        <c:scaling>
          <c:orientation val="minMax"/>
        </c:scaling>
        <c:delete val="1"/>
        <c:axPos val="l"/>
        <c:numFmt formatCode="General" sourceLinked="1"/>
        <c:majorTickMark val="none"/>
        <c:minorTickMark val="none"/>
        <c:tickLblPos val="nextTo"/>
        <c:crossAx val="1652696048"/>
        <c:crosses val="autoZero"/>
        <c:auto val="1"/>
        <c:lblAlgn val="ctr"/>
        <c:lblOffset val="100"/>
        <c:noMultiLvlLbl val="0"/>
      </c:catAx>
      <c:valAx>
        <c:axId val="1652696048"/>
        <c:scaling>
          <c:orientation val="minMax"/>
        </c:scaling>
        <c:delete val="1"/>
        <c:axPos val="b"/>
        <c:numFmt formatCode="General" sourceLinked="1"/>
        <c:majorTickMark val="none"/>
        <c:minorTickMark val="none"/>
        <c:tickLblPos val="nextTo"/>
        <c:crossAx val="1652711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Corteja a su pareja</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18055555555555555"/>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34027777777777779"/>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76.599999999999994</c:v>
                </c:pt>
                <c:pt idx="1">
                  <c:v>60</c:v>
                </c:pt>
              </c:numCache>
            </c:numRef>
          </c:val>
        </c:ser>
        <c:dLbls>
          <c:dLblPos val="outEnd"/>
          <c:showLegendKey val="0"/>
          <c:showVal val="1"/>
          <c:showCatName val="0"/>
          <c:showSerName val="0"/>
          <c:showPercent val="0"/>
          <c:showBubbleSize val="0"/>
        </c:dLbls>
        <c:gapWidth val="37"/>
        <c:axId val="1652708560"/>
        <c:axId val="1652708016"/>
      </c:barChart>
      <c:catAx>
        <c:axId val="1652708560"/>
        <c:scaling>
          <c:orientation val="minMax"/>
        </c:scaling>
        <c:delete val="1"/>
        <c:axPos val="l"/>
        <c:numFmt formatCode="General" sourceLinked="1"/>
        <c:majorTickMark val="none"/>
        <c:minorTickMark val="none"/>
        <c:tickLblPos val="nextTo"/>
        <c:crossAx val="1652708016"/>
        <c:crosses val="autoZero"/>
        <c:auto val="1"/>
        <c:lblAlgn val="ctr"/>
        <c:lblOffset val="100"/>
        <c:noMultiLvlLbl val="0"/>
      </c:catAx>
      <c:valAx>
        <c:axId val="1652708016"/>
        <c:scaling>
          <c:orientation val="minMax"/>
        </c:scaling>
        <c:delete val="1"/>
        <c:axPos val="b"/>
        <c:numFmt formatCode="General" sourceLinked="1"/>
        <c:majorTickMark val="none"/>
        <c:minorTickMark val="none"/>
        <c:tickLblPos val="nextTo"/>
        <c:crossAx val="165270856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Hacerse cortejar</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52777777777777779"/>
                  <c:y val="-1.2101070328415043E-16"/>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3125"/>
                  <c:y val="-3.0252675821037609E-17"/>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74.099999999999994</c:v>
                </c:pt>
                <c:pt idx="1">
                  <c:v>80</c:v>
                </c:pt>
              </c:numCache>
            </c:numRef>
          </c:val>
        </c:ser>
        <c:dLbls>
          <c:dLblPos val="outEnd"/>
          <c:showLegendKey val="0"/>
          <c:showVal val="1"/>
          <c:showCatName val="0"/>
          <c:showSerName val="0"/>
          <c:showPercent val="0"/>
          <c:showBubbleSize val="0"/>
        </c:dLbls>
        <c:gapWidth val="37"/>
        <c:axId val="1652696592"/>
        <c:axId val="1652706384"/>
      </c:barChart>
      <c:catAx>
        <c:axId val="1652696592"/>
        <c:scaling>
          <c:orientation val="minMax"/>
        </c:scaling>
        <c:delete val="1"/>
        <c:axPos val="l"/>
        <c:numFmt formatCode="General" sourceLinked="1"/>
        <c:majorTickMark val="none"/>
        <c:minorTickMark val="none"/>
        <c:tickLblPos val="nextTo"/>
        <c:crossAx val="1652706384"/>
        <c:crosses val="autoZero"/>
        <c:auto val="1"/>
        <c:lblAlgn val="ctr"/>
        <c:lblOffset val="100"/>
        <c:noMultiLvlLbl val="0"/>
      </c:catAx>
      <c:valAx>
        <c:axId val="1652706384"/>
        <c:scaling>
          <c:orientation val="minMax"/>
        </c:scaling>
        <c:delete val="1"/>
        <c:axPos val="b"/>
        <c:numFmt formatCode="General" sourceLinked="1"/>
        <c:majorTickMark val="none"/>
        <c:minorTickMark val="none"/>
        <c:tickLblPos val="nextTo"/>
        <c:crossAx val="165269659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Realiza labores domésticas</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0.38194444444444431"/>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11130304024496938"/>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47.4</c:v>
                </c:pt>
                <c:pt idx="1">
                  <c:v>84.8</c:v>
                </c:pt>
              </c:numCache>
            </c:numRef>
          </c:val>
        </c:ser>
        <c:dLbls>
          <c:dLblPos val="outEnd"/>
          <c:showLegendKey val="0"/>
          <c:showVal val="1"/>
          <c:showCatName val="0"/>
          <c:showSerName val="0"/>
          <c:showPercent val="0"/>
          <c:showBubbleSize val="0"/>
        </c:dLbls>
        <c:gapWidth val="37"/>
        <c:axId val="1652709104"/>
        <c:axId val="1652697136"/>
      </c:barChart>
      <c:catAx>
        <c:axId val="1652709104"/>
        <c:scaling>
          <c:orientation val="minMax"/>
        </c:scaling>
        <c:delete val="1"/>
        <c:axPos val="l"/>
        <c:numFmt formatCode="General" sourceLinked="1"/>
        <c:majorTickMark val="none"/>
        <c:minorTickMark val="none"/>
        <c:tickLblPos val="nextTo"/>
        <c:crossAx val="1652697136"/>
        <c:crosses val="autoZero"/>
        <c:auto val="1"/>
        <c:lblAlgn val="ctr"/>
        <c:lblOffset val="100"/>
        <c:noMultiLvlLbl val="0"/>
      </c:catAx>
      <c:valAx>
        <c:axId val="1652697136"/>
        <c:scaling>
          <c:orientation val="minMax"/>
        </c:scaling>
        <c:delete val="1"/>
        <c:axPos val="b"/>
        <c:numFmt formatCode="General" sourceLinked="1"/>
        <c:majorTickMark val="none"/>
        <c:minorTickMark val="none"/>
        <c:tickLblPos val="nextTo"/>
        <c:crossAx val="1652709104"/>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1.8673969075265587E-2"/>
          <c:y val="4.7619031387315887E-2"/>
          <c:w val="0.73177389873709431"/>
          <c:h val="0.90476193722536824"/>
        </c:manualLayout>
      </c:layout>
      <c:barChart>
        <c:barDir val="bar"/>
        <c:grouping val="clustered"/>
        <c:varyColors val="0"/>
        <c:ser>
          <c:idx val="0"/>
          <c:order val="0"/>
          <c:tx>
            <c:strRef>
              <c:f>Sheet1!$B$1</c:f>
              <c:strCache>
                <c:ptCount val="1"/>
                <c:pt idx="0">
                  <c:v>Asume gastos económicos</c:v>
                </c:pt>
              </c:strCache>
            </c:strRef>
          </c:tx>
          <c:spPr>
            <a:solidFill>
              <a:schemeClr val="tx2">
                <a:lumMod val="75000"/>
                <a:lumOff val="25000"/>
              </a:schemeClr>
            </a:solidFill>
            <a:ln>
              <a:noFill/>
            </a:ln>
            <a:effectLst/>
          </c:spPr>
          <c:invertIfNegative val="0"/>
          <c:dPt>
            <c:idx val="0"/>
            <c:invertIfNegative val="0"/>
            <c:bubble3D val="0"/>
            <c:spPr>
              <a:blipFill>
                <a:blip xmlns:r="http://schemas.openxmlformats.org/officeDocument/2006/relationships" r:embed="rId3"/>
                <a:stretch>
                  <a:fillRect/>
                </a:stretch>
              </a:blipFill>
              <a:ln>
                <a:noFill/>
              </a:ln>
              <a:effectLst/>
            </c:spPr>
            <c:pictureOptions>
              <c:pictureFormat val="stack"/>
            </c:pictureOptions>
          </c:dPt>
          <c:dPt>
            <c:idx val="1"/>
            <c:invertIfNegative val="0"/>
            <c:bubble3D val="0"/>
            <c:spPr>
              <a:blipFill>
                <a:blip xmlns:r="http://schemas.openxmlformats.org/officeDocument/2006/relationships" r:embed="rId4"/>
                <a:stretch>
                  <a:fillRect/>
                </a:stretch>
              </a:blipFill>
              <a:ln>
                <a:noFill/>
              </a:ln>
              <a:effectLst/>
            </c:spPr>
            <c:pictureOptions>
              <c:pictureFormat val="stack"/>
            </c:pictureOptions>
          </c:dPt>
          <c:dLbls>
            <c:dLbl>
              <c:idx val="0"/>
              <c:layout>
                <c:manualLayout>
                  <c:x val="9.2649825021872259E-2"/>
                  <c:y val="0"/>
                </c:manualLayout>
              </c:layout>
              <c:dLblPos val="outEnd"/>
              <c:showLegendKey val="0"/>
              <c:showVal val="1"/>
              <c:showCatName val="0"/>
              <c:showSerName val="0"/>
              <c:showPercent val="0"/>
              <c:showBubbleSize val="0"/>
              <c:extLst>
                <c:ext xmlns:c15="http://schemas.microsoft.com/office/drawing/2012/chart" uri="{CE6537A1-D6FC-4f65-9D91-7224C49458BB}"/>
              </c:extLst>
            </c:dLbl>
            <c:dLbl>
              <c:idx val="1"/>
              <c:layout>
                <c:manualLayout>
                  <c:x val="0.48611111111111099"/>
                  <c:y val="0"/>
                </c:manualLayout>
              </c:layout>
              <c:dLblPos val="outEnd"/>
              <c:showLegendKey val="0"/>
              <c:showVal val="1"/>
              <c:showCatName val="0"/>
              <c:showSerName val="0"/>
              <c:showPercent val="0"/>
              <c:showBubbleSize val="0"/>
              <c:extLs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E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Sheet1!$A$2:$A$3</c:f>
              <c:strCache>
                <c:ptCount val="2"/>
                <c:pt idx="0">
                  <c:v>Male</c:v>
                </c:pt>
                <c:pt idx="1">
                  <c:v>Female</c:v>
                </c:pt>
              </c:strCache>
            </c:strRef>
          </c:cat>
          <c:val>
            <c:numRef>
              <c:f>Sheet1!$B$2:$B$3</c:f>
              <c:numCache>
                <c:formatCode>General</c:formatCode>
                <c:ptCount val="2"/>
                <c:pt idx="0">
                  <c:v>86.4</c:v>
                </c:pt>
                <c:pt idx="1">
                  <c:v>33.700000000000003</c:v>
                </c:pt>
              </c:numCache>
            </c:numRef>
          </c:val>
        </c:ser>
        <c:dLbls>
          <c:dLblPos val="outEnd"/>
          <c:showLegendKey val="0"/>
          <c:showVal val="1"/>
          <c:showCatName val="0"/>
          <c:showSerName val="0"/>
          <c:showPercent val="0"/>
          <c:showBubbleSize val="0"/>
        </c:dLbls>
        <c:gapWidth val="37"/>
        <c:axId val="1652706928"/>
        <c:axId val="1652709648"/>
      </c:barChart>
      <c:catAx>
        <c:axId val="1652706928"/>
        <c:scaling>
          <c:orientation val="minMax"/>
        </c:scaling>
        <c:delete val="1"/>
        <c:axPos val="l"/>
        <c:numFmt formatCode="General" sourceLinked="1"/>
        <c:majorTickMark val="none"/>
        <c:minorTickMark val="none"/>
        <c:tickLblPos val="nextTo"/>
        <c:crossAx val="1652709648"/>
        <c:crosses val="autoZero"/>
        <c:auto val="1"/>
        <c:lblAlgn val="ctr"/>
        <c:lblOffset val="100"/>
        <c:noMultiLvlLbl val="0"/>
      </c:catAx>
      <c:valAx>
        <c:axId val="1652709648"/>
        <c:scaling>
          <c:orientation val="minMax"/>
        </c:scaling>
        <c:delete val="1"/>
        <c:axPos val="b"/>
        <c:numFmt formatCode="General" sourceLinked="1"/>
        <c:majorTickMark val="none"/>
        <c:minorTickMark val="none"/>
        <c:tickLblPos val="nextTo"/>
        <c:crossAx val="165270692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s-ES"/>
    </a:p>
  </c:txPr>
  <c:externalData r:id="rId5">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5698</Words>
  <Characters>31344</Characters>
  <Application>Microsoft Office Word</Application>
  <DocSecurity>0</DocSecurity>
  <Lines>261</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36969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2020-11-26T21:33:00Z</dcterms:created>
  <dcterms:modified xsi:type="dcterms:W3CDTF">2020-11-26T21:34:00Z</dcterms:modified>
</cp:coreProperties>
</file>