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firstLine="708"/>
        <w:jc w:val="center"/>
        <w:rPr>
          <w:b w:val="1"/>
        </w:rPr>
      </w:pPr>
      <w:r w:rsidDel="00000000" w:rsidR="00000000" w:rsidRPr="00000000">
        <w:rPr>
          <w:rtl w:val="0"/>
        </w:rPr>
        <w:t xml:space="preserve"> </w:t>
      </w:r>
      <w:r w:rsidDel="00000000" w:rsidR="00000000" w:rsidRPr="00000000">
        <w:rPr>
          <w:b w:val="1"/>
          <w:rtl w:val="0"/>
        </w:rPr>
        <w:t xml:space="preserve">Structural analysis of the Beck Depression Inventory short version (BDI-13)</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i w:val="1"/>
          <w:sz w:val="28"/>
          <w:szCs w:val="28"/>
        </w:rPr>
      </w:pPr>
      <w:r w:rsidDel="00000000" w:rsidR="00000000" w:rsidRPr="00000000">
        <w:rPr>
          <w:i w:val="1"/>
          <w:sz w:val="28"/>
          <w:szCs w:val="28"/>
          <w:rtl w:val="0"/>
        </w:rPr>
        <w:t xml:space="preserve">Thais Emanuele Galdino Pessoa</w:t>
      </w:r>
    </w:p>
    <w:p w:rsidR="00000000" w:rsidDel="00000000" w:rsidP="00000000" w:rsidRDefault="00000000" w:rsidRPr="00000000" w14:paraId="00000004">
      <w:pPr>
        <w:rPr>
          <w:i w:val="1"/>
          <w:sz w:val="28"/>
          <w:szCs w:val="28"/>
        </w:rPr>
      </w:pPr>
      <w:hyperlink r:id="rId7">
        <w:r w:rsidDel="00000000" w:rsidR="00000000" w:rsidRPr="00000000">
          <w:rPr>
            <w:i w:val="1"/>
            <w:color w:val="0000ff"/>
            <w:sz w:val="28"/>
            <w:szCs w:val="28"/>
            <w:u w:val="single"/>
            <w:rtl w:val="0"/>
          </w:rPr>
          <w:t xml:space="preserve">https://orcid.org/0000-0001-7621-6789</w:t>
        </w:r>
      </w:hyperlink>
      <w:r w:rsidDel="00000000" w:rsidR="00000000" w:rsidRPr="00000000">
        <w:rPr>
          <w:i w:val="1"/>
          <w:sz w:val="28"/>
          <w:szCs w:val="28"/>
          <w:rtl w:val="0"/>
        </w:rPr>
        <w:t xml:space="preserve"> </w:t>
      </w:r>
    </w:p>
    <w:p w:rsidR="00000000" w:rsidDel="00000000" w:rsidP="00000000" w:rsidRDefault="00000000" w:rsidRPr="00000000" w14:paraId="00000005">
      <w:pPr>
        <w:rPr>
          <w:i w:val="1"/>
          <w:sz w:val="28"/>
          <w:szCs w:val="28"/>
        </w:rPr>
      </w:pPr>
      <w:r w:rsidDel="00000000" w:rsidR="00000000" w:rsidRPr="00000000">
        <w:rPr>
          <w:i w:val="1"/>
          <w:sz w:val="28"/>
          <w:szCs w:val="28"/>
          <w:rtl w:val="0"/>
        </w:rPr>
        <w:t xml:space="preserve">Universidade Federal da Paraíba, João Pessoa, Brasil.</w:t>
      </w:r>
    </w:p>
    <w:p w:rsidR="00000000" w:rsidDel="00000000" w:rsidP="00000000" w:rsidRDefault="00000000" w:rsidRPr="00000000" w14:paraId="00000006">
      <w:pPr>
        <w:rPr>
          <w:i w:val="1"/>
          <w:sz w:val="28"/>
          <w:szCs w:val="28"/>
        </w:rPr>
      </w:pPr>
      <w:r w:rsidDel="00000000" w:rsidR="00000000" w:rsidRPr="00000000">
        <w:rPr>
          <w:rtl w:val="0"/>
        </w:rPr>
      </w:r>
    </w:p>
    <w:p w:rsidR="00000000" w:rsidDel="00000000" w:rsidP="00000000" w:rsidRDefault="00000000" w:rsidRPr="00000000" w14:paraId="00000007">
      <w:pPr>
        <w:rPr>
          <w:i w:val="1"/>
          <w:sz w:val="28"/>
          <w:szCs w:val="28"/>
        </w:rPr>
      </w:pPr>
      <w:r w:rsidDel="00000000" w:rsidR="00000000" w:rsidRPr="00000000">
        <w:rPr>
          <w:i w:val="1"/>
          <w:sz w:val="28"/>
          <w:szCs w:val="28"/>
          <w:rtl w:val="0"/>
        </w:rPr>
        <w:t xml:space="preserve">Tamyres Tomaz Paiva</w:t>
      </w:r>
    </w:p>
    <w:p w:rsidR="00000000" w:rsidDel="00000000" w:rsidP="00000000" w:rsidRDefault="00000000" w:rsidRPr="00000000" w14:paraId="00000008">
      <w:pPr>
        <w:rPr>
          <w:i w:val="1"/>
          <w:sz w:val="28"/>
          <w:szCs w:val="28"/>
        </w:rPr>
      </w:pPr>
      <w:hyperlink r:id="rId8">
        <w:r w:rsidDel="00000000" w:rsidR="00000000" w:rsidRPr="00000000">
          <w:rPr>
            <w:i w:val="1"/>
            <w:color w:val="0000ff"/>
            <w:sz w:val="28"/>
            <w:szCs w:val="28"/>
            <w:u w:val="single"/>
            <w:rtl w:val="0"/>
          </w:rPr>
          <w:t xml:space="preserve">http://orcid.org/0000-0001-9415-0963</w:t>
        </w:r>
      </w:hyperlink>
      <w:r w:rsidDel="00000000" w:rsidR="00000000" w:rsidRPr="00000000">
        <w:rPr>
          <w:rtl w:val="0"/>
        </w:rPr>
      </w:r>
    </w:p>
    <w:p w:rsidR="00000000" w:rsidDel="00000000" w:rsidP="00000000" w:rsidRDefault="00000000" w:rsidRPr="00000000" w14:paraId="00000009">
      <w:pPr>
        <w:rPr>
          <w:i w:val="1"/>
          <w:sz w:val="28"/>
          <w:szCs w:val="28"/>
        </w:rPr>
      </w:pPr>
      <w:r w:rsidDel="00000000" w:rsidR="00000000" w:rsidRPr="00000000">
        <w:rPr>
          <w:i w:val="1"/>
          <w:sz w:val="28"/>
          <w:szCs w:val="28"/>
          <w:rtl w:val="0"/>
        </w:rPr>
        <w:t xml:space="preserve">Faculdade de Enfermagem Nova Esperança (FACENE), João Pessoa, Brasil.</w:t>
      </w:r>
    </w:p>
    <w:p w:rsidR="00000000" w:rsidDel="00000000" w:rsidP="00000000" w:rsidRDefault="00000000" w:rsidRPr="00000000" w14:paraId="0000000A">
      <w:pPr>
        <w:rPr>
          <w:i w:val="1"/>
          <w:sz w:val="28"/>
          <w:szCs w:val="28"/>
        </w:rPr>
      </w:pPr>
      <w:r w:rsidDel="00000000" w:rsidR="00000000" w:rsidRPr="00000000">
        <w:rPr>
          <w:rtl w:val="0"/>
        </w:rPr>
      </w:r>
    </w:p>
    <w:p w:rsidR="00000000" w:rsidDel="00000000" w:rsidP="00000000" w:rsidRDefault="00000000" w:rsidRPr="00000000" w14:paraId="0000000B">
      <w:pPr>
        <w:rPr>
          <w:i w:val="1"/>
          <w:sz w:val="28"/>
          <w:szCs w:val="28"/>
        </w:rPr>
      </w:pPr>
      <w:r w:rsidDel="00000000" w:rsidR="00000000" w:rsidRPr="00000000">
        <w:rPr>
          <w:i w:val="1"/>
          <w:sz w:val="28"/>
          <w:szCs w:val="28"/>
          <w:rtl w:val="0"/>
        </w:rPr>
        <w:t xml:space="preserve">Isabella Leandra Silva Santos</w:t>
      </w:r>
    </w:p>
    <w:p w:rsidR="00000000" w:rsidDel="00000000" w:rsidP="00000000" w:rsidRDefault="00000000" w:rsidRPr="00000000" w14:paraId="0000000C">
      <w:pPr>
        <w:rPr>
          <w:i w:val="1"/>
          <w:sz w:val="28"/>
          <w:szCs w:val="28"/>
        </w:rPr>
      </w:pPr>
      <w:hyperlink r:id="rId9">
        <w:r w:rsidDel="00000000" w:rsidR="00000000" w:rsidRPr="00000000">
          <w:rPr>
            <w:i w:val="1"/>
            <w:color w:val="0000ff"/>
            <w:sz w:val="28"/>
            <w:szCs w:val="28"/>
            <w:u w:val="single"/>
            <w:rtl w:val="0"/>
          </w:rPr>
          <w:t xml:space="preserve">http://orcid.org/0000-0002-6525-3733</w:t>
        </w:r>
      </w:hyperlink>
      <w:r w:rsidDel="00000000" w:rsidR="00000000" w:rsidRPr="00000000">
        <w:rPr>
          <w:rtl w:val="0"/>
        </w:rPr>
      </w:r>
    </w:p>
    <w:p w:rsidR="00000000" w:rsidDel="00000000" w:rsidP="00000000" w:rsidRDefault="00000000" w:rsidRPr="00000000" w14:paraId="0000000D">
      <w:pPr>
        <w:rPr>
          <w:i w:val="1"/>
          <w:sz w:val="28"/>
          <w:szCs w:val="28"/>
        </w:rPr>
      </w:pPr>
      <w:r w:rsidDel="00000000" w:rsidR="00000000" w:rsidRPr="00000000">
        <w:rPr>
          <w:i w:val="1"/>
          <w:sz w:val="28"/>
          <w:szCs w:val="28"/>
          <w:rtl w:val="0"/>
        </w:rPr>
        <w:t xml:space="preserve">Universidade Federal da Paraíba, João Pessoa, Brasil.</w:t>
      </w:r>
    </w:p>
    <w:p w:rsidR="00000000" w:rsidDel="00000000" w:rsidP="00000000" w:rsidRDefault="00000000" w:rsidRPr="00000000" w14:paraId="0000000E">
      <w:pPr>
        <w:rPr>
          <w:i w:val="1"/>
          <w:sz w:val="28"/>
          <w:szCs w:val="28"/>
        </w:rPr>
      </w:pPr>
      <w:r w:rsidDel="00000000" w:rsidR="00000000" w:rsidRPr="00000000">
        <w:rPr>
          <w:rtl w:val="0"/>
        </w:rPr>
      </w:r>
    </w:p>
    <w:p w:rsidR="00000000" w:rsidDel="00000000" w:rsidP="00000000" w:rsidRDefault="00000000" w:rsidRPr="00000000" w14:paraId="0000000F">
      <w:pPr>
        <w:rPr>
          <w:i w:val="1"/>
          <w:sz w:val="28"/>
          <w:szCs w:val="28"/>
        </w:rPr>
      </w:pPr>
      <w:r w:rsidDel="00000000" w:rsidR="00000000" w:rsidRPr="00000000">
        <w:rPr>
          <w:i w:val="1"/>
          <w:sz w:val="28"/>
          <w:szCs w:val="28"/>
          <w:rtl w:val="0"/>
        </w:rPr>
        <w:t xml:space="preserve">Carlos Eduardo Pimentel</w:t>
        <w:tab/>
      </w:r>
    </w:p>
    <w:p w:rsidR="00000000" w:rsidDel="00000000" w:rsidP="00000000" w:rsidRDefault="00000000" w:rsidRPr="00000000" w14:paraId="00000010">
      <w:pPr>
        <w:spacing w:line="360" w:lineRule="auto"/>
        <w:jc w:val="both"/>
        <w:rPr>
          <w:i w:val="1"/>
          <w:sz w:val="28"/>
          <w:szCs w:val="28"/>
        </w:rPr>
      </w:pPr>
      <w:hyperlink r:id="rId10">
        <w:r w:rsidDel="00000000" w:rsidR="00000000" w:rsidRPr="00000000">
          <w:rPr>
            <w:i w:val="1"/>
            <w:color w:val="0000ff"/>
            <w:sz w:val="28"/>
            <w:szCs w:val="28"/>
            <w:u w:val="single"/>
            <w:rtl w:val="0"/>
          </w:rPr>
          <w:t xml:space="preserve">https://orcid.org/0000-0003-3894-5790</w:t>
        </w:r>
      </w:hyperlink>
      <w:r w:rsidDel="00000000" w:rsidR="00000000" w:rsidRPr="00000000">
        <w:rPr>
          <w:rtl w:val="0"/>
        </w:rPr>
      </w:r>
    </w:p>
    <w:p w:rsidR="00000000" w:rsidDel="00000000" w:rsidP="00000000" w:rsidRDefault="00000000" w:rsidRPr="00000000" w14:paraId="00000011">
      <w:pPr>
        <w:spacing w:line="360" w:lineRule="auto"/>
        <w:jc w:val="both"/>
        <w:rPr>
          <w:i w:val="1"/>
          <w:sz w:val="28"/>
          <w:szCs w:val="28"/>
        </w:rPr>
      </w:pPr>
      <w:r w:rsidDel="00000000" w:rsidR="00000000" w:rsidRPr="00000000">
        <w:rPr>
          <w:i w:val="1"/>
          <w:sz w:val="28"/>
          <w:szCs w:val="28"/>
          <w:rtl w:val="0"/>
        </w:rPr>
        <w:t xml:space="preserve">Universidade Federal da Paraíba, João Pessoa, Brasil.</w:t>
      </w:r>
    </w:p>
    <w:p w:rsidR="00000000" w:rsidDel="00000000" w:rsidP="00000000" w:rsidRDefault="00000000" w:rsidRPr="00000000" w14:paraId="00000012">
      <w:pPr>
        <w:rPr>
          <w:i w:val="1"/>
          <w:sz w:val="28"/>
          <w:szCs w:val="28"/>
        </w:rPr>
      </w:pPr>
      <w:r w:rsidDel="00000000" w:rsidR="00000000" w:rsidRPr="00000000">
        <w:rPr>
          <w:rtl w:val="0"/>
        </w:rPr>
      </w:r>
    </w:p>
    <w:p w:rsidR="00000000" w:rsidDel="00000000" w:rsidP="00000000" w:rsidRDefault="00000000" w:rsidRPr="00000000" w14:paraId="00000013">
      <w:pPr>
        <w:rPr>
          <w:i w:val="1"/>
          <w:sz w:val="28"/>
          <w:szCs w:val="28"/>
        </w:rPr>
      </w:pPr>
      <w:r w:rsidDel="00000000" w:rsidR="00000000" w:rsidRPr="00000000">
        <w:rPr>
          <w:i w:val="1"/>
          <w:sz w:val="28"/>
          <w:szCs w:val="28"/>
          <w:rtl w:val="0"/>
        </w:rPr>
        <w:t xml:space="preserve">Tailson Evangelista Mariano</w:t>
      </w:r>
    </w:p>
    <w:p w:rsidR="00000000" w:rsidDel="00000000" w:rsidP="00000000" w:rsidRDefault="00000000" w:rsidRPr="00000000" w14:paraId="00000014">
      <w:pPr>
        <w:rPr>
          <w:i w:val="1"/>
          <w:sz w:val="28"/>
          <w:szCs w:val="28"/>
        </w:rPr>
      </w:pPr>
      <w:hyperlink r:id="rId11">
        <w:r w:rsidDel="00000000" w:rsidR="00000000" w:rsidRPr="00000000">
          <w:rPr>
            <w:i w:val="1"/>
            <w:color w:val="0000ff"/>
            <w:sz w:val="28"/>
            <w:szCs w:val="28"/>
            <w:u w:val="single"/>
            <w:rtl w:val="0"/>
          </w:rPr>
          <w:t xml:space="preserve">https://orcid.org/0000-0001-6716-0250</w:t>
        </w:r>
      </w:hyperlink>
      <w:r w:rsidDel="00000000" w:rsidR="00000000" w:rsidRPr="00000000">
        <w:rPr>
          <w:rtl w:val="0"/>
        </w:rPr>
      </w:r>
    </w:p>
    <w:p w:rsidR="00000000" w:rsidDel="00000000" w:rsidP="00000000" w:rsidRDefault="00000000" w:rsidRPr="00000000" w14:paraId="00000015">
      <w:pPr>
        <w:rPr>
          <w:i w:val="1"/>
          <w:sz w:val="28"/>
          <w:szCs w:val="28"/>
        </w:rPr>
      </w:pPr>
      <w:r w:rsidDel="00000000" w:rsidR="00000000" w:rsidRPr="00000000">
        <w:rPr>
          <w:i w:val="1"/>
          <w:sz w:val="28"/>
          <w:szCs w:val="28"/>
          <w:rtl w:val="0"/>
        </w:rPr>
        <w:t xml:space="preserve">Universidade Católica de Pernambuco, Recife, Brasil.</w:t>
      </w:r>
    </w:p>
    <w:p w:rsidR="00000000" w:rsidDel="00000000" w:rsidP="00000000" w:rsidRDefault="00000000" w:rsidRPr="00000000" w14:paraId="00000016">
      <w:pPr>
        <w:rPr>
          <w:i w:val="1"/>
          <w:sz w:val="28"/>
          <w:szCs w:val="28"/>
        </w:rPr>
      </w:pPr>
      <w:r w:rsidDel="00000000" w:rsidR="00000000" w:rsidRPr="00000000">
        <w:rPr>
          <w:rtl w:val="0"/>
        </w:rPr>
      </w:r>
    </w:p>
    <w:p w:rsidR="00000000" w:rsidDel="00000000" w:rsidP="00000000" w:rsidRDefault="00000000" w:rsidRPr="00000000" w14:paraId="00000017">
      <w:pPr>
        <w:rPr>
          <w:i w:val="1"/>
          <w:sz w:val="28"/>
          <w:szCs w:val="28"/>
        </w:rPr>
      </w:pPr>
      <w:r w:rsidDel="00000000" w:rsidR="00000000" w:rsidRPr="00000000">
        <w:rPr>
          <w:rtl w:val="0"/>
        </w:rPr>
      </w:r>
    </w:p>
    <w:p w:rsidR="00000000" w:rsidDel="00000000" w:rsidP="00000000" w:rsidRDefault="00000000" w:rsidRPr="00000000" w14:paraId="00000018">
      <w:pPr>
        <w:rPr>
          <w:sz w:val="28"/>
          <w:szCs w:val="28"/>
        </w:rPr>
      </w:pPr>
      <w:r w:rsidDel="00000000" w:rsidR="00000000" w:rsidRPr="00000000">
        <w:rPr>
          <w:sz w:val="28"/>
          <w:szCs w:val="28"/>
          <w:rtl w:val="0"/>
        </w:rPr>
        <w:t xml:space="preserve">Notas de autor:</w:t>
      </w:r>
    </w:p>
    <w:p w:rsidR="00000000" w:rsidDel="00000000" w:rsidP="00000000" w:rsidRDefault="00000000" w:rsidRPr="00000000" w14:paraId="00000019">
      <w:pPr>
        <w:spacing w:before="240" w:lineRule="auto"/>
        <w:jc w:val="both"/>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Correspondence about this article should be addressed to Thais Emanuele Pessoa: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thaisgaldino@live.com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Conflicts of Interest: The authors declare that the research was conducted in the absence of any commercial or financial relationships that could be construed as a potential conflict of interest.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righ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righ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Received: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2020-12-29</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righ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Accepted: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2022-04-22</w:t>
      </w:r>
    </w:p>
    <w:p w:rsidR="00000000" w:rsidDel="00000000" w:rsidP="00000000" w:rsidRDefault="00000000" w:rsidRPr="00000000" w14:paraId="0000001F">
      <w:pPr>
        <w:rPr>
          <w:i w:val="1"/>
          <w:sz w:val="28"/>
          <w:szCs w:val="28"/>
        </w:rPr>
      </w:pPr>
      <w:r w:rsidDel="00000000" w:rsidR="00000000" w:rsidRPr="00000000">
        <w:rPr>
          <w:rtl w:val="0"/>
        </w:rPr>
      </w:r>
    </w:p>
    <w:p w:rsidR="00000000" w:rsidDel="00000000" w:rsidP="00000000" w:rsidRDefault="00000000" w:rsidRPr="00000000" w14:paraId="00000020">
      <w:pPr>
        <w:rPr>
          <w:rFonts w:ascii="Times" w:cs="Times" w:eastAsia="Times" w:hAnsi="Times"/>
          <w:i w:val="1"/>
          <w:sz w:val="28"/>
          <w:szCs w:val="28"/>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43196</wp:posOffset>
                </wp:positionV>
                <wp:extent cx="6197600" cy="38100"/>
                <wp:effectExtent b="0" l="0" r="0" t="0"/>
                <wp:wrapNone/>
                <wp:docPr id="5" name=""/>
                <a:graphic>
                  <a:graphicData uri="http://schemas.microsoft.com/office/word/2010/wordprocessingShape">
                    <wps:wsp>
                      <wps:cNvCnPr/>
                      <wps:spPr>
                        <a:xfrm>
                          <a:off x="2259900" y="3780000"/>
                          <a:ext cx="6172200" cy="0"/>
                        </a:xfrm>
                        <a:prstGeom prst="straightConnector1">
                          <a:avLst/>
                        </a:pr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43196</wp:posOffset>
                </wp:positionV>
                <wp:extent cx="6197600" cy="38100"/>
                <wp:effectExtent b="0" l="0" r="0" t="0"/>
                <wp:wrapNone/>
                <wp:docPr id="5"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6197600" cy="38100"/>
                        </a:xfrm>
                        <a:prstGeom prst="rect"/>
                        <a:ln/>
                      </pic:spPr>
                    </pic:pic>
                  </a:graphicData>
                </a:graphic>
              </wp:anchor>
            </w:drawing>
          </mc:Fallback>
        </mc:AlternateContent>
      </w:r>
    </w:p>
    <w:p w:rsidR="00000000" w:rsidDel="00000000" w:rsidP="00000000" w:rsidRDefault="00000000" w:rsidRPr="00000000" w14:paraId="00000021">
      <w:pPr>
        <w:rPr>
          <w:b w:val="1"/>
          <w:sz w:val="20"/>
          <w:szCs w:val="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line="360" w:lineRule="auto"/>
        <w:jc w:val="center"/>
        <w:rPr>
          <w:b w:val="1"/>
          <w:smallCaps w:val="1"/>
          <w:sz w:val="20"/>
          <w:szCs w:val="20"/>
        </w:rPr>
      </w:pPr>
      <w:r w:rsidDel="00000000" w:rsidR="00000000" w:rsidRPr="00000000">
        <w:rPr>
          <w:b w:val="1"/>
          <w:smallCaps w:val="1"/>
          <w:sz w:val="20"/>
          <w:szCs w:val="20"/>
          <w:rtl w:val="0"/>
        </w:rPr>
        <w:t xml:space="preserve">Abstract</w:t>
      </w:r>
    </w:p>
    <w:p w:rsidR="00000000" w:rsidDel="00000000" w:rsidP="00000000" w:rsidRDefault="00000000" w:rsidRPr="00000000" w14:paraId="00000023">
      <w:pPr>
        <w:spacing w:line="360" w:lineRule="auto"/>
        <w:jc w:val="both"/>
        <w:rPr>
          <w:sz w:val="20"/>
          <w:szCs w:val="20"/>
        </w:rPr>
      </w:pPr>
      <w:bookmarkStart w:colFirst="0" w:colLast="0" w:name="_heading=h.gjdgxs" w:id="0"/>
      <w:bookmarkEnd w:id="0"/>
      <w:r w:rsidDel="00000000" w:rsidR="00000000" w:rsidRPr="00000000">
        <w:rPr>
          <w:rtl w:val="0"/>
        </w:rPr>
        <w:t xml:space="preserve">Depression is known as the disease of the century, being one of the most common mental disorders nowadays. We aimed to validate the reduced version of the Beck Depression Inventory (BDI-13) for Brazilian Portuguese. To achieve this goal, we conducted two studies. The first study (N = 268) had the purpose of knowing the exploratory factorial structure of the BDI-13 through the analysis of the main components, as well as the analysis of internal consistency. The results showed a one-dimensional structure comprising the 13 items. The second study (N = 250) aimed to confirm the structure present in the first study, testing alternative models of factorial structures, through confirmatory factor analysis. The results indicated that the most suitable model is the three-dimensional model, presenting the best fit indexes. The present scale presented factor validity as well as adequate internal consistency for research purposes. </w:t>
      </w:r>
      <w:r w:rsidDel="00000000" w:rsidR="00000000" w:rsidRPr="00000000">
        <w:rPr>
          <w:rtl w:val="0"/>
        </w:rPr>
      </w:r>
    </w:p>
    <w:p w:rsidR="00000000" w:rsidDel="00000000" w:rsidP="00000000" w:rsidRDefault="00000000" w:rsidRPr="00000000" w14:paraId="00000024">
      <w:pPr>
        <w:spacing w:line="360" w:lineRule="auto"/>
        <w:rPr>
          <w:b w:val="1"/>
          <w:sz w:val="20"/>
          <w:szCs w:val="20"/>
        </w:rPr>
      </w:pPr>
      <w:r w:rsidDel="00000000" w:rsidR="00000000" w:rsidRPr="00000000">
        <w:rPr>
          <w:i w:val="1"/>
          <w:sz w:val="20"/>
          <w:szCs w:val="20"/>
          <w:rtl w:val="0"/>
        </w:rPr>
        <w:t xml:space="preserve">Keywords:</w:t>
      </w:r>
      <w:r w:rsidDel="00000000" w:rsidR="00000000" w:rsidRPr="00000000">
        <w:rPr>
          <w:b w:val="1"/>
          <w:sz w:val="20"/>
          <w:szCs w:val="20"/>
          <w:rtl w:val="0"/>
        </w:rPr>
        <w:t xml:space="preserve"> </w:t>
      </w:r>
      <w:r w:rsidDel="00000000" w:rsidR="00000000" w:rsidRPr="00000000">
        <w:rPr>
          <w:sz w:val="20"/>
          <w:szCs w:val="20"/>
          <w:rtl w:val="0"/>
        </w:rPr>
        <w:t xml:space="preserve">d</w:t>
      </w:r>
      <w:r w:rsidDel="00000000" w:rsidR="00000000" w:rsidRPr="00000000">
        <w:rPr>
          <w:rtl w:val="0"/>
        </w:rPr>
        <w:t xml:space="preserve">epression inventory; depression; factorial validation; three-dimensional.</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line="360" w:lineRule="auto"/>
        <w:jc w:val="center"/>
        <w:rPr>
          <w:b w:val="1"/>
          <w:smallCaps w:val="1"/>
          <w:sz w:val="20"/>
          <w:szCs w:val="2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line="360" w:lineRule="auto"/>
        <w:jc w:val="center"/>
        <w:rPr>
          <w:b w:val="1"/>
          <w:smallCaps w:val="1"/>
          <w:sz w:val="20"/>
          <w:szCs w:val="20"/>
        </w:rPr>
      </w:pPr>
      <w:r w:rsidDel="00000000" w:rsidR="00000000" w:rsidRPr="00000000">
        <w:rPr>
          <w:b w:val="1"/>
          <w:smallCaps w:val="1"/>
          <w:sz w:val="20"/>
          <w:szCs w:val="20"/>
          <w:rtl w:val="0"/>
        </w:rPr>
        <w:t xml:space="preserve">Resumo </w:t>
      </w:r>
    </w:p>
    <w:p w:rsidR="00000000" w:rsidDel="00000000" w:rsidP="00000000" w:rsidRDefault="00000000" w:rsidRPr="00000000" w14:paraId="00000027">
      <w:pPr>
        <w:spacing w:line="360" w:lineRule="auto"/>
        <w:ind w:firstLine="709"/>
        <w:jc w:val="both"/>
        <w:rPr>
          <w:sz w:val="20"/>
          <w:szCs w:val="20"/>
        </w:rPr>
      </w:pPr>
      <w:r w:rsidDel="00000000" w:rsidR="00000000" w:rsidRPr="00000000">
        <w:rPr>
          <w:highlight w:val="white"/>
          <w:rtl w:val="0"/>
        </w:rPr>
        <w:t xml:space="preserve">A depressão é conhecida como doença do século, é caracterizado como um dos transtornos mentais mais frequentes da atualidade</w:t>
      </w:r>
      <w:r w:rsidDel="00000000" w:rsidR="00000000" w:rsidRPr="00000000">
        <w:rPr>
          <w:rtl w:val="0"/>
        </w:rPr>
        <w:t xml:space="preserve">. Objetivamos validar para o português a versão reduzida do Inventário de Depressão de Beck (BDI-13). Para atingir o presente objetivo, realizamos dois estudos. O primeiro estudo (N= 268) teve a finalidade de conhecer a estrutura fatorial exploratória do BDI-13 por meio da análise dos componentes principais, bem como a análise de consistência interna. Os resultados demonstraram uma estrutura unidimensional comportando os 13 itens. O segundo estudo (N = 250) teve a finalidade de confirmar a estrutura presente no primeiro estudo, testando modelos alternativos das estruturas fatoriais, por meio da análise fatorial confirmatória</w:t>
      </w:r>
      <w:r w:rsidDel="00000000" w:rsidR="00000000" w:rsidRPr="00000000">
        <w:rPr>
          <w:i w:val="1"/>
          <w:rtl w:val="0"/>
        </w:rPr>
        <w:t xml:space="preserve">. </w:t>
      </w:r>
      <w:r w:rsidDel="00000000" w:rsidR="00000000" w:rsidRPr="00000000">
        <w:rPr>
          <w:rtl w:val="0"/>
        </w:rPr>
        <w:t xml:space="preserve">Os resultados indicaram que o modelo mais adequado é o modelo tridimensional, apresentando os melhores índices de ajuste. A presente escala apresentou validade fatorial bem como consistência interna adequada para fins de pesquisa. </w:t>
      </w:r>
      <w:r w:rsidDel="00000000" w:rsidR="00000000" w:rsidRPr="00000000">
        <w:rPr>
          <w:rtl w:val="0"/>
        </w:rPr>
      </w:r>
    </w:p>
    <w:p w:rsidR="00000000" w:rsidDel="00000000" w:rsidP="00000000" w:rsidRDefault="00000000" w:rsidRPr="00000000" w14:paraId="00000028">
      <w:pPr>
        <w:spacing w:line="360" w:lineRule="auto"/>
        <w:jc w:val="both"/>
        <w:rPr>
          <w:b w:val="1"/>
          <w:sz w:val="20"/>
          <w:szCs w:val="20"/>
        </w:rPr>
      </w:pPr>
      <w:r w:rsidDel="00000000" w:rsidR="00000000" w:rsidRPr="00000000">
        <w:rPr>
          <w:i w:val="1"/>
          <w:sz w:val="20"/>
          <w:szCs w:val="20"/>
          <w:rtl w:val="0"/>
        </w:rPr>
        <w:t xml:space="preserve">Palavras-chave:</w:t>
      </w:r>
      <w:r w:rsidDel="00000000" w:rsidR="00000000" w:rsidRPr="00000000">
        <w:rPr>
          <w:b w:val="1"/>
          <w:sz w:val="20"/>
          <w:szCs w:val="20"/>
          <w:rtl w:val="0"/>
        </w:rPr>
        <w:t xml:space="preserve"> </w:t>
      </w:r>
      <w:r w:rsidDel="00000000" w:rsidR="00000000" w:rsidRPr="00000000">
        <w:rPr>
          <w:rtl w:val="0"/>
        </w:rPr>
        <w:t xml:space="preserve">inventário de depressão; depressão; validação fatorial; tridimensional. </w:t>
      </w:r>
      <w:r w:rsidDel="00000000" w:rsidR="00000000" w:rsidRPr="00000000">
        <w:rPr>
          <w:rtl w:val="0"/>
        </w:rPr>
      </w:r>
    </w:p>
    <w:p w:rsidR="00000000" w:rsidDel="00000000" w:rsidP="00000000" w:rsidRDefault="00000000" w:rsidRPr="00000000" w14:paraId="00000029">
      <w:pPr>
        <w:spacing w:line="360" w:lineRule="auto"/>
        <w:jc w:val="both"/>
        <w:rPr>
          <w:sz w:val="20"/>
          <w:szCs w:val="20"/>
        </w:rPr>
      </w:pPr>
      <w:r w:rsidDel="00000000" w:rsidR="00000000" w:rsidRPr="00000000">
        <w:rPr>
          <w:rtl w:val="0"/>
        </w:rPr>
      </w:r>
    </w:p>
    <w:p w:rsidR="00000000" w:rsidDel="00000000" w:rsidP="00000000" w:rsidRDefault="00000000" w:rsidRPr="00000000" w14:paraId="0000002A">
      <w:pPr>
        <w:spacing w:line="360" w:lineRule="auto"/>
        <w:jc w:val="center"/>
        <w:rPr>
          <w:b w:val="1"/>
        </w:rPr>
      </w:pPr>
      <w:r w:rsidDel="00000000" w:rsidR="00000000" w:rsidRPr="00000000">
        <w:rPr>
          <w:rtl w:val="0"/>
        </w:rPr>
      </w:r>
    </w:p>
    <w:p w:rsidR="00000000" w:rsidDel="00000000" w:rsidP="00000000" w:rsidRDefault="00000000" w:rsidRPr="00000000" w14:paraId="0000002B">
      <w:pPr>
        <w:spacing w:line="360" w:lineRule="auto"/>
        <w:jc w:val="center"/>
        <w:rPr>
          <w:b w:val="1"/>
        </w:rPr>
      </w:pPr>
      <w:r w:rsidDel="00000000" w:rsidR="00000000" w:rsidRPr="00000000">
        <w:rPr>
          <w:rtl w:val="0"/>
        </w:rPr>
      </w:r>
    </w:p>
    <w:p w:rsidR="00000000" w:rsidDel="00000000" w:rsidP="00000000" w:rsidRDefault="00000000" w:rsidRPr="00000000" w14:paraId="0000002C">
      <w:pPr>
        <w:spacing w:line="360" w:lineRule="auto"/>
        <w:jc w:val="center"/>
        <w:rPr>
          <w:b w:val="1"/>
        </w:rPr>
      </w:pPr>
      <w:r w:rsidDel="00000000" w:rsidR="00000000" w:rsidRPr="00000000">
        <w:rPr>
          <w:rtl w:val="0"/>
        </w:rPr>
      </w:r>
    </w:p>
    <w:p w:rsidR="00000000" w:rsidDel="00000000" w:rsidP="00000000" w:rsidRDefault="00000000" w:rsidRPr="00000000" w14:paraId="0000002D">
      <w:pPr>
        <w:spacing w:line="360" w:lineRule="auto"/>
        <w:jc w:val="center"/>
        <w:rPr>
          <w:b w:val="1"/>
        </w:rPr>
      </w:pPr>
      <w:r w:rsidDel="00000000" w:rsidR="00000000" w:rsidRPr="00000000">
        <w:rPr>
          <w:rtl w:val="0"/>
        </w:rPr>
      </w:r>
    </w:p>
    <w:p w:rsidR="00000000" w:rsidDel="00000000" w:rsidP="00000000" w:rsidRDefault="00000000" w:rsidRPr="00000000" w14:paraId="0000002E">
      <w:pPr>
        <w:spacing w:line="360" w:lineRule="auto"/>
        <w:jc w:val="center"/>
        <w:rPr>
          <w:b w:val="1"/>
        </w:rPr>
      </w:pPr>
      <w:r w:rsidDel="00000000" w:rsidR="00000000" w:rsidRPr="00000000">
        <w:rPr>
          <w:rtl w:val="0"/>
        </w:rPr>
      </w:r>
    </w:p>
    <w:p w:rsidR="00000000" w:rsidDel="00000000" w:rsidP="00000000" w:rsidRDefault="00000000" w:rsidRPr="00000000" w14:paraId="0000002F">
      <w:pPr>
        <w:spacing w:line="360" w:lineRule="auto"/>
        <w:jc w:val="center"/>
        <w:rPr>
          <w:b w:val="1"/>
        </w:rPr>
      </w:pPr>
      <w:r w:rsidDel="00000000" w:rsidR="00000000" w:rsidRPr="00000000">
        <w:rPr>
          <w:rtl w:val="0"/>
        </w:rPr>
      </w:r>
    </w:p>
    <w:p w:rsidR="00000000" w:rsidDel="00000000" w:rsidP="00000000" w:rsidRDefault="00000000" w:rsidRPr="00000000" w14:paraId="00000030">
      <w:pPr>
        <w:spacing w:line="360" w:lineRule="auto"/>
        <w:jc w:val="center"/>
        <w:rPr>
          <w:b w:val="1"/>
        </w:rPr>
      </w:pPr>
      <w:r w:rsidDel="00000000" w:rsidR="00000000" w:rsidRPr="00000000">
        <w:rPr>
          <w:rtl w:val="0"/>
        </w:rPr>
      </w:r>
    </w:p>
    <w:p w:rsidR="00000000" w:rsidDel="00000000" w:rsidP="00000000" w:rsidRDefault="00000000" w:rsidRPr="00000000" w14:paraId="00000031">
      <w:pPr>
        <w:spacing w:line="360" w:lineRule="auto"/>
        <w:jc w:val="center"/>
        <w:rPr>
          <w:b w:val="1"/>
        </w:rPr>
      </w:pPr>
      <w:r w:rsidDel="00000000" w:rsidR="00000000" w:rsidRPr="00000000">
        <w:rPr>
          <w:b w:val="1"/>
          <w:rtl w:val="0"/>
        </w:rPr>
        <w:t xml:space="preserve">Análise estrutural do Inventário de Depressão Beck versão curta (BDI-13)</w:t>
      </w:r>
    </w:p>
    <w:p w:rsidR="00000000" w:rsidDel="00000000" w:rsidP="00000000" w:rsidRDefault="00000000" w:rsidRPr="00000000" w14:paraId="00000032">
      <w:pPr>
        <w:spacing w:line="360" w:lineRule="auto"/>
        <w:ind w:firstLine="708"/>
        <w:jc w:val="center"/>
        <w:rPr/>
      </w:pPr>
      <w:r w:rsidDel="00000000" w:rsidR="00000000" w:rsidRPr="00000000">
        <w:rPr>
          <w:rtl w:val="0"/>
        </w:rPr>
      </w:r>
    </w:p>
    <w:p w:rsidR="00000000" w:rsidDel="00000000" w:rsidP="00000000" w:rsidRDefault="00000000" w:rsidRPr="00000000" w14:paraId="00000033">
      <w:pPr>
        <w:spacing w:line="360" w:lineRule="auto"/>
        <w:ind w:firstLine="720"/>
        <w:rPr>
          <w:highlight w:val="white"/>
        </w:rPr>
      </w:pPr>
      <w:r w:rsidDel="00000000" w:rsidR="00000000" w:rsidRPr="00000000">
        <w:rPr>
          <w:highlight w:val="white"/>
          <w:rtl w:val="0"/>
        </w:rPr>
        <w:t xml:space="preserve">A depressão é conhecida como doença do século, e caracterizada como um dos transtornos mentais mais frequentes da atualidade. Segundo o </w:t>
      </w:r>
      <w:r w:rsidDel="00000000" w:rsidR="00000000" w:rsidRPr="00000000">
        <w:rPr>
          <w:i w:val="1"/>
          <w:highlight w:val="white"/>
          <w:rtl w:val="0"/>
        </w:rPr>
        <w:t xml:space="preserve">Diagnostic and Statistical Manual of Mental Disorders</w:t>
      </w:r>
      <w:r w:rsidDel="00000000" w:rsidR="00000000" w:rsidRPr="00000000">
        <w:rPr>
          <w:highlight w:val="white"/>
          <w:rtl w:val="0"/>
        </w:rPr>
        <w:t xml:space="preserve">, 5.ª edição (DSM-V, 2014) a depressão pode ser entendida como um transtorno de humor que se subdivide em diversas classificações, variando em duração, grau e etiologia. Geralmente, há a presença de humor triste, irritável ou vazio, e ainda alterações somáticas, cognitivas e afetivas, que interferem significativamente ao longo da vida. Quanto a Classificação Estatística Internacional de Doenças e Problemas Relacionados à Saúde (ICD 11, 2018), diversas são as classificações para que abrangem a depressão como: transtorno depressivo de episódio único (6A70), transtorno distímico (6A72) e transtorno misto de depressão e ansiedade (6A73), além de suas subdivisões. </w:t>
      </w:r>
    </w:p>
    <w:p w:rsidR="00000000" w:rsidDel="00000000" w:rsidP="00000000" w:rsidRDefault="00000000" w:rsidRPr="00000000" w14:paraId="00000034">
      <w:pPr>
        <w:spacing w:line="360" w:lineRule="auto"/>
        <w:ind w:firstLine="708"/>
        <w:rPr>
          <w:highlight w:val="magenta"/>
        </w:rPr>
      </w:pPr>
      <w:r w:rsidDel="00000000" w:rsidR="00000000" w:rsidRPr="00000000">
        <w:rPr>
          <w:highlight w:val="white"/>
          <w:rtl w:val="0"/>
        </w:rPr>
        <w:t xml:space="preserve">É visto em estudos que a depressão possui maior índice de acometimento em mulheres, sendo aproximadamente o dobro de casos em relação ao homem (Angst </w:t>
      </w:r>
      <w:r w:rsidDel="00000000" w:rsidR="00000000" w:rsidRPr="00000000">
        <w:rPr>
          <w:i w:val="1"/>
          <w:highlight w:val="white"/>
          <w:rtl w:val="0"/>
        </w:rPr>
        <w:t xml:space="preserve">et al</w:t>
      </w:r>
      <w:r w:rsidDel="00000000" w:rsidR="00000000" w:rsidRPr="00000000">
        <w:rPr>
          <w:highlight w:val="white"/>
          <w:rtl w:val="0"/>
        </w:rPr>
        <w:t xml:space="preserve">., 2002; Weissman </w:t>
      </w:r>
      <w:r w:rsidDel="00000000" w:rsidR="00000000" w:rsidRPr="00000000">
        <w:rPr>
          <w:i w:val="1"/>
          <w:highlight w:val="white"/>
          <w:rtl w:val="0"/>
        </w:rPr>
        <w:t xml:space="preserve">et al.</w:t>
      </w:r>
      <w:r w:rsidDel="00000000" w:rsidR="00000000" w:rsidRPr="00000000">
        <w:rPr>
          <w:highlight w:val="white"/>
          <w:rtl w:val="0"/>
        </w:rPr>
        <w:t xml:space="preserve">, 1996), esse índice se sustenta conforme as faixas etárias de adolescentes, adultos e idosos (Angst </w:t>
      </w:r>
      <w:r w:rsidDel="00000000" w:rsidR="00000000" w:rsidRPr="00000000">
        <w:rPr>
          <w:i w:val="1"/>
          <w:highlight w:val="white"/>
          <w:rtl w:val="0"/>
        </w:rPr>
        <w:t xml:space="preserve">et al</w:t>
      </w:r>
      <w:r w:rsidDel="00000000" w:rsidR="00000000" w:rsidRPr="00000000">
        <w:rPr>
          <w:highlight w:val="white"/>
          <w:rtl w:val="0"/>
        </w:rPr>
        <w:t xml:space="preserve">., 2002). Estima-se que mais de 300 milhões de pessoas no mundo sofrem com a depressão </w:t>
      </w:r>
      <w:r w:rsidDel="00000000" w:rsidR="00000000" w:rsidRPr="00000000">
        <w:rPr>
          <w:rtl w:val="0"/>
        </w:rPr>
        <w:t xml:space="preserve">(OPAS/OMS, 2017). </w:t>
      </w:r>
      <w:r w:rsidDel="00000000" w:rsidR="00000000" w:rsidRPr="00000000">
        <w:rPr>
          <w:highlight w:val="white"/>
          <w:rtl w:val="0"/>
        </w:rPr>
        <w:t xml:space="preserve">No Brasil, segundo a OMS (2017), cerca de 11 milhões de brasileiros, isso é 6% da população, é diagnosticada com transtorno depressivo, em algum grau, tornando o Brasil como país mais depressivo da </w:t>
      </w:r>
      <w:r w:rsidDel="00000000" w:rsidR="00000000" w:rsidRPr="00000000">
        <w:rPr>
          <w:rtl w:val="0"/>
        </w:rPr>
        <w:t xml:space="preserve">América Latina. </w:t>
      </w:r>
      <w:r w:rsidDel="00000000" w:rsidR="00000000" w:rsidRPr="00000000">
        <w:rPr>
          <w:rtl w:val="0"/>
        </w:rPr>
      </w:r>
    </w:p>
    <w:p w:rsidR="00000000" w:rsidDel="00000000" w:rsidP="00000000" w:rsidRDefault="00000000" w:rsidRPr="00000000" w14:paraId="00000035">
      <w:pPr>
        <w:spacing w:line="360" w:lineRule="auto"/>
        <w:ind w:firstLine="720"/>
        <w:rPr/>
      </w:pPr>
      <w:r w:rsidDel="00000000" w:rsidR="00000000" w:rsidRPr="00000000">
        <w:rPr>
          <w:rtl w:val="0"/>
        </w:rPr>
        <w:t xml:space="preserve">Visando estudar acerca dessa epidemia mundial, diversas escalas são propostas e validadas no mundo todo. Em uma revisão integrativa, como proposto pelas etapas metodológicas por Ganong (1987), encontramos 11 escalas na base de dados </w:t>
      </w:r>
      <w:r w:rsidDel="00000000" w:rsidR="00000000" w:rsidRPr="00000000">
        <w:rPr>
          <w:i w:val="1"/>
          <w:rtl w:val="0"/>
        </w:rPr>
        <w:t xml:space="preserve">Scopus</w:t>
      </w:r>
      <w:r w:rsidDel="00000000" w:rsidR="00000000" w:rsidRPr="00000000">
        <w:rPr>
          <w:rtl w:val="0"/>
        </w:rPr>
        <w:t xml:space="preserve"> . Estas escalas foram validadas em contexto estadunidense e brasileiro, e ainda, aplicadas na população geral, ou população específica, por idade como: adolescentes, idosos, ou </w:t>
      </w:r>
      <w:r w:rsidDel="00000000" w:rsidR="00000000" w:rsidRPr="00000000">
        <w:rPr>
          <w:highlight w:val="white"/>
          <w:rtl w:val="0"/>
        </w:rPr>
        <w:t xml:space="preserve">até mesmo por </w:t>
      </w:r>
      <w:r w:rsidDel="00000000" w:rsidR="00000000" w:rsidRPr="00000000">
        <w:rPr>
          <w:rtl w:val="0"/>
        </w:rPr>
        <w:t xml:space="preserve">pessoas acometidas por alguma deficiência ou transtorno psicológico, como a esquizofrenia. Entre as escalas validadas para o contexto dos Estados Unidos da América (EUA), a </w:t>
      </w:r>
      <w:r w:rsidDel="00000000" w:rsidR="00000000" w:rsidRPr="00000000">
        <w:rPr>
          <w:i w:val="1"/>
          <w:rtl w:val="0"/>
        </w:rPr>
        <w:t xml:space="preserve">Depression Rating Scale for Schizophrenics</w:t>
      </w:r>
      <w:r w:rsidDel="00000000" w:rsidR="00000000" w:rsidRPr="00000000">
        <w:rPr>
          <w:rtl w:val="0"/>
        </w:rPr>
        <w:t xml:space="preserve"> (Addington, </w:t>
      </w:r>
      <w:r w:rsidDel="00000000" w:rsidR="00000000" w:rsidRPr="00000000">
        <w:rPr>
          <w:i w:val="1"/>
          <w:rtl w:val="0"/>
        </w:rPr>
        <w:t xml:space="preserve">et al.</w:t>
      </w:r>
      <w:r w:rsidDel="00000000" w:rsidR="00000000" w:rsidRPr="00000000">
        <w:rPr>
          <w:rtl w:val="0"/>
        </w:rPr>
        <w:t xml:space="preserve">, 1990), possui 14 itens distribuídos em dois fatores, manejado em uma população específica de indivíduos com transtorno esquizofrênico. Outra escala que busca captar o fenômeno da depressão é a </w:t>
      </w:r>
      <w:r w:rsidDel="00000000" w:rsidR="00000000" w:rsidRPr="00000000">
        <w:rPr>
          <w:i w:val="1"/>
          <w:rtl w:val="0"/>
        </w:rPr>
        <w:t xml:space="preserve">Reynolds Adolescent Depression Scale</w:t>
      </w:r>
      <w:r w:rsidDel="00000000" w:rsidR="00000000" w:rsidRPr="00000000">
        <w:rPr>
          <w:rtl w:val="0"/>
        </w:rPr>
        <w:t xml:space="preserve"> (RADS; Reynolds, 2002), possui 30 itens que permitem a identificação no nível de gravidade sintomatológica, subdividindo-se em quatro fatores: Humor Disfórico, Anedonia / Afeto Negativo, Autoavaliação Negativa e Reclamações Somática, aplicado em uma população de adolescentes. </w:t>
      </w:r>
    </w:p>
    <w:p w:rsidR="00000000" w:rsidDel="00000000" w:rsidP="00000000" w:rsidRDefault="00000000" w:rsidRPr="00000000" w14:paraId="00000036">
      <w:pPr>
        <w:spacing w:line="360" w:lineRule="auto"/>
        <w:ind w:firstLine="720"/>
        <w:rPr/>
      </w:pPr>
      <w:r w:rsidDel="00000000" w:rsidR="00000000" w:rsidRPr="00000000">
        <w:rPr>
          <w:rtl w:val="0"/>
        </w:rPr>
        <w:t xml:space="preserve">No Brasil, diversas escalas são validadas, entre essas encontradas para a população em geral: A Escala de Autoavaliação da Depressão de Zung (Zung, 1965) traduzida e validada para o Brasil por Chagas et al. (2010), composta de 20 itens que apresentam sintomas afetivos, psicológicos e somáticos. A Escala de Avaliação da Depressão de Hamilton (Moreno &amp; Moreno, 1998), que possui 17 itens, divididos em categorias como humor, somáticos, motores, sociais, cognitivos e ansiedade. O Inventário de Depressão Maior (Mulrow</w:t>
      </w:r>
      <w:r w:rsidDel="00000000" w:rsidR="00000000" w:rsidRPr="00000000">
        <w:rPr>
          <w:i w:val="1"/>
          <w:rtl w:val="0"/>
        </w:rPr>
        <w:t xml:space="preserve"> et al</w:t>
      </w:r>
      <w:r w:rsidDel="00000000" w:rsidR="00000000" w:rsidRPr="00000000">
        <w:rPr>
          <w:rtl w:val="0"/>
        </w:rPr>
        <w:t xml:space="preserve">., 1995) validada para o português por Parcias,</w:t>
      </w:r>
      <w:r w:rsidDel="00000000" w:rsidR="00000000" w:rsidRPr="00000000">
        <w:rPr>
          <w:i w:val="1"/>
          <w:rtl w:val="0"/>
        </w:rPr>
        <w:t xml:space="preserve"> et al.</w:t>
      </w:r>
      <w:r w:rsidDel="00000000" w:rsidR="00000000" w:rsidRPr="00000000">
        <w:rPr>
          <w:rtl w:val="0"/>
        </w:rPr>
        <w:t xml:space="preserve"> (2011), contendo 10 itens distribuídos em dois fatores. Ambas as escalas foram aplicadas na população geral. </w:t>
      </w:r>
    </w:p>
    <w:p w:rsidR="00000000" w:rsidDel="00000000" w:rsidP="00000000" w:rsidRDefault="00000000" w:rsidRPr="00000000" w14:paraId="00000037">
      <w:pPr>
        <w:spacing w:line="360" w:lineRule="auto"/>
        <w:ind w:firstLine="720"/>
        <w:rPr/>
      </w:pPr>
      <w:r w:rsidDel="00000000" w:rsidR="00000000" w:rsidRPr="00000000">
        <w:rPr>
          <w:rtl w:val="0"/>
        </w:rPr>
        <w:t xml:space="preserve"> Quanto às escalas validadas para a população clínica temos: A E</w:t>
      </w:r>
      <w:hyperlink r:id="rId14">
        <w:r w:rsidDel="00000000" w:rsidR="00000000" w:rsidRPr="00000000">
          <w:rPr>
            <w:rtl w:val="0"/>
          </w:rPr>
          <w:t xml:space="preserve">scala Hospitalar de Ansiedade e Depressão (HAD)</w:t>
        </w:r>
      </w:hyperlink>
      <w:r w:rsidDel="00000000" w:rsidR="00000000" w:rsidRPr="00000000">
        <w:rPr>
          <w:rtl w:val="0"/>
        </w:rPr>
        <w:t xml:space="preserve"> elaborada por Zigmond e Snaith, (1983) e traduzida por Botega </w:t>
      </w:r>
      <w:r w:rsidDel="00000000" w:rsidR="00000000" w:rsidRPr="00000000">
        <w:rPr>
          <w:i w:val="1"/>
          <w:rtl w:val="0"/>
        </w:rPr>
        <w:t xml:space="preserve">et al. </w:t>
      </w:r>
      <w:r w:rsidDel="00000000" w:rsidR="00000000" w:rsidRPr="00000000">
        <w:rPr>
          <w:rtl w:val="0"/>
        </w:rPr>
        <w:t xml:space="preserve">(1995). Esta escala possui 14 itens distribuídos em dois fatores: ansiedade (7 itens) e depressão (7 itens). Outra escala que possui o mesmo sentido de captar a depressão por meio de sintomas da demência é a </w:t>
      </w:r>
      <w:hyperlink r:id="rId15">
        <w:r w:rsidDel="00000000" w:rsidR="00000000" w:rsidRPr="00000000">
          <w:rPr>
            <w:rtl w:val="0"/>
          </w:rPr>
          <w:t xml:space="preserve">Escala Cornell de Depressão em Demência</w:t>
        </w:r>
      </w:hyperlink>
      <w:r w:rsidDel="00000000" w:rsidR="00000000" w:rsidRPr="00000000">
        <w:rPr>
          <w:rtl w:val="0"/>
        </w:rPr>
        <w:t xml:space="preserve"> construída por Schreiner et al. (2003) e traduzida para a língua portuguesa por Carthery-Goulart</w:t>
      </w:r>
      <w:r w:rsidDel="00000000" w:rsidR="00000000" w:rsidRPr="00000000">
        <w:rPr>
          <w:i w:val="1"/>
          <w:rtl w:val="0"/>
        </w:rPr>
        <w:t xml:space="preserve"> et al</w:t>
      </w:r>
      <w:r w:rsidDel="00000000" w:rsidR="00000000" w:rsidRPr="00000000">
        <w:rPr>
          <w:rtl w:val="0"/>
        </w:rPr>
        <w:t xml:space="preserve">. (2007) possuindo 15 itens em uma estrutura unidimensional. Para a população idosa, foram encontradas: a Escala de Depressão para Idosos (EDI; Giavoni, </w:t>
      </w:r>
      <w:r w:rsidDel="00000000" w:rsidR="00000000" w:rsidRPr="00000000">
        <w:rPr>
          <w:i w:val="1"/>
          <w:rtl w:val="0"/>
        </w:rPr>
        <w:t xml:space="preserve">et al</w:t>
      </w:r>
      <w:r w:rsidDel="00000000" w:rsidR="00000000" w:rsidRPr="00000000">
        <w:rPr>
          <w:rtl w:val="0"/>
        </w:rPr>
        <w:t xml:space="preserve">., 2008) composta por 50 itens divididos em dois fatores, cognitivo-afetivo e somático-motor e a desenvolvida por Yesavage </w:t>
      </w:r>
      <w:r w:rsidDel="00000000" w:rsidR="00000000" w:rsidRPr="00000000">
        <w:rPr>
          <w:i w:val="1"/>
          <w:rtl w:val="0"/>
        </w:rPr>
        <w:t xml:space="preserve">et al</w:t>
      </w:r>
      <w:r w:rsidDel="00000000" w:rsidR="00000000" w:rsidRPr="00000000">
        <w:rPr>
          <w:rtl w:val="0"/>
        </w:rPr>
        <w:t xml:space="preserve">. (1982) e validada no idioma português por Paradela, </w:t>
      </w:r>
      <w:r w:rsidDel="00000000" w:rsidR="00000000" w:rsidRPr="00000000">
        <w:rPr>
          <w:i w:val="1"/>
          <w:rtl w:val="0"/>
        </w:rPr>
        <w:t xml:space="preserve">et al.</w:t>
      </w:r>
      <w:r w:rsidDel="00000000" w:rsidR="00000000" w:rsidRPr="00000000">
        <w:rPr>
          <w:rtl w:val="0"/>
        </w:rPr>
        <w:t xml:space="preserve"> (2005) composta 30 itens distribuídos em 4 fatores (e.g., bem estar, humor deprimido, otimismo e sintomas somáticos).</w:t>
      </w:r>
    </w:p>
    <w:p w:rsidR="00000000" w:rsidDel="00000000" w:rsidP="00000000" w:rsidRDefault="00000000" w:rsidRPr="00000000" w14:paraId="00000038">
      <w:pPr>
        <w:spacing w:line="360" w:lineRule="auto"/>
        <w:ind w:firstLine="720"/>
        <w:rPr/>
      </w:pPr>
      <w:r w:rsidDel="00000000" w:rsidR="00000000" w:rsidRPr="00000000">
        <w:rPr>
          <w:rtl w:val="0"/>
        </w:rPr>
        <w:t xml:space="preserve">Ainda temos a Escala de Depressão de Beck (BDI-21; Beck, </w:t>
      </w:r>
      <w:r w:rsidDel="00000000" w:rsidR="00000000" w:rsidRPr="00000000">
        <w:rPr>
          <w:i w:val="1"/>
          <w:rtl w:val="0"/>
        </w:rPr>
        <w:t xml:space="preserve">et al.</w:t>
      </w:r>
      <w:r w:rsidDel="00000000" w:rsidR="00000000" w:rsidRPr="00000000">
        <w:rPr>
          <w:rtl w:val="0"/>
        </w:rPr>
        <w:t xml:space="preserve">, 1996) traduzida e validada para o idioma português por Gorenstein, </w:t>
      </w:r>
      <w:r w:rsidDel="00000000" w:rsidR="00000000" w:rsidRPr="00000000">
        <w:rPr>
          <w:i w:val="1"/>
          <w:rtl w:val="0"/>
        </w:rPr>
        <w:t xml:space="preserve">et al.</w:t>
      </w:r>
      <w:r w:rsidDel="00000000" w:rsidR="00000000" w:rsidRPr="00000000">
        <w:rPr>
          <w:rtl w:val="0"/>
        </w:rPr>
        <w:t xml:space="preserve"> (1998), composta 21 itens divididos em três fatores, representando as dimensões de autodepreciação, cognição-afeto e a somática. Há também uma versão mais recente validada para o Brasil por Castro et al. (2010) em que se avaliou o BDI- 21 de forma unidimensional. Ambas as versões das escalas BDI-21 foram manejadas em uma população clínica, buscando avaliar o fenômeno da depressão por meio de seus sintomas mais expressivos. Como apresenta Wang e Gorenstein (2013), o instrumento apresenta alta confiabilidade, melhor validade de conteúdo, estrutural e concorrente, com base em evidências psicométricas, portanto, justifica-se a escolha da mesma enquanto instrumento proposto para atualização no presente estudo. </w:t>
      </w:r>
    </w:p>
    <w:p w:rsidR="00000000" w:rsidDel="00000000" w:rsidP="00000000" w:rsidRDefault="00000000" w:rsidRPr="00000000" w14:paraId="00000039">
      <w:pPr>
        <w:spacing w:line="360" w:lineRule="auto"/>
        <w:ind w:firstLine="720"/>
        <w:rPr/>
      </w:pPr>
      <w:r w:rsidDel="00000000" w:rsidR="00000000" w:rsidRPr="00000000">
        <w:rPr>
          <w:rtl w:val="0"/>
        </w:rPr>
        <w:t xml:space="preserve">Compreendemos que existe uma diversidade de escalas existentes no Brasil e no mundo que trabalham acerca da mensuração da depressão e ainda a relevância da temática enquanto problemática de saúde pública mundial. Mas, propusemos a validação para o português da versão reduzida do Inventário de Depressão de Beck, versão com 13 itens (BDI-13; suplementar 1). Haja visto que a validação de um inventário de depressão com menor quantidade de itens pode captar o fenômeno de maneira mais breve. Em comparação com outras escalas já validadas (Carthery-</w:t>
      </w:r>
      <w:r w:rsidDel="00000000" w:rsidR="00000000" w:rsidRPr="00000000">
        <w:rPr>
          <w:highlight w:val="white"/>
          <w:rtl w:val="0"/>
        </w:rPr>
        <w:t xml:space="preserve">Goulart </w:t>
      </w:r>
      <w:r w:rsidDel="00000000" w:rsidR="00000000" w:rsidRPr="00000000">
        <w:rPr>
          <w:i w:val="1"/>
          <w:highlight w:val="white"/>
          <w:rtl w:val="0"/>
        </w:rPr>
        <w:t xml:space="preserve">et al</w:t>
      </w:r>
      <w:r w:rsidDel="00000000" w:rsidR="00000000" w:rsidRPr="00000000">
        <w:rPr>
          <w:highlight w:val="white"/>
          <w:rtl w:val="0"/>
        </w:rPr>
        <w:t xml:space="preserve">., 2007</w:t>
      </w:r>
      <w:r w:rsidDel="00000000" w:rsidR="00000000" w:rsidRPr="00000000">
        <w:rPr>
          <w:rtl w:val="0"/>
        </w:rPr>
        <w:t xml:space="preserve">; Castro </w:t>
      </w:r>
      <w:r w:rsidDel="00000000" w:rsidR="00000000" w:rsidRPr="00000000">
        <w:rPr>
          <w:i w:val="1"/>
          <w:rtl w:val="0"/>
        </w:rPr>
        <w:t xml:space="preserve">et al.</w:t>
      </w:r>
      <w:r w:rsidDel="00000000" w:rsidR="00000000" w:rsidRPr="00000000">
        <w:rPr>
          <w:rtl w:val="0"/>
        </w:rPr>
        <w:t xml:space="preserve">, 2010; Gorenstein, </w:t>
      </w:r>
      <w:r w:rsidDel="00000000" w:rsidR="00000000" w:rsidRPr="00000000">
        <w:rPr>
          <w:i w:val="1"/>
          <w:rtl w:val="0"/>
        </w:rPr>
        <w:t xml:space="preserve">et al</w:t>
      </w:r>
      <w:r w:rsidDel="00000000" w:rsidR="00000000" w:rsidRPr="00000000">
        <w:rPr>
          <w:rtl w:val="0"/>
        </w:rPr>
        <w:t xml:space="preserve">., 1998; Moreno &amp; Moreno, 1998). A utilização de escalas curtas diminui o impacto de variáveis intervenientes relacionadas ao participante tais como: a fadiga (Gosling, </w:t>
      </w:r>
      <w:r w:rsidDel="00000000" w:rsidR="00000000" w:rsidRPr="00000000">
        <w:rPr>
          <w:i w:val="1"/>
          <w:rtl w:val="0"/>
        </w:rPr>
        <w:t xml:space="preserve">et al.</w:t>
      </w:r>
      <w:r w:rsidDel="00000000" w:rsidR="00000000" w:rsidRPr="00000000">
        <w:rPr>
          <w:rtl w:val="0"/>
        </w:rPr>
        <w:t xml:space="preserve">, 2003). Desse modo, resta-se analisar se uma versão reduzida é capaz de apresentar propriedades psicométricas significativas. </w:t>
      </w:r>
    </w:p>
    <w:p w:rsidR="00000000" w:rsidDel="00000000" w:rsidP="00000000" w:rsidRDefault="00000000" w:rsidRPr="00000000" w14:paraId="0000003A">
      <w:pPr>
        <w:spacing w:line="360" w:lineRule="auto"/>
        <w:ind w:firstLine="720"/>
        <w:rPr>
          <w:highlight w:val="yellow"/>
        </w:rPr>
      </w:pPr>
      <w:r w:rsidDel="00000000" w:rsidR="00000000" w:rsidRPr="00000000">
        <w:rPr>
          <w:rtl w:val="0"/>
        </w:rPr>
        <w:t xml:space="preserve">Para além de propor um instrumento para o contexto atual, haja visto que os instrumentos mais recentes foram validados a mais de 10 anos (Giavoni,</w:t>
      </w:r>
      <w:r w:rsidDel="00000000" w:rsidR="00000000" w:rsidRPr="00000000">
        <w:rPr>
          <w:i w:val="1"/>
          <w:rtl w:val="0"/>
        </w:rPr>
        <w:t xml:space="preserve"> et al</w:t>
      </w:r>
      <w:r w:rsidDel="00000000" w:rsidR="00000000" w:rsidRPr="00000000">
        <w:rPr>
          <w:rtl w:val="0"/>
        </w:rPr>
        <w:t xml:space="preserve">., 2008; Parcias,</w:t>
      </w:r>
      <w:r w:rsidDel="00000000" w:rsidR="00000000" w:rsidRPr="00000000">
        <w:rPr>
          <w:i w:val="1"/>
          <w:rtl w:val="0"/>
        </w:rPr>
        <w:t xml:space="preserve"> et al.</w:t>
      </w:r>
      <w:r w:rsidDel="00000000" w:rsidR="00000000" w:rsidRPr="00000000">
        <w:rPr>
          <w:rtl w:val="0"/>
        </w:rPr>
        <w:t xml:space="preserve">, 2011). O estudo propõe a validade Baseada no Padrão de Resposta dos Itens, sendo uma nova validade proposta pela AERA, APA e NCME (1999), em substituição ao modelo tripartite (AERA,</w:t>
      </w:r>
      <w:r w:rsidDel="00000000" w:rsidR="00000000" w:rsidRPr="00000000">
        <w:rPr>
          <w:i w:val="1"/>
          <w:rtl w:val="0"/>
        </w:rPr>
        <w:t xml:space="preserve"> et al.</w:t>
      </w:r>
      <w:r w:rsidDel="00000000" w:rsidR="00000000" w:rsidRPr="00000000">
        <w:rPr>
          <w:rtl w:val="0"/>
        </w:rPr>
        <w:t xml:space="preserve">, 1966). A análise por meio da Teoria de Resposta ao Item (TRI), apresenta maior fidedignidade ao instrumento a medida que os resultados não são influenciado pela variação amostral e ainda o desempenho do item é avaliado de forma individual, não sendo dependendo dos demais itens do instrumento (Pasquali, 2018). Portanto, optou-se por realizar essa etapa a fim de tornar o instrumento mais robusto, visto que apenas um (BDI-21; Castro </w:t>
      </w:r>
      <w:r w:rsidDel="00000000" w:rsidR="00000000" w:rsidRPr="00000000">
        <w:rPr>
          <w:i w:val="1"/>
          <w:rtl w:val="0"/>
        </w:rPr>
        <w:t xml:space="preserve">et al.</w:t>
      </w:r>
      <w:r w:rsidDel="00000000" w:rsidR="00000000" w:rsidRPr="00000000">
        <w:rPr>
          <w:rtl w:val="0"/>
        </w:rPr>
        <w:t xml:space="preserve">, 2010) entre os demais, realizaram tal procedimento estatístico. </w:t>
      </w:r>
      <w:r w:rsidDel="00000000" w:rsidR="00000000" w:rsidRPr="00000000">
        <w:rPr>
          <w:rtl w:val="0"/>
        </w:rPr>
      </w:r>
    </w:p>
    <w:p w:rsidR="00000000" w:rsidDel="00000000" w:rsidP="00000000" w:rsidRDefault="00000000" w:rsidRPr="00000000" w14:paraId="0000003B">
      <w:pPr>
        <w:spacing w:line="360" w:lineRule="auto"/>
        <w:ind w:firstLine="720"/>
        <w:rPr/>
      </w:pPr>
      <w:r w:rsidDel="00000000" w:rsidR="00000000" w:rsidRPr="00000000">
        <w:rPr>
          <w:rtl w:val="0"/>
        </w:rPr>
        <w:t xml:space="preserve">A partir da discussão anterior, essa pesquisa objetiva validar o Inventário de Depressão de Beck-13 (BDI-13). Para atingir tal objetivo, foram realizados dois estudos. O primeiro estudo possui finalidade de conhecer a estrutura fatorial exploratória do BDI-13, versão reduzida. Quanto ao segundo estudo, esse possui a finalidade de confirmar a estrutura presente no primeiro estudo, testando outras estruturas fatoriais. Espera-se que a estrutura mais adequada seja o modelo tridimensional proposto pelos autores (Dadfar &amp; Kalibatseva, 2016), mas também um modelo unidimensional (Catro</w:t>
      </w:r>
      <w:r w:rsidDel="00000000" w:rsidR="00000000" w:rsidRPr="00000000">
        <w:rPr>
          <w:i w:val="1"/>
          <w:rtl w:val="0"/>
        </w:rPr>
        <w:t xml:space="preserve"> et al.</w:t>
      </w:r>
      <w:r w:rsidDel="00000000" w:rsidR="00000000" w:rsidRPr="00000000">
        <w:rPr>
          <w:rtl w:val="0"/>
        </w:rPr>
        <w:t xml:space="preserve">, 2010), ou seja, seja o modelo bi-factor. Além disso, tanto o modelo tridimensional (Gorenstein &amp; Andrade, 1998) quanto o modelo unidimensional (Castro </w:t>
      </w:r>
      <w:r w:rsidDel="00000000" w:rsidR="00000000" w:rsidRPr="00000000">
        <w:rPr>
          <w:i w:val="1"/>
          <w:rtl w:val="0"/>
        </w:rPr>
        <w:t xml:space="preserve">et al.,</w:t>
      </w:r>
      <w:r w:rsidDel="00000000" w:rsidR="00000000" w:rsidRPr="00000000">
        <w:rPr>
          <w:rtl w:val="0"/>
        </w:rPr>
        <w:t xml:space="preserve"> 2010) já foram encontrados em validações brasileiras em uma versão longa. </w:t>
      </w:r>
    </w:p>
    <w:p w:rsidR="00000000" w:rsidDel="00000000" w:rsidP="00000000" w:rsidRDefault="00000000" w:rsidRPr="00000000" w14:paraId="0000003C">
      <w:pPr>
        <w:spacing w:line="360" w:lineRule="auto"/>
        <w:ind w:firstLine="709"/>
        <w:rPr/>
      </w:pPr>
      <w:r w:rsidDel="00000000" w:rsidR="00000000" w:rsidRPr="00000000">
        <w:rPr>
          <w:rtl w:val="0"/>
        </w:rPr>
      </w:r>
    </w:p>
    <w:p w:rsidR="00000000" w:rsidDel="00000000" w:rsidP="00000000" w:rsidRDefault="00000000" w:rsidRPr="00000000" w14:paraId="0000003D">
      <w:pPr>
        <w:spacing w:line="360" w:lineRule="auto"/>
        <w:jc w:val="center"/>
        <w:rPr>
          <w:b w:val="1"/>
        </w:rPr>
      </w:pPr>
      <w:r w:rsidDel="00000000" w:rsidR="00000000" w:rsidRPr="00000000">
        <w:rPr>
          <w:b w:val="1"/>
          <w:rtl w:val="0"/>
        </w:rPr>
        <w:t xml:space="preserve">Método</w:t>
      </w:r>
    </w:p>
    <w:p w:rsidR="00000000" w:rsidDel="00000000" w:rsidP="00000000" w:rsidRDefault="00000000" w:rsidRPr="00000000" w14:paraId="0000003E">
      <w:pPr>
        <w:spacing w:line="360" w:lineRule="auto"/>
        <w:rPr>
          <w:b w:val="1"/>
          <w:i w:val="1"/>
        </w:rPr>
      </w:pPr>
      <w:r w:rsidDel="00000000" w:rsidR="00000000" w:rsidRPr="00000000">
        <w:rPr>
          <w:b w:val="1"/>
          <w:i w:val="1"/>
          <w:rtl w:val="0"/>
        </w:rPr>
        <w:t xml:space="preserve">Participantes</w:t>
      </w:r>
    </w:p>
    <w:p w:rsidR="00000000" w:rsidDel="00000000" w:rsidP="00000000" w:rsidRDefault="00000000" w:rsidRPr="00000000" w14:paraId="0000003F">
      <w:pPr>
        <w:spacing w:line="360" w:lineRule="auto"/>
        <w:rPr/>
      </w:pPr>
      <w:r w:rsidDel="00000000" w:rsidR="00000000" w:rsidRPr="00000000">
        <w:rPr>
          <w:rtl w:val="0"/>
        </w:rPr>
        <w:tab/>
        <w:t xml:space="preserve">O presente trabalho contou com uma amostra total, não probabilística (de conveniência) de 518 pessoas da população geral (</w:t>
      </w:r>
      <w:r w:rsidDel="00000000" w:rsidR="00000000" w:rsidRPr="00000000">
        <w:rPr>
          <w:i w:val="1"/>
          <w:rtl w:val="0"/>
        </w:rPr>
        <w:t xml:space="preserve">M</w:t>
      </w:r>
      <w:r w:rsidDel="00000000" w:rsidR="00000000" w:rsidRPr="00000000">
        <w:rPr>
          <w:i w:val="1"/>
          <w:vertAlign w:val="subscript"/>
          <w:rtl w:val="0"/>
        </w:rPr>
        <w:t xml:space="preserve"> </w:t>
      </w:r>
      <w:r w:rsidDel="00000000" w:rsidR="00000000" w:rsidRPr="00000000">
        <w:rPr>
          <w:rtl w:val="0"/>
        </w:rPr>
        <w:t xml:space="preserve">= 22,50; DP= 8,48, amplitude 18 a 60 anos), predominantemente dos estados de Pernambuco (37,65%) e Paraíba (37,3%). Sendo a maioria do sexo feminino (72,95%), solteiros(as) (85,4%), com o ensino superior incompleto (49,2%) e de classe média baixa (38,1%). A seguir, serão apresentados os perfis sociodemográficos dos participantes, divididos em duas amostras distintas para o Estudo 1 (N1) e o Estudo 2 (N2). </w:t>
      </w:r>
    </w:p>
    <w:p w:rsidR="00000000" w:rsidDel="00000000" w:rsidP="00000000" w:rsidRDefault="00000000" w:rsidRPr="00000000" w14:paraId="00000040">
      <w:pPr>
        <w:spacing w:line="360" w:lineRule="auto"/>
        <w:ind w:firstLine="720"/>
        <w:rPr/>
      </w:pPr>
      <w:r w:rsidDel="00000000" w:rsidR="00000000" w:rsidRPr="00000000">
        <w:rPr>
          <w:rtl w:val="0"/>
        </w:rPr>
        <w:t xml:space="preserve">N</w:t>
      </w:r>
      <w:r w:rsidDel="00000000" w:rsidR="00000000" w:rsidRPr="00000000">
        <w:rPr>
          <w:vertAlign w:val="subscript"/>
          <w:rtl w:val="0"/>
        </w:rPr>
        <w:t xml:space="preserve">1</w:t>
      </w:r>
      <w:r w:rsidDel="00000000" w:rsidR="00000000" w:rsidRPr="00000000">
        <w:rPr>
          <w:rtl w:val="0"/>
        </w:rPr>
        <w:t xml:space="preserve"> — Participaram 268 pessoas da população em geral, sendo a maioria dos Estados da Paraíba (38,5%) e Pernambuco (36,2%), com idades entre 18 e 60 anos (</w:t>
      </w:r>
      <w:r w:rsidDel="00000000" w:rsidR="00000000" w:rsidRPr="00000000">
        <w:rPr>
          <w:i w:val="1"/>
          <w:rtl w:val="0"/>
        </w:rPr>
        <w:t xml:space="preserve">M </w:t>
      </w:r>
      <w:r w:rsidDel="00000000" w:rsidR="00000000" w:rsidRPr="00000000">
        <w:rPr>
          <w:rtl w:val="0"/>
        </w:rPr>
        <w:t xml:space="preserve">= 21; </w:t>
      </w:r>
      <w:r w:rsidDel="00000000" w:rsidR="00000000" w:rsidRPr="00000000">
        <w:rPr>
          <w:i w:val="1"/>
          <w:rtl w:val="0"/>
        </w:rPr>
        <w:t xml:space="preserve">DP</w:t>
      </w:r>
      <w:r w:rsidDel="00000000" w:rsidR="00000000" w:rsidRPr="00000000">
        <w:rPr>
          <w:rtl w:val="0"/>
        </w:rPr>
        <w:t xml:space="preserve">= 8,29), a maioria é do sexo feminino (72%), solteiros(as) (85,4%) com o ensino superior incompleto (49%) e de classe média baixa (38,1%). Contamos com uma amostra não probabilística e por conveniência. Calculamos, a partir dos dados, a análise de potência sensível para estimar os parâmetros da análise fatorial, usando o </w:t>
      </w:r>
      <w:r w:rsidDel="00000000" w:rsidR="00000000" w:rsidRPr="00000000">
        <w:rPr>
          <w:i w:val="1"/>
          <w:rtl w:val="0"/>
        </w:rPr>
        <w:t xml:space="preserve">WebPower</w:t>
      </w:r>
      <w:r w:rsidDel="00000000" w:rsidR="00000000" w:rsidRPr="00000000">
        <w:rPr>
          <w:rtl w:val="0"/>
        </w:rPr>
        <w:t xml:space="preserve"> </w:t>
      </w:r>
      <w:r w:rsidDel="00000000" w:rsidR="00000000" w:rsidRPr="00000000">
        <w:rPr>
          <w:highlight w:val="white"/>
          <w:rtl w:val="0"/>
        </w:rPr>
        <w:t xml:space="preserve">(Zhang &amp; Yuan, 2018).</w:t>
      </w:r>
      <w:r w:rsidDel="00000000" w:rsidR="00000000" w:rsidRPr="00000000">
        <w:rPr>
          <w:rtl w:val="0"/>
        </w:rPr>
        <w:t xml:space="preserve"> O tamanho de nossa amostra (</w:t>
      </w:r>
      <w:r w:rsidDel="00000000" w:rsidR="00000000" w:rsidRPr="00000000">
        <w:rPr>
          <w:i w:val="1"/>
          <w:rtl w:val="0"/>
        </w:rPr>
        <w:t xml:space="preserve">N</w:t>
      </w:r>
      <w:r w:rsidDel="00000000" w:rsidR="00000000" w:rsidRPr="00000000">
        <w:rPr>
          <w:rtl w:val="0"/>
        </w:rPr>
        <w:t xml:space="preserve"> = 268), usando os graus de liberdade observado = 65, e definindo uma qualidade de ajuste aceitável para os dados (com base em RMSEA = 0,05) dá uma potência de 0,90, indicando que o modelo hipotetizado é suportado pelos graus de liberdade e valor do RMSEA.</w:t>
      </w:r>
    </w:p>
    <w:p w:rsidR="00000000" w:rsidDel="00000000" w:rsidP="00000000" w:rsidRDefault="00000000" w:rsidRPr="00000000" w14:paraId="00000041">
      <w:pPr>
        <w:spacing w:line="360" w:lineRule="auto"/>
        <w:rPr>
          <w:b w:val="1"/>
          <w:i w:val="1"/>
        </w:rPr>
      </w:pPr>
      <w:r w:rsidDel="00000000" w:rsidR="00000000" w:rsidRPr="00000000">
        <w:rPr>
          <w:b w:val="1"/>
          <w:i w:val="1"/>
          <w:rtl w:val="0"/>
        </w:rPr>
        <w:tab/>
      </w:r>
      <w:r w:rsidDel="00000000" w:rsidR="00000000" w:rsidRPr="00000000">
        <w:rPr>
          <w:rtl w:val="0"/>
        </w:rPr>
        <w:t xml:space="preserve">N</w:t>
      </w:r>
      <w:r w:rsidDel="00000000" w:rsidR="00000000" w:rsidRPr="00000000">
        <w:rPr>
          <w:vertAlign w:val="subscript"/>
          <w:rtl w:val="0"/>
        </w:rPr>
        <w:t xml:space="preserve">2</w:t>
      </w:r>
      <w:r w:rsidDel="00000000" w:rsidR="00000000" w:rsidRPr="00000000">
        <w:rPr>
          <w:rtl w:val="0"/>
        </w:rPr>
        <w:t xml:space="preserve"> —</w:t>
      </w:r>
      <w:r w:rsidDel="00000000" w:rsidR="00000000" w:rsidRPr="00000000">
        <w:rPr>
          <w:b w:val="1"/>
          <w:i w:val="1"/>
          <w:rtl w:val="0"/>
        </w:rPr>
        <w:t xml:space="preserve"> </w:t>
      </w:r>
      <w:r w:rsidDel="00000000" w:rsidR="00000000" w:rsidRPr="00000000">
        <w:rPr>
          <w:rtl w:val="0"/>
        </w:rPr>
        <w:t xml:space="preserve">Participaram 250 pessoas da população em geral, sendo a maioria dos Estados de Pernambuco (39,1%) e Paraíba (36,1%), com idades entre 18 e 60 anos (</w:t>
      </w:r>
      <w:r w:rsidDel="00000000" w:rsidR="00000000" w:rsidRPr="00000000">
        <w:rPr>
          <w:i w:val="1"/>
          <w:rtl w:val="0"/>
        </w:rPr>
        <w:t xml:space="preserve">M</w:t>
      </w:r>
      <w:r w:rsidDel="00000000" w:rsidR="00000000" w:rsidRPr="00000000">
        <w:rPr>
          <w:rtl w:val="0"/>
        </w:rPr>
        <w:t xml:space="preserve"> = 24; </w:t>
      </w:r>
      <w:r w:rsidDel="00000000" w:rsidR="00000000" w:rsidRPr="00000000">
        <w:rPr>
          <w:i w:val="1"/>
          <w:rtl w:val="0"/>
        </w:rPr>
        <w:t xml:space="preserve">DP</w:t>
      </w:r>
      <w:r w:rsidDel="00000000" w:rsidR="00000000" w:rsidRPr="00000000">
        <w:rPr>
          <w:rtl w:val="0"/>
        </w:rPr>
        <w:t xml:space="preserve">= 8,67), a maioria é do sexo feminino (73,9%), solteiros(as) (85,4%) com o ensino superior incompleto (49,4%) e de classe média baixa (38,1%). Contamos com uma amostra não probabilística e por conveniência. Calculamos, a partir dos dados, a análise de potência sensível para estimar os parâmetros dessa análise fatorial confirmatória, usando o </w:t>
      </w:r>
      <w:r w:rsidDel="00000000" w:rsidR="00000000" w:rsidRPr="00000000">
        <w:rPr>
          <w:i w:val="1"/>
          <w:rtl w:val="0"/>
        </w:rPr>
        <w:t xml:space="preserve">WebPower</w:t>
      </w:r>
      <w:r w:rsidDel="00000000" w:rsidR="00000000" w:rsidRPr="00000000">
        <w:rPr>
          <w:rtl w:val="0"/>
        </w:rPr>
        <w:t xml:space="preserve"> </w:t>
      </w:r>
      <w:r w:rsidDel="00000000" w:rsidR="00000000" w:rsidRPr="00000000">
        <w:rPr>
          <w:highlight w:val="white"/>
          <w:rtl w:val="0"/>
        </w:rPr>
        <w:t xml:space="preserve">(Zhang &amp; Yuan, 2018).</w:t>
      </w:r>
      <w:r w:rsidDel="00000000" w:rsidR="00000000" w:rsidRPr="00000000">
        <w:rPr>
          <w:rtl w:val="0"/>
        </w:rPr>
        <w:t xml:space="preserve"> O tamanho de nossa amostra (</w:t>
      </w:r>
      <w:r w:rsidDel="00000000" w:rsidR="00000000" w:rsidRPr="00000000">
        <w:rPr>
          <w:i w:val="1"/>
          <w:rtl w:val="0"/>
        </w:rPr>
        <w:t xml:space="preserve">N</w:t>
      </w:r>
      <w:r w:rsidDel="00000000" w:rsidR="00000000" w:rsidRPr="00000000">
        <w:rPr>
          <w:rtl w:val="0"/>
        </w:rPr>
        <w:t xml:space="preserve"> = 250), usando os graus de liberdade observado = 49, e definindo uma qualidade de ajuste aceitável para os dados (com base em RMSEA = 0,05) dá uma potência de 0,89, indicando que o modelo hipotetizado é suportado pelos graus de liberdade e valor do RMSEA.</w:t>
      </w:r>
      <w:r w:rsidDel="00000000" w:rsidR="00000000" w:rsidRPr="00000000">
        <w:rPr>
          <w:rtl w:val="0"/>
        </w:rPr>
      </w:r>
    </w:p>
    <w:p w:rsidR="00000000" w:rsidDel="00000000" w:rsidP="00000000" w:rsidRDefault="00000000" w:rsidRPr="00000000" w14:paraId="00000042">
      <w:pPr>
        <w:spacing w:line="360" w:lineRule="auto"/>
        <w:rPr>
          <w:b w:val="1"/>
          <w:i w:val="1"/>
        </w:rPr>
      </w:pPr>
      <w:r w:rsidDel="00000000" w:rsidR="00000000" w:rsidRPr="00000000">
        <w:rPr>
          <w:b w:val="1"/>
          <w:i w:val="1"/>
          <w:rtl w:val="0"/>
        </w:rPr>
        <w:t xml:space="preserve">Instrumentos</w:t>
      </w:r>
    </w:p>
    <w:p w:rsidR="00000000" w:rsidDel="00000000" w:rsidP="00000000" w:rsidRDefault="00000000" w:rsidRPr="00000000" w14:paraId="00000043">
      <w:pPr>
        <w:spacing w:line="360" w:lineRule="auto"/>
        <w:rPr>
          <w:highlight w:val="magenta"/>
        </w:rPr>
      </w:pPr>
      <w:r w:rsidDel="00000000" w:rsidR="00000000" w:rsidRPr="00000000">
        <w:rPr>
          <w:rtl w:val="0"/>
        </w:rPr>
        <w:tab/>
        <w:t xml:space="preserve">A</w:t>
      </w:r>
      <w:r w:rsidDel="00000000" w:rsidR="00000000" w:rsidRPr="00000000">
        <w:rPr>
          <w:i w:val="1"/>
          <w:rtl w:val="0"/>
        </w:rPr>
        <w:t xml:space="preserve"> </w:t>
      </w:r>
      <w:r w:rsidDel="00000000" w:rsidR="00000000" w:rsidRPr="00000000">
        <w:rPr>
          <w:i w:val="1"/>
          <w:highlight w:val="white"/>
          <w:rtl w:val="0"/>
        </w:rPr>
        <w:t xml:space="preserve">Beck Depression Inventory </w:t>
      </w:r>
      <w:r w:rsidDel="00000000" w:rsidR="00000000" w:rsidRPr="00000000">
        <w:rPr>
          <w:highlight w:val="white"/>
          <w:rtl w:val="0"/>
        </w:rPr>
        <w:t xml:space="preserve">(BDI) desenvolvida por Beck</w:t>
      </w:r>
      <w:r w:rsidDel="00000000" w:rsidR="00000000" w:rsidRPr="00000000">
        <w:rPr>
          <w:i w:val="1"/>
          <w:highlight w:val="white"/>
          <w:rtl w:val="0"/>
        </w:rPr>
        <w:t xml:space="preserve"> et al.</w:t>
      </w:r>
      <w:r w:rsidDel="00000000" w:rsidR="00000000" w:rsidRPr="00000000">
        <w:rPr>
          <w:highlight w:val="white"/>
          <w:rtl w:val="0"/>
        </w:rPr>
        <w:t xml:space="preserve"> (1961;1996) </w:t>
      </w:r>
      <w:r w:rsidDel="00000000" w:rsidR="00000000" w:rsidRPr="00000000">
        <w:rPr>
          <w:rtl w:val="0"/>
        </w:rPr>
        <w:t xml:space="preserve">e traduzida para o português pelos autores </w:t>
      </w:r>
      <w:r w:rsidDel="00000000" w:rsidR="00000000" w:rsidRPr="00000000">
        <w:rPr>
          <w:highlight w:val="white"/>
          <w:rtl w:val="0"/>
        </w:rPr>
        <w:t xml:space="preserve">Gorenstein e Andrade (1998)</w:t>
      </w:r>
      <w:r w:rsidDel="00000000" w:rsidR="00000000" w:rsidRPr="00000000">
        <w:rPr>
          <w:rtl w:val="0"/>
        </w:rPr>
        <w:t xml:space="preserve">. A versão utilizada no presente estudo foi validada originalmente por Dadfar e Kalibatseva (2016) aplicando os itens com correlações mais altas com o escore total do BDI-21 e avaliações clínicas. Essa versão obteve confiabilidade de 0,85. A escala é composta por 13 frases que expressam sentimentos de como a pessoa está se sentindo na semana decorrente (e.g., 0 =Não me sinto triste, 1= Eu me sinto triste; 2= Estou sempre triste e não consigo sair disso; e 3 = Estou tão triste ou infeliz que não consigo suportar). Aos participantes é pedido que elas marquem a opção que mais se aproxima do seu sentimento. Quanto mais as pessoas marcarem o item 3 mais expressivo é o nível de sintomatologia depressiva. </w:t>
      </w:r>
      <w:r w:rsidDel="00000000" w:rsidR="00000000" w:rsidRPr="00000000">
        <w:rPr>
          <w:highlight w:val="white"/>
          <w:rtl w:val="0"/>
        </w:rPr>
        <w:t xml:space="preserve">Além disso, os participantes responderam a questões demográficas </w:t>
      </w:r>
      <w:r w:rsidDel="00000000" w:rsidR="00000000" w:rsidRPr="00000000">
        <w:rPr>
          <w:rtl w:val="0"/>
        </w:rPr>
        <w:t xml:space="preserve">(sexo, idade, estado civil, escolaridade, classe socio-econômica e estado em que reside).</w:t>
      </w:r>
      <w:r w:rsidDel="00000000" w:rsidR="00000000" w:rsidRPr="00000000">
        <w:rPr>
          <w:rtl w:val="0"/>
        </w:rPr>
      </w:r>
    </w:p>
    <w:p w:rsidR="00000000" w:rsidDel="00000000" w:rsidP="00000000" w:rsidRDefault="00000000" w:rsidRPr="00000000" w14:paraId="00000044">
      <w:pPr>
        <w:spacing w:line="360" w:lineRule="auto"/>
        <w:rPr>
          <w:b w:val="1"/>
          <w:i w:val="1"/>
        </w:rPr>
      </w:pPr>
      <w:r w:rsidDel="00000000" w:rsidR="00000000" w:rsidRPr="00000000">
        <w:rPr>
          <w:b w:val="1"/>
          <w:i w:val="1"/>
          <w:rtl w:val="0"/>
        </w:rPr>
        <w:t xml:space="preserve">Procedimentos</w:t>
      </w:r>
    </w:p>
    <w:p w:rsidR="00000000" w:rsidDel="00000000" w:rsidP="00000000" w:rsidRDefault="00000000" w:rsidRPr="00000000" w14:paraId="00000045">
      <w:pPr>
        <w:spacing w:line="360" w:lineRule="auto"/>
        <w:ind w:firstLine="720"/>
        <w:rPr/>
      </w:pPr>
      <w:r w:rsidDel="00000000" w:rsidR="00000000" w:rsidRPr="00000000">
        <w:rPr>
          <w:rtl w:val="0"/>
        </w:rPr>
        <w:t xml:space="preserve">Os itens foram traduzidos para uma versão em português por </w:t>
      </w:r>
      <w:r w:rsidDel="00000000" w:rsidR="00000000" w:rsidRPr="00000000">
        <w:rPr>
          <w:highlight w:val="white"/>
          <w:rtl w:val="0"/>
        </w:rPr>
        <w:t xml:space="preserve">Gorenstein e Andrade (1998) </w:t>
      </w:r>
      <w:r w:rsidDel="00000000" w:rsidR="00000000" w:rsidRPr="00000000">
        <w:rPr>
          <w:rtl w:val="0"/>
        </w:rPr>
        <w:t xml:space="preserve">em versão longa, composta por 21 itens. Como se tratava da mesma escala, não foram necessárias novas traduções, porém dois pesquisadores bilíngues analisaram os itens para verificar se de fato as traduções correspondiam à versão em inglês dos autores Dadfar e Kalibatseva (2016). Após essa fase da análise dos itens, a coleta de dados foi realizada no meio virtual, por um formulário desenvolvido na plataforma </w:t>
      </w:r>
      <w:r w:rsidDel="00000000" w:rsidR="00000000" w:rsidRPr="00000000">
        <w:rPr>
          <w:i w:val="1"/>
          <w:rtl w:val="0"/>
        </w:rPr>
        <w:t xml:space="preserve">Google Forms</w:t>
      </w:r>
      <w:r w:rsidDel="00000000" w:rsidR="00000000" w:rsidRPr="00000000">
        <w:rPr>
          <w:rtl w:val="0"/>
        </w:rPr>
        <w:t xml:space="preserve">, onde todos os itens necessitavam ser respondidos para a pesquisa ser finalizada. O formulário foi divulgado nas redes sociais (email, </w:t>
      </w:r>
      <w:r w:rsidDel="00000000" w:rsidR="00000000" w:rsidRPr="00000000">
        <w:rPr>
          <w:i w:val="1"/>
          <w:rtl w:val="0"/>
        </w:rPr>
        <w:t xml:space="preserve">Instagram</w:t>
      </w:r>
      <w:r w:rsidDel="00000000" w:rsidR="00000000" w:rsidRPr="00000000">
        <w:rPr>
          <w:rtl w:val="0"/>
        </w:rPr>
        <w:t xml:space="preserve">, </w:t>
      </w:r>
      <w:r w:rsidDel="00000000" w:rsidR="00000000" w:rsidRPr="00000000">
        <w:rPr>
          <w:i w:val="1"/>
          <w:rtl w:val="0"/>
        </w:rPr>
        <w:t xml:space="preserve">Whatsapp</w:t>
      </w:r>
      <w:r w:rsidDel="00000000" w:rsidR="00000000" w:rsidRPr="00000000">
        <w:rPr>
          <w:rtl w:val="0"/>
        </w:rPr>
        <w:t xml:space="preserve">). </w:t>
      </w:r>
    </w:p>
    <w:p w:rsidR="00000000" w:rsidDel="00000000" w:rsidP="00000000" w:rsidRDefault="00000000" w:rsidRPr="00000000" w14:paraId="00000046">
      <w:pPr>
        <w:spacing w:line="360" w:lineRule="auto"/>
        <w:rPr>
          <w:b w:val="1"/>
          <w:i w:val="1"/>
        </w:rPr>
      </w:pPr>
      <w:r w:rsidDel="00000000" w:rsidR="00000000" w:rsidRPr="00000000">
        <w:rPr>
          <w:b w:val="1"/>
          <w:i w:val="1"/>
          <w:rtl w:val="0"/>
        </w:rPr>
        <w:t xml:space="preserve">Considerações Éticas</w:t>
      </w:r>
    </w:p>
    <w:p w:rsidR="00000000" w:rsidDel="00000000" w:rsidP="00000000" w:rsidRDefault="00000000" w:rsidRPr="00000000" w14:paraId="00000047">
      <w:pPr>
        <w:spacing w:line="360" w:lineRule="auto"/>
        <w:ind w:firstLine="720"/>
        <w:rPr>
          <w:b w:val="1"/>
          <w:i w:val="1"/>
        </w:rPr>
      </w:pPr>
      <w:r w:rsidDel="00000000" w:rsidR="00000000" w:rsidRPr="00000000">
        <w:rPr>
          <w:b w:val="1"/>
          <w:i w:val="1"/>
          <w:rtl w:val="0"/>
        </w:rPr>
        <w:tab/>
      </w:r>
      <w:r w:rsidDel="00000000" w:rsidR="00000000" w:rsidRPr="00000000">
        <w:rPr>
          <w:rtl w:val="0"/>
        </w:rPr>
        <w:t xml:space="preserve">Os dados foram coletados conforme a Declaração Universal de Princípios Éticos para Psicólogos (IAAP &amp; IUPsyS, 2008), as Diretrizes Éticas Internacionais para Pesquisa Biomédica Envolvendo Temas Humanos (CIOMS,</w:t>
      </w:r>
      <w:r w:rsidDel="00000000" w:rsidR="00000000" w:rsidRPr="00000000">
        <w:rPr>
          <w:i w:val="1"/>
          <w:rtl w:val="0"/>
        </w:rPr>
        <w:t xml:space="preserve"> et al.,</w:t>
      </w:r>
      <w:r w:rsidDel="00000000" w:rsidR="00000000" w:rsidRPr="00000000">
        <w:rPr>
          <w:rtl w:val="0"/>
        </w:rPr>
        <w:t xml:space="preserve"> 2016) e as atuais declarações da IAPA sobre ações éticas no momento da apresentação (IAPA, 1978, 2008a, 2008b, 2014, 2016, 2018, 2019). O presente estudo está sob o protocolo sob a supervisão do Comitê de ética do parecer (informação suprimida). Consideramos as recomendações da Resolução 510/16 e 466/12 do Conselho Nacional de Saúde. Todas as recomendações estavam esclarecidas no Termo de Consentimento Livre e Esclarecido (TCLE) para os participantes.</w:t>
      </w:r>
      <w:r w:rsidDel="00000000" w:rsidR="00000000" w:rsidRPr="00000000">
        <w:rPr>
          <w:rtl w:val="0"/>
        </w:rPr>
      </w:r>
    </w:p>
    <w:p w:rsidR="00000000" w:rsidDel="00000000" w:rsidP="00000000" w:rsidRDefault="00000000" w:rsidRPr="00000000" w14:paraId="00000048">
      <w:pPr>
        <w:spacing w:line="360" w:lineRule="auto"/>
        <w:ind w:firstLine="720"/>
        <w:rPr/>
      </w:pPr>
      <w:r w:rsidDel="00000000" w:rsidR="00000000" w:rsidRPr="00000000">
        <w:rPr>
          <w:rtl w:val="0"/>
        </w:rPr>
      </w:r>
    </w:p>
    <w:p w:rsidR="00000000" w:rsidDel="00000000" w:rsidP="00000000" w:rsidRDefault="00000000" w:rsidRPr="00000000" w14:paraId="00000049">
      <w:pPr>
        <w:spacing w:line="360" w:lineRule="auto"/>
        <w:rPr>
          <w:b w:val="1"/>
          <w:i w:val="1"/>
        </w:rPr>
      </w:pPr>
      <w:r w:rsidDel="00000000" w:rsidR="00000000" w:rsidRPr="00000000">
        <w:rPr>
          <w:b w:val="1"/>
          <w:i w:val="1"/>
          <w:rtl w:val="0"/>
        </w:rPr>
        <w:t xml:space="preserve">Análise dos dados</w:t>
      </w:r>
    </w:p>
    <w:p w:rsidR="00000000" w:rsidDel="00000000" w:rsidP="00000000" w:rsidRDefault="00000000" w:rsidRPr="00000000" w14:paraId="0000004A">
      <w:pPr>
        <w:spacing w:after="240" w:before="240" w:line="360" w:lineRule="auto"/>
        <w:ind w:firstLine="708"/>
        <w:rPr/>
      </w:pPr>
      <w:r w:rsidDel="00000000" w:rsidR="00000000" w:rsidRPr="00000000">
        <w:rPr>
          <w:rtl w:val="0"/>
        </w:rPr>
        <w:t xml:space="preserve">N1- Os dados foram analisados por meio do</w:t>
      </w:r>
      <w:r w:rsidDel="00000000" w:rsidR="00000000" w:rsidRPr="00000000">
        <w:rPr>
          <w:i w:val="1"/>
          <w:rtl w:val="0"/>
        </w:rPr>
        <w:t xml:space="preserve"> </w:t>
      </w:r>
      <w:r w:rsidDel="00000000" w:rsidR="00000000" w:rsidRPr="00000000">
        <w:rPr>
          <w:rtl w:val="0"/>
        </w:rPr>
        <w:t xml:space="preserve">software </w:t>
      </w:r>
      <w:r w:rsidDel="00000000" w:rsidR="00000000" w:rsidRPr="00000000">
        <w:rPr>
          <w:i w:val="1"/>
          <w:rtl w:val="0"/>
        </w:rPr>
        <w:t xml:space="preserve">Factor </w:t>
      </w:r>
      <w:r w:rsidDel="00000000" w:rsidR="00000000" w:rsidRPr="00000000">
        <w:rPr>
          <w:rtl w:val="0"/>
        </w:rPr>
        <w:t xml:space="preserve">(versão, 10.10; Ferrando &amp; Lorenzo-Seva, 2017). Calculamos estatísticas descritivas para caracterização da amostra (frequência, médias e desvios padrão). Foram realizadas a análise fatorial exploratória de mínimos quadrados com base em correlações policóricas, </w:t>
      </w:r>
      <w:r w:rsidDel="00000000" w:rsidR="00000000" w:rsidRPr="00000000">
        <w:rPr>
          <w:i w:val="1"/>
          <w:rtl w:val="0"/>
        </w:rPr>
        <w:t xml:space="preserve">com estimador Robust Diagonally Weighted Least Squares</w:t>
      </w:r>
      <w:r w:rsidDel="00000000" w:rsidR="00000000" w:rsidRPr="00000000">
        <w:rPr>
          <w:rtl w:val="0"/>
        </w:rPr>
        <w:t xml:space="preserve"> (RDWLS), a dimensionalidade da fatoração da escala, os índices de consistência interna como o alfa de Cronbach e o Ômega de McDonald. </w:t>
      </w:r>
      <w:r w:rsidDel="00000000" w:rsidR="00000000" w:rsidRPr="00000000">
        <w:rPr>
          <w:highlight w:val="white"/>
          <w:rtl w:val="0"/>
        </w:rPr>
        <w:t xml:space="preserve">Também realizamos, por meio da linguagem R (versão 4.0), a calibração dos itens como: a discriminação, dificuldade dos e a curva de informação dos itens por meio do Modelo de Resposta Gradual de Samejina </w:t>
      </w:r>
      <w:r w:rsidDel="00000000" w:rsidR="00000000" w:rsidRPr="00000000">
        <w:rPr>
          <w:rtl w:val="0"/>
        </w:rPr>
        <w:t xml:space="preserve">(Samejina, 1969).</w:t>
      </w:r>
    </w:p>
    <w:p w:rsidR="00000000" w:rsidDel="00000000" w:rsidP="00000000" w:rsidRDefault="00000000" w:rsidRPr="00000000" w14:paraId="0000004B">
      <w:pPr>
        <w:spacing w:after="240" w:before="240" w:line="360" w:lineRule="auto"/>
        <w:ind w:firstLine="708"/>
        <w:rPr/>
      </w:pPr>
      <w:r w:rsidDel="00000000" w:rsidR="00000000" w:rsidRPr="00000000">
        <w:rPr>
          <w:rtl w:val="0"/>
        </w:rPr>
        <w:t xml:space="preserve">N2- Os dados também foram analisados por meio do</w:t>
      </w:r>
      <w:r w:rsidDel="00000000" w:rsidR="00000000" w:rsidRPr="00000000">
        <w:rPr>
          <w:i w:val="1"/>
          <w:rtl w:val="0"/>
        </w:rPr>
        <w:t xml:space="preserve"> </w:t>
      </w:r>
      <w:r w:rsidDel="00000000" w:rsidR="00000000" w:rsidRPr="00000000">
        <w:rPr>
          <w:rtl w:val="0"/>
        </w:rPr>
        <w:t xml:space="preserve">software </w:t>
      </w:r>
      <w:r w:rsidDel="00000000" w:rsidR="00000000" w:rsidRPr="00000000">
        <w:rPr>
          <w:i w:val="1"/>
          <w:rtl w:val="0"/>
        </w:rPr>
        <w:t xml:space="preserve">R Studio </w:t>
      </w:r>
      <w:r w:rsidDel="00000000" w:rsidR="00000000" w:rsidRPr="00000000">
        <w:rPr>
          <w:rtl w:val="0"/>
        </w:rPr>
        <w:t xml:space="preserve">(versão 3.0.1). Foram realizadas a análise fatorial confirmatória utilizando por meio do estimador Weighted Least Square Mean and Variance Adjusted</w:t>
      </w:r>
      <w:r w:rsidDel="00000000" w:rsidR="00000000" w:rsidRPr="00000000">
        <w:rPr>
          <w:i w:val="1"/>
          <w:highlight w:val="white"/>
          <w:rtl w:val="0"/>
        </w:rPr>
        <w:t xml:space="preserve"> </w:t>
      </w:r>
      <w:r w:rsidDel="00000000" w:rsidR="00000000" w:rsidRPr="00000000">
        <w:rPr>
          <w:highlight w:val="white"/>
          <w:rtl w:val="0"/>
        </w:rPr>
        <w:t xml:space="preserve">(WLSMV)</w:t>
      </w:r>
      <w:r w:rsidDel="00000000" w:rsidR="00000000" w:rsidRPr="00000000">
        <w:rPr>
          <w:rtl w:val="0"/>
        </w:rPr>
        <w:t xml:space="preserve">, considerando os seguintes índices de ajuste: </w:t>
      </w:r>
      <w:r w:rsidDel="00000000" w:rsidR="00000000" w:rsidRPr="00000000">
        <w:rPr>
          <w:i w:val="1"/>
          <w:rtl w:val="0"/>
        </w:rPr>
        <w:t xml:space="preserve">Chi-Square Test</w:t>
      </w:r>
      <w:r w:rsidDel="00000000" w:rsidR="00000000" w:rsidRPr="00000000">
        <w:rPr>
          <w:rtl w:val="0"/>
        </w:rPr>
        <w:t xml:space="preserve"> (χ</w:t>
      </w:r>
      <w:r w:rsidDel="00000000" w:rsidR="00000000" w:rsidRPr="00000000">
        <w:rPr>
          <w:vertAlign w:val="superscript"/>
          <w:rtl w:val="0"/>
        </w:rPr>
        <w:t xml:space="preserve">2</w:t>
      </w:r>
      <w:r w:rsidDel="00000000" w:rsidR="00000000" w:rsidRPr="00000000">
        <w:rPr>
          <w:rtl w:val="0"/>
        </w:rPr>
        <w:t xml:space="preserve">),</w:t>
      </w:r>
      <w:r w:rsidDel="00000000" w:rsidR="00000000" w:rsidRPr="00000000">
        <w:rPr>
          <w:i w:val="1"/>
          <w:rtl w:val="0"/>
        </w:rPr>
        <w:t xml:space="preserve"> Degrees of Freedom</w:t>
      </w:r>
      <w:r w:rsidDel="00000000" w:rsidR="00000000" w:rsidRPr="00000000">
        <w:rPr>
          <w:rtl w:val="0"/>
        </w:rPr>
        <w:t xml:space="preserve"> (DF), χ</w:t>
      </w:r>
      <w:r w:rsidDel="00000000" w:rsidR="00000000" w:rsidRPr="00000000">
        <w:rPr>
          <w:vertAlign w:val="superscript"/>
          <w:rtl w:val="0"/>
        </w:rPr>
        <w:t xml:space="preserve">2</w:t>
      </w:r>
      <w:r w:rsidDel="00000000" w:rsidR="00000000" w:rsidRPr="00000000">
        <w:rPr>
          <w:rtl w:val="0"/>
        </w:rPr>
        <w:t xml:space="preserve">/</w:t>
      </w:r>
      <w:r w:rsidDel="00000000" w:rsidR="00000000" w:rsidRPr="00000000">
        <w:rPr>
          <w:i w:val="1"/>
          <w:rtl w:val="0"/>
        </w:rPr>
        <w:t xml:space="preserve">df</w:t>
      </w:r>
      <w:r w:rsidDel="00000000" w:rsidR="00000000" w:rsidRPr="00000000">
        <w:rPr>
          <w:rtl w:val="0"/>
        </w:rPr>
        <w:t xml:space="preserve"> , considerado valores entre 1 e 3 (Anunciação, 2018) o </w:t>
      </w:r>
      <w:r w:rsidDel="00000000" w:rsidR="00000000" w:rsidRPr="00000000">
        <w:rPr>
          <w:i w:val="1"/>
          <w:rtl w:val="0"/>
        </w:rPr>
        <w:t xml:space="preserve">Comparative Fit-Index</w:t>
      </w:r>
      <w:r w:rsidDel="00000000" w:rsidR="00000000" w:rsidRPr="00000000">
        <w:rPr>
          <w:rtl w:val="0"/>
        </w:rPr>
        <w:t xml:space="preserve"> (CFI), </w:t>
      </w:r>
      <w:r w:rsidDel="00000000" w:rsidR="00000000" w:rsidRPr="00000000">
        <w:rPr>
          <w:i w:val="1"/>
          <w:rtl w:val="0"/>
        </w:rPr>
        <w:t xml:space="preserve">Tucker Lewis Index</w:t>
      </w:r>
      <w:r w:rsidDel="00000000" w:rsidR="00000000" w:rsidRPr="00000000">
        <w:rPr>
          <w:rtl w:val="0"/>
        </w:rPr>
        <w:t xml:space="preserve"> (TLI) e o </w:t>
      </w:r>
      <w:r w:rsidDel="00000000" w:rsidR="00000000" w:rsidRPr="00000000">
        <w:rPr>
          <w:i w:val="1"/>
          <w:rtl w:val="0"/>
        </w:rPr>
        <w:t xml:space="preserve">Goodness of Fit Index</w:t>
      </w:r>
      <w:r w:rsidDel="00000000" w:rsidR="00000000" w:rsidRPr="00000000">
        <w:rPr>
          <w:rtl w:val="0"/>
        </w:rPr>
        <w:t xml:space="preserve"> (GFI) com o ponto de corte sendo &gt; 0,90 (Kline, 2015); o </w:t>
      </w:r>
      <w:r w:rsidDel="00000000" w:rsidR="00000000" w:rsidRPr="00000000">
        <w:rPr>
          <w:i w:val="1"/>
          <w:rtl w:val="0"/>
        </w:rPr>
        <w:t xml:space="preserve">Root-Mean-Square Error of Aproximation</w:t>
      </w:r>
      <w:r w:rsidDel="00000000" w:rsidR="00000000" w:rsidRPr="00000000">
        <w:rPr>
          <w:rtl w:val="0"/>
        </w:rPr>
        <w:t xml:space="preserve"> (RMSEA) com o ponto de corte sendo valores &lt; 0,10; </w:t>
      </w:r>
      <w:r w:rsidDel="00000000" w:rsidR="00000000" w:rsidRPr="00000000">
        <w:rPr>
          <w:i w:val="1"/>
          <w:rtl w:val="0"/>
        </w:rPr>
        <w:t xml:space="preserve">Standardized Root Mean Square Residual</w:t>
      </w:r>
      <w:r w:rsidDel="00000000" w:rsidR="00000000" w:rsidRPr="00000000">
        <w:rPr>
          <w:rtl w:val="0"/>
        </w:rPr>
        <w:t xml:space="preserve"> (SRMR) com ponto de corte &lt; 0,10 (Kline, 2015); e </w:t>
      </w:r>
      <w:r w:rsidDel="00000000" w:rsidR="00000000" w:rsidRPr="00000000">
        <w:rPr>
          <w:i w:val="1"/>
          <w:rtl w:val="0"/>
        </w:rPr>
        <w:t xml:space="preserve">Expected Cross Validation Index</w:t>
      </w:r>
      <w:r w:rsidDel="00000000" w:rsidR="00000000" w:rsidRPr="00000000">
        <w:rPr>
          <w:rtl w:val="0"/>
        </w:rPr>
        <w:t xml:space="preserve"> (ECVI), serve para comparar modelos não alinhados, quanto mais baixo for o valor melhor é o modelo em comparação aos modelos testados (Kline, 2015). </w:t>
      </w:r>
    </w:p>
    <w:p w:rsidR="00000000" w:rsidDel="00000000" w:rsidP="00000000" w:rsidRDefault="00000000" w:rsidRPr="00000000" w14:paraId="0000004C">
      <w:pPr>
        <w:spacing w:after="240" w:before="240" w:line="360" w:lineRule="auto"/>
        <w:ind w:firstLine="708"/>
        <w:jc w:val="center"/>
        <w:rPr>
          <w:b w:val="1"/>
        </w:rPr>
      </w:pPr>
      <w:r w:rsidDel="00000000" w:rsidR="00000000" w:rsidRPr="00000000">
        <w:rPr>
          <w:b w:val="1"/>
          <w:rtl w:val="0"/>
        </w:rPr>
        <w:t xml:space="preserve">Resultados</w:t>
      </w:r>
    </w:p>
    <w:p w:rsidR="00000000" w:rsidDel="00000000" w:rsidP="00000000" w:rsidRDefault="00000000" w:rsidRPr="00000000" w14:paraId="0000004D">
      <w:pPr>
        <w:spacing w:line="360" w:lineRule="auto"/>
        <w:ind w:firstLine="709"/>
        <w:rPr>
          <w:b w:val="1"/>
        </w:rPr>
      </w:pPr>
      <w:r w:rsidDel="00000000" w:rsidR="00000000" w:rsidRPr="00000000">
        <w:rPr>
          <w:b w:val="1"/>
          <w:i w:val="1"/>
          <w:rtl w:val="0"/>
        </w:rPr>
        <w:t xml:space="preserve">Estudo 1. Evidências de validade exploratória, precisão e validade baseada em padrão de resposta por item do Inventário de Depressão de Beck (BDI-13) .</w:t>
      </w:r>
      <w:r w:rsidDel="00000000" w:rsidR="00000000" w:rsidRPr="00000000">
        <w:rPr>
          <w:rtl w:val="0"/>
        </w:rPr>
      </w:r>
    </w:p>
    <w:p w:rsidR="00000000" w:rsidDel="00000000" w:rsidP="00000000" w:rsidRDefault="00000000" w:rsidRPr="00000000" w14:paraId="0000004E">
      <w:pPr>
        <w:spacing w:line="360" w:lineRule="auto"/>
        <w:ind w:firstLine="708"/>
        <w:rPr/>
      </w:pPr>
      <w:r w:rsidDel="00000000" w:rsidR="00000000" w:rsidRPr="00000000">
        <w:rPr>
          <w:rtl w:val="0"/>
        </w:rPr>
        <w:t xml:space="preserve">Inicialmente buscamos testar a estrutura da matriz de correlação por meio da análise dos componentes principais do Inventário de depressão de Beck-13 (BDI-13). Para isso, realizamos o teste de</w:t>
      </w:r>
      <w:r w:rsidDel="00000000" w:rsidR="00000000" w:rsidRPr="00000000">
        <w:rPr>
          <w:i w:val="1"/>
          <w:rtl w:val="0"/>
        </w:rPr>
        <w:t xml:space="preserve"> Kaiser-Meyer-Olkin </w:t>
      </w:r>
      <w:r w:rsidDel="00000000" w:rsidR="00000000" w:rsidRPr="00000000">
        <w:rPr>
          <w:rtl w:val="0"/>
        </w:rPr>
        <w:t xml:space="preserve">(KMO) e o teste de esfericidade de Bartlett que buscam avaliar o índice de adequação da amostra e procura avaliar se a</w:t>
      </w:r>
      <w:r w:rsidDel="00000000" w:rsidR="00000000" w:rsidRPr="00000000">
        <w:rPr>
          <w:highlight w:val="white"/>
          <w:rtl w:val="0"/>
        </w:rPr>
        <w:t xml:space="preserve"> matriz é fatorável</w:t>
      </w:r>
      <w:r w:rsidDel="00000000" w:rsidR="00000000" w:rsidRPr="00000000">
        <w:rPr>
          <w:rtl w:val="0"/>
        </w:rPr>
        <w:t xml:space="preserve">. Observamos que KMO = 0,98 e o teste de esfericidade de Bartlett χ2 (78) = 2178,3</w:t>
      </w:r>
      <w:r w:rsidDel="00000000" w:rsidR="00000000" w:rsidRPr="00000000">
        <w:rPr>
          <w:i w:val="1"/>
          <w:rtl w:val="0"/>
        </w:rPr>
        <w:t xml:space="preserve">; p </w:t>
      </w:r>
      <w:r w:rsidDel="00000000" w:rsidR="00000000" w:rsidRPr="00000000">
        <w:rPr>
          <w:rtl w:val="0"/>
        </w:rPr>
        <w:t xml:space="preserve">&lt; 0,001, demonstraram que a IDB-13 possui adequação da amostra assim como é passível de fatoração. </w:t>
      </w:r>
    </w:p>
    <w:p w:rsidR="00000000" w:rsidDel="00000000" w:rsidP="00000000" w:rsidRDefault="00000000" w:rsidRPr="00000000" w14:paraId="0000004F">
      <w:pPr>
        <w:spacing w:line="360" w:lineRule="auto"/>
        <w:ind w:firstLine="720"/>
        <w:rPr/>
      </w:pPr>
      <w:r w:rsidDel="00000000" w:rsidR="00000000" w:rsidRPr="00000000">
        <w:rPr>
          <w:rtl w:val="0"/>
        </w:rPr>
        <w:t xml:space="preserve">Para determinar as dimensões, nos baseamos no valor do critério de Kaiser, ao qual demonstrou valor próprio de 7,30 apenas na primeira dimensão, explicando 56% da variância explicada, ou seja, esse fator consegue explicar mais da metade da variância do traço latente. Objetivamos confirmar nossos achados, usamos um critério mais robusto, o critério de Horn, também conhecido como Análise Paralela. Para o critério de Horn (1965), assumimos os dados do banco (268 participantes e 13 variáveis) com 1000 simulações, sendo percebido a presença de um único fator que corresponde ao esperado. Isso porque o valor próprio observado deve ser maior que o seu correspondente no valor simulado. O valor simulado ao primeiro fator foi de 1,38 em comparação ao valor observado de 7,30, significando que existe um fator. O segundo fator apresentou um valor simulado de 1,29 em comparação ao valor observado de 0,92, indicando que o segundo fator não existe e que, portanto, aderimos à distribuição dos itens como unidimensional. </w:t>
      </w:r>
    </w:p>
    <w:p w:rsidR="00000000" w:rsidDel="00000000" w:rsidP="00000000" w:rsidRDefault="00000000" w:rsidRPr="00000000" w14:paraId="00000050">
      <w:pPr>
        <w:spacing w:line="360" w:lineRule="auto"/>
        <w:ind w:firstLine="720"/>
        <w:rPr/>
      </w:pPr>
      <w:r w:rsidDel="00000000" w:rsidR="00000000" w:rsidRPr="00000000">
        <w:rPr>
          <w:rtl w:val="0"/>
        </w:rPr>
        <w:t xml:space="preserve">Analisamos também a unidimensionalidade do BDI-13 por meio da </w:t>
      </w:r>
      <w:r w:rsidDel="00000000" w:rsidR="00000000" w:rsidRPr="00000000">
        <w:rPr>
          <w:i w:val="1"/>
          <w:rtl w:val="0"/>
        </w:rPr>
        <w:t xml:space="preserve">Unidimensional Congruence</w:t>
      </w:r>
      <w:r w:rsidDel="00000000" w:rsidR="00000000" w:rsidRPr="00000000">
        <w:rPr>
          <w:rtl w:val="0"/>
        </w:rPr>
        <w:t xml:space="preserve"> (UniCo),</w:t>
      </w:r>
      <w:r w:rsidDel="00000000" w:rsidR="00000000" w:rsidRPr="00000000">
        <w:rPr>
          <w:i w:val="1"/>
          <w:rtl w:val="0"/>
        </w:rPr>
        <w:t xml:space="preserve"> </w:t>
      </w:r>
      <w:r w:rsidDel="00000000" w:rsidR="00000000" w:rsidRPr="00000000">
        <w:rPr>
          <w:rtl w:val="0"/>
        </w:rPr>
        <w:t xml:space="preserve">aceitando valores maiores que 0,95; </w:t>
      </w:r>
      <w:r w:rsidDel="00000000" w:rsidR="00000000" w:rsidRPr="00000000">
        <w:rPr>
          <w:i w:val="1"/>
          <w:rtl w:val="0"/>
        </w:rPr>
        <w:t xml:space="preserve">Explained Common Varianc</w:t>
      </w:r>
      <w:r w:rsidDel="00000000" w:rsidR="00000000" w:rsidRPr="00000000">
        <w:rPr>
          <w:rtl w:val="0"/>
        </w:rPr>
        <w:t xml:space="preserve">e (ECV) aceita valores acima de 0,85; e </w:t>
      </w:r>
      <w:r w:rsidDel="00000000" w:rsidR="00000000" w:rsidRPr="00000000">
        <w:rPr>
          <w:i w:val="1"/>
          <w:rtl w:val="0"/>
        </w:rPr>
        <w:t xml:space="preserve">Residual Absolute Loadings</w:t>
      </w:r>
      <w:r w:rsidDel="00000000" w:rsidR="00000000" w:rsidRPr="00000000">
        <w:rPr>
          <w:rtl w:val="0"/>
        </w:rPr>
        <w:t xml:space="preserve"> (MIREAL), que aceita valores inferiores a 0,30 (Ferrando &amp; Lorenzo-Seva, 2018), isto é, esses índices servem para reforçar a unidimensionalidade existente do BDI-13. Com isso, observamos que UniCo = 0,98; ECV = 0,91 e MIREAL = 0,17, demonstraram o modelo da unidimensionalidade é suportado pelos dados. </w:t>
      </w:r>
    </w:p>
    <w:p w:rsidR="00000000" w:rsidDel="00000000" w:rsidP="00000000" w:rsidRDefault="00000000" w:rsidRPr="00000000" w14:paraId="00000051">
      <w:pPr>
        <w:spacing w:line="360" w:lineRule="auto"/>
        <w:ind w:firstLine="720"/>
        <w:rPr/>
      </w:pPr>
      <w:r w:rsidDel="00000000" w:rsidR="00000000" w:rsidRPr="00000000">
        <w:rPr>
          <w:rtl w:val="0"/>
        </w:rPr>
        <w:t xml:space="preserve">Analisamos também que as cargas fatoriais foram todas acima de 0,40, isto é, todos os itens contribuem de forma significativa na formação do construto teórico (</w:t>
      </w:r>
      <w:r w:rsidDel="00000000" w:rsidR="00000000" w:rsidRPr="00000000">
        <w:rPr>
          <w:b w:val="1"/>
          <w:rtl w:val="0"/>
        </w:rPr>
        <w:t xml:space="preserve">Tabela 1</w:t>
      </w:r>
      <w:r w:rsidDel="00000000" w:rsidR="00000000" w:rsidRPr="00000000">
        <w:rPr>
          <w:rtl w:val="0"/>
        </w:rPr>
        <w:t xml:space="preserve">). Isto é, variaram de 0,54 (item 13) e 0,81 (item 6). Já as comunalidades variaram de 0,30 (item 13) e 0,66 (item 6). A confiabilidade da escala foi analisada de duas formas, por meio do alfa de Cronbach e do ômega de McDonald. Tanto o alfa de Cronbach (</w:t>
      </w:r>
      <w:r w:rsidDel="00000000" w:rsidR="00000000" w:rsidRPr="00000000">
        <w:rPr>
          <w:highlight w:val="white"/>
          <w:rtl w:val="0"/>
        </w:rPr>
        <w:t xml:space="preserve">α</w:t>
      </w:r>
      <w:r w:rsidDel="00000000" w:rsidR="00000000" w:rsidRPr="00000000">
        <w:rPr>
          <w:rtl w:val="0"/>
        </w:rPr>
        <w:t xml:space="preserve"> = 0,93) como o ômega de McDonald (</w:t>
      </w:r>
      <w:r w:rsidDel="00000000" w:rsidR="00000000" w:rsidRPr="00000000">
        <w:rPr>
          <w:highlight w:val="white"/>
          <w:rtl w:val="0"/>
        </w:rPr>
        <w:t xml:space="preserve">ω </w:t>
      </w:r>
      <w:r w:rsidDel="00000000" w:rsidR="00000000" w:rsidRPr="00000000">
        <w:rPr>
          <w:rtl w:val="0"/>
        </w:rPr>
        <w:t xml:space="preserve">= 0,93), foram estatisticamente satisfatórios. </w:t>
      </w:r>
    </w:p>
    <w:p w:rsidR="00000000" w:rsidDel="00000000" w:rsidP="00000000" w:rsidRDefault="00000000" w:rsidRPr="00000000" w14:paraId="00000052">
      <w:pPr>
        <w:spacing w:line="360" w:lineRule="auto"/>
        <w:ind w:firstLine="720"/>
        <w:rPr/>
      </w:pPr>
      <w:r w:rsidDel="00000000" w:rsidR="00000000" w:rsidRPr="00000000">
        <w:rPr>
          <w:rtl w:val="0"/>
        </w:rPr>
      </w:r>
    </w:p>
    <w:p w:rsidR="00000000" w:rsidDel="00000000" w:rsidP="00000000" w:rsidRDefault="00000000" w:rsidRPr="00000000" w14:paraId="00000053">
      <w:pPr>
        <w:spacing w:line="360" w:lineRule="auto"/>
        <w:rPr>
          <w:b w:val="1"/>
        </w:rPr>
      </w:pPr>
      <w:r w:rsidDel="00000000" w:rsidR="00000000" w:rsidRPr="00000000">
        <w:rPr>
          <w:b w:val="1"/>
          <w:rtl w:val="0"/>
        </w:rPr>
        <w:t xml:space="preserve">Tabela 1.</w:t>
      </w:r>
    </w:p>
    <w:p w:rsidR="00000000" w:rsidDel="00000000" w:rsidP="00000000" w:rsidRDefault="00000000" w:rsidRPr="00000000" w14:paraId="00000054">
      <w:pPr>
        <w:spacing w:line="360" w:lineRule="auto"/>
        <w:rPr>
          <w:i w:val="1"/>
        </w:rPr>
      </w:pPr>
      <w:r w:rsidDel="00000000" w:rsidR="00000000" w:rsidRPr="00000000">
        <w:rPr>
          <w:i w:val="1"/>
          <w:rtl w:val="0"/>
        </w:rPr>
        <w:t xml:space="preserve">Estrutura fatorial da BDI-13</w:t>
      </w:r>
    </w:p>
    <w:tbl>
      <w:tblPr>
        <w:tblStyle w:val="Table1"/>
        <w:tblW w:w="7479.0" w:type="dxa"/>
        <w:jc w:val="left"/>
        <w:tblInd w:w="0.0" w:type="dxa"/>
        <w:tblLayout w:type="fixed"/>
        <w:tblLook w:val="0600"/>
      </w:tblPr>
      <w:tblGrid>
        <w:gridCol w:w="5189"/>
        <w:gridCol w:w="390"/>
        <w:gridCol w:w="902"/>
        <w:gridCol w:w="998"/>
        <w:tblGridChange w:id="0">
          <w:tblGrid>
            <w:gridCol w:w="5189"/>
            <w:gridCol w:w="390"/>
            <w:gridCol w:w="902"/>
            <w:gridCol w:w="998"/>
          </w:tblGrid>
        </w:tblGridChange>
      </w:tblGrid>
      <w:tr>
        <w:trPr>
          <w:cantSplit w:val="0"/>
          <w:trHeight w:val="300" w:hRule="atLeast"/>
          <w:tblHeader w:val="0"/>
        </w:trPr>
        <w:tc>
          <w:tcPr>
            <w:tcBorders>
              <w:top w:color="000000" w:space="0" w:sz="12" w:val="single"/>
              <w:bottom w:color="000000" w:space="0" w:sz="4" w:val="single"/>
            </w:tcBorders>
          </w:tcPr>
          <w:p w:rsidR="00000000" w:rsidDel="00000000" w:rsidP="00000000" w:rsidRDefault="00000000" w:rsidRPr="00000000" w14:paraId="00000055">
            <w:pPr>
              <w:spacing w:line="360" w:lineRule="auto"/>
              <w:rPr/>
            </w:pPr>
            <w:r w:rsidDel="00000000" w:rsidR="00000000" w:rsidRPr="00000000">
              <w:rPr>
                <w:rtl w:val="0"/>
              </w:rPr>
            </w:r>
          </w:p>
          <w:p w:rsidR="00000000" w:rsidDel="00000000" w:rsidP="00000000" w:rsidRDefault="00000000" w:rsidRPr="00000000" w14:paraId="00000056">
            <w:pPr>
              <w:spacing w:line="360" w:lineRule="auto"/>
              <w:rPr/>
            </w:pPr>
            <w:r w:rsidDel="00000000" w:rsidR="00000000" w:rsidRPr="00000000">
              <w:rPr>
                <w:rtl w:val="0"/>
              </w:rPr>
              <w:t xml:space="preserve"> Itens</w:t>
            </w:r>
          </w:p>
        </w:tc>
        <w:tc>
          <w:tcPr>
            <w:gridSpan w:val="2"/>
            <w:tcBorders>
              <w:top w:color="000000" w:space="0" w:sz="12" w:val="single"/>
              <w:bottom w:color="000000" w:space="0" w:sz="4" w:val="single"/>
            </w:tcBorders>
          </w:tcPr>
          <w:p w:rsidR="00000000" w:rsidDel="00000000" w:rsidP="00000000" w:rsidRDefault="00000000" w:rsidRPr="00000000" w14:paraId="00000057">
            <w:pPr>
              <w:spacing w:line="360" w:lineRule="auto"/>
              <w:rPr/>
            </w:pPr>
            <w:r w:rsidDel="00000000" w:rsidR="00000000" w:rsidRPr="00000000">
              <w:rPr>
                <w:rtl w:val="0"/>
              </w:rPr>
              <w:t xml:space="preserve">        (λ)</w:t>
            </w:r>
          </w:p>
        </w:tc>
        <w:tc>
          <w:tcPr>
            <w:tcBorders>
              <w:top w:color="000000" w:space="0" w:sz="12" w:val="single"/>
              <w:bottom w:color="000000" w:space="0" w:sz="4" w:val="single"/>
            </w:tcBorders>
          </w:tcPr>
          <w:p w:rsidR="00000000" w:rsidDel="00000000" w:rsidP="00000000" w:rsidRDefault="00000000" w:rsidRPr="00000000" w14:paraId="00000059">
            <w:pPr>
              <w:spacing w:line="360" w:lineRule="auto"/>
              <w:rPr>
                <w:vertAlign w:val="superscript"/>
              </w:rPr>
            </w:pPr>
            <w:r w:rsidDel="00000000" w:rsidR="00000000" w:rsidRPr="00000000">
              <w:rPr>
                <w:rtl w:val="0"/>
              </w:rPr>
              <w:t xml:space="preserve">h</w:t>
            </w:r>
            <w:r w:rsidDel="00000000" w:rsidR="00000000" w:rsidRPr="00000000">
              <w:rPr>
                <w:vertAlign w:val="superscript"/>
                <w:rtl w:val="0"/>
              </w:rPr>
              <w:t xml:space="preserve">2</w:t>
            </w:r>
          </w:p>
        </w:tc>
      </w:tr>
      <w:tr>
        <w:trPr>
          <w:cantSplit w:val="0"/>
          <w:trHeight w:val="300" w:hRule="atLeast"/>
          <w:tblHeader w:val="0"/>
        </w:trPr>
        <w:tc>
          <w:tcPr>
            <w:gridSpan w:val="2"/>
            <w:tcBorders>
              <w:top w:color="000000" w:space="0" w:sz="4" w:val="single"/>
            </w:tcBorders>
            <w:shd w:fill="ffffff" w:val="clear"/>
          </w:tcPr>
          <w:p w:rsidR="00000000" w:rsidDel="00000000" w:rsidP="00000000" w:rsidRDefault="00000000" w:rsidRPr="00000000" w14:paraId="0000005A">
            <w:pPr>
              <w:spacing w:line="360" w:lineRule="auto"/>
              <w:rPr/>
            </w:pPr>
            <w:r w:rsidDel="00000000" w:rsidR="00000000" w:rsidRPr="00000000">
              <w:rPr>
                <w:rtl w:val="0"/>
              </w:rPr>
              <w:t xml:space="preserve">1- Humor deprimido / tristeza</w:t>
            </w:r>
          </w:p>
        </w:tc>
        <w:tc>
          <w:tcPr>
            <w:tcBorders>
              <w:top w:color="000000" w:space="0" w:sz="4" w:val="single"/>
            </w:tcBorders>
            <w:shd w:fill="ffffff" w:val="clear"/>
          </w:tcPr>
          <w:p w:rsidR="00000000" w:rsidDel="00000000" w:rsidP="00000000" w:rsidRDefault="00000000" w:rsidRPr="00000000" w14:paraId="0000005C">
            <w:pPr>
              <w:spacing w:line="360" w:lineRule="auto"/>
              <w:rPr/>
            </w:pPr>
            <w:r w:rsidDel="00000000" w:rsidR="00000000" w:rsidRPr="00000000">
              <w:rPr>
                <w:rtl w:val="0"/>
              </w:rPr>
              <w:t xml:space="preserve">0,76</w:t>
            </w:r>
          </w:p>
        </w:tc>
        <w:tc>
          <w:tcPr>
            <w:tcBorders>
              <w:top w:color="000000" w:space="0" w:sz="4" w:val="single"/>
            </w:tcBorders>
            <w:shd w:fill="ffffff" w:val="clear"/>
          </w:tcPr>
          <w:p w:rsidR="00000000" w:rsidDel="00000000" w:rsidP="00000000" w:rsidRDefault="00000000" w:rsidRPr="00000000" w14:paraId="0000005D">
            <w:pPr>
              <w:widowControl w:val="0"/>
              <w:spacing w:line="360" w:lineRule="auto"/>
              <w:rPr/>
            </w:pPr>
            <w:r w:rsidDel="00000000" w:rsidR="00000000" w:rsidRPr="00000000">
              <w:rPr>
                <w:rtl w:val="0"/>
              </w:rPr>
              <w:t xml:space="preserve">0,59</w:t>
            </w:r>
          </w:p>
        </w:tc>
      </w:tr>
      <w:tr>
        <w:trPr>
          <w:cantSplit w:val="0"/>
          <w:trHeight w:val="300" w:hRule="atLeast"/>
          <w:tblHeader w:val="0"/>
        </w:trPr>
        <w:tc>
          <w:tcPr>
            <w:gridSpan w:val="2"/>
            <w:shd w:fill="auto" w:val="clear"/>
          </w:tcPr>
          <w:p w:rsidR="00000000" w:rsidDel="00000000" w:rsidP="00000000" w:rsidRDefault="00000000" w:rsidRPr="00000000" w14:paraId="0000005E">
            <w:pPr>
              <w:spacing w:line="360" w:lineRule="auto"/>
              <w:rPr/>
            </w:pPr>
            <w:r w:rsidDel="00000000" w:rsidR="00000000" w:rsidRPr="00000000">
              <w:rPr>
                <w:rtl w:val="0"/>
              </w:rPr>
              <w:t xml:space="preserve">2- Pessimismo</w:t>
            </w:r>
          </w:p>
        </w:tc>
        <w:tc>
          <w:tcPr>
            <w:shd w:fill="auto" w:val="clear"/>
          </w:tcPr>
          <w:p w:rsidR="00000000" w:rsidDel="00000000" w:rsidP="00000000" w:rsidRDefault="00000000" w:rsidRPr="00000000" w14:paraId="00000060">
            <w:pPr>
              <w:spacing w:line="360" w:lineRule="auto"/>
              <w:rPr/>
            </w:pPr>
            <w:r w:rsidDel="00000000" w:rsidR="00000000" w:rsidRPr="00000000">
              <w:rPr>
                <w:rtl w:val="0"/>
              </w:rPr>
              <w:t xml:space="preserve">0,77</w:t>
            </w:r>
          </w:p>
        </w:tc>
        <w:tc>
          <w:tcPr>
            <w:shd w:fill="auto" w:val="clear"/>
          </w:tcPr>
          <w:p w:rsidR="00000000" w:rsidDel="00000000" w:rsidP="00000000" w:rsidRDefault="00000000" w:rsidRPr="00000000" w14:paraId="00000061">
            <w:pPr>
              <w:widowControl w:val="0"/>
              <w:spacing w:line="360" w:lineRule="auto"/>
              <w:rPr/>
            </w:pPr>
            <w:r w:rsidDel="00000000" w:rsidR="00000000" w:rsidRPr="00000000">
              <w:rPr>
                <w:rtl w:val="0"/>
              </w:rPr>
              <w:t xml:space="preserve">0,60</w:t>
            </w:r>
          </w:p>
        </w:tc>
      </w:tr>
      <w:tr>
        <w:trPr>
          <w:cantSplit w:val="0"/>
          <w:trHeight w:val="300" w:hRule="atLeast"/>
          <w:tblHeader w:val="0"/>
        </w:trPr>
        <w:tc>
          <w:tcPr>
            <w:gridSpan w:val="2"/>
            <w:shd w:fill="ffffff" w:val="clear"/>
          </w:tcPr>
          <w:p w:rsidR="00000000" w:rsidDel="00000000" w:rsidP="00000000" w:rsidRDefault="00000000" w:rsidRPr="00000000" w14:paraId="00000062">
            <w:pPr>
              <w:spacing w:line="360" w:lineRule="auto"/>
              <w:rPr/>
            </w:pPr>
            <w:r w:rsidDel="00000000" w:rsidR="00000000" w:rsidRPr="00000000">
              <w:rPr>
                <w:rtl w:val="0"/>
              </w:rPr>
              <w:t xml:space="preserve">3- Sentimentos de fracasso</w:t>
            </w:r>
          </w:p>
        </w:tc>
        <w:tc>
          <w:tcPr>
            <w:shd w:fill="ffffff" w:val="clear"/>
          </w:tcPr>
          <w:p w:rsidR="00000000" w:rsidDel="00000000" w:rsidP="00000000" w:rsidRDefault="00000000" w:rsidRPr="00000000" w14:paraId="00000064">
            <w:pPr>
              <w:spacing w:line="360" w:lineRule="auto"/>
              <w:rPr/>
            </w:pPr>
            <w:r w:rsidDel="00000000" w:rsidR="00000000" w:rsidRPr="00000000">
              <w:rPr>
                <w:rtl w:val="0"/>
              </w:rPr>
              <w:t xml:space="preserve">0,79</w:t>
            </w:r>
          </w:p>
        </w:tc>
        <w:tc>
          <w:tcPr>
            <w:shd w:fill="ffffff" w:val="clear"/>
          </w:tcPr>
          <w:p w:rsidR="00000000" w:rsidDel="00000000" w:rsidP="00000000" w:rsidRDefault="00000000" w:rsidRPr="00000000" w14:paraId="00000065">
            <w:pPr>
              <w:widowControl w:val="0"/>
              <w:spacing w:line="360" w:lineRule="auto"/>
              <w:rPr/>
            </w:pPr>
            <w:r w:rsidDel="00000000" w:rsidR="00000000" w:rsidRPr="00000000">
              <w:rPr>
                <w:rtl w:val="0"/>
              </w:rPr>
              <w:t xml:space="preserve">0,62</w:t>
            </w:r>
          </w:p>
        </w:tc>
      </w:tr>
      <w:tr>
        <w:trPr>
          <w:cantSplit w:val="0"/>
          <w:trHeight w:val="300" w:hRule="atLeast"/>
          <w:tblHeader w:val="0"/>
        </w:trPr>
        <w:tc>
          <w:tcPr>
            <w:gridSpan w:val="2"/>
            <w:shd w:fill="ffffff" w:val="clear"/>
          </w:tcPr>
          <w:p w:rsidR="00000000" w:rsidDel="00000000" w:rsidP="00000000" w:rsidRDefault="00000000" w:rsidRPr="00000000" w14:paraId="00000066">
            <w:pPr>
              <w:spacing w:line="360" w:lineRule="auto"/>
              <w:rPr/>
            </w:pPr>
            <w:r w:rsidDel="00000000" w:rsidR="00000000" w:rsidRPr="00000000">
              <w:rPr>
                <w:rtl w:val="0"/>
              </w:rPr>
              <w:t xml:space="preserve">4- Falta de satisfação / insatisfação</w:t>
            </w:r>
          </w:p>
        </w:tc>
        <w:tc>
          <w:tcPr>
            <w:shd w:fill="ffffff" w:val="clear"/>
          </w:tcPr>
          <w:p w:rsidR="00000000" w:rsidDel="00000000" w:rsidP="00000000" w:rsidRDefault="00000000" w:rsidRPr="00000000" w14:paraId="00000068">
            <w:pPr>
              <w:spacing w:line="360" w:lineRule="auto"/>
              <w:rPr/>
            </w:pPr>
            <w:r w:rsidDel="00000000" w:rsidR="00000000" w:rsidRPr="00000000">
              <w:rPr>
                <w:rtl w:val="0"/>
              </w:rPr>
              <w:t xml:space="preserve">0,75</w:t>
            </w:r>
          </w:p>
        </w:tc>
        <w:tc>
          <w:tcPr>
            <w:shd w:fill="ffffff" w:val="clear"/>
          </w:tcPr>
          <w:p w:rsidR="00000000" w:rsidDel="00000000" w:rsidP="00000000" w:rsidRDefault="00000000" w:rsidRPr="00000000" w14:paraId="00000069">
            <w:pPr>
              <w:widowControl w:val="0"/>
              <w:spacing w:line="360" w:lineRule="auto"/>
              <w:rPr/>
            </w:pPr>
            <w:r w:rsidDel="00000000" w:rsidR="00000000" w:rsidRPr="00000000">
              <w:rPr>
                <w:rtl w:val="0"/>
              </w:rPr>
              <w:t xml:space="preserve">0,56</w:t>
            </w:r>
          </w:p>
        </w:tc>
      </w:tr>
      <w:tr>
        <w:trPr>
          <w:cantSplit w:val="0"/>
          <w:trHeight w:val="298" w:hRule="atLeast"/>
          <w:tblHeader w:val="0"/>
        </w:trPr>
        <w:tc>
          <w:tcPr>
            <w:gridSpan w:val="2"/>
            <w:shd w:fill="auto" w:val="clear"/>
          </w:tcPr>
          <w:p w:rsidR="00000000" w:rsidDel="00000000" w:rsidP="00000000" w:rsidRDefault="00000000" w:rsidRPr="00000000" w14:paraId="0000006A">
            <w:pPr>
              <w:spacing w:line="360" w:lineRule="auto"/>
              <w:rPr/>
            </w:pPr>
            <w:r w:rsidDel="00000000" w:rsidR="00000000" w:rsidRPr="00000000">
              <w:rPr>
                <w:rtl w:val="0"/>
              </w:rPr>
              <w:t xml:space="preserve">5-Sensação de culpa                                                         </w:t>
            </w:r>
          </w:p>
        </w:tc>
        <w:tc>
          <w:tcPr>
            <w:shd w:fill="auto" w:val="clear"/>
          </w:tcPr>
          <w:p w:rsidR="00000000" w:rsidDel="00000000" w:rsidP="00000000" w:rsidRDefault="00000000" w:rsidRPr="00000000" w14:paraId="0000006C">
            <w:pPr>
              <w:spacing w:line="360" w:lineRule="auto"/>
              <w:rPr/>
            </w:pPr>
            <w:r w:rsidDel="00000000" w:rsidR="00000000" w:rsidRPr="00000000">
              <w:rPr>
                <w:rtl w:val="0"/>
              </w:rPr>
              <w:t xml:space="preserve">0,74</w:t>
            </w:r>
          </w:p>
        </w:tc>
        <w:tc>
          <w:tcPr>
            <w:shd w:fill="auto" w:val="clear"/>
          </w:tcPr>
          <w:p w:rsidR="00000000" w:rsidDel="00000000" w:rsidP="00000000" w:rsidRDefault="00000000" w:rsidRPr="00000000" w14:paraId="0000006D">
            <w:pPr>
              <w:widowControl w:val="0"/>
              <w:spacing w:line="360" w:lineRule="auto"/>
              <w:rPr/>
            </w:pPr>
            <w:r w:rsidDel="00000000" w:rsidR="00000000" w:rsidRPr="00000000">
              <w:rPr>
                <w:rtl w:val="0"/>
              </w:rPr>
              <w:t xml:space="preserve">0,56</w:t>
            </w:r>
          </w:p>
        </w:tc>
      </w:tr>
      <w:tr>
        <w:trPr>
          <w:cantSplit w:val="0"/>
          <w:trHeight w:val="298" w:hRule="atLeast"/>
          <w:tblHeader w:val="0"/>
        </w:trPr>
        <w:tc>
          <w:tcPr>
            <w:gridSpan w:val="2"/>
            <w:shd w:fill="auto" w:val="clear"/>
          </w:tcPr>
          <w:p w:rsidR="00000000" w:rsidDel="00000000" w:rsidP="00000000" w:rsidRDefault="00000000" w:rsidRPr="00000000" w14:paraId="0000006E">
            <w:pPr>
              <w:spacing w:line="360" w:lineRule="auto"/>
              <w:rPr/>
            </w:pPr>
            <w:r w:rsidDel="00000000" w:rsidR="00000000" w:rsidRPr="00000000">
              <w:rPr>
                <w:rtl w:val="0"/>
              </w:rPr>
              <w:t xml:space="preserve">6- Decepção </w:t>
            </w:r>
          </w:p>
        </w:tc>
        <w:tc>
          <w:tcPr>
            <w:shd w:fill="auto" w:val="clear"/>
          </w:tcPr>
          <w:p w:rsidR="00000000" w:rsidDel="00000000" w:rsidP="00000000" w:rsidRDefault="00000000" w:rsidRPr="00000000" w14:paraId="00000070">
            <w:pPr>
              <w:spacing w:line="360" w:lineRule="auto"/>
              <w:rPr/>
            </w:pPr>
            <w:r w:rsidDel="00000000" w:rsidR="00000000" w:rsidRPr="00000000">
              <w:rPr>
                <w:rtl w:val="0"/>
              </w:rPr>
              <w:t xml:space="preserve">0,81</w:t>
            </w:r>
          </w:p>
        </w:tc>
        <w:tc>
          <w:tcPr>
            <w:shd w:fill="auto" w:val="clear"/>
          </w:tcPr>
          <w:p w:rsidR="00000000" w:rsidDel="00000000" w:rsidP="00000000" w:rsidRDefault="00000000" w:rsidRPr="00000000" w14:paraId="00000071">
            <w:pPr>
              <w:widowControl w:val="0"/>
              <w:spacing w:line="360" w:lineRule="auto"/>
              <w:rPr/>
            </w:pPr>
            <w:r w:rsidDel="00000000" w:rsidR="00000000" w:rsidRPr="00000000">
              <w:rPr>
                <w:rtl w:val="0"/>
              </w:rPr>
              <w:t xml:space="preserve">0,66</w:t>
            </w:r>
          </w:p>
        </w:tc>
      </w:tr>
      <w:tr>
        <w:trPr>
          <w:cantSplit w:val="0"/>
          <w:trHeight w:val="298" w:hRule="atLeast"/>
          <w:tblHeader w:val="0"/>
        </w:trPr>
        <w:tc>
          <w:tcPr>
            <w:gridSpan w:val="2"/>
            <w:shd w:fill="auto" w:val="clear"/>
          </w:tcPr>
          <w:p w:rsidR="00000000" w:rsidDel="00000000" w:rsidP="00000000" w:rsidRDefault="00000000" w:rsidRPr="00000000" w14:paraId="00000072">
            <w:pPr>
              <w:spacing w:line="360" w:lineRule="auto"/>
              <w:rPr/>
            </w:pPr>
            <w:r w:rsidDel="00000000" w:rsidR="00000000" w:rsidRPr="00000000">
              <w:rPr>
                <w:rtl w:val="0"/>
              </w:rPr>
              <w:t xml:space="preserve">7-Ideação suicida</w:t>
            </w:r>
          </w:p>
        </w:tc>
        <w:tc>
          <w:tcPr>
            <w:shd w:fill="auto" w:val="clear"/>
          </w:tcPr>
          <w:p w:rsidR="00000000" w:rsidDel="00000000" w:rsidP="00000000" w:rsidRDefault="00000000" w:rsidRPr="00000000" w14:paraId="00000074">
            <w:pPr>
              <w:spacing w:line="360" w:lineRule="auto"/>
              <w:rPr/>
            </w:pPr>
            <w:r w:rsidDel="00000000" w:rsidR="00000000" w:rsidRPr="00000000">
              <w:rPr>
                <w:rtl w:val="0"/>
              </w:rPr>
              <w:t xml:space="preserve">0,74</w:t>
            </w:r>
          </w:p>
        </w:tc>
        <w:tc>
          <w:tcPr>
            <w:shd w:fill="auto" w:val="clear"/>
          </w:tcPr>
          <w:p w:rsidR="00000000" w:rsidDel="00000000" w:rsidP="00000000" w:rsidRDefault="00000000" w:rsidRPr="00000000" w14:paraId="00000075">
            <w:pPr>
              <w:widowControl w:val="0"/>
              <w:spacing w:line="360" w:lineRule="auto"/>
              <w:rPr/>
            </w:pPr>
            <w:r w:rsidDel="00000000" w:rsidR="00000000" w:rsidRPr="00000000">
              <w:rPr>
                <w:rtl w:val="0"/>
              </w:rPr>
              <w:t xml:space="preserve">0,55</w:t>
            </w:r>
          </w:p>
        </w:tc>
      </w:tr>
      <w:tr>
        <w:trPr>
          <w:cantSplit w:val="0"/>
          <w:trHeight w:val="298" w:hRule="atLeast"/>
          <w:tblHeader w:val="0"/>
        </w:trPr>
        <w:tc>
          <w:tcPr>
            <w:gridSpan w:val="2"/>
            <w:shd w:fill="auto" w:val="clear"/>
          </w:tcPr>
          <w:p w:rsidR="00000000" w:rsidDel="00000000" w:rsidP="00000000" w:rsidRDefault="00000000" w:rsidRPr="00000000" w14:paraId="00000076">
            <w:pPr>
              <w:spacing w:line="360" w:lineRule="auto"/>
              <w:rPr/>
            </w:pPr>
            <w:r w:rsidDel="00000000" w:rsidR="00000000" w:rsidRPr="00000000">
              <w:rPr>
                <w:rtl w:val="0"/>
              </w:rPr>
              <w:t xml:space="preserve">8-Retirada social</w:t>
            </w:r>
          </w:p>
        </w:tc>
        <w:tc>
          <w:tcPr>
            <w:shd w:fill="auto" w:val="clear"/>
          </w:tcPr>
          <w:p w:rsidR="00000000" w:rsidDel="00000000" w:rsidP="00000000" w:rsidRDefault="00000000" w:rsidRPr="00000000" w14:paraId="00000078">
            <w:pPr>
              <w:spacing w:line="360" w:lineRule="auto"/>
              <w:rPr/>
            </w:pPr>
            <w:r w:rsidDel="00000000" w:rsidR="00000000" w:rsidRPr="00000000">
              <w:rPr>
                <w:rtl w:val="0"/>
              </w:rPr>
              <w:t xml:space="preserve">0,61</w:t>
            </w:r>
          </w:p>
        </w:tc>
        <w:tc>
          <w:tcPr>
            <w:shd w:fill="auto" w:val="clear"/>
          </w:tcPr>
          <w:p w:rsidR="00000000" w:rsidDel="00000000" w:rsidP="00000000" w:rsidRDefault="00000000" w:rsidRPr="00000000" w14:paraId="00000079">
            <w:pPr>
              <w:widowControl w:val="0"/>
              <w:spacing w:line="360" w:lineRule="auto"/>
              <w:rPr/>
            </w:pPr>
            <w:r w:rsidDel="00000000" w:rsidR="00000000" w:rsidRPr="00000000">
              <w:rPr>
                <w:rtl w:val="0"/>
              </w:rPr>
              <w:t xml:space="preserve">0,38</w:t>
            </w:r>
          </w:p>
        </w:tc>
      </w:tr>
      <w:tr>
        <w:trPr>
          <w:cantSplit w:val="0"/>
          <w:trHeight w:val="298" w:hRule="atLeast"/>
          <w:tblHeader w:val="0"/>
        </w:trPr>
        <w:tc>
          <w:tcPr>
            <w:gridSpan w:val="2"/>
            <w:shd w:fill="auto" w:val="clear"/>
          </w:tcPr>
          <w:p w:rsidR="00000000" w:rsidDel="00000000" w:rsidP="00000000" w:rsidRDefault="00000000" w:rsidRPr="00000000" w14:paraId="0000007A">
            <w:pPr>
              <w:spacing w:line="360" w:lineRule="auto"/>
              <w:rPr/>
            </w:pPr>
            <w:r w:rsidDel="00000000" w:rsidR="00000000" w:rsidRPr="00000000">
              <w:rPr>
                <w:rtl w:val="0"/>
              </w:rPr>
              <w:t xml:space="preserve">9-Indecisão</w:t>
            </w:r>
          </w:p>
        </w:tc>
        <w:tc>
          <w:tcPr>
            <w:shd w:fill="auto" w:val="clear"/>
          </w:tcPr>
          <w:p w:rsidR="00000000" w:rsidDel="00000000" w:rsidP="00000000" w:rsidRDefault="00000000" w:rsidRPr="00000000" w14:paraId="0000007C">
            <w:pPr>
              <w:spacing w:line="360" w:lineRule="auto"/>
              <w:rPr/>
            </w:pPr>
            <w:r w:rsidDel="00000000" w:rsidR="00000000" w:rsidRPr="00000000">
              <w:rPr>
                <w:rtl w:val="0"/>
              </w:rPr>
              <w:t xml:space="preserve">0,72</w:t>
            </w:r>
          </w:p>
        </w:tc>
        <w:tc>
          <w:tcPr>
            <w:shd w:fill="auto" w:val="clear"/>
          </w:tcPr>
          <w:p w:rsidR="00000000" w:rsidDel="00000000" w:rsidP="00000000" w:rsidRDefault="00000000" w:rsidRPr="00000000" w14:paraId="0000007D">
            <w:pPr>
              <w:widowControl w:val="0"/>
              <w:spacing w:line="360" w:lineRule="auto"/>
              <w:rPr/>
            </w:pPr>
            <w:r w:rsidDel="00000000" w:rsidR="00000000" w:rsidRPr="00000000">
              <w:rPr>
                <w:rtl w:val="0"/>
              </w:rPr>
              <w:t xml:space="preserve">0,52</w:t>
            </w:r>
          </w:p>
        </w:tc>
      </w:tr>
      <w:tr>
        <w:trPr>
          <w:cantSplit w:val="0"/>
          <w:trHeight w:val="298" w:hRule="atLeast"/>
          <w:tblHeader w:val="0"/>
        </w:trPr>
        <w:tc>
          <w:tcPr>
            <w:gridSpan w:val="2"/>
            <w:shd w:fill="auto" w:val="clear"/>
          </w:tcPr>
          <w:p w:rsidR="00000000" w:rsidDel="00000000" w:rsidP="00000000" w:rsidRDefault="00000000" w:rsidRPr="00000000" w14:paraId="0000007E">
            <w:pPr>
              <w:spacing w:line="360" w:lineRule="auto"/>
              <w:rPr/>
            </w:pPr>
            <w:r w:rsidDel="00000000" w:rsidR="00000000" w:rsidRPr="00000000">
              <w:rPr>
                <w:rtl w:val="0"/>
              </w:rPr>
              <w:t xml:space="preserve">10-Imagem corporal distorcida / autoimagem </w:t>
            </w:r>
          </w:p>
        </w:tc>
        <w:tc>
          <w:tcPr>
            <w:shd w:fill="auto" w:val="clear"/>
          </w:tcPr>
          <w:p w:rsidR="00000000" w:rsidDel="00000000" w:rsidP="00000000" w:rsidRDefault="00000000" w:rsidRPr="00000000" w14:paraId="00000080">
            <w:pPr>
              <w:spacing w:line="360" w:lineRule="auto"/>
              <w:rPr/>
            </w:pPr>
            <w:r w:rsidDel="00000000" w:rsidR="00000000" w:rsidRPr="00000000">
              <w:rPr>
                <w:rtl w:val="0"/>
              </w:rPr>
              <w:t xml:space="preserve">0,68</w:t>
            </w:r>
          </w:p>
        </w:tc>
        <w:tc>
          <w:tcPr>
            <w:shd w:fill="auto" w:val="clear"/>
          </w:tcPr>
          <w:p w:rsidR="00000000" w:rsidDel="00000000" w:rsidP="00000000" w:rsidRDefault="00000000" w:rsidRPr="00000000" w14:paraId="00000081">
            <w:pPr>
              <w:widowControl w:val="0"/>
              <w:spacing w:line="360" w:lineRule="auto"/>
              <w:rPr/>
            </w:pPr>
            <w:r w:rsidDel="00000000" w:rsidR="00000000" w:rsidRPr="00000000">
              <w:rPr>
                <w:rtl w:val="0"/>
              </w:rPr>
              <w:t xml:space="preserve">0,47</w:t>
            </w:r>
          </w:p>
        </w:tc>
      </w:tr>
      <w:tr>
        <w:trPr>
          <w:cantSplit w:val="0"/>
          <w:trHeight w:val="298" w:hRule="atLeast"/>
          <w:tblHeader w:val="0"/>
        </w:trPr>
        <w:tc>
          <w:tcPr>
            <w:gridSpan w:val="2"/>
            <w:shd w:fill="auto" w:val="clear"/>
          </w:tcPr>
          <w:p w:rsidR="00000000" w:rsidDel="00000000" w:rsidP="00000000" w:rsidRDefault="00000000" w:rsidRPr="00000000" w14:paraId="00000082">
            <w:pPr>
              <w:spacing w:line="360" w:lineRule="auto"/>
              <w:rPr/>
            </w:pPr>
            <w:r w:rsidDel="00000000" w:rsidR="00000000" w:rsidRPr="00000000">
              <w:rPr>
                <w:rtl w:val="0"/>
              </w:rPr>
              <w:t xml:space="preserve">11-Inibição do trabalho / dificuldade do trabalho</w:t>
            </w:r>
          </w:p>
        </w:tc>
        <w:tc>
          <w:tcPr>
            <w:shd w:fill="auto" w:val="clear"/>
          </w:tcPr>
          <w:p w:rsidR="00000000" w:rsidDel="00000000" w:rsidP="00000000" w:rsidRDefault="00000000" w:rsidRPr="00000000" w14:paraId="00000084">
            <w:pPr>
              <w:spacing w:line="360" w:lineRule="auto"/>
              <w:rPr/>
            </w:pPr>
            <w:r w:rsidDel="00000000" w:rsidR="00000000" w:rsidRPr="00000000">
              <w:rPr>
                <w:rtl w:val="0"/>
              </w:rPr>
              <w:t xml:space="preserve">0,72</w:t>
            </w:r>
          </w:p>
        </w:tc>
        <w:tc>
          <w:tcPr>
            <w:shd w:fill="auto" w:val="clear"/>
          </w:tcPr>
          <w:p w:rsidR="00000000" w:rsidDel="00000000" w:rsidP="00000000" w:rsidRDefault="00000000" w:rsidRPr="00000000" w14:paraId="00000085">
            <w:pPr>
              <w:widowControl w:val="0"/>
              <w:spacing w:line="360" w:lineRule="auto"/>
              <w:rPr/>
            </w:pPr>
            <w:r w:rsidDel="00000000" w:rsidR="00000000" w:rsidRPr="00000000">
              <w:rPr>
                <w:rtl w:val="0"/>
              </w:rPr>
              <w:t xml:space="preserve">0,53</w:t>
            </w:r>
          </w:p>
        </w:tc>
      </w:tr>
      <w:tr>
        <w:trPr>
          <w:cantSplit w:val="0"/>
          <w:trHeight w:val="298" w:hRule="atLeast"/>
          <w:tblHeader w:val="0"/>
        </w:trPr>
        <w:tc>
          <w:tcPr>
            <w:gridSpan w:val="2"/>
            <w:shd w:fill="auto" w:val="clear"/>
          </w:tcPr>
          <w:p w:rsidR="00000000" w:rsidDel="00000000" w:rsidP="00000000" w:rsidRDefault="00000000" w:rsidRPr="00000000" w14:paraId="00000086">
            <w:pPr>
              <w:spacing w:line="360" w:lineRule="auto"/>
              <w:rPr/>
            </w:pPr>
            <w:r w:rsidDel="00000000" w:rsidR="00000000" w:rsidRPr="00000000">
              <w:rPr>
                <w:rtl w:val="0"/>
              </w:rPr>
              <w:t xml:space="preserve">12-Fatigabilidade</w:t>
            </w:r>
          </w:p>
        </w:tc>
        <w:tc>
          <w:tcPr>
            <w:shd w:fill="auto" w:val="clear"/>
          </w:tcPr>
          <w:p w:rsidR="00000000" w:rsidDel="00000000" w:rsidP="00000000" w:rsidRDefault="00000000" w:rsidRPr="00000000" w14:paraId="00000088">
            <w:pPr>
              <w:spacing w:line="360" w:lineRule="auto"/>
              <w:rPr/>
            </w:pPr>
            <w:r w:rsidDel="00000000" w:rsidR="00000000" w:rsidRPr="00000000">
              <w:rPr>
                <w:rtl w:val="0"/>
              </w:rPr>
              <w:t xml:space="preserve">0,69</w:t>
            </w:r>
          </w:p>
        </w:tc>
        <w:tc>
          <w:tcPr>
            <w:shd w:fill="auto" w:val="clear"/>
          </w:tcPr>
          <w:p w:rsidR="00000000" w:rsidDel="00000000" w:rsidP="00000000" w:rsidRDefault="00000000" w:rsidRPr="00000000" w14:paraId="00000089">
            <w:pPr>
              <w:widowControl w:val="0"/>
              <w:spacing w:line="360" w:lineRule="auto"/>
              <w:rPr/>
            </w:pPr>
            <w:r w:rsidDel="00000000" w:rsidR="00000000" w:rsidRPr="00000000">
              <w:rPr>
                <w:rtl w:val="0"/>
              </w:rPr>
              <w:t xml:space="preserve">0,48</w:t>
            </w:r>
          </w:p>
        </w:tc>
      </w:tr>
      <w:tr>
        <w:trPr>
          <w:cantSplit w:val="0"/>
          <w:trHeight w:val="298" w:hRule="atLeast"/>
          <w:tblHeader w:val="0"/>
        </w:trPr>
        <w:tc>
          <w:tcPr>
            <w:gridSpan w:val="2"/>
            <w:tcBorders>
              <w:bottom w:color="000000" w:space="0" w:sz="4" w:val="single"/>
            </w:tcBorders>
            <w:shd w:fill="auto" w:val="clear"/>
          </w:tcPr>
          <w:p w:rsidR="00000000" w:rsidDel="00000000" w:rsidP="00000000" w:rsidRDefault="00000000" w:rsidRPr="00000000" w14:paraId="0000008A">
            <w:pPr>
              <w:spacing w:line="360" w:lineRule="auto"/>
              <w:rPr/>
            </w:pPr>
            <w:r w:rsidDel="00000000" w:rsidR="00000000" w:rsidRPr="00000000">
              <w:rPr>
                <w:rtl w:val="0"/>
              </w:rPr>
              <w:t xml:space="preserve">13-Perda de apetite </w:t>
            </w:r>
          </w:p>
        </w:tc>
        <w:tc>
          <w:tcPr>
            <w:tcBorders>
              <w:bottom w:color="000000" w:space="0" w:sz="4" w:val="single"/>
            </w:tcBorders>
            <w:shd w:fill="auto" w:val="clear"/>
          </w:tcPr>
          <w:p w:rsidR="00000000" w:rsidDel="00000000" w:rsidP="00000000" w:rsidRDefault="00000000" w:rsidRPr="00000000" w14:paraId="0000008C">
            <w:pPr>
              <w:spacing w:line="360" w:lineRule="auto"/>
              <w:rPr/>
            </w:pPr>
            <w:r w:rsidDel="00000000" w:rsidR="00000000" w:rsidRPr="00000000">
              <w:rPr>
                <w:rtl w:val="0"/>
              </w:rPr>
              <w:t xml:space="preserve">0,54</w:t>
            </w:r>
          </w:p>
        </w:tc>
        <w:tc>
          <w:tcPr>
            <w:tcBorders>
              <w:bottom w:color="000000" w:space="0" w:sz="4" w:val="single"/>
            </w:tcBorders>
            <w:shd w:fill="auto" w:val="clear"/>
          </w:tcPr>
          <w:p w:rsidR="00000000" w:rsidDel="00000000" w:rsidP="00000000" w:rsidRDefault="00000000" w:rsidRPr="00000000" w14:paraId="0000008D">
            <w:pPr>
              <w:widowControl w:val="0"/>
              <w:spacing w:line="360" w:lineRule="auto"/>
              <w:rPr/>
            </w:pPr>
            <w:r w:rsidDel="00000000" w:rsidR="00000000" w:rsidRPr="00000000">
              <w:rPr>
                <w:rtl w:val="0"/>
              </w:rPr>
              <w:t xml:space="preserve">0,30</w:t>
            </w:r>
          </w:p>
        </w:tc>
      </w:tr>
    </w:tbl>
    <w:p w:rsidR="00000000" w:rsidDel="00000000" w:rsidP="00000000" w:rsidRDefault="00000000" w:rsidRPr="00000000" w14:paraId="0000008E">
      <w:pPr>
        <w:spacing w:line="360" w:lineRule="auto"/>
        <w:rPr/>
      </w:pPr>
      <w:bookmarkStart w:colFirst="0" w:colLast="0" w:name="_heading=h.30j0zll" w:id="1"/>
      <w:bookmarkEnd w:id="1"/>
      <w:r w:rsidDel="00000000" w:rsidR="00000000" w:rsidRPr="00000000">
        <w:rPr>
          <w:rtl w:val="0"/>
        </w:rPr>
        <w:t xml:space="preserve">Nota: (λ) = cargas dos componentes; h</w:t>
      </w:r>
      <w:r w:rsidDel="00000000" w:rsidR="00000000" w:rsidRPr="00000000">
        <w:rPr>
          <w:vertAlign w:val="superscript"/>
          <w:rtl w:val="0"/>
        </w:rPr>
        <w:t xml:space="preserve">2</w:t>
      </w:r>
      <w:r w:rsidDel="00000000" w:rsidR="00000000" w:rsidRPr="00000000">
        <w:rPr>
          <w:rtl w:val="0"/>
        </w:rPr>
        <w:t xml:space="preserve"> = comunalidades, </w:t>
      </w:r>
    </w:p>
    <w:p w:rsidR="00000000" w:rsidDel="00000000" w:rsidP="00000000" w:rsidRDefault="00000000" w:rsidRPr="00000000" w14:paraId="0000008F">
      <w:pPr>
        <w:spacing w:line="360" w:lineRule="auto"/>
        <w:rPr>
          <w:b w:val="1"/>
        </w:rPr>
      </w:pPr>
      <w:bookmarkStart w:colFirst="0" w:colLast="0" w:name="_heading=h.1fob9te" w:id="2"/>
      <w:bookmarkEnd w:id="2"/>
      <w:r w:rsidDel="00000000" w:rsidR="00000000" w:rsidRPr="00000000">
        <w:rPr>
          <w:rtl w:val="0"/>
        </w:rPr>
      </w:r>
    </w:p>
    <w:p w:rsidR="00000000" w:rsidDel="00000000" w:rsidP="00000000" w:rsidRDefault="00000000" w:rsidRPr="00000000" w14:paraId="00000090">
      <w:pPr>
        <w:spacing w:line="360" w:lineRule="auto"/>
        <w:rPr>
          <w:b w:val="1"/>
        </w:rPr>
      </w:pPr>
      <w:r w:rsidDel="00000000" w:rsidR="00000000" w:rsidRPr="00000000">
        <w:rPr>
          <w:b w:val="1"/>
          <w:rtl w:val="0"/>
        </w:rPr>
        <w:t xml:space="preserve">Teoria de Resposta ao Item</w:t>
      </w:r>
    </w:p>
    <w:p w:rsidR="00000000" w:rsidDel="00000000" w:rsidP="00000000" w:rsidRDefault="00000000" w:rsidRPr="00000000" w14:paraId="00000091">
      <w:pPr>
        <w:spacing w:line="360" w:lineRule="auto"/>
        <w:ind w:firstLine="709"/>
        <w:rPr>
          <w:highlight w:val="white"/>
        </w:rPr>
      </w:pPr>
      <w:bookmarkStart w:colFirst="0" w:colLast="0" w:name="_heading=h.3znysh7" w:id="3"/>
      <w:bookmarkEnd w:id="3"/>
      <w:r w:rsidDel="00000000" w:rsidR="00000000" w:rsidRPr="00000000">
        <w:rPr>
          <w:highlight w:val="white"/>
          <w:rtl w:val="0"/>
        </w:rPr>
        <w:t xml:space="preserve">Seguimos dois pressupostos da TRI. O primeiro consideramos a independência local dos itens, isto é, que o traço latente é considerado, mas que as respostas não dependem umas das outras (Yang &amp; Kao, 2014). Isso porque as pessoas que sentem depressão não sentem as mesmas sintomatologias de forma única, mas com níveis variados (DSM-V, 2014; ICD 11; 2018). E comprovamos por meio da estrutura fatorial que a BDI-13 é unidimensional. Desse modo, na suposição importante que complementa o pressuposto da independência local é a unidimensionalidade do presente inventário (Boateng </w:t>
      </w:r>
      <w:r w:rsidDel="00000000" w:rsidR="00000000" w:rsidRPr="00000000">
        <w:rPr>
          <w:i w:val="1"/>
          <w:highlight w:val="white"/>
          <w:rtl w:val="0"/>
        </w:rPr>
        <w:t xml:space="preserve">et al.</w:t>
      </w:r>
      <w:r w:rsidDel="00000000" w:rsidR="00000000" w:rsidRPr="00000000">
        <w:rPr>
          <w:highlight w:val="white"/>
          <w:rtl w:val="0"/>
        </w:rPr>
        <w:t xml:space="preserve">, 2018). Logo, a suposição do pressuposto de que existe apenas um traço latente para o conjunto dos itens é satisfeita. Isso significa que as estimativas do traço latente são dependentes do modelo e não da característica da amostra ou do teste realizado (Yang &amp; Kao, 2014).</w:t>
      </w:r>
    </w:p>
    <w:p w:rsidR="00000000" w:rsidDel="00000000" w:rsidP="00000000" w:rsidRDefault="00000000" w:rsidRPr="00000000" w14:paraId="00000092">
      <w:pPr>
        <w:spacing w:line="360" w:lineRule="auto"/>
        <w:ind w:firstLine="709"/>
        <w:rPr/>
      </w:pPr>
      <w:bookmarkStart w:colFirst="0" w:colLast="0" w:name="_heading=h.2et92p0" w:id="4"/>
      <w:bookmarkEnd w:id="4"/>
      <w:r w:rsidDel="00000000" w:rsidR="00000000" w:rsidRPr="00000000">
        <w:rPr>
          <w:rtl w:val="0"/>
        </w:rPr>
        <w:t xml:space="preserve">Por meio da calibração dos itens, analisamos dois parâmetros </w:t>
      </w:r>
      <w:r w:rsidDel="00000000" w:rsidR="00000000" w:rsidRPr="00000000">
        <w:rPr>
          <w:highlight w:val="white"/>
          <w:rtl w:val="0"/>
        </w:rPr>
        <w:t xml:space="preserve">(2-PL),</w:t>
      </w:r>
      <w:r w:rsidDel="00000000" w:rsidR="00000000" w:rsidRPr="00000000">
        <w:rPr>
          <w:rtl w:val="0"/>
        </w:rPr>
        <w:t xml:space="preserve"> (a) discriminação e a (b) dificuldade com que esse item se apresenta para os respondentes. </w:t>
      </w:r>
      <w:r w:rsidDel="00000000" w:rsidR="00000000" w:rsidRPr="00000000">
        <w:rPr>
          <w:highlight w:val="white"/>
          <w:rtl w:val="0"/>
        </w:rPr>
        <w:t xml:space="preserve">O parâmetro de discriminação de itens permite determinar o quão bem os itens identificam os pacientes em diferentes níveis do traço latente. Todos os itens apresentaram respostas positivas em sua discriminação, representando que os respondentes possuem níveis crescentes no traço latente podem endossar tanto respostas menos severas como respostas mais severas (Yang &amp; Kao, 2014). </w:t>
      </w:r>
      <w:r w:rsidDel="00000000" w:rsidR="00000000" w:rsidRPr="00000000">
        <w:rPr>
          <w:rtl w:val="0"/>
        </w:rPr>
        <w:t xml:space="preserve">Segundo Baker (2001), propõe que categorias de discriminação de 0, 1 a 0,34 são muito baixas; 0,65 a 1,34 moderadas e &gt; 1,70 altas. Logo, todos os itens apresentaram discriminações consideradas altas, ou seja, os itens conseguem diferenciar os participantes em seu nível de endossamento de cada sintomatologia da depressão (</w:t>
      </w:r>
      <w:r w:rsidDel="00000000" w:rsidR="00000000" w:rsidRPr="00000000">
        <w:rPr>
          <w:b w:val="1"/>
          <w:rtl w:val="0"/>
        </w:rPr>
        <w:t xml:space="preserve">Tabela 2</w:t>
      </w:r>
      <w:r w:rsidDel="00000000" w:rsidR="00000000" w:rsidRPr="00000000">
        <w:rPr>
          <w:rtl w:val="0"/>
        </w:rPr>
        <w:t xml:space="preserve">). </w:t>
      </w:r>
    </w:p>
    <w:p w:rsidR="00000000" w:rsidDel="00000000" w:rsidP="00000000" w:rsidRDefault="00000000" w:rsidRPr="00000000" w14:paraId="00000093">
      <w:pPr>
        <w:spacing w:line="360" w:lineRule="auto"/>
        <w:ind w:firstLine="709"/>
        <w:rPr>
          <w:highlight w:val="white"/>
        </w:rPr>
      </w:pPr>
      <w:bookmarkStart w:colFirst="0" w:colLast="0" w:name="_heading=h.tyjcwt" w:id="5"/>
      <w:bookmarkEnd w:id="5"/>
      <w:r w:rsidDel="00000000" w:rsidR="00000000" w:rsidRPr="00000000">
        <w:rPr>
          <w:highlight w:val="white"/>
          <w:rtl w:val="0"/>
        </w:rPr>
        <w:t xml:space="preserve">A cada nível </w:t>
      </w:r>
      <w:r w:rsidDel="00000000" w:rsidR="00000000" w:rsidRPr="00000000">
        <w:rPr>
          <w:i w:val="1"/>
          <w:highlight w:val="white"/>
          <w:rtl w:val="0"/>
        </w:rPr>
        <w:t xml:space="preserve">theta</w:t>
      </w:r>
      <w:r w:rsidDel="00000000" w:rsidR="00000000" w:rsidRPr="00000000">
        <w:rPr>
          <w:highlight w:val="white"/>
          <w:rtl w:val="0"/>
        </w:rPr>
        <w:t xml:space="preserve"> que pode variar de -3 a 3, com aqueles mais próximos de -3 tendo depressão menos severa e aqueles próximos a 3 tendo depressão mais severa. As pessoas que possuem endossamento quanto a localização (ou dificuldade) no nível </w:t>
      </w:r>
      <w:r w:rsidDel="00000000" w:rsidR="00000000" w:rsidRPr="00000000">
        <w:rPr>
          <w:i w:val="1"/>
          <w:highlight w:val="white"/>
          <w:rtl w:val="0"/>
        </w:rPr>
        <w:t xml:space="preserve">theta</w:t>
      </w:r>
      <w:r w:rsidDel="00000000" w:rsidR="00000000" w:rsidRPr="00000000">
        <w:rPr>
          <w:highlight w:val="white"/>
          <w:rtl w:val="0"/>
        </w:rPr>
        <w:t xml:space="preserve">, possui menos severidade nos sintomas depressivos. O item 11 </w:t>
      </w:r>
      <w:r w:rsidDel="00000000" w:rsidR="00000000" w:rsidRPr="00000000">
        <w:rPr>
          <w:rtl w:val="0"/>
        </w:rPr>
        <w:t xml:space="preserve">“Inibição do trabalho / dificuldade do trabalho”</w:t>
      </w:r>
      <w:r w:rsidDel="00000000" w:rsidR="00000000" w:rsidRPr="00000000">
        <w:rPr>
          <w:highlight w:val="white"/>
          <w:rtl w:val="0"/>
        </w:rPr>
        <w:t xml:space="preserve">, por exemplo, apresentou dificuldade negativa no b1 (-0,13) isso indica que os participantes podem endossar de forma mais constante essa categoria em comparação com o b3 (3,26). </w:t>
      </w:r>
    </w:p>
    <w:p w:rsidR="00000000" w:rsidDel="00000000" w:rsidP="00000000" w:rsidRDefault="00000000" w:rsidRPr="00000000" w14:paraId="00000094">
      <w:pPr>
        <w:spacing w:line="360" w:lineRule="auto"/>
        <w:ind w:firstLine="709"/>
        <w:rPr>
          <w:highlight w:val="white"/>
        </w:rPr>
      </w:pPr>
      <w:bookmarkStart w:colFirst="0" w:colLast="0" w:name="_heading=h.3dy6vkm" w:id="6"/>
      <w:bookmarkEnd w:id="6"/>
      <w:r w:rsidDel="00000000" w:rsidR="00000000" w:rsidRPr="00000000">
        <w:rPr>
          <w:highlight w:val="white"/>
          <w:rtl w:val="0"/>
        </w:rPr>
        <w:t xml:space="preserve">Em geral, uma curva de informação de item mais alta é determinada por maior discriminação de item e maior dificuldade de item em um valor específico de teta em relação a outros itens na escala. Adotamos como critério o ponto 0 &lt;θ &lt;2 na curva de informação, como característica para discriminar os participantes com maior ou menor nível de depressão. Logo, o item que pode diferenciar mais esses participantes são o item 6 “</w:t>
      </w:r>
      <w:r w:rsidDel="00000000" w:rsidR="00000000" w:rsidRPr="00000000">
        <w:rPr>
          <w:rtl w:val="0"/>
        </w:rPr>
        <w:t xml:space="preserve">Decepção”</w:t>
      </w:r>
      <w:r w:rsidDel="00000000" w:rsidR="00000000" w:rsidRPr="00000000">
        <w:rPr>
          <w:highlight w:val="white"/>
          <w:rtl w:val="0"/>
        </w:rPr>
        <w:t xml:space="preserve"> (a = 2,57; b1 = 0,01 a b3 = 2,30), seguido pelo item 3 “</w:t>
      </w:r>
      <w:r w:rsidDel="00000000" w:rsidR="00000000" w:rsidRPr="00000000">
        <w:rPr>
          <w:rtl w:val="0"/>
        </w:rPr>
        <w:t xml:space="preserve">Sentimentos de fracasso”</w:t>
      </w:r>
      <w:r w:rsidDel="00000000" w:rsidR="00000000" w:rsidRPr="00000000">
        <w:rPr>
          <w:highlight w:val="white"/>
          <w:rtl w:val="0"/>
        </w:rPr>
        <w:t xml:space="preserve"> (a = 2,36; b1 = 0,51 a b3 = 2,28) e o que menos diferencia os participantes no nível de depressão é o item 13 “</w:t>
      </w:r>
      <w:r w:rsidDel="00000000" w:rsidR="00000000" w:rsidRPr="00000000">
        <w:rPr>
          <w:rtl w:val="0"/>
        </w:rPr>
        <w:t xml:space="preserve">Perda de apetite”</w:t>
      </w:r>
      <w:r w:rsidDel="00000000" w:rsidR="00000000" w:rsidRPr="00000000">
        <w:rPr>
          <w:highlight w:val="white"/>
          <w:rtl w:val="0"/>
        </w:rPr>
        <w:t xml:space="preserve"> (a = 0,95; b1 = 0,95 a b3 = 4,61) (</w:t>
      </w:r>
      <w:r w:rsidDel="00000000" w:rsidR="00000000" w:rsidRPr="00000000">
        <w:rPr>
          <w:b w:val="1"/>
          <w:highlight w:val="white"/>
          <w:rtl w:val="0"/>
        </w:rPr>
        <w:t xml:space="preserve">Figura 1</w:t>
      </w:r>
      <w:r w:rsidDel="00000000" w:rsidR="00000000" w:rsidRPr="00000000">
        <w:rPr>
          <w:highlight w:val="white"/>
          <w:rtl w:val="0"/>
        </w:rPr>
        <w:t xml:space="preserve">). Tomados em conjunto, esta análise TRI mostra que os 13 itens no BDI-13 podem discriminar indivíduos em um intervalo amplo ou estreito de theta, portanto, têm validade de medição adequada (Yang &amp; Kao, 2014).</w:t>
      </w:r>
    </w:p>
    <w:p w:rsidR="00000000" w:rsidDel="00000000" w:rsidP="00000000" w:rsidRDefault="00000000" w:rsidRPr="00000000" w14:paraId="00000095">
      <w:pPr>
        <w:spacing w:line="360" w:lineRule="auto"/>
        <w:ind w:firstLine="709"/>
        <w:rPr>
          <w:b w:val="1"/>
          <w:highlight w:val="white"/>
        </w:rPr>
      </w:pPr>
      <w:r w:rsidDel="00000000" w:rsidR="00000000" w:rsidRPr="00000000">
        <w:rPr>
          <w:b w:val="1"/>
          <w:highlight w:val="white"/>
          <w:rtl w:val="0"/>
        </w:rPr>
        <w:t xml:space="preserve">Tabela 2.</w:t>
      </w:r>
    </w:p>
    <w:p w:rsidR="00000000" w:rsidDel="00000000" w:rsidP="00000000" w:rsidRDefault="00000000" w:rsidRPr="00000000" w14:paraId="00000096">
      <w:pPr>
        <w:spacing w:line="360" w:lineRule="auto"/>
        <w:ind w:firstLine="709"/>
        <w:rPr>
          <w:i w:val="1"/>
          <w:highlight w:val="white"/>
        </w:rPr>
      </w:pPr>
      <w:r w:rsidDel="00000000" w:rsidR="00000000" w:rsidRPr="00000000">
        <w:rPr>
          <w:i w:val="1"/>
          <w:highlight w:val="white"/>
          <w:rtl w:val="0"/>
        </w:rPr>
        <w:t xml:space="preserve">Parâmetros da discriminação e dificuldade dos itens da BDI-13</w:t>
      </w:r>
    </w:p>
    <w:tbl>
      <w:tblPr>
        <w:tblStyle w:val="Table2"/>
        <w:tblW w:w="7215.0" w:type="dxa"/>
        <w:jc w:val="left"/>
        <w:tblInd w:w="0.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1443"/>
        <w:gridCol w:w="1443"/>
        <w:gridCol w:w="1443"/>
        <w:gridCol w:w="1443"/>
        <w:gridCol w:w="1443"/>
        <w:tblGridChange w:id="0">
          <w:tblGrid>
            <w:gridCol w:w="1443"/>
            <w:gridCol w:w="1443"/>
            <w:gridCol w:w="1443"/>
            <w:gridCol w:w="1443"/>
            <w:gridCol w:w="1443"/>
          </w:tblGrid>
        </w:tblGridChange>
      </w:tblGrid>
      <w:tr>
        <w:trPr>
          <w:cantSplit w:val="0"/>
          <w:trHeight w:val="333" w:hRule="atLeast"/>
          <w:tblHeader w:val="0"/>
        </w:trPr>
        <w:tc>
          <w:tcPr>
            <w:tcBorders>
              <w:top w:color="000000" w:space="0" w:sz="12" w:val="single"/>
            </w:tcBorders>
          </w:tcPr>
          <w:p w:rsidR="00000000" w:rsidDel="00000000" w:rsidP="00000000" w:rsidRDefault="00000000" w:rsidRPr="00000000" w14:paraId="00000097">
            <w:pPr>
              <w:spacing w:line="360" w:lineRule="auto"/>
              <w:jc w:val="center"/>
              <w:rPr>
                <w:sz w:val="24"/>
                <w:szCs w:val="24"/>
              </w:rPr>
            </w:pPr>
            <w:r w:rsidDel="00000000" w:rsidR="00000000" w:rsidRPr="00000000">
              <w:rPr>
                <w:sz w:val="24"/>
                <w:szCs w:val="24"/>
                <w:rtl w:val="0"/>
              </w:rPr>
              <w:t xml:space="preserve">Item</w:t>
            </w:r>
          </w:p>
        </w:tc>
        <w:tc>
          <w:tcPr>
            <w:tcBorders>
              <w:top w:color="000000" w:space="0" w:sz="12" w:val="single"/>
            </w:tcBorders>
          </w:tcPr>
          <w:p w:rsidR="00000000" w:rsidDel="00000000" w:rsidP="00000000" w:rsidRDefault="00000000" w:rsidRPr="00000000" w14:paraId="00000098">
            <w:pPr>
              <w:spacing w:line="360" w:lineRule="auto"/>
              <w:rPr>
                <w:i w:val="1"/>
                <w:sz w:val="24"/>
                <w:szCs w:val="24"/>
              </w:rPr>
            </w:pPr>
            <w:r w:rsidDel="00000000" w:rsidR="00000000" w:rsidRPr="00000000">
              <w:rPr>
                <w:i w:val="1"/>
                <w:sz w:val="24"/>
                <w:szCs w:val="24"/>
                <w:rtl w:val="0"/>
              </w:rPr>
              <w:t xml:space="preserve">A</w:t>
            </w:r>
          </w:p>
        </w:tc>
        <w:tc>
          <w:tcPr>
            <w:tcBorders>
              <w:top w:color="000000" w:space="0" w:sz="12" w:val="single"/>
            </w:tcBorders>
          </w:tcPr>
          <w:p w:rsidR="00000000" w:rsidDel="00000000" w:rsidP="00000000" w:rsidRDefault="00000000" w:rsidRPr="00000000" w14:paraId="00000099">
            <w:pPr>
              <w:spacing w:line="360" w:lineRule="auto"/>
              <w:rPr>
                <w:i w:val="1"/>
                <w:sz w:val="24"/>
                <w:szCs w:val="24"/>
              </w:rPr>
            </w:pPr>
            <w:r w:rsidDel="00000000" w:rsidR="00000000" w:rsidRPr="00000000">
              <w:rPr>
                <w:i w:val="1"/>
                <w:sz w:val="24"/>
                <w:szCs w:val="24"/>
                <w:rtl w:val="0"/>
              </w:rPr>
              <w:t xml:space="preserve">b1</w:t>
            </w:r>
          </w:p>
        </w:tc>
        <w:tc>
          <w:tcPr>
            <w:tcBorders>
              <w:top w:color="000000" w:space="0" w:sz="12" w:val="single"/>
            </w:tcBorders>
          </w:tcPr>
          <w:p w:rsidR="00000000" w:rsidDel="00000000" w:rsidP="00000000" w:rsidRDefault="00000000" w:rsidRPr="00000000" w14:paraId="0000009A">
            <w:pPr>
              <w:spacing w:line="360" w:lineRule="auto"/>
              <w:rPr>
                <w:i w:val="1"/>
                <w:sz w:val="24"/>
                <w:szCs w:val="24"/>
              </w:rPr>
            </w:pPr>
            <w:r w:rsidDel="00000000" w:rsidR="00000000" w:rsidRPr="00000000">
              <w:rPr>
                <w:i w:val="1"/>
                <w:sz w:val="24"/>
                <w:szCs w:val="24"/>
                <w:rtl w:val="0"/>
              </w:rPr>
              <w:t xml:space="preserve">b2</w:t>
            </w:r>
          </w:p>
        </w:tc>
        <w:tc>
          <w:tcPr>
            <w:tcBorders>
              <w:top w:color="000000" w:space="0" w:sz="12" w:val="single"/>
            </w:tcBorders>
          </w:tcPr>
          <w:p w:rsidR="00000000" w:rsidDel="00000000" w:rsidP="00000000" w:rsidRDefault="00000000" w:rsidRPr="00000000" w14:paraId="0000009B">
            <w:pPr>
              <w:spacing w:line="360" w:lineRule="auto"/>
              <w:rPr>
                <w:i w:val="1"/>
                <w:sz w:val="24"/>
                <w:szCs w:val="24"/>
              </w:rPr>
            </w:pPr>
            <w:r w:rsidDel="00000000" w:rsidR="00000000" w:rsidRPr="00000000">
              <w:rPr>
                <w:i w:val="1"/>
                <w:sz w:val="24"/>
                <w:szCs w:val="24"/>
                <w:rtl w:val="0"/>
              </w:rPr>
              <w:t xml:space="preserve">b3</w:t>
            </w:r>
          </w:p>
        </w:tc>
      </w:tr>
      <w:tr>
        <w:trPr>
          <w:cantSplit w:val="0"/>
          <w:trHeight w:val="352" w:hRule="atLeast"/>
          <w:tblHeader w:val="0"/>
        </w:trPr>
        <w:tc>
          <w:tcPr>
            <w:tcBorders>
              <w:top w:color="000000" w:space="0" w:sz="4" w:val="single"/>
            </w:tcBorders>
          </w:tcPr>
          <w:p w:rsidR="00000000" w:rsidDel="00000000" w:rsidP="00000000" w:rsidRDefault="00000000" w:rsidRPr="00000000" w14:paraId="0000009C">
            <w:pPr>
              <w:spacing w:line="360" w:lineRule="auto"/>
              <w:rPr>
                <w:sz w:val="24"/>
                <w:szCs w:val="24"/>
              </w:rPr>
            </w:pPr>
            <w:r w:rsidDel="00000000" w:rsidR="00000000" w:rsidRPr="00000000">
              <w:rPr>
                <w:sz w:val="24"/>
                <w:szCs w:val="24"/>
                <w:rtl w:val="0"/>
              </w:rPr>
              <w:t xml:space="preserve">BDI_1</w:t>
            </w:r>
          </w:p>
        </w:tc>
        <w:tc>
          <w:tcPr>
            <w:tcBorders>
              <w:top w:color="000000" w:space="0" w:sz="4" w:val="single"/>
            </w:tcBorders>
          </w:tcPr>
          <w:p w:rsidR="00000000" w:rsidDel="00000000" w:rsidP="00000000" w:rsidRDefault="00000000" w:rsidRPr="00000000" w14:paraId="0000009D">
            <w:pPr>
              <w:spacing w:line="360" w:lineRule="auto"/>
              <w:rPr>
                <w:sz w:val="24"/>
                <w:szCs w:val="24"/>
              </w:rPr>
            </w:pPr>
            <w:r w:rsidDel="00000000" w:rsidR="00000000" w:rsidRPr="00000000">
              <w:rPr>
                <w:sz w:val="24"/>
                <w:szCs w:val="24"/>
                <w:rtl w:val="0"/>
              </w:rPr>
              <w:t xml:space="preserve">2,053</w:t>
            </w:r>
          </w:p>
        </w:tc>
        <w:tc>
          <w:tcPr>
            <w:tcBorders>
              <w:top w:color="000000" w:space="0" w:sz="4" w:val="single"/>
            </w:tcBorders>
          </w:tcPr>
          <w:p w:rsidR="00000000" w:rsidDel="00000000" w:rsidP="00000000" w:rsidRDefault="00000000" w:rsidRPr="00000000" w14:paraId="0000009E">
            <w:pPr>
              <w:spacing w:line="360" w:lineRule="auto"/>
              <w:rPr>
                <w:sz w:val="24"/>
                <w:szCs w:val="24"/>
              </w:rPr>
            </w:pPr>
            <w:r w:rsidDel="00000000" w:rsidR="00000000" w:rsidRPr="00000000">
              <w:rPr>
                <w:sz w:val="24"/>
                <w:szCs w:val="24"/>
                <w:rtl w:val="0"/>
              </w:rPr>
              <w:t xml:space="preserve">0,371</w:t>
            </w:r>
          </w:p>
        </w:tc>
        <w:tc>
          <w:tcPr>
            <w:tcBorders>
              <w:top w:color="000000" w:space="0" w:sz="4" w:val="single"/>
            </w:tcBorders>
          </w:tcPr>
          <w:p w:rsidR="00000000" w:rsidDel="00000000" w:rsidP="00000000" w:rsidRDefault="00000000" w:rsidRPr="00000000" w14:paraId="0000009F">
            <w:pPr>
              <w:spacing w:line="360" w:lineRule="auto"/>
              <w:rPr>
                <w:sz w:val="24"/>
                <w:szCs w:val="24"/>
              </w:rPr>
            </w:pPr>
            <w:r w:rsidDel="00000000" w:rsidR="00000000" w:rsidRPr="00000000">
              <w:rPr>
                <w:sz w:val="24"/>
                <w:szCs w:val="24"/>
                <w:rtl w:val="0"/>
              </w:rPr>
              <w:t xml:space="preserve">1,709</w:t>
            </w:r>
          </w:p>
        </w:tc>
        <w:tc>
          <w:tcPr>
            <w:tcBorders>
              <w:top w:color="000000" w:space="0" w:sz="4" w:val="single"/>
            </w:tcBorders>
          </w:tcPr>
          <w:p w:rsidR="00000000" w:rsidDel="00000000" w:rsidP="00000000" w:rsidRDefault="00000000" w:rsidRPr="00000000" w14:paraId="000000A0">
            <w:pPr>
              <w:spacing w:line="360" w:lineRule="auto"/>
              <w:rPr>
                <w:sz w:val="24"/>
                <w:szCs w:val="24"/>
              </w:rPr>
            </w:pPr>
            <w:r w:rsidDel="00000000" w:rsidR="00000000" w:rsidRPr="00000000">
              <w:rPr>
                <w:sz w:val="24"/>
                <w:szCs w:val="24"/>
                <w:rtl w:val="0"/>
              </w:rPr>
              <w:t xml:space="preserve">2,397</w:t>
            </w:r>
          </w:p>
        </w:tc>
      </w:tr>
      <w:tr>
        <w:trPr>
          <w:cantSplit w:val="0"/>
          <w:trHeight w:val="333" w:hRule="atLeast"/>
          <w:tblHeader w:val="0"/>
        </w:trPr>
        <w:tc>
          <w:tcPr/>
          <w:p w:rsidR="00000000" w:rsidDel="00000000" w:rsidP="00000000" w:rsidRDefault="00000000" w:rsidRPr="00000000" w14:paraId="000000A1">
            <w:pPr>
              <w:spacing w:line="360" w:lineRule="auto"/>
              <w:rPr>
                <w:sz w:val="24"/>
                <w:szCs w:val="24"/>
              </w:rPr>
            </w:pPr>
            <w:r w:rsidDel="00000000" w:rsidR="00000000" w:rsidRPr="00000000">
              <w:rPr>
                <w:sz w:val="24"/>
                <w:szCs w:val="24"/>
                <w:rtl w:val="0"/>
              </w:rPr>
              <w:t xml:space="preserve">BDI_2</w:t>
            </w:r>
          </w:p>
        </w:tc>
        <w:tc>
          <w:tcPr/>
          <w:p w:rsidR="00000000" w:rsidDel="00000000" w:rsidP="00000000" w:rsidRDefault="00000000" w:rsidRPr="00000000" w14:paraId="000000A2">
            <w:pPr>
              <w:spacing w:line="360" w:lineRule="auto"/>
              <w:rPr>
                <w:sz w:val="24"/>
                <w:szCs w:val="24"/>
              </w:rPr>
            </w:pPr>
            <w:r w:rsidDel="00000000" w:rsidR="00000000" w:rsidRPr="00000000">
              <w:rPr>
                <w:sz w:val="24"/>
                <w:szCs w:val="24"/>
                <w:rtl w:val="0"/>
              </w:rPr>
              <w:t xml:space="preserve">2,133</w:t>
            </w:r>
          </w:p>
        </w:tc>
        <w:tc>
          <w:tcPr/>
          <w:p w:rsidR="00000000" w:rsidDel="00000000" w:rsidP="00000000" w:rsidRDefault="00000000" w:rsidRPr="00000000" w14:paraId="000000A3">
            <w:pPr>
              <w:spacing w:line="360" w:lineRule="auto"/>
              <w:rPr>
                <w:sz w:val="24"/>
                <w:szCs w:val="24"/>
              </w:rPr>
            </w:pPr>
            <w:r w:rsidDel="00000000" w:rsidR="00000000" w:rsidRPr="00000000">
              <w:rPr>
                <w:sz w:val="24"/>
                <w:szCs w:val="24"/>
                <w:rtl w:val="0"/>
              </w:rPr>
              <w:t xml:space="preserve">0,412</w:t>
            </w:r>
          </w:p>
        </w:tc>
        <w:tc>
          <w:tcPr/>
          <w:p w:rsidR="00000000" w:rsidDel="00000000" w:rsidP="00000000" w:rsidRDefault="00000000" w:rsidRPr="00000000" w14:paraId="000000A4">
            <w:pPr>
              <w:spacing w:line="360" w:lineRule="auto"/>
              <w:rPr>
                <w:sz w:val="24"/>
                <w:szCs w:val="24"/>
              </w:rPr>
            </w:pPr>
            <w:r w:rsidDel="00000000" w:rsidR="00000000" w:rsidRPr="00000000">
              <w:rPr>
                <w:sz w:val="24"/>
                <w:szCs w:val="24"/>
                <w:rtl w:val="0"/>
              </w:rPr>
              <w:t xml:space="preserve">1,365</w:t>
            </w:r>
          </w:p>
        </w:tc>
        <w:tc>
          <w:tcPr/>
          <w:p w:rsidR="00000000" w:rsidDel="00000000" w:rsidP="00000000" w:rsidRDefault="00000000" w:rsidRPr="00000000" w14:paraId="000000A5">
            <w:pPr>
              <w:spacing w:line="360" w:lineRule="auto"/>
              <w:rPr>
                <w:sz w:val="24"/>
                <w:szCs w:val="24"/>
              </w:rPr>
            </w:pPr>
            <w:r w:rsidDel="00000000" w:rsidR="00000000" w:rsidRPr="00000000">
              <w:rPr>
                <w:sz w:val="24"/>
                <w:szCs w:val="24"/>
                <w:rtl w:val="0"/>
              </w:rPr>
              <w:t xml:space="preserve">2,170</w:t>
            </w:r>
          </w:p>
        </w:tc>
      </w:tr>
      <w:tr>
        <w:trPr>
          <w:cantSplit w:val="0"/>
          <w:trHeight w:val="342" w:hRule="atLeast"/>
          <w:tblHeader w:val="0"/>
        </w:trPr>
        <w:tc>
          <w:tcPr/>
          <w:p w:rsidR="00000000" w:rsidDel="00000000" w:rsidP="00000000" w:rsidRDefault="00000000" w:rsidRPr="00000000" w14:paraId="000000A6">
            <w:pPr>
              <w:spacing w:line="360" w:lineRule="auto"/>
              <w:rPr>
                <w:sz w:val="24"/>
                <w:szCs w:val="24"/>
              </w:rPr>
            </w:pPr>
            <w:r w:rsidDel="00000000" w:rsidR="00000000" w:rsidRPr="00000000">
              <w:rPr>
                <w:sz w:val="24"/>
                <w:szCs w:val="24"/>
                <w:rtl w:val="0"/>
              </w:rPr>
              <w:t xml:space="preserve">BDI_3</w:t>
            </w:r>
          </w:p>
        </w:tc>
        <w:tc>
          <w:tcPr/>
          <w:p w:rsidR="00000000" w:rsidDel="00000000" w:rsidP="00000000" w:rsidRDefault="00000000" w:rsidRPr="00000000" w14:paraId="000000A7">
            <w:pPr>
              <w:spacing w:line="360" w:lineRule="auto"/>
              <w:rPr>
                <w:sz w:val="24"/>
                <w:szCs w:val="24"/>
              </w:rPr>
            </w:pPr>
            <w:r w:rsidDel="00000000" w:rsidR="00000000" w:rsidRPr="00000000">
              <w:rPr>
                <w:sz w:val="24"/>
                <w:szCs w:val="24"/>
                <w:rtl w:val="0"/>
              </w:rPr>
              <w:t xml:space="preserve">2,367</w:t>
            </w:r>
          </w:p>
        </w:tc>
        <w:tc>
          <w:tcPr/>
          <w:p w:rsidR="00000000" w:rsidDel="00000000" w:rsidP="00000000" w:rsidRDefault="00000000" w:rsidRPr="00000000" w14:paraId="000000A8">
            <w:pPr>
              <w:spacing w:line="360" w:lineRule="auto"/>
              <w:rPr>
                <w:sz w:val="24"/>
                <w:szCs w:val="24"/>
              </w:rPr>
            </w:pPr>
            <w:r w:rsidDel="00000000" w:rsidR="00000000" w:rsidRPr="00000000">
              <w:rPr>
                <w:sz w:val="24"/>
                <w:szCs w:val="24"/>
                <w:rtl w:val="0"/>
              </w:rPr>
              <w:t xml:space="preserve">0,514</w:t>
            </w:r>
          </w:p>
        </w:tc>
        <w:tc>
          <w:tcPr/>
          <w:p w:rsidR="00000000" w:rsidDel="00000000" w:rsidP="00000000" w:rsidRDefault="00000000" w:rsidRPr="00000000" w14:paraId="000000A9">
            <w:pPr>
              <w:spacing w:line="360" w:lineRule="auto"/>
              <w:rPr>
                <w:sz w:val="24"/>
                <w:szCs w:val="24"/>
              </w:rPr>
            </w:pPr>
            <w:r w:rsidDel="00000000" w:rsidR="00000000" w:rsidRPr="00000000">
              <w:rPr>
                <w:sz w:val="24"/>
                <w:szCs w:val="24"/>
                <w:rtl w:val="0"/>
              </w:rPr>
              <w:t xml:space="preserve">1,599</w:t>
            </w:r>
          </w:p>
        </w:tc>
        <w:tc>
          <w:tcPr/>
          <w:p w:rsidR="00000000" w:rsidDel="00000000" w:rsidP="00000000" w:rsidRDefault="00000000" w:rsidRPr="00000000" w14:paraId="000000AA">
            <w:pPr>
              <w:spacing w:line="360" w:lineRule="auto"/>
              <w:rPr>
                <w:sz w:val="24"/>
                <w:szCs w:val="24"/>
              </w:rPr>
            </w:pPr>
            <w:r w:rsidDel="00000000" w:rsidR="00000000" w:rsidRPr="00000000">
              <w:rPr>
                <w:sz w:val="24"/>
                <w:szCs w:val="24"/>
                <w:rtl w:val="0"/>
              </w:rPr>
              <w:t xml:space="preserve">2,284</w:t>
            </w:r>
          </w:p>
        </w:tc>
      </w:tr>
      <w:tr>
        <w:trPr>
          <w:cantSplit w:val="0"/>
          <w:trHeight w:val="333" w:hRule="atLeast"/>
          <w:tblHeader w:val="0"/>
        </w:trPr>
        <w:tc>
          <w:tcPr/>
          <w:p w:rsidR="00000000" w:rsidDel="00000000" w:rsidP="00000000" w:rsidRDefault="00000000" w:rsidRPr="00000000" w14:paraId="000000AB">
            <w:pPr>
              <w:spacing w:line="360" w:lineRule="auto"/>
              <w:rPr>
                <w:sz w:val="24"/>
                <w:szCs w:val="24"/>
              </w:rPr>
            </w:pPr>
            <w:r w:rsidDel="00000000" w:rsidR="00000000" w:rsidRPr="00000000">
              <w:rPr>
                <w:sz w:val="24"/>
                <w:szCs w:val="24"/>
                <w:rtl w:val="0"/>
              </w:rPr>
              <w:t xml:space="preserve">BDI_4</w:t>
            </w:r>
          </w:p>
        </w:tc>
        <w:tc>
          <w:tcPr/>
          <w:p w:rsidR="00000000" w:rsidDel="00000000" w:rsidP="00000000" w:rsidRDefault="00000000" w:rsidRPr="00000000" w14:paraId="000000AC">
            <w:pPr>
              <w:spacing w:line="360" w:lineRule="auto"/>
              <w:rPr>
                <w:sz w:val="24"/>
                <w:szCs w:val="24"/>
              </w:rPr>
            </w:pPr>
            <w:r w:rsidDel="00000000" w:rsidR="00000000" w:rsidRPr="00000000">
              <w:rPr>
                <w:sz w:val="24"/>
                <w:szCs w:val="24"/>
                <w:rtl w:val="0"/>
              </w:rPr>
              <w:t xml:space="preserve">2,050</w:t>
            </w:r>
          </w:p>
        </w:tc>
        <w:tc>
          <w:tcPr/>
          <w:p w:rsidR="00000000" w:rsidDel="00000000" w:rsidP="00000000" w:rsidRDefault="00000000" w:rsidRPr="00000000" w14:paraId="000000AD">
            <w:pPr>
              <w:spacing w:line="360" w:lineRule="auto"/>
              <w:rPr>
                <w:sz w:val="24"/>
                <w:szCs w:val="24"/>
              </w:rPr>
            </w:pPr>
            <w:r w:rsidDel="00000000" w:rsidR="00000000" w:rsidRPr="00000000">
              <w:rPr>
                <w:sz w:val="24"/>
                <w:szCs w:val="24"/>
                <w:rtl w:val="0"/>
              </w:rPr>
              <w:t xml:space="preserve">0,297</w:t>
            </w:r>
          </w:p>
        </w:tc>
        <w:tc>
          <w:tcPr/>
          <w:p w:rsidR="00000000" w:rsidDel="00000000" w:rsidP="00000000" w:rsidRDefault="00000000" w:rsidRPr="00000000" w14:paraId="000000AE">
            <w:pPr>
              <w:spacing w:line="360" w:lineRule="auto"/>
              <w:rPr>
                <w:sz w:val="24"/>
                <w:szCs w:val="24"/>
              </w:rPr>
            </w:pPr>
            <w:r w:rsidDel="00000000" w:rsidR="00000000" w:rsidRPr="00000000">
              <w:rPr>
                <w:sz w:val="24"/>
                <w:szCs w:val="24"/>
                <w:rtl w:val="0"/>
              </w:rPr>
              <w:t xml:space="preserve">1,522</w:t>
            </w:r>
          </w:p>
        </w:tc>
        <w:tc>
          <w:tcPr/>
          <w:p w:rsidR="00000000" w:rsidDel="00000000" w:rsidP="00000000" w:rsidRDefault="00000000" w:rsidRPr="00000000" w14:paraId="000000AF">
            <w:pPr>
              <w:spacing w:line="360" w:lineRule="auto"/>
              <w:rPr>
                <w:sz w:val="24"/>
                <w:szCs w:val="24"/>
              </w:rPr>
            </w:pPr>
            <w:r w:rsidDel="00000000" w:rsidR="00000000" w:rsidRPr="00000000">
              <w:rPr>
                <w:sz w:val="24"/>
                <w:szCs w:val="24"/>
                <w:rtl w:val="0"/>
              </w:rPr>
              <w:t xml:space="preserve">1,977</w:t>
            </w:r>
          </w:p>
        </w:tc>
      </w:tr>
      <w:tr>
        <w:trPr>
          <w:cantSplit w:val="0"/>
          <w:trHeight w:val="342" w:hRule="atLeast"/>
          <w:tblHeader w:val="0"/>
        </w:trPr>
        <w:tc>
          <w:tcPr/>
          <w:p w:rsidR="00000000" w:rsidDel="00000000" w:rsidP="00000000" w:rsidRDefault="00000000" w:rsidRPr="00000000" w14:paraId="000000B0">
            <w:pPr>
              <w:spacing w:line="360" w:lineRule="auto"/>
              <w:rPr>
                <w:sz w:val="24"/>
                <w:szCs w:val="24"/>
              </w:rPr>
            </w:pPr>
            <w:r w:rsidDel="00000000" w:rsidR="00000000" w:rsidRPr="00000000">
              <w:rPr>
                <w:sz w:val="24"/>
                <w:szCs w:val="24"/>
                <w:rtl w:val="0"/>
              </w:rPr>
              <w:t xml:space="preserve">BDI_5</w:t>
            </w:r>
          </w:p>
        </w:tc>
        <w:tc>
          <w:tcPr/>
          <w:p w:rsidR="00000000" w:rsidDel="00000000" w:rsidP="00000000" w:rsidRDefault="00000000" w:rsidRPr="00000000" w14:paraId="000000B1">
            <w:pPr>
              <w:spacing w:line="360" w:lineRule="auto"/>
              <w:rPr>
                <w:sz w:val="24"/>
                <w:szCs w:val="24"/>
              </w:rPr>
            </w:pPr>
            <w:r w:rsidDel="00000000" w:rsidR="00000000" w:rsidRPr="00000000">
              <w:rPr>
                <w:sz w:val="24"/>
                <w:szCs w:val="24"/>
                <w:rtl w:val="0"/>
              </w:rPr>
              <w:t xml:space="preserve">2,054</w:t>
            </w:r>
          </w:p>
        </w:tc>
        <w:tc>
          <w:tcPr/>
          <w:p w:rsidR="00000000" w:rsidDel="00000000" w:rsidP="00000000" w:rsidRDefault="00000000" w:rsidRPr="00000000" w14:paraId="000000B2">
            <w:pPr>
              <w:spacing w:line="360" w:lineRule="auto"/>
              <w:rPr>
                <w:sz w:val="24"/>
                <w:szCs w:val="24"/>
              </w:rPr>
            </w:pPr>
            <w:r w:rsidDel="00000000" w:rsidR="00000000" w:rsidRPr="00000000">
              <w:rPr>
                <w:sz w:val="24"/>
                <w:szCs w:val="24"/>
                <w:rtl w:val="0"/>
              </w:rPr>
              <w:t xml:space="preserve">0,090</w:t>
            </w:r>
          </w:p>
        </w:tc>
        <w:tc>
          <w:tcPr/>
          <w:p w:rsidR="00000000" w:rsidDel="00000000" w:rsidP="00000000" w:rsidRDefault="00000000" w:rsidRPr="00000000" w14:paraId="000000B3">
            <w:pPr>
              <w:spacing w:line="360" w:lineRule="auto"/>
              <w:rPr>
                <w:sz w:val="24"/>
                <w:szCs w:val="24"/>
              </w:rPr>
            </w:pPr>
            <w:r w:rsidDel="00000000" w:rsidR="00000000" w:rsidRPr="00000000">
              <w:rPr>
                <w:sz w:val="24"/>
                <w:szCs w:val="24"/>
                <w:rtl w:val="0"/>
              </w:rPr>
              <w:t xml:space="preserve">1,427</w:t>
            </w:r>
          </w:p>
        </w:tc>
        <w:tc>
          <w:tcPr/>
          <w:p w:rsidR="00000000" w:rsidDel="00000000" w:rsidP="00000000" w:rsidRDefault="00000000" w:rsidRPr="00000000" w14:paraId="000000B4">
            <w:pPr>
              <w:spacing w:line="360" w:lineRule="auto"/>
              <w:rPr>
                <w:sz w:val="24"/>
                <w:szCs w:val="24"/>
              </w:rPr>
            </w:pPr>
            <w:r w:rsidDel="00000000" w:rsidR="00000000" w:rsidRPr="00000000">
              <w:rPr>
                <w:sz w:val="24"/>
                <w:szCs w:val="24"/>
                <w:rtl w:val="0"/>
              </w:rPr>
              <w:t xml:space="preserve">2,242</w:t>
            </w:r>
          </w:p>
        </w:tc>
      </w:tr>
      <w:tr>
        <w:trPr>
          <w:cantSplit w:val="0"/>
          <w:trHeight w:val="333" w:hRule="atLeast"/>
          <w:tblHeader w:val="0"/>
        </w:trPr>
        <w:tc>
          <w:tcPr/>
          <w:p w:rsidR="00000000" w:rsidDel="00000000" w:rsidP="00000000" w:rsidRDefault="00000000" w:rsidRPr="00000000" w14:paraId="000000B5">
            <w:pPr>
              <w:spacing w:line="360" w:lineRule="auto"/>
              <w:rPr>
                <w:sz w:val="24"/>
                <w:szCs w:val="24"/>
              </w:rPr>
            </w:pPr>
            <w:r w:rsidDel="00000000" w:rsidR="00000000" w:rsidRPr="00000000">
              <w:rPr>
                <w:sz w:val="24"/>
                <w:szCs w:val="24"/>
                <w:rtl w:val="0"/>
              </w:rPr>
              <w:t xml:space="preserve">BDI_6</w:t>
            </w:r>
          </w:p>
        </w:tc>
        <w:tc>
          <w:tcPr/>
          <w:p w:rsidR="00000000" w:rsidDel="00000000" w:rsidP="00000000" w:rsidRDefault="00000000" w:rsidRPr="00000000" w14:paraId="000000B6">
            <w:pPr>
              <w:spacing w:line="360" w:lineRule="auto"/>
              <w:rPr>
                <w:sz w:val="24"/>
                <w:szCs w:val="24"/>
              </w:rPr>
            </w:pPr>
            <w:r w:rsidDel="00000000" w:rsidR="00000000" w:rsidRPr="00000000">
              <w:rPr>
                <w:sz w:val="24"/>
                <w:szCs w:val="24"/>
                <w:rtl w:val="0"/>
              </w:rPr>
              <w:t xml:space="preserve">2,573</w:t>
            </w:r>
          </w:p>
        </w:tc>
        <w:tc>
          <w:tcPr/>
          <w:p w:rsidR="00000000" w:rsidDel="00000000" w:rsidP="00000000" w:rsidRDefault="00000000" w:rsidRPr="00000000" w14:paraId="000000B7">
            <w:pPr>
              <w:spacing w:line="360" w:lineRule="auto"/>
              <w:rPr>
                <w:sz w:val="24"/>
                <w:szCs w:val="24"/>
              </w:rPr>
            </w:pPr>
            <w:r w:rsidDel="00000000" w:rsidR="00000000" w:rsidRPr="00000000">
              <w:rPr>
                <w:sz w:val="24"/>
                <w:szCs w:val="24"/>
                <w:rtl w:val="0"/>
              </w:rPr>
              <w:t xml:space="preserve">0,018</w:t>
            </w:r>
          </w:p>
        </w:tc>
        <w:tc>
          <w:tcPr/>
          <w:p w:rsidR="00000000" w:rsidDel="00000000" w:rsidP="00000000" w:rsidRDefault="00000000" w:rsidRPr="00000000" w14:paraId="000000B8">
            <w:pPr>
              <w:spacing w:line="360" w:lineRule="auto"/>
              <w:rPr>
                <w:sz w:val="24"/>
                <w:szCs w:val="24"/>
              </w:rPr>
            </w:pPr>
            <w:r w:rsidDel="00000000" w:rsidR="00000000" w:rsidRPr="00000000">
              <w:rPr>
                <w:sz w:val="24"/>
                <w:szCs w:val="24"/>
                <w:rtl w:val="0"/>
              </w:rPr>
              <w:t xml:space="preserve">1,648</w:t>
            </w:r>
          </w:p>
        </w:tc>
        <w:tc>
          <w:tcPr/>
          <w:p w:rsidR="00000000" w:rsidDel="00000000" w:rsidP="00000000" w:rsidRDefault="00000000" w:rsidRPr="00000000" w14:paraId="000000B9">
            <w:pPr>
              <w:spacing w:line="360" w:lineRule="auto"/>
              <w:rPr>
                <w:sz w:val="24"/>
                <w:szCs w:val="24"/>
              </w:rPr>
            </w:pPr>
            <w:r w:rsidDel="00000000" w:rsidR="00000000" w:rsidRPr="00000000">
              <w:rPr>
                <w:sz w:val="24"/>
                <w:szCs w:val="24"/>
                <w:rtl w:val="0"/>
              </w:rPr>
              <w:t xml:space="preserve">2,304</w:t>
            </w:r>
          </w:p>
        </w:tc>
      </w:tr>
      <w:tr>
        <w:trPr>
          <w:cantSplit w:val="0"/>
          <w:trHeight w:val="342" w:hRule="atLeast"/>
          <w:tblHeader w:val="0"/>
        </w:trPr>
        <w:tc>
          <w:tcPr/>
          <w:p w:rsidR="00000000" w:rsidDel="00000000" w:rsidP="00000000" w:rsidRDefault="00000000" w:rsidRPr="00000000" w14:paraId="000000BA">
            <w:pPr>
              <w:spacing w:line="360" w:lineRule="auto"/>
              <w:rPr>
                <w:sz w:val="24"/>
                <w:szCs w:val="24"/>
              </w:rPr>
            </w:pPr>
            <w:r w:rsidDel="00000000" w:rsidR="00000000" w:rsidRPr="00000000">
              <w:rPr>
                <w:sz w:val="24"/>
                <w:szCs w:val="24"/>
                <w:rtl w:val="0"/>
              </w:rPr>
              <w:t xml:space="preserve">BDI_7</w:t>
            </w:r>
          </w:p>
        </w:tc>
        <w:tc>
          <w:tcPr/>
          <w:p w:rsidR="00000000" w:rsidDel="00000000" w:rsidP="00000000" w:rsidRDefault="00000000" w:rsidRPr="00000000" w14:paraId="000000BB">
            <w:pPr>
              <w:spacing w:line="360" w:lineRule="auto"/>
              <w:rPr>
                <w:sz w:val="24"/>
                <w:szCs w:val="24"/>
              </w:rPr>
            </w:pPr>
            <w:r w:rsidDel="00000000" w:rsidR="00000000" w:rsidRPr="00000000">
              <w:rPr>
                <w:sz w:val="24"/>
                <w:szCs w:val="24"/>
                <w:rtl w:val="0"/>
              </w:rPr>
              <w:t xml:space="preserve">1,959</w:t>
            </w:r>
          </w:p>
        </w:tc>
        <w:tc>
          <w:tcPr/>
          <w:p w:rsidR="00000000" w:rsidDel="00000000" w:rsidP="00000000" w:rsidRDefault="00000000" w:rsidRPr="00000000" w14:paraId="000000BC">
            <w:pPr>
              <w:spacing w:line="360" w:lineRule="auto"/>
              <w:rPr>
                <w:sz w:val="24"/>
                <w:szCs w:val="24"/>
              </w:rPr>
            </w:pPr>
            <w:r w:rsidDel="00000000" w:rsidR="00000000" w:rsidRPr="00000000">
              <w:rPr>
                <w:sz w:val="24"/>
                <w:szCs w:val="24"/>
                <w:rtl w:val="0"/>
              </w:rPr>
              <w:t xml:space="preserve">0,981</w:t>
            </w:r>
          </w:p>
        </w:tc>
        <w:tc>
          <w:tcPr/>
          <w:p w:rsidR="00000000" w:rsidDel="00000000" w:rsidP="00000000" w:rsidRDefault="00000000" w:rsidRPr="00000000" w14:paraId="000000BD">
            <w:pPr>
              <w:spacing w:line="360" w:lineRule="auto"/>
              <w:rPr>
                <w:sz w:val="24"/>
                <w:szCs w:val="24"/>
              </w:rPr>
            </w:pPr>
            <w:r w:rsidDel="00000000" w:rsidR="00000000" w:rsidRPr="00000000">
              <w:rPr>
                <w:sz w:val="24"/>
                <w:szCs w:val="24"/>
                <w:rtl w:val="0"/>
              </w:rPr>
              <w:t xml:space="preserve">2,253</w:t>
            </w:r>
          </w:p>
        </w:tc>
        <w:tc>
          <w:tcPr/>
          <w:p w:rsidR="00000000" w:rsidDel="00000000" w:rsidP="00000000" w:rsidRDefault="00000000" w:rsidRPr="00000000" w14:paraId="000000BE">
            <w:pPr>
              <w:spacing w:line="360" w:lineRule="auto"/>
              <w:rPr>
                <w:sz w:val="24"/>
                <w:szCs w:val="24"/>
              </w:rPr>
            </w:pPr>
            <w:r w:rsidDel="00000000" w:rsidR="00000000" w:rsidRPr="00000000">
              <w:rPr>
                <w:sz w:val="24"/>
                <w:szCs w:val="24"/>
                <w:rtl w:val="0"/>
              </w:rPr>
              <w:t xml:space="preserve">2,785</w:t>
            </w:r>
          </w:p>
        </w:tc>
      </w:tr>
      <w:tr>
        <w:trPr>
          <w:cantSplit w:val="0"/>
          <w:trHeight w:val="333" w:hRule="atLeast"/>
          <w:tblHeader w:val="0"/>
        </w:trPr>
        <w:tc>
          <w:tcPr/>
          <w:p w:rsidR="00000000" w:rsidDel="00000000" w:rsidP="00000000" w:rsidRDefault="00000000" w:rsidRPr="00000000" w14:paraId="000000BF">
            <w:pPr>
              <w:spacing w:line="360" w:lineRule="auto"/>
              <w:rPr>
                <w:sz w:val="24"/>
                <w:szCs w:val="24"/>
              </w:rPr>
            </w:pPr>
            <w:r w:rsidDel="00000000" w:rsidR="00000000" w:rsidRPr="00000000">
              <w:rPr>
                <w:sz w:val="24"/>
                <w:szCs w:val="24"/>
                <w:rtl w:val="0"/>
              </w:rPr>
              <w:t xml:space="preserve">BDI_8</w:t>
            </w:r>
          </w:p>
        </w:tc>
        <w:tc>
          <w:tcPr/>
          <w:p w:rsidR="00000000" w:rsidDel="00000000" w:rsidP="00000000" w:rsidRDefault="00000000" w:rsidRPr="00000000" w14:paraId="000000C0">
            <w:pPr>
              <w:spacing w:line="360" w:lineRule="auto"/>
              <w:rPr>
                <w:sz w:val="24"/>
                <w:szCs w:val="24"/>
              </w:rPr>
            </w:pPr>
            <w:r w:rsidDel="00000000" w:rsidR="00000000" w:rsidRPr="00000000">
              <w:rPr>
                <w:sz w:val="24"/>
                <w:szCs w:val="24"/>
                <w:rtl w:val="0"/>
              </w:rPr>
              <w:t xml:space="preserve">1,288</w:t>
            </w:r>
          </w:p>
        </w:tc>
        <w:tc>
          <w:tcPr/>
          <w:p w:rsidR="00000000" w:rsidDel="00000000" w:rsidP="00000000" w:rsidRDefault="00000000" w:rsidRPr="00000000" w14:paraId="000000C1">
            <w:pPr>
              <w:spacing w:line="360" w:lineRule="auto"/>
              <w:rPr>
                <w:sz w:val="24"/>
                <w:szCs w:val="24"/>
              </w:rPr>
            </w:pPr>
            <w:r w:rsidDel="00000000" w:rsidR="00000000" w:rsidRPr="00000000">
              <w:rPr>
                <w:sz w:val="24"/>
                <w:szCs w:val="24"/>
                <w:rtl w:val="0"/>
              </w:rPr>
              <w:t xml:space="preserve">0,533</w:t>
            </w:r>
          </w:p>
        </w:tc>
        <w:tc>
          <w:tcPr/>
          <w:p w:rsidR="00000000" w:rsidDel="00000000" w:rsidP="00000000" w:rsidRDefault="00000000" w:rsidRPr="00000000" w14:paraId="000000C2">
            <w:pPr>
              <w:spacing w:line="360" w:lineRule="auto"/>
              <w:rPr>
                <w:sz w:val="24"/>
                <w:szCs w:val="24"/>
              </w:rPr>
            </w:pPr>
            <w:r w:rsidDel="00000000" w:rsidR="00000000" w:rsidRPr="00000000">
              <w:rPr>
                <w:sz w:val="24"/>
                <w:szCs w:val="24"/>
                <w:rtl w:val="0"/>
              </w:rPr>
              <w:t xml:space="preserve">1,653</w:t>
            </w:r>
          </w:p>
        </w:tc>
        <w:tc>
          <w:tcPr/>
          <w:p w:rsidR="00000000" w:rsidDel="00000000" w:rsidP="00000000" w:rsidRDefault="00000000" w:rsidRPr="00000000" w14:paraId="000000C3">
            <w:pPr>
              <w:spacing w:line="360" w:lineRule="auto"/>
              <w:rPr>
                <w:sz w:val="24"/>
                <w:szCs w:val="24"/>
              </w:rPr>
            </w:pPr>
            <w:r w:rsidDel="00000000" w:rsidR="00000000" w:rsidRPr="00000000">
              <w:rPr>
                <w:sz w:val="24"/>
                <w:szCs w:val="24"/>
                <w:rtl w:val="0"/>
              </w:rPr>
              <w:t xml:space="preserve">3,535</w:t>
            </w:r>
          </w:p>
        </w:tc>
      </w:tr>
      <w:tr>
        <w:trPr>
          <w:cantSplit w:val="0"/>
          <w:trHeight w:val="342" w:hRule="atLeast"/>
          <w:tblHeader w:val="0"/>
        </w:trPr>
        <w:tc>
          <w:tcPr/>
          <w:p w:rsidR="00000000" w:rsidDel="00000000" w:rsidP="00000000" w:rsidRDefault="00000000" w:rsidRPr="00000000" w14:paraId="000000C4">
            <w:pPr>
              <w:spacing w:line="360" w:lineRule="auto"/>
              <w:rPr>
                <w:sz w:val="24"/>
                <w:szCs w:val="24"/>
              </w:rPr>
            </w:pPr>
            <w:r w:rsidDel="00000000" w:rsidR="00000000" w:rsidRPr="00000000">
              <w:rPr>
                <w:sz w:val="24"/>
                <w:szCs w:val="24"/>
                <w:rtl w:val="0"/>
              </w:rPr>
              <w:t xml:space="preserve">BDI_9</w:t>
            </w:r>
          </w:p>
        </w:tc>
        <w:tc>
          <w:tcPr/>
          <w:p w:rsidR="00000000" w:rsidDel="00000000" w:rsidP="00000000" w:rsidRDefault="00000000" w:rsidRPr="00000000" w14:paraId="000000C5">
            <w:pPr>
              <w:spacing w:line="360" w:lineRule="auto"/>
              <w:rPr>
                <w:sz w:val="24"/>
                <w:szCs w:val="24"/>
              </w:rPr>
            </w:pPr>
            <w:r w:rsidDel="00000000" w:rsidR="00000000" w:rsidRPr="00000000">
              <w:rPr>
                <w:sz w:val="24"/>
                <w:szCs w:val="24"/>
                <w:rtl w:val="0"/>
              </w:rPr>
              <w:t xml:space="preserve">1,704</w:t>
            </w:r>
          </w:p>
        </w:tc>
        <w:tc>
          <w:tcPr/>
          <w:p w:rsidR="00000000" w:rsidDel="00000000" w:rsidP="00000000" w:rsidRDefault="00000000" w:rsidRPr="00000000" w14:paraId="000000C6">
            <w:pPr>
              <w:spacing w:line="360" w:lineRule="auto"/>
              <w:rPr>
                <w:sz w:val="24"/>
                <w:szCs w:val="24"/>
              </w:rPr>
            </w:pPr>
            <w:r w:rsidDel="00000000" w:rsidR="00000000" w:rsidRPr="00000000">
              <w:rPr>
                <w:sz w:val="24"/>
                <w:szCs w:val="24"/>
                <w:rtl w:val="0"/>
              </w:rPr>
              <w:t xml:space="preserve">0,377</w:t>
            </w:r>
          </w:p>
        </w:tc>
        <w:tc>
          <w:tcPr/>
          <w:p w:rsidR="00000000" w:rsidDel="00000000" w:rsidP="00000000" w:rsidRDefault="00000000" w:rsidRPr="00000000" w14:paraId="000000C7">
            <w:pPr>
              <w:spacing w:line="360" w:lineRule="auto"/>
              <w:rPr>
                <w:sz w:val="24"/>
                <w:szCs w:val="24"/>
              </w:rPr>
            </w:pPr>
            <w:r w:rsidDel="00000000" w:rsidR="00000000" w:rsidRPr="00000000">
              <w:rPr>
                <w:sz w:val="24"/>
                <w:szCs w:val="24"/>
                <w:rtl w:val="0"/>
              </w:rPr>
              <w:t xml:space="preserve">0,964</w:t>
            </w:r>
          </w:p>
        </w:tc>
        <w:tc>
          <w:tcPr/>
          <w:p w:rsidR="00000000" w:rsidDel="00000000" w:rsidP="00000000" w:rsidRDefault="00000000" w:rsidRPr="00000000" w14:paraId="000000C8">
            <w:pPr>
              <w:spacing w:line="360" w:lineRule="auto"/>
              <w:rPr>
                <w:sz w:val="24"/>
                <w:szCs w:val="24"/>
              </w:rPr>
            </w:pPr>
            <w:r w:rsidDel="00000000" w:rsidR="00000000" w:rsidRPr="00000000">
              <w:rPr>
                <w:sz w:val="24"/>
                <w:szCs w:val="24"/>
                <w:rtl w:val="0"/>
              </w:rPr>
              <w:t xml:space="preserve">2,662</w:t>
            </w:r>
          </w:p>
        </w:tc>
      </w:tr>
      <w:tr>
        <w:trPr>
          <w:cantSplit w:val="0"/>
          <w:trHeight w:val="333" w:hRule="atLeast"/>
          <w:tblHeader w:val="0"/>
        </w:trPr>
        <w:tc>
          <w:tcPr/>
          <w:p w:rsidR="00000000" w:rsidDel="00000000" w:rsidP="00000000" w:rsidRDefault="00000000" w:rsidRPr="00000000" w14:paraId="000000C9">
            <w:pPr>
              <w:spacing w:line="360" w:lineRule="auto"/>
              <w:rPr>
                <w:sz w:val="24"/>
                <w:szCs w:val="24"/>
              </w:rPr>
            </w:pPr>
            <w:r w:rsidDel="00000000" w:rsidR="00000000" w:rsidRPr="00000000">
              <w:rPr>
                <w:sz w:val="24"/>
                <w:szCs w:val="24"/>
                <w:rtl w:val="0"/>
              </w:rPr>
              <w:t xml:space="preserve">BDI_10</w:t>
            </w:r>
          </w:p>
        </w:tc>
        <w:tc>
          <w:tcPr/>
          <w:p w:rsidR="00000000" w:rsidDel="00000000" w:rsidP="00000000" w:rsidRDefault="00000000" w:rsidRPr="00000000" w14:paraId="000000CA">
            <w:pPr>
              <w:spacing w:line="360" w:lineRule="auto"/>
              <w:rPr>
                <w:sz w:val="24"/>
                <w:szCs w:val="24"/>
              </w:rPr>
            </w:pPr>
            <w:r w:rsidDel="00000000" w:rsidR="00000000" w:rsidRPr="00000000">
              <w:rPr>
                <w:sz w:val="24"/>
                <w:szCs w:val="24"/>
                <w:rtl w:val="0"/>
              </w:rPr>
              <w:t xml:space="preserve">1,520</w:t>
            </w:r>
          </w:p>
        </w:tc>
        <w:tc>
          <w:tcPr/>
          <w:p w:rsidR="00000000" w:rsidDel="00000000" w:rsidP="00000000" w:rsidRDefault="00000000" w:rsidRPr="00000000" w14:paraId="000000CB">
            <w:pPr>
              <w:spacing w:line="360" w:lineRule="auto"/>
              <w:rPr>
                <w:sz w:val="24"/>
                <w:szCs w:val="24"/>
              </w:rPr>
            </w:pPr>
            <w:r w:rsidDel="00000000" w:rsidR="00000000" w:rsidRPr="00000000">
              <w:rPr>
                <w:sz w:val="24"/>
                <w:szCs w:val="24"/>
                <w:rtl w:val="0"/>
              </w:rPr>
              <w:t xml:space="preserve">0,248</w:t>
            </w:r>
          </w:p>
        </w:tc>
        <w:tc>
          <w:tcPr/>
          <w:p w:rsidR="00000000" w:rsidDel="00000000" w:rsidP="00000000" w:rsidRDefault="00000000" w:rsidRPr="00000000" w14:paraId="000000CC">
            <w:pPr>
              <w:spacing w:line="360" w:lineRule="auto"/>
              <w:rPr>
                <w:sz w:val="24"/>
                <w:szCs w:val="24"/>
              </w:rPr>
            </w:pPr>
            <w:r w:rsidDel="00000000" w:rsidR="00000000" w:rsidRPr="00000000">
              <w:rPr>
                <w:sz w:val="24"/>
                <w:szCs w:val="24"/>
                <w:rtl w:val="0"/>
              </w:rPr>
              <w:t xml:space="preserve">1,044</w:t>
            </w:r>
          </w:p>
        </w:tc>
        <w:tc>
          <w:tcPr/>
          <w:p w:rsidR="00000000" w:rsidDel="00000000" w:rsidP="00000000" w:rsidRDefault="00000000" w:rsidRPr="00000000" w14:paraId="000000CD">
            <w:pPr>
              <w:spacing w:line="360" w:lineRule="auto"/>
              <w:rPr>
                <w:sz w:val="24"/>
                <w:szCs w:val="24"/>
              </w:rPr>
            </w:pPr>
            <w:r w:rsidDel="00000000" w:rsidR="00000000" w:rsidRPr="00000000">
              <w:rPr>
                <w:sz w:val="24"/>
                <w:szCs w:val="24"/>
                <w:rtl w:val="0"/>
              </w:rPr>
              <w:t xml:space="preserve">1,735</w:t>
            </w:r>
          </w:p>
        </w:tc>
      </w:tr>
      <w:tr>
        <w:trPr>
          <w:cantSplit w:val="0"/>
          <w:trHeight w:val="342" w:hRule="atLeast"/>
          <w:tblHeader w:val="0"/>
        </w:trPr>
        <w:tc>
          <w:tcPr/>
          <w:p w:rsidR="00000000" w:rsidDel="00000000" w:rsidP="00000000" w:rsidRDefault="00000000" w:rsidRPr="00000000" w14:paraId="000000CE">
            <w:pPr>
              <w:spacing w:line="360" w:lineRule="auto"/>
              <w:rPr>
                <w:sz w:val="24"/>
                <w:szCs w:val="24"/>
              </w:rPr>
            </w:pPr>
            <w:r w:rsidDel="00000000" w:rsidR="00000000" w:rsidRPr="00000000">
              <w:rPr>
                <w:sz w:val="24"/>
                <w:szCs w:val="24"/>
                <w:rtl w:val="0"/>
              </w:rPr>
              <w:t xml:space="preserve">BDI_11</w:t>
            </w:r>
          </w:p>
        </w:tc>
        <w:tc>
          <w:tcPr/>
          <w:p w:rsidR="00000000" w:rsidDel="00000000" w:rsidP="00000000" w:rsidRDefault="00000000" w:rsidRPr="00000000" w14:paraId="000000CF">
            <w:pPr>
              <w:spacing w:line="360" w:lineRule="auto"/>
              <w:rPr>
                <w:sz w:val="24"/>
                <w:szCs w:val="24"/>
              </w:rPr>
            </w:pPr>
            <w:r w:rsidDel="00000000" w:rsidR="00000000" w:rsidRPr="00000000">
              <w:rPr>
                <w:sz w:val="24"/>
                <w:szCs w:val="24"/>
                <w:rtl w:val="0"/>
              </w:rPr>
              <w:t xml:space="preserve">1,737</w:t>
            </w:r>
          </w:p>
        </w:tc>
        <w:tc>
          <w:tcPr/>
          <w:p w:rsidR="00000000" w:rsidDel="00000000" w:rsidP="00000000" w:rsidRDefault="00000000" w:rsidRPr="00000000" w14:paraId="000000D0">
            <w:pPr>
              <w:spacing w:line="360" w:lineRule="auto"/>
              <w:rPr>
                <w:sz w:val="24"/>
                <w:szCs w:val="24"/>
              </w:rPr>
            </w:pPr>
            <w:r w:rsidDel="00000000" w:rsidR="00000000" w:rsidRPr="00000000">
              <w:rPr>
                <w:sz w:val="24"/>
                <w:szCs w:val="24"/>
                <w:rtl w:val="0"/>
              </w:rPr>
              <w:t xml:space="preserve">0,133</w:t>
            </w:r>
          </w:p>
        </w:tc>
        <w:tc>
          <w:tcPr/>
          <w:p w:rsidR="00000000" w:rsidDel="00000000" w:rsidP="00000000" w:rsidRDefault="00000000" w:rsidRPr="00000000" w14:paraId="000000D1">
            <w:pPr>
              <w:spacing w:line="360" w:lineRule="auto"/>
              <w:rPr>
                <w:sz w:val="24"/>
                <w:szCs w:val="24"/>
              </w:rPr>
            </w:pPr>
            <w:r w:rsidDel="00000000" w:rsidR="00000000" w:rsidRPr="00000000">
              <w:rPr>
                <w:sz w:val="24"/>
                <w:szCs w:val="24"/>
                <w:rtl w:val="0"/>
              </w:rPr>
              <w:t xml:space="preserve">1,476</w:t>
            </w:r>
          </w:p>
        </w:tc>
        <w:tc>
          <w:tcPr/>
          <w:p w:rsidR="00000000" w:rsidDel="00000000" w:rsidP="00000000" w:rsidRDefault="00000000" w:rsidRPr="00000000" w14:paraId="000000D2">
            <w:pPr>
              <w:spacing w:line="360" w:lineRule="auto"/>
              <w:rPr>
                <w:sz w:val="24"/>
                <w:szCs w:val="24"/>
              </w:rPr>
            </w:pPr>
            <w:r w:rsidDel="00000000" w:rsidR="00000000" w:rsidRPr="00000000">
              <w:rPr>
                <w:sz w:val="24"/>
                <w:szCs w:val="24"/>
                <w:rtl w:val="0"/>
              </w:rPr>
              <w:t xml:space="preserve">3,216</w:t>
            </w:r>
          </w:p>
        </w:tc>
      </w:tr>
      <w:tr>
        <w:trPr>
          <w:cantSplit w:val="0"/>
          <w:trHeight w:val="333" w:hRule="atLeast"/>
          <w:tblHeader w:val="0"/>
        </w:trPr>
        <w:tc>
          <w:tcPr/>
          <w:p w:rsidR="00000000" w:rsidDel="00000000" w:rsidP="00000000" w:rsidRDefault="00000000" w:rsidRPr="00000000" w14:paraId="000000D3">
            <w:pPr>
              <w:spacing w:line="360" w:lineRule="auto"/>
              <w:rPr>
                <w:sz w:val="24"/>
                <w:szCs w:val="24"/>
              </w:rPr>
            </w:pPr>
            <w:r w:rsidDel="00000000" w:rsidR="00000000" w:rsidRPr="00000000">
              <w:rPr>
                <w:sz w:val="24"/>
                <w:szCs w:val="24"/>
                <w:rtl w:val="0"/>
              </w:rPr>
              <w:t xml:space="preserve">BDI_12</w:t>
            </w:r>
          </w:p>
        </w:tc>
        <w:tc>
          <w:tcPr/>
          <w:p w:rsidR="00000000" w:rsidDel="00000000" w:rsidP="00000000" w:rsidRDefault="00000000" w:rsidRPr="00000000" w14:paraId="000000D4">
            <w:pPr>
              <w:spacing w:line="360" w:lineRule="auto"/>
              <w:rPr>
                <w:sz w:val="24"/>
                <w:szCs w:val="24"/>
              </w:rPr>
            </w:pPr>
            <w:r w:rsidDel="00000000" w:rsidR="00000000" w:rsidRPr="00000000">
              <w:rPr>
                <w:sz w:val="24"/>
                <w:szCs w:val="24"/>
                <w:rtl w:val="0"/>
              </w:rPr>
              <w:t xml:space="preserve">1,636</w:t>
            </w:r>
          </w:p>
        </w:tc>
        <w:tc>
          <w:tcPr/>
          <w:p w:rsidR="00000000" w:rsidDel="00000000" w:rsidP="00000000" w:rsidRDefault="00000000" w:rsidRPr="00000000" w14:paraId="000000D5">
            <w:pPr>
              <w:spacing w:line="360" w:lineRule="auto"/>
              <w:rPr>
                <w:sz w:val="24"/>
                <w:szCs w:val="24"/>
              </w:rPr>
            </w:pPr>
            <w:r w:rsidDel="00000000" w:rsidR="00000000" w:rsidRPr="00000000">
              <w:rPr>
                <w:sz w:val="24"/>
                <w:szCs w:val="24"/>
                <w:rtl w:val="0"/>
              </w:rPr>
              <w:t xml:space="preserve">0,665</w:t>
            </w:r>
          </w:p>
        </w:tc>
        <w:tc>
          <w:tcPr/>
          <w:p w:rsidR="00000000" w:rsidDel="00000000" w:rsidP="00000000" w:rsidRDefault="00000000" w:rsidRPr="00000000" w14:paraId="000000D6">
            <w:pPr>
              <w:spacing w:line="360" w:lineRule="auto"/>
              <w:rPr>
                <w:sz w:val="24"/>
                <w:szCs w:val="24"/>
              </w:rPr>
            </w:pPr>
            <w:r w:rsidDel="00000000" w:rsidR="00000000" w:rsidRPr="00000000">
              <w:rPr>
                <w:sz w:val="24"/>
                <w:szCs w:val="24"/>
                <w:rtl w:val="0"/>
              </w:rPr>
              <w:t xml:space="preserve">1,264</w:t>
            </w:r>
          </w:p>
        </w:tc>
        <w:tc>
          <w:tcPr/>
          <w:p w:rsidR="00000000" w:rsidDel="00000000" w:rsidP="00000000" w:rsidRDefault="00000000" w:rsidRPr="00000000" w14:paraId="000000D7">
            <w:pPr>
              <w:spacing w:line="360" w:lineRule="auto"/>
              <w:rPr>
                <w:sz w:val="24"/>
                <w:szCs w:val="24"/>
              </w:rPr>
            </w:pPr>
            <w:r w:rsidDel="00000000" w:rsidR="00000000" w:rsidRPr="00000000">
              <w:rPr>
                <w:sz w:val="24"/>
                <w:szCs w:val="24"/>
                <w:rtl w:val="0"/>
              </w:rPr>
              <w:t xml:space="preserve">2,031</w:t>
            </w:r>
          </w:p>
        </w:tc>
      </w:tr>
      <w:tr>
        <w:trPr>
          <w:cantSplit w:val="0"/>
          <w:trHeight w:val="352" w:hRule="atLeast"/>
          <w:tblHeader w:val="0"/>
        </w:trPr>
        <w:tc>
          <w:tcPr/>
          <w:p w:rsidR="00000000" w:rsidDel="00000000" w:rsidP="00000000" w:rsidRDefault="00000000" w:rsidRPr="00000000" w14:paraId="000000D8">
            <w:pPr>
              <w:spacing w:line="360" w:lineRule="auto"/>
              <w:rPr>
                <w:sz w:val="24"/>
                <w:szCs w:val="24"/>
              </w:rPr>
            </w:pPr>
            <w:r w:rsidDel="00000000" w:rsidR="00000000" w:rsidRPr="00000000">
              <w:rPr>
                <w:sz w:val="24"/>
                <w:szCs w:val="24"/>
                <w:rtl w:val="0"/>
              </w:rPr>
              <w:t xml:space="preserve">BDI_13</w:t>
            </w:r>
          </w:p>
        </w:tc>
        <w:tc>
          <w:tcPr/>
          <w:p w:rsidR="00000000" w:rsidDel="00000000" w:rsidP="00000000" w:rsidRDefault="00000000" w:rsidRPr="00000000" w14:paraId="000000D9">
            <w:pPr>
              <w:spacing w:line="360" w:lineRule="auto"/>
              <w:rPr>
                <w:sz w:val="24"/>
                <w:szCs w:val="24"/>
              </w:rPr>
            </w:pPr>
            <w:r w:rsidDel="00000000" w:rsidR="00000000" w:rsidRPr="00000000">
              <w:rPr>
                <w:sz w:val="24"/>
                <w:szCs w:val="24"/>
                <w:rtl w:val="0"/>
              </w:rPr>
              <w:t xml:space="preserve">0,957</w:t>
            </w:r>
          </w:p>
        </w:tc>
        <w:tc>
          <w:tcPr/>
          <w:p w:rsidR="00000000" w:rsidDel="00000000" w:rsidP="00000000" w:rsidRDefault="00000000" w:rsidRPr="00000000" w14:paraId="000000DA">
            <w:pPr>
              <w:spacing w:line="360" w:lineRule="auto"/>
              <w:rPr>
                <w:sz w:val="24"/>
                <w:szCs w:val="24"/>
              </w:rPr>
            </w:pPr>
            <w:r w:rsidDel="00000000" w:rsidR="00000000" w:rsidRPr="00000000">
              <w:rPr>
                <w:sz w:val="24"/>
                <w:szCs w:val="24"/>
                <w:rtl w:val="0"/>
              </w:rPr>
              <w:t xml:space="preserve">0,980</w:t>
            </w:r>
          </w:p>
        </w:tc>
        <w:tc>
          <w:tcPr/>
          <w:p w:rsidR="00000000" w:rsidDel="00000000" w:rsidP="00000000" w:rsidRDefault="00000000" w:rsidRPr="00000000" w14:paraId="000000DB">
            <w:pPr>
              <w:spacing w:line="360" w:lineRule="auto"/>
              <w:rPr>
                <w:sz w:val="24"/>
                <w:szCs w:val="24"/>
              </w:rPr>
            </w:pPr>
            <w:r w:rsidDel="00000000" w:rsidR="00000000" w:rsidRPr="00000000">
              <w:rPr>
                <w:sz w:val="24"/>
                <w:szCs w:val="24"/>
                <w:rtl w:val="0"/>
              </w:rPr>
              <w:t xml:space="preserve">2,935</w:t>
            </w:r>
          </w:p>
        </w:tc>
        <w:tc>
          <w:tcPr/>
          <w:p w:rsidR="00000000" w:rsidDel="00000000" w:rsidP="00000000" w:rsidRDefault="00000000" w:rsidRPr="00000000" w14:paraId="000000DC">
            <w:pPr>
              <w:spacing w:line="360" w:lineRule="auto"/>
              <w:rPr>
                <w:sz w:val="24"/>
                <w:szCs w:val="24"/>
              </w:rPr>
            </w:pPr>
            <w:r w:rsidDel="00000000" w:rsidR="00000000" w:rsidRPr="00000000">
              <w:rPr>
                <w:sz w:val="24"/>
                <w:szCs w:val="24"/>
                <w:rtl w:val="0"/>
              </w:rPr>
              <w:t xml:space="preserve">4,616</w:t>
            </w:r>
          </w:p>
        </w:tc>
      </w:tr>
    </w:tbl>
    <w:p w:rsidR="00000000" w:rsidDel="00000000" w:rsidP="00000000" w:rsidRDefault="00000000" w:rsidRPr="00000000" w14:paraId="000000DD">
      <w:pPr>
        <w:spacing w:line="360" w:lineRule="auto"/>
        <w:ind w:firstLine="709"/>
        <w:rPr>
          <w:highlight w:val="white"/>
        </w:rPr>
      </w:pPr>
      <w:r w:rsidDel="00000000" w:rsidR="00000000" w:rsidRPr="00000000">
        <w:rPr>
          <w:rtl w:val="0"/>
        </w:rPr>
      </w:r>
    </w:p>
    <w:p w:rsidR="00000000" w:rsidDel="00000000" w:rsidP="00000000" w:rsidRDefault="00000000" w:rsidRPr="00000000" w14:paraId="000000DE">
      <w:pPr>
        <w:spacing w:line="360" w:lineRule="auto"/>
        <w:ind w:firstLine="709"/>
        <w:rPr>
          <w:b w:val="1"/>
          <w:highlight w:val="white"/>
        </w:rPr>
      </w:pPr>
      <w:r w:rsidDel="00000000" w:rsidR="00000000" w:rsidRPr="00000000">
        <w:rPr>
          <w:rtl w:val="0"/>
        </w:rPr>
      </w:r>
    </w:p>
    <w:p w:rsidR="00000000" w:rsidDel="00000000" w:rsidP="00000000" w:rsidRDefault="00000000" w:rsidRPr="00000000" w14:paraId="000000DF">
      <w:pPr>
        <w:spacing w:line="360" w:lineRule="auto"/>
        <w:ind w:firstLine="709"/>
        <w:rPr>
          <w:b w:val="1"/>
          <w:highlight w:val="white"/>
        </w:rPr>
      </w:pPr>
      <w:r w:rsidDel="00000000" w:rsidR="00000000" w:rsidRPr="00000000">
        <w:rPr>
          <w:b w:val="1"/>
          <w:highlight w:val="white"/>
          <w:rtl w:val="0"/>
        </w:rPr>
        <w:t xml:space="preserve">Figura 1.</w:t>
      </w:r>
    </w:p>
    <w:p w:rsidR="00000000" w:rsidDel="00000000" w:rsidP="00000000" w:rsidRDefault="00000000" w:rsidRPr="00000000" w14:paraId="000000E0">
      <w:pPr>
        <w:spacing w:line="360" w:lineRule="auto"/>
        <w:ind w:firstLine="709"/>
        <w:rPr>
          <w:i w:val="1"/>
          <w:highlight w:val="white"/>
        </w:rPr>
      </w:pPr>
      <w:r w:rsidDel="00000000" w:rsidR="00000000" w:rsidRPr="00000000">
        <w:rPr>
          <w:i w:val="1"/>
          <w:highlight w:val="white"/>
          <w:rtl w:val="0"/>
        </w:rPr>
        <w:t xml:space="preserve">Curva de informação do Item na BDI-13</w:t>
      </w:r>
    </w:p>
    <w:p w:rsidR="00000000" w:rsidDel="00000000" w:rsidP="00000000" w:rsidRDefault="00000000" w:rsidRPr="00000000" w14:paraId="000000E1">
      <w:pPr>
        <w:spacing w:line="360" w:lineRule="auto"/>
        <w:ind w:firstLine="709"/>
        <w:rPr/>
      </w:pPr>
      <w:r w:rsidDel="00000000" w:rsidR="00000000" w:rsidRPr="00000000">
        <w:rPr/>
        <w:drawing>
          <wp:inline distB="114300" distT="114300" distL="114300" distR="114300">
            <wp:extent cx="5943600" cy="3822700"/>
            <wp:effectExtent b="0" l="0" r="0" t="0"/>
            <wp:docPr id="7"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59436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spacing w:line="360" w:lineRule="auto"/>
        <w:rPr>
          <w:b w:val="1"/>
        </w:rPr>
      </w:pPr>
      <w:r w:rsidDel="00000000" w:rsidR="00000000" w:rsidRPr="00000000">
        <w:rPr>
          <w:rtl w:val="0"/>
        </w:rPr>
      </w:r>
    </w:p>
    <w:p w:rsidR="00000000" w:rsidDel="00000000" w:rsidP="00000000" w:rsidRDefault="00000000" w:rsidRPr="00000000" w14:paraId="000000E3">
      <w:pPr>
        <w:spacing w:line="360" w:lineRule="auto"/>
        <w:rPr>
          <w:highlight w:val="magenta"/>
        </w:rPr>
      </w:pPr>
      <w:r w:rsidDel="00000000" w:rsidR="00000000" w:rsidRPr="00000000">
        <w:rPr>
          <w:rtl w:val="0"/>
        </w:rPr>
      </w:r>
    </w:p>
    <w:p w:rsidR="00000000" w:rsidDel="00000000" w:rsidP="00000000" w:rsidRDefault="00000000" w:rsidRPr="00000000" w14:paraId="000000E4">
      <w:pPr>
        <w:spacing w:line="360" w:lineRule="auto"/>
        <w:rPr>
          <w:b w:val="1"/>
          <w:i w:val="1"/>
        </w:rPr>
      </w:pPr>
      <w:r w:rsidDel="00000000" w:rsidR="00000000" w:rsidRPr="00000000">
        <w:rPr>
          <w:b w:val="1"/>
          <w:i w:val="1"/>
          <w:rtl w:val="0"/>
        </w:rPr>
        <w:t xml:space="preserve">Estudo 2. Comprovação da estrutura fatorial do Inventário de Depressão de Beck (BDI-13) </w:t>
      </w:r>
    </w:p>
    <w:p w:rsidR="00000000" w:rsidDel="00000000" w:rsidP="00000000" w:rsidRDefault="00000000" w:rsidRPr="00000000" w14:paraId="000000E5">
      <w:pPr>
        <w:spacing w:line="360" w:lineRule="auto"/>
        <w:rPr>
          <w:b w:val="1"/>
          <w:i w:val="1"/>
        </w:rPr>
      </w:pPr>
      <w:r w:rsidDel="00000000" w:rsidR="00000000" w:rsidRPr="00000000">
        <w:rPr>
          <w:rtl w:val="0"/>
        </w:rPr>
      </w:r>
    </w:p>
    <w:p w:rsidR="00000000" w:rsidDel="00000000" w:rsidP="00000000" w:rsidRDefault="00000000" w:rsidRPr="00000000" w14:paraId="000000E6">
      <w:pPr>
        <w:spacing w:line="360" w:lineRule="auto"/>
        <w:rPr/>
      </w:pPr>
      <w:r w:rsidDel="00000000" w:rsidR="00000000" w:rsidRPr="00000000">
        <w:rPr>
          <w:rtl w:val="0"/>
        </w:rPr>
        <w:tab/>
        <w:t xml:space="preserve">Tendo como norteador a estrutura fatorial testada no Estudo 1, também realizamos teste de modelos alternativos, de modo a compará-los. Com isso, testamos o modelo unidimensional; o modelo tridimensional, sugerido pelo estudo de Dadfar e Kalibatseva (2016), o modelo hierárquico, composto por 1 dimensão geral de primeira ordem e três fatores específicos de segunda ordem e o modelo bi-factor com 1 referência a dimensão cognitiva, isto é, três dimensões correlacionadas e uma dimensão geral (Ver</w:t>
      </w:r>
      <w:r w:rsidDel="00000000" w:rsidR="00000000" w:rsidRPr="00000000">
        <w:rPr>
          <w:b w:val="1"/>
          <w:rtl w:val="0"/>
        </w:rPr>
        <w:t xml:space="preserve"> Tabela 3</w:t>
      </w:r>
      <w:r w:rsidDel="00000000" w:rsidR="00000000" w:rsidRPr="00000000">
        <w:rPr>
          <w:rtl w:val="0"/>
        </w:rPr>
        <w:t xml:space="preserve">). A dimensão cognitiva foi escolhida para ser a referência por ser a dimensão que mais fica comprometida, afetando tanto as dimensões somáticas como as afetivas. </w:t>
      </w:r>
    </w:p>
    <w:p w:rsidR="00000000" w:rsidDel="00000000" w:rsidP="00000000" w:rsidRDefault="00000000" w:rsidRPr="00000000" w14:paraId="000000E7">
      <w:pPr>
        <w:spacing w:line="360" w:lineRule="auto"/>
        <w:ind w:firstLine="720"/>
        <w:rPr/>
      </w:pPr>
      <w:r w:rsidDel="00000000" w:rsidR="00000000" w:rsidRPr="00000000">
        <w:rPr>
          <w:highlight w:val="white"/>
          <w:rtl w:val="0"/>
        </w:rPr>
        <w:t xml:space="preserve">A escolha do modelo mais adequado se deu por meio dos índices de ajustes mais adequados, considerando o menor valor de χ²/</w:t>
      </w:r>
      <w:r w:rsidDel="00000000" w:rsidR="00000000" w:rsidRPr="00000000">
        <w:rPr>
          <w:i w:val="1"/>
          <w:highlight w:val="white"/>
          <w:rtl w:val="0"/>
        </w:rPr>
        <w:t xml:space="preserve">df</w:t>
      </w:r>
      <w:r w:rsidDel="00000000" w:rsidR="00000000" w:rsidRPr="00000000">
        <w:rPr>
          <w:highlight w:val="white"/>
          <w:rtl w:val="0"/>
        </w:rPr>
        <w:t xml:space="preserve"> (Anunciação, 2018), como também o menor valor de ECVI (Kline, 2015). Observamos a partir da tabela 2, que o modelo tridimensional possui os mesmos índices de ajuste do modelo hierárquico. Isso indicaria que a depressão não pode ser analisada por meio das variáveis observadas diretamente, isto é, a depressão seria analisada por meio do conjunto das dimensões de primeira ordem (afetivo, somático e cognitivo) que indicaria se o participante possui variações no grau da depressão. Mas, segundo Kline (2015) quando a comparação do modelo atual (hierárquico) com o modelo anterior (tridimensional) não for significativo, isso indica que o modelo mais adequado é o modelo anterior. Logo, a depressão pode ser analisada diretamente pelos fatores de primeira ordem </w:t>
      </w:r>
      <w:r w:rsidDel="00000000" w:rsidR="00000000" w:rsidRPr="00000000">
        <w:rPr>
          <w:rtl w:val="0"/>
        </w:rPr>
        <w:t xml:space="preserve">(Dadfar &amp; Kalibatseva, 2016), ou seja, o participante pode indicar seu grau de depressão a partir do sintoma relatado por ele. Já o modelo bi-factor com S-1 mostrou ser mais adequado para medir a depressão. Significa dizer que a depressão tanto pode ser examinada como um construto unidimensional como também pode ser examinado como um construto tridimensional. </w:t>
      </w:r>
    </w:p>
    <w:p w:rsidR="00000000" w:rsidDel="00000000" w:rsidP="00000000" w:rsidRDefault="00000000" w:rsidRPr="00000000" w14:paraId="000000E8">
      <w:pPr>
        <w:spacing w:after="240" w:before="240" w:line="360" w:lineRule="auto"/>
        <w:rPr>
          <w:b w:val="1"/>
        </w:rPr>
      </w:pPr>
      <w:r w:rsidDel="00000000" w:rsidR="00000000" w:rsidRPr="00000000">
        <w:rPr>
          <w:rtl w:val="0"/>
        </w:rPr>
        <w:t xml:space="preserve"> </w:t>
      </w:r>
      <w:r w:rsidDel="00000000" w:rsidR="00000000" w:rsidRPr="00000000">
        <w:rPr>
          <w:b w:val="1"/>
          <w:rtl w:val="0"/>
        </w:rPr>
        <w:t xml:space="preserve">Tabela 3.</w:t>
      </w:r>
    </w:p>
    <w:p w:rsidR="00000000" w:rsidDel="00000000" w:rsidP="00000000" w:rsidRDefault="00000000" w:rsidRPr="00000000" w14:paraId="000000E9">
      <w:pPr>
        <w:spacing w:after="240" w:before="240" w:line="360" w:lineRule="auto"/>
        <w:rPr>
          <w:i w:val="1"/>
        </w:rPr>
      </w:pPr>
      <w:r w:rsidDel="00000000" w:rsidR="00000000" w:rsidRPr="00000000">
        <w:rPr>
          <w:i w:val="1"/>
          <w:rtl w:val="0"/>
        </w:rPr>
        <w:t xml:space="preserve">Comparação de modelos alternativos </w:t>
      </w:r>
    </w:p>
    <w:tbl>
      <w:tblPr>
        <w:tblStyle w:val="Table3"/>
        <w:tblW w:w="10752.0" w:type="dxa"/>
        <w:jc w:val="left"/>
        <w:tblInd w:w="-555.0" w:type="dxa"/>
        <w:tblBorders>
          <w:top w:color="000000" w:space="0" w:sz="12" w:val="single"/>
          <w:bottom w:color="000000" w:space="0" w:sz="12" w:val="single"/>
          <w:insideH w:color="000000" w:space="0" w:sz="4" w:val="single"/>
          <w:insideV w:color="000000" w:space="0" w:sz="4" w:val="single"/>
        </w:tblBorders>
        <w:tblLayout w:type="fixed"/>
        <w:tblLook w:val="0600"/>
      </w:tblPr>
      <w:tblGrid>
        <w:gridCol w:w="1379"/>
        <w:gridCol w:w="826"/>
        <w:gridCol w:w="552"/>
        <w:gridCol w:w="827"/>
        <w:gridCol w:w="826"/>
        <w:gridCol w:w="826"/>
        <w:gridCol w:w="966"/>
        <w:gridCol w:w="1104"/>
        <w:gridCol w:w="1379"/>
        <w:gridCol w:w="1240"/>
        <w:gridCol w:w="827"/>
        <w:tblGridChange w:id="0">
          <w:tblGrid>
            <w:gridCol w:w="1379"/>
            <w:gridCol w:w="826"/>
            <w:gridCol w:w="552"/>
            <w:gridCol w:w="827"/>
            <w:gridCol w:w="826"/>
            <w:gridCol w:w="826"/>
            <w:gridCol w:w="966"/>
            <w:gridCol w:w="1104"/>
            <w:gridCol w:w="1379"/>
            <w:gridCol w:w="1240"/>
            <w:gridCol w:w="827"/>
          </w:tblGrid>
        </w:tblGridChange>
      </w:tblGrid>
      <w:tr>
        <w:trPr>
          <w:cantSplit w:val="0"/>
          <w:trHeight w:val="24" w:hRule="atLeast"/>
          <w:tblHeader w:val="0"/>
        </w:trPr>
        <w:tc>
          <w:tcPr>
            <w:tcBorders>
              <w:top w:color="000000" w:space="0" w:sz="12" w:val="single"/>
              <w:bottom w:color="000000" w:space="0" w:sz="4" w:val="single"/>
              <w:right w:color="000000" w:space="0" w:sz="0" w:val="nil"/>
            </w:tcBorders>
            <w:tcMar>
              <w:top w:w="80.0" w:type="dxa"/>
              <w:left w:w="80.0" w:type="dxa"/>
              <w:bottom w:w="80.0" w:type="dxa"/>
              <w:right w:w="80.0" w:type="dxa"/>
            </w:tcMar>
          </w:tcPr>
          <w:p w:rsidR="00000000" w:rsidDel="00000000" w:rsidP="00000000" w:rsidRDefault="00000000" w:rsidRPr="00000000" w14:paraId="000000EA">
            <w:pPr>
              <w:spacing w:before="240" w:line="360" w:lineRule="auto"/>
              <w:rPr/>
            </w:pPr>
            <w:r w:rsidDel="00000000" w:rsidR="00000000" w:rsidRPr="00000000">
              <w:rPr>
                <w:rtl w:val="0"/>
              </w:rPr>
              <w:t xml:space="preserve">Modelos</w:t>
            </w:r>
          </w:p>
        </w:tc>
        <w:tc>
          <w:tcPr>
            <w:tcBorders>
              <w:top w:color="000000" w:space="0" w:sz="12" w:val="single"/>
              <w:left w:color="000000" w:space="0" w:sz="0" w:val="nil"/>
              <w:bottom w:color="000000" w:space="0" w:sz="4" w:val="single"/>
              <w:right w:color="000000" w:space="0" w:sz="0" w:val="nil"/>
            </w:tcBorders>
            <w:tcMar>
              <w:top w:w="80.0" w:type="dxa"/>
              <w:left w:w="80.0" w:type="dxa"/>
              <w:bottom w:w="80.0" w:type="dxa"/>
              <w:right w:w="80.0" w:type="dxa"/>
            </w:tcMar>
          </w:tcPr>
          <w:p w:rsidR="00000000" w:rsidDel="00000000" w:rsidP="00000000" w:rsidRDefault="00000000" w:rsidRPr="00000000" w14:paraId="000000EB">
            <w:pPr>
              <w:spacing w:before="240" w:line="360" w:lineRule="auto"/>
              <w:rPr/>
            </w:pPr>
            <w:r w:rsidDel="00000000" w:rsidR="00000000" w:rsidRPr="00000000">
              <w:rPr>
                <w:rtl w:val="0"/>
              </w:rPr>
              <w:t xml:space="preserve"> χ²</w:t>
            </w:r>
          </w:p>
        </w:tc>
        <w:tc>
          <w:tcPr>
            <w:tcBorders>
              <w:top w:color="000000" w:space="0" w:sz="12" w:val="single"/>
              <w:left w:color="000000" w:space="0" w:sz="0" w:val="nil"/>
              <w:bottom w:color="000000" w:space="0" w:sz="4" w:val="single"/>
              <w:right w:color="000000" w:space="0" w:sz="0" w:val="nil"/>
            </w:tcBorders>
            <w:tcMar>
              <w:top w:w="80.0" w:type="dxa"/>
              <w:left w:w="80.0" w:type="dxa"/>
              <w:bottom w:w="80.0" w:type="dxa"/>
              <w:right w:w="80.0" w:type="dxa"/>
            </w:tcMar>
          </w:tcPr>
          <w:p w:rsidR="00000000" w:rsidDel="00000000" w:rsidP="00000000" w:rsidRDefault="00000000" w:rsidRPr="00000000" w14:paraId="000000EC">
            <w:pPr>
              <w:spacing w:before="240" w:line="360" w:lineRule="auto"/>
              <w:rPr/>
            </w:pPr>
            <w:r w:rsidDel="00000000" w:rsidR="00000000" w:rsidRPr="00000000">
              <w:rPr>
                <w:rtl w:val="0"/>
              </w:rPr>
              <w:t xml:space="preserve">Df</w:t>
            </w:r>
          </w:p>
        </w:tc>
        <w:tc>
          <w:tcPr>
            <w:tcBorders>
              <w:top w:color="000000" w:space="0" w:sz="12" w:val="single"/>
              <w:left w:color="000000" w:space="0" w:sz="0" w:val="nil"/>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ED">
            <w:pPr>
              <w:spacing w:before="240" w:line="360" w:lineRule="auto"/>
              <w:rPr/>
            </w:pPr>
            <w:r w:rsidDel="00000000" w:rsidR="00000000" w:rsidRPr="00000000">
              <w:rPr>
                <w:rtl w:val="0"/>
              </w:rPr>
              <w:t xml:space="preserve">χ²/df</w:t>
            </w:r>
          </w:p>
        </w:tc>
        <w:tc>
          <w:tcPr>
            <w:tcBorders>
              <w:top w:color="000000" w:space="0" w:sz="12" w:val="single"/>
              <w:left w:color="000000" w:space="0" w:sz="0" w:val="nil"/>
              <w:bottom w:color="000000" w:space="0" w:sz="4" w:val="single"/>
              <w:right w:color="000000" w:space="0" w:sz="0" w:val="nil"/>
            </w:tcBorders>
          </w:tcPr>
          <w:p w:rsidR="00000000" w:rsidDel="00000000" w:rsidP="00000000" w:rsidRDefault="00000000" w:rsidRPr="00000000" w14:paraId="000000EE">
            <w:pPr>
              <w:spacing w:before="240" w:line="360" w:lineRule="auto"/>
              <w:rPr/>
            </w:pPr>
            <w:r w:rsidDel="00000000" w:rsidR="00000000" w:rsidRPr="00000000">
              <w:rPr>
                <w:rtl w:val="0"/>
              </w:rPr>
              <w:t xml:space="preserve">p </w:t>
            </w:r>
            <w:r w:rsidDel="00000000" w:rsidR="00000000" w:rsidRPr="00000000">
              <w:rPr>
                <w:i w:val="1"/>
                <w:rtl w:val="0"/>
              </w:rPr>
              <w:t xml:space="preserve">value</w:t>
            </w:r>
            <w:r w:rsidDel="00000000" w:rsidR="00000000" w:rsidRPr="00000000">
              <w:rPr>
                <w:rtl w:val="0"/>
              </w:rPr>
            </w:r>
          </w:p>
        </w:tc>
        <w:tc>
          <w:tcPr>
            <w:tcBorders>
              <w:top w:color="000000" w:space="0" w:sz="12" w:val="single"/>
              <w:left w:color="000000" w:space="0" w:sz="0" w:val="nil"/>
              <w:bottom w:color="000000" w:space="0" w:sz="4" w:val="single"/>
              <w:right w:color="000000" w:space="0" w:sz="0" w:val="nil"/>
            </w:tcBorders>
            <w:tcMar>
              <w:top w:w="80.0" w:type="dxa"/>
              <w:left w:w="80.0" w:type="dxa"/>
              <w:bottom w:w="80.0" w:type="dxa"/>
              <w:right w:w="80.0" w:type="dxa"/>
            </w:tcMar>
          </w:tcPr>
          <w:p w:rsidR="00000000" w:rsidDel="00000000" w:rsidP="00000000" w:rsidRDefault="00000000" w:rsidRPr="00000000" w14:paraId="000000EF">
            <w:pPr>
              <w:spacing w:before="240" w:line="360" w:lineRule="auto"/>
              <w:rPr/>
            </w:pPr>
            <w:r w:rsidDel="00000000" w:rsidR="00000000" w:rsidRPr="00000000">
              <w:rPr>
                <w:rtl w:val="0"/>
              </w:rPr>
              <w:t xml:space="preserve">CFI</w:t>
            </w:r>
          </w:p>
        </w:tc>
        <w:tc>
          <w:tcPr>
            <w:tcBorders>
              <w:top w:color="000000" w:space="0" w:sz="12" w:val="single"/>
              <w:left w:color="000000" w:space="0" w:sz="0" w:val="nil"/>
              <w:bottom w:color="000000" w:space="0" w:sz="4" w:val="single"/>
              <w:right w:color="000000" w:space="0" w:sz="0" w:val="nil"/>
            </w:tcBorders>
            <w:tcMar>
              <w:top w:w="80.0" w:type="dxa"/>
              <w:left w:w="80.0" w:type="dxa"/>
              <w:bottom w:w="80.0" w:type="dxa"/>
              <w:right w:w="80.0" w:type="dxa"/>
            </w:tcMar>
          </w:tcPr>
          <w:p w:rsidR="00000000" w:rsidDel="00000000" w:rsidP="00000000" w:rsidRDefault="00000000" w:rsidRPr="00000000" w14:paraId="000000F0">
            <w:pPr>
              <w:spacing w:before="240" w:line="360" w:lineRule="auto"/>
              <w:rPr/>
            </w:pPr>
            <w:r w:rsidDel="00000000" w:rsidR="00000000" w:rsidRPr="00000000">
              <w:rPr>
                <w:rtl w:val="0"/>
              </w:rPr>
              <w:t xml:space="preserve">TLI</w:t>
            </w:r>
          </w:p>
        </w:tc>
        <w:tc>
          <w:tcPr>
            <w:tcBorders>
              <w:top w:color="000000" w:space="0" w:sz="12" w:val="single"/>
              <w:left w:color="000000" w:space="0" w:sz="0" w:val="nil"/>
              <w:bottom w:color="000000" w:space="0" w:sz="4" w:val="single"/>
              <w:right w:color="000000" w:space="0" w:sz="0" w:val="nil"/>
            </w:tcBorders>
          </w:tcPr>
          <w:p w:rsidR="00000000" w:rsidDel="00000000" w:rsidP="00000000" w:rsidRDefault="00000000" w:rsidRPr="00000000" w14:paraId="000000F1">
            <w:pPr>
              <w:spacing w:before="240" w:line="360" w:lineRule="auto"/>
              <w:rPr/>
            </w:pPr>
            <w:r w:rsidDel="00000000" w:rsidR="00000000" w:rsidRPr="00000000">
              <w:rPr>
                <w:rtl w:val="0"/>
              </w:rPr>
              <w:t xml:space="preserve">GFI</w:t>
            </w:r>
          </w:p>
        </w:tc>
        <w:tc>
          <w:tcPr>
            <w:tcBorders>
              <w:top w:color="000000" w:space="0" w:sz="12" w:val="single"/>
              <w:left w:color="000000" w:space="0" w:sz="0" w:val="nil"/>
              <w:bottom w:color="000000" w:space="0" w:sz="4" w:val="single"/>
              <w:right w:color="000000" w:space="0" w:sz="0" w:val="nil"/>
            </w:tcBorders>
            <w:tcMar>
              <w:top w:w="80.0" w:type="dxa"/>
              <w:left w:w="80.0" w:type="dxa"/>
              <w:bottom w:w="80.0" w:type="dxa"/>
              <w:right w:w="80.0" w:type="dxa"/>
            </w:tcMar>
          </w:tcPr>
          <w:p w:rsidR="00000000" w:rsidDel="00000000" w:rsidP="00000000" w:rsidRDefault="00000000" w:rsidRPr="00000000" w14:paraId="000000F2">
            <w:pPr>
              <w:spacing w:before="240" w:line="360" w:lineRule="auto"/>
              <w:rPr/>
            </w:pPr>
            <w:r w:rsidDel="00000000" w:rsidR="00000000" w:rsidRPr="00000000">
              <w:rPr>
                <w:rtl w:val="0"/>
              </w:rPr>
              <w:t xml:space="preserve">RMSEA</w:t>
            </w:r>
          </w:p>
          <w:p w:rsidR="00000000" w:rsidDel="00000000" w:rsidP="00000000" w:rsidRDefault="00000000" w:rsidRPr="00000000" w14:paraId="000000F3">
            <w:pPr>
              <w:spacing w:before="240" w:line="360" w:lineRule="auto"/>
              <w:rPr/>
            </w:pPr>
            <w:r w:rsidDel="00000000" w:rsidR="00000000" w:rsidRPr="00000000">
              <w:rPr>
                <w:rtl w:val="0"/>
              </w:rPr>
              <w:t xml:space="preserve">(IC-95%)</w:t>
            </w:r>
          </w:p>
        </w:tc>
        <w:tc>
          <w:tcPr>
            <w:tcBorders>
              <w:top w:color="000000" w:space="0" w:sz="12" w:val="single"/>
              <w:left w:color="000000" w:space="0" w:sz="0" w:val="nil"/>
              <w:bottom w:color="000000" w:space="0" w:sz="4" w:val="single"/>
              <w:right w:color="000000" w:space="0" w:sz="0" w:val="nil"/>
            </w:tcBorders>
            <w:tcMar>
              <w:top w:w="80.0" w:type="dxa"/>
              <w:left w:w="80.0" w:type="dxa"/>
              <w:bottom w:w="80.0" w:type="dxa"/>
              <w:right w:w="80.0" w:type="dxa"/>
            </w:tcMar>
          </w:tcPr>
          <w:p w:rsidR="00000000" w:rsidDel="00000000" w:rsidP="00000000" w:rsidRDefault="00000000" w:rsidRPr="00000000" w14:paraId="000000F4">
            <w:pPr>
              <w:spacing w:before="240" w:line="360" w:lineRule="auto"/>
              <w:rPr/>
            </w:pPr>
            <w:r w:rsidDel="00000000" w:rsidR="00000000" w:rsidRPr="00000000">
              <w:rPr>
                <w:rtl w:val="0"/>
              </w:rPr>
              <w:t xml:space="preserve">SRMR</w:t>
            </w:r>
          </w:p>
        </w:tc>
        <w:tc>
          <w:tcPr>
            <w:tcBorders>
              <w:top w:color="000000" w:space="0" w:sz="12" w:val="single"/>
              <w:left w:color="000000" w:space="0" w:sz="0" w:val="nil"/>
              <w:bottom w:color="000000" w:space="0" w:sz="4" w:val="single"/>
            </w:tcBorders>
            <w:tcMar>
              <w:top w:w="80.0" w:type="dxa"/>
              <w:left w:w="80.0" w:type="dxa"/>
              <w:bottom w:w="80.0" w:type="dxa"/>
              <w:right w:w="80.0" w:type="dxa"/>
            </w:tcMar>
          </w:tcPr>
          <w:p w:rsidR="00000000" w:rsidDel="00000000" w:rsidP="00000000" w:rsidRDefault="00000000" w:rsidRPr="00000000" w14:paraId="000000F5">
            <w:pPr>
              <w:spacing w:before="240" w:line="360" w:lineRule="auto"/>
              <w:rPr/>
            </w:pPr>
            <w:r w:rsidDel="00000000" w:rsidR="00000000" w:rsidRPr="00000000">
              <w:rPr>
                <w:rtl w:val="0"/>
              </w:rPr>
              <w:t xml:space="preserve">ECVI</w:t>
            </w:r>
          </w:p>
        </w:tc>
      </w:tr>
      <w:tr>
        <w:trPr>
          <w:cantSplit w:val="0"/>
          <w:trHeight w:val="19" w:hRule="atLeast"/>
          <w:tblHeader w:val="0"/>
        </w:trPr>
        <w:tc>
          <w:tcPr>
            <w:tcBorders>
              <w:top w:color="000000" w:space="0" w:sz="4" w:val="single"/>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F6">
            <w:pPr>
              <w:spacing w:before="240" w:line="360" w:lineRule="auto"/>
              <w:rPr/>
            </w:pPr>
            <w:r w:rsidDel="00000000" w:rsidR="00000000" w:rsidRPr="00000000">
              <w:rPr>
                <w:rtl w:val="0"/>
              </w:rPr>
              <w:t xml:space="preserve">Uni</w:t>
            </w:r>
          </w:p>
        </w:tc>
        <w:tc>
          <w:tcPr>
            <w:tcBorders>
              <w:top w:color="000000" w:space="0" w:sz="4" w:val="single"/>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F7">
            <w:pPr>
              <w:spacing w:before="240" w:line="360" w:lineRule="auto"/>
              <w:rPr/>
            </w:pPr>
            <w:r w:rsidDel="00000000" w:rsidR="00000000" w:rsidRPr="00000000">
              <w:rPr>
                <w:rtl w:val="0"/>
              </w:rPr>
              <w:t xml:space="preserve">44,804</w:t>
            </w:r>
          </w:p>
        </w:tc>
        <w:tc>
          <w:tcPr>
            <w:tcBorders>
              <w:top w:color="000000" w:space="0" w:sz="4" w:val="single"/>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F8">
            <w:pPr>
              <w:spacing w:before="240" w:line="360" w:lineRule="auto"/>
              <w:rPr/>
            </w:pPr>
            <w:r w:rsidDel="00000000" w:rsidR="00000000" w:rsidRPr="00000000">
              <w:rPr>
                <w:rtl w:val="0"/>
              </w:rPr>
              <w:t xml:space="preserve">65</w:t>
            </w:r>
          </w:p>
        </w:tc>
        <w:tc>
          <w:tcPr>
            <w:tcBorders>
              <w:top w:color="000000" w:space="0" w:sz="4" w:val="single"/>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F9">
            <w:pPr>
              <w:spacing w:before="240" w:line="360" w:lineRule="auto"/>
              <w:rPr/>
            </w:pPr>
            <w:r w:rsidDel="00000000" w:rsidR="00000000" w:rsidRPr="00000000">
              <w:rPr>
                <w:rtl w:val="0"/>
              </w:rPr>
              <w:t xml:space="preserve">0,68</w:t>
            </w:r>
          </w:p>
          <w:p w:rsidR="00000000" w:rsidDel="00000000" w:rsidP="00000000" w:rsidRDefault="00000000" w:rsidRPr="00000000" w14:paraId="000000FA">
            <w:pPr>
              <w:spacing w:before="240" w:line="360" w:lineRule="auto"/>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FB">
            <w:pPr>
              <w:spacing w:before="240" w:line="360" w:lineRule="auto"/>
              <w:rPr/>
            </w:pPr>
            <w:r w:rsidDel="00000000" w:rsidR="00000000" w:rsidRPr="00000000">
              <w:rPr>
                <w:rtl w:val="0"/>
              </w:rPr>
              <w:t xml:space="preserve">1,00</w:t>
            </w:r>
          </w:p>
        </w:tc>
        <w:tc>
          <w:tcPr>
            <w:tcBorders>
              <w:top w:color="000000" w:space="0" w:sz="4" w:val="single"/>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FC">
            <w:pPr>
              <w:spacing w:before="240" w:line="360" w:lineRule="auto"/>
              <w:rPr/>
            </w:pPr>
            <w:r w:rsidDel="00000000" w:rsidR="00000000" w:rsidRPr="00000000">
              <w:rPr>
                <w:rtl w:val="0"/>
              </w:rPr>
              <w:t xml:space="preserve">1,00</w:t>
            </w:r>
          </w:p>
        </w:tc>
        <w:tc>
          <w:tcPr>
            <w:tcBorders>
              <w:top w:color="000000" w:space="0" w:sz="4" w:val="single"/>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FD">
            <w:pPr>
              <w:spacing w:before="240" w:line="360" w:lineRule="auto"/>
              <w:rPr/>
            </w:pPr>
            <w:r w:rsidDel="00000000" w:rsidR="00000000" w:rsidRPr="00000000">
              <w:rPr>
                <w:rtl w:val="0"/>
              </w:rPr>
              <w:t xml:space="preserve">1,01</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FE">
            <w:pPr>
              <w:spacing w:before="240" w:line="360" w:lineRule="auto"/>
              <w:rPr/>
            </w:pPr>
            <w:r w:rsidDel="00000000" w:rsidR="00000000" w:rsidRPr="00000000">
              <w:rPr>
                <w:rtl w:val="0"/>
              </w:rPr>
              <w:t xml:space="preserve">0,98</w:t>
            </w:r>
          </w:p>
        </w:tc>
        <w:tc>
          <w:tcPr>
            <w:tcBorders>
              <w:top w:color="000000" w:space="0" w:sz="4" w:val="single"/>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FF">
            <w:pPr>
              <w:spacing w:before="240" w:line="360" w:lineRule="auto"/>
              <w:rPr/>
            </w:pPr>
            <w:r w:rsidDel="00000000" w:rsidR="00000000" w:rsidRPr="00000000">
              <w:rPr>
                <w:rtl w:val="0"/>
              </w:rPr>
              <w:t xml:space="preserve">0,03</w:t>
            </w:r>
          </w:p>
          <w:p w:rsidR="00000000" w:rsidDel="00000000" w:rsidP="00000000" w:rsidRDefault="00000000" w:rsidRPr="00000000" w14:paraId="00000100">
            <w:pPr>
              <w:spacing w:before="240" w:line="360" w:lineRule="auto"/>
              <w:rPr/>
            </w:pPr>
            <w:r w:rsidDel="00000000" w:rsidR="00000000" w:rsidRPr="00000000">
              <w:rPr>
                <w:rtl w:val="0"/>
              </w:rPr>
              <w:t xml:space="preserve">(0,01- 0,05)</w:t>
            </w:r>
          </w:p>
        </w:tc>
        <w:tc>
          <w:tcPr>
            <w:tcBorders>
              <w:top w:color="000000" w:space="0" w:sz="4" w:val="single"/>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101">
            <w:pPr>
              <w:spacing w:before="240" w:line="360" w:lineRule="auto"/>
              <w:rPr/>
            </w:pPr>
            <w:r w:rsidDel="00000000" w:rsidR="00000000" w:rsidRPr="00000000">
              <w:rPr>
                <w:rtl w:val="0"/>
              </w:rPr>
              <w:t xml:space="preserve">  0,04</w:t>
            </w:r>
          </w:p>
        </w:tc>
        <w:tc>
          <w:tcPr>
            <w:tcBorders>
              <w:top w:color="000000" w:space="0" w:sz="4" w:val="single"/>
              <w:left w:color="000000" w:space="0" w:sz="0" w:val="nil"/>
              <w:bottom w:color="000000" w:space="0" w:sz="0" w:val="nil"/>
            </w:tcBorders>
            <w:tcMar>
              <w:top w:w="100.0" w:type="dxa"/>
              <w:left w:w="100.0" w:type="dxa"/>
              <w:bottom w:w="100.0" w:type="dxa"/>
              <w:right w:w="100.0" w:type="dxa"/>
            </w:tcMar>
          </w:tcPr>
          <w:p w:rsidR="00000000" w:rsidDel="00000000" w:rsidP="00000000" w:rsidRDefault="00000000" w:rsidRPr="00000000" w14:paraId="00000102">
            <w:pPr>
              <w:spacing w:before="240" w:line="360" w:lineRule="auto"/>
              <w:rPr/>
            </w:pPr>
            <w:r w:rsidDel="00000000" w:rsidR="00000000" w:rsidRPr="00000000">
              <w:rPr>
                <w:rtl w:val="0"/>
              </w:rPr>
              <w:t xml:space="preserve">0,38</w:t>
            </w:r>
          </w:p>
        </w:tc>
      </w:tr>
      <w:tr>
        <w:trPr>
          <w:cantSplit w:val="0"/>
          <w:trHeight w:val="27" w:hRule="atLeast"/>
          <w:tblHeader w:val="0"/>
        </w:trPr>
        <w:tc>
          <w:tcPr>
            <w:tcBorders>
              <w:top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103">
            <w:pPr>
              <w:spacing w:before="240" w:line="360" w:lineRule="auto"/>
              <w:rPr/>
            </w:pPr>
            <w:r w:rsidDel="00000000" w:rsidR="00000000" w:rsidRPr="00000000">
              <w:rPr>
                <w:rtl w:val="0"/>
              </w:rPr>
              <w:t xml:space="preserve">Tri </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104">
            <w:pPr>
              <w:spacing w:before="240" w:line="360" w:lineRule="auto"/>
              <w:rPr/>
            </w:pPr>
            <w:r w:rsidDel="00000000" w:rsidR="00000000" w:rsidRPr="00000000">
              <w:rPr>
                <w:rtl w:val="0"/>
              </w:rPr>
              <w:t xml:space="preserve">29,702</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105">
            <w:pPr>
              <w:spacing w:before="240" w:line="360" w:lineRule="auto"/>
              <w:rPr/>
            </w:pPr>
            <w:r w:rsidDel="00000000" w:rsidR="00000000" w:rsidRPr="00000000">
              <w:rPr>
                <w:rtl w:val="0"/>
              </w:rPr>
              <w:t xml:space="preserve">65</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106">
            <w:pPr>
              <w:spacing w:before="240" w:line="360" w:lineRule="auto"/>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7">
            <w:pPr>
              <w:spacing w:before="240" w:line="360" w:lineRule="auto"/>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108">
            <w:pPr>
              <w:spacing w:before="240" w:line="360" w:lineRule="auto"/>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109">
            <w:pPr>
              <w:spacing w:before="240" w:line="360" w:lineRule="auto"/>
              <w:rPr/>
            </w:pPr>
            <w:r w:rsidDel="00000000" w:rsidR="00000000" w:rsidRPr="00000000">
              <w:rPr>
                <w:rtl w:val="0"/>
              </w:rPr>
              <w:t xml:space="preserve">1,02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A">
            <w:pPr>
              <w:spacing w:before="240" w:line="360" w:lineRule="auto"/>
              <w:rPr/>
            </w:pPr>
            <w:r w:rsidDel="00000000" w:rsidR="00000000" w:rsidRPr="00000000">
              <w:rPr>
                <w:rtl w:val="0"/>
              </w:rPr>
              <w:t xml:space="preserve">0,99</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10B">
            <w:pPr>
              <w:spacing w:before="240" w:line="360" w:lineRule="auto"/>
              <w:rPr/>
            </w:pPr>
            <w:r w:rsidDel="00000000" w:rsidR="00000000" w:rsidRPr="00000000">
              <w:rPr>
                <w:rtl w:val="0"/>
              </w:rPr>
              <w:t xml:space="preserve">0,03</w:t>
            </w:r>
          </w:p>
          <w:p w:rsidR="00000000" w:rsidDel="00000000" w:rsidP="00000000" w:rsidRDefault="00000000" w:rsidRPr="00000000" w14:paraId="0000010C">
            <w:pPr>
              <w:spacing w:before="240" w:line="360" w:lineRule="auto"/>
              <w:rPr/>
            </w:pPr>
            <w:r w:rsidDel="00000000" w:rsidR="00000000" w:rsidRPr="00000000">
              <w:rPr>
                <w:rtl w:val="0"/>
              </w:rPr>
              <w:t xml:space="preserve">(0,01-0,05)</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10D">
            <w:pPr>
              <w:spacing w:before="240" w:line="360" w:lineRule="auto"/>
              <w:rPr/>
            </w:pPr>
            <w:r w:rsidDel="00000000" w:rsidR="00000000" w:rsidRPr="00000000">
              <w:rPr>
                <w:rtl w:val="0"/>
              </w:rPr>
              <w:t xml:space="preserve">  0,04</w:t>
            </w:r>
          </w:p>
        </w:tc>
        <w:tc>
          <w:tcPr>
            <w:tcBorders>
              <w:top w:color="000000" w:space="0" w:sz="0" w:val="nil"/>
              <w:left w:color="000000" w:space="0" w:sz="0" w:val="nil"/>
              <w:bottom w:color="000000" w:space="0" w:sz="0" w:val="nil"/>
            </w:tcBorders>
            <w:tcMar>
              <w:top w:w="100.0" w:type="dxa"/>
              <w:left w:w="100.0" w:type="dxa"/>
              <w:bottom w:w="100.0" w:type="dxa"/>
              <w:right w:w="100.0" w:type="dxa"/>
            </w:tcMar>
          </w:tcPr>
          <w:p w:rsidR="00000000" w:rsidDel="00000000" w:rsidP="00000000" w:rsidRDefault="00000000" w:rsidRPr="00000000" w14:paraId="0000010E">
            <w:pPr>
              <w:spacing w:before="240" w:line="360" w:lineRule="auto"/>
              <w:rPr/>
            </w:pPr>
            <w:r w:rsidDel="00000000" w:rsidR="00000000" w:rsidRPr="00000000">
              <w:rPr>
                <w:rtl w:val="0"/>
              </w:rPr>
              <w:t xml:space="preserve">0,35</w:t>
            </w:r>
          </w:p>
        </w:tc>
      </w:tr>
      <w:tr>
        <w:trPr>
          <w:cantSplit w:val="0"/>
          <w:trHeight w:val="27" w:hRule="atLeast"/>
          <w:tblHeader w:val="0"/>
        </w:trPr>
        <w:tc>
          <w:tcPr>
            <w:tcBorders>
              <w:top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10F">
            <w:pPr>
              <w:spacing w:before="240" w:line="360" w:lineRule="auto"/>
              <w:rPr/>
            </w:pPr>
            <w:r w:rsidDel="00000000" w:rsidR="00000000" w:rsidRPr="00000000">
              <w:rPr>
                <w:rtl w:val="0"/>
              </w:rPr>
              <w:t xml:space="preserve">Hierárquico</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110">
            <w:pPr>
              <w:spacing w:before="240" w:line="360" w:lineRule="auto"/>
              <w:rPr/>
            </w:pPr>
            <w:r w:rsidDel="00000000" w:rsidR="00000000" w:rsidRPr="00000000">
              <w:rPr>
                <w:rtl w:val="0"/>
              </w:rPr>
              <w:t xml:space="preserve">29,702</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111">
            <w:pPr>
              <w:spacing w:before="240" w:line="360" w:lineRule="auto"/>
              <w:rPr/>
            </w:pPr>
            <w:r w:rsidDel="00000000" w:rsidR="00000000" w:rsidRPr="00000000">
              <w:rPr>
                <w:rtl w:val="0"/>
              </w:rPr>
              <w:t xml:space="preserve">62</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112">
            <w:pPr>
              <w:spacing w:before="240" w:line="360" w:lineRule="auto"/>
              <w:rPr/>
            </w:pPr>
            <w:r w:rsidDel="00000000" w:rsidR="00000000" w:rsidRPr="00000000">
              <w:rPr>
                <w:rtl w:val="0"/>
              </w:rPr>
              <w:t xml:space="preserve">0,47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3">
            <w:pPr>
              <w:spacing w:before="240" w:line="360" w:lineRule="auto"/>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114">
            <w:pPr>
              <w:spacing w:before="240" w:line="360" w:lineRule="auto"/>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115">
            <w:pPr>
              <w:spacing w:before="240" w:line="360" w:lineRule="auto"/>
              <w:rPr/>
            </w:pPr>
            <w:r w:rsidDel="00000000" w:rsidR="00000000" w:rsidRPr="00000000">
              <w:rPr>
                <w:rtl w:val="0"/>
              </w:rPr>
              <w:t xml:space="preserve">1,02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6">
            <w:pPr>
              <w:spacing w:before="240" w:line="360" w:lineRule="auto"/>
              <w:rPr/>
            </w:pPr>
            <w:r w:rsidDel="00000000" w:rsidR="00000000" w:rsidRPr="00000000">
              <w:rPr>
                <w:rtl w:val="0"/>
              </w:rPr>
              <w:t xml:space="preserve">0,99</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117">
            <w:pPr>
              <w:spacing w:before="240" w:line="360" w:lineRule="auto"/>
              <w:rPr/>
            </w:pPr>
            <w:r w:rsidDel="00000000" w:rsidR="00000000" w:rsidRPr="00000000">
              <w:rPr>
                <w:rtl w:val="0"/>
              </w:rPr>
              <w:t xml:space="preserve">0,03</w:t>
            </w:r>
          </w:p>
          <w:p w:rsidR="00000000" w:rsidDel="00000000" w:rsidP="00000000" w:rsidRDefault="00000000" w:rsidRPr="00000000" w14:paraId="00000118">
            <w:pPr>
              <w:spacing w:before="240" w:line="360" w:lineRule="auto"/>
              <w:rPr/>
            </w:pPr>
            <w:r w:rsidDel="00000000" w:rsidR="00000000" w:rsidRPr="00000000">
              <w:rPr>
                <w:rtl w:val="0"/>
              </w:rPr>
              <w:t xml:space="preserve">(0,01 – 0,05)</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119">
            <w:pPr>
              <w:spacing w:before="240" w:line="360" w:lineRule="auto"/>
              <w:rPr/>
            </w:pPr>
            <w:r w:rsidDel="00000000" w:rsidR="00000000" w:rsidRPr="00000000">
              <w:rPr>
                <w:rtl w:val="0"/>
              </w:rPr>
              <w:t xml:space="preserve">  0,04</w:t>
            </w:r>
          </w:p>
        </w:tc>
        <w:tc>
          <w:tcPr>
            <w:tcBorders>
              <w:top w:color="000000" w:space="0" w:sz="0" w:val="nil"/>
              <w:left w:color="000000" w:space="0" w:sz="0" w:val="nil"/>
              <w:bottom w:color="000000" w:space="0" w:sz="0" w:val="nil"/>
            </w:tcBorders>
            <w:tcMar>
              <w:top w:w="100.0" w:type="dxa"/>
              <w:left w:w="100.0" w:type="dxa"/>
              <w:bottom w:w="100.0" w:type="dxa"/>
              <w:right w:w="100.0" w:type="dxa"/>
            </w:tcMar>
          </w:tcPr>
          <w:p w:rsidR="00000000" w:rsidDel="00000000" w:rsidP="00000000" w:rsidRDefault="00000000" w:rsidRPr="00000000" w14:paraId="0000011A">
            <w:pPr>
              <w:spacing w:before="240" w:line="360" w:lineRule="auto"/>
              <w:rPr/>
            </w:pPr>
            <w:r w:rsidDel="00000000" w:rsidR="00000000" w:rsidRPr="00000000">
              <w:rPr>
                <w:rtl w:val="0"/>
              </w:rPr>
              <w:t xml:space="preserve">0,35</w:t>
            </w:r>
          </w:p>
        </w:tc>
      </w:tr>
      <w:tr>
        <w:trPr>
          <w:cantSplit w:val="0"/>
          <w:trHeight w:val="27" w:hRule="atLeast"/>
          <w:tblHeader w:val="0"/>
        </w:trPr>
        <w:tc>
          <w:tcPr>
            <w:tcBorders>
              <w:top w:color="000000" w:space="0" w:sz="0" w:val="nil"/>
              <w:bottom w:color="000000" w:space="0" w:sz="12" w:val="single"/>
              <w:right w:color="000000" w:space="0" w:sz="0" w:val="nil"/>
            </w:tcBorders>
            <w:tcMar>
              <w:top w:w="80.0" w:type="dxa"/>
              <w:left w:w="80.0" w:type="dxa"/>
              <w:bottom w:w="80.0" w:type="dxa"/>
              <w:right w:w="80.0" w:type="dxa"/>
            </w:tcMar>
          </w:tcPr>
          <w:p w:rsidR="00000000" w:rsidDel="00000000" w:rsidP="00000000" w:rsidRDefault="00000000" w:rsidRPr="00000000" w14:paraId="0000011B">
            <w:pPr>
              <w:spacing w:before="240" w:line="360" w:lineRule="auto"/>
              <w:rPr/>
            </w:pPr>
            <w:r w:rsidDel="00000000" w:rsidR="00000000" w:rsidRPr="00000000">
              <w:rPr>
                <w:rtl w:val="0"/>
              </w:rPr>
              <w:t xml:space="preserve">Bi-factor </w:t>
            </w:r>
          </w:p>
        </w:tc>
        <w:tc>
          <w:tcPr>
            <w:tcBorders>
              <w:top w:color="000000" w:space="0" w:sz="0" w:val="nil"/>
              <w:left w:color="000000" w:space="0" w:sz="0" w:val="nil"/>
              <w:bottom w:color="000000" w:space="0" w:sz="12" w:val="single"/>
              <w:right w:color="000000" w:space="0" w:sz="0" w:val="nil"/>
            </w:tcBorders>
            <w:tcMar>
              <w:top w:w="80.0" w:type="dxa"/>
              <w:left w:w="80.0" w:type="dxa"/>
              <w:bottom w:w="80.0" w:type="dxa"/>
              <w:right w:w="80.0" w:type="dxa"/>
            </w:tcMar>
          </w:tcPr>
          <w:p w:rsidR="00000000" w:rsidDel="00000000" w:rsidP="00000000" w:rsidRDefault="00000000" w:rsidRPr="00000000" w14:paraId="0000011C">
            <w:pPr>
              <w:spacing w:before="240" w:line="360" w:lineRule="auto"/>
              <w:rPr/>
            </w:pPr>
            <w:r w:rsidDel="00000000" w:rsidR="00000000" w:rsidRPr="00000000">
              <w:rPr>
                <w:rtl w:val="0"/>
              </w:rPr>
              <w:t xml:space="preserve">13,630</w:t>
            </w:r>
          </w:p>
        </w:tc>
        <w:tc>
          <w:tcPr>
            <w:tcBorders>
              <w:top w:color="000000" w:space="0" w:sz="0" w:val="nil"/>
              <w:left w:color="000000" w:space="0" w:sz="0" w:val="nil"/>
              <w:bottom w:color="000000" w:space="0" w:sz="12" w:val="single"/>
              <w:right w:color="000000" w:space="0" w:sz="0" w:val="nil"/>
            </w:tcBorders>
            <w:tcMar>
              <w:top w:w="80.0" w:type="dxa"/>
              <w:left w:w="80.0" w:type="dxa"/>
              <w:bottom w:w="80.0" w:type="dxa"/>
              <w:right w:w="80.0" w:type="dxa"/>
            </w:tcMar>
          </w:tcPr>
          <w:p w:rsidR="00000000" w:rsidDel="00000000" w:rsidP="00000000" w:rsidRDefault="00000000" w:rsidRPr="00000000" w14:paraId="0000011D">
            <w:pPr>
              <w:spacing w:before="240" w:line="360" w:lineRule="auto"/>
              <w:rPr/>
            </w:pPr>
            <w:r w:rsidDel="00000000" w:rsidR="00000000" w:rsidRPr="00000000">
              <w:rPr>
                <w:rtl w:val="0"/>
              </w:rPr>
              <w:t xml:space="preserve">49</w:t>
            </w:r>
          </w:p>
        </w:tc>
        <w:tc>
          <w:tcPr>
            <w:tcBorders>
              <w:top w:color="000000" w:space="0" w:sz="0" w:val="nil"/>
              <w:left w:color="000000" w:space="0" w:sz="0" w:val="nil"/>
              <w:bottom w:color="000000" w:space="0" w:sz="12" w:val="single"/>
              <w:right w:color="000000" w:space="0" w:sz="0" w:val="nil"/>
            </w:tcBorders>
            <w:tcMar>
              <w:top w:w="80.0" w:type="dxa"/>
              <w:left w:w="80.0" w:type="dxa"/>
              <w:bottom w:w="80.0" w:type="dxa"/>
              <w:right w:w="80.0" w:type="dxa"/>
            </w:tcMar>
          </w:tcPr>
          <w:p w:rsidR="00000000" w:rsidDel="00000000" w:rsidP="00000000" w:rsidRDefault="00000000" w:rsidRPr="00000000" w14:paraId="0000011E">
            <w:pPr>
              <w:spacing w:before="240" w:line="360" w:lineRule="auto"/>
              <w:rPr/>
            </w:pPr>
            <w:r w:rsidDel="00000000" w:rsidR="00000000" w:rsidRPr="00000000">
              <w:rPr>
                <w:rtl w:val="0"/>
              </w:rPr>
              <w:t xml:space="preserve">0,27</w:t>
            </w:r>
          </w:p>
        </w:tc>
        <w:tc>
          <w:tcPr>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11F">
            <w:pPr>
              <w:spacing w:before="240" w:line="360" w:lineRule="auto"/>
              <w:rPr/>
            </w:pPr>
            <w:r w:rsidDel="00000000" w:rsidR="00000000" w:rsidRPr="00000000">
              <w:rPr>
                <w:rtl w:val="0"/>
              </w:rPr>
              <w:t xml:space="preserve">1,00</w:t>
            </w:r>
          </w:p>
        </w:tc>
        <w:tc>
          <w:tcPr>
            <w:tcBorders>
              <w:top w:color="000000" w:space="0" w:sz="0" w:val="nil"/>
              <w:left w:color="000000" w:space="0" w:sz="0" w:val="nil"/>
              <w:bottom w:color="000000" w:space="0" w:sz="12" w:val="single"/>
              <w:right w:color="000000" w:space="0" w:sz="0" w:val="nil"/>
            </w:tcBorders>
            <w:tcMar>
              <w:top w:w="80.0" w:type="dxa"/>
              <w:left w:w="80.0" w:type="dxa"/>
              <w:bottom w:w="80.0" w:type="dxa"/>
              <w:right w:w="80.0" w:type="dxa"/>
            </w:tcMar>
          </w:tcPr>
          <w:p w:rsidR="00000000" w:rsidDel="00000000" w:rsidP="00000000" w:rsidRDefault="00000000" w:rsidRPr="00000000" w14:paraId="00000120">
            <w:pPr>
              <w:spacing w:before="240" w:line="360" w:lineRule="auto"/>
              <w:rPr/>
            </w:pPr>
            <w:r w:rsidDel="00000000" w:rsidR="00000000" w:rsidRPr="00000000">
              <w:rPr>
                <w:rtl w:val="0"/>
              </w:rPr>
              <w:t xml:space="preserve">1,00</w:t>
            </w:r>
          </w:p>
        </w:tc>
        <w:tc>
          <w:tcPr>
            <w:tcBorders>
              <w:top w:color="000000" w:space="0" w:sz="0" w:val="nil"/>
              <w:left w:color="000000" w:space="0" w:sz="0" w:val="nil"/>
              <w:bottom w:color="000000" w:space="0" w:sz="12" w:val="single"/>
              <w:right w:color="000000" w:space="0" w:sz="0" w:val="nil"/>
            </w:tcBorders>
            <w:tcMar>
              <w:top w:w="80.0" w:type="dxa"/>
              <w:left w:w="80.0" w:type="dxa"/>
              <w:bottom w:w="80.0" w:type="dxa"/>
              <w:right w:w="80.0" w:type="dxa"/>
            </w:tcMar>
          </w:tcPr>
          <w:p w:rsidR="00000000" w:rsidDel="00000000" w:rsidP="00000000" w:rsidRDefault="00000000" w:rsidRPr="00000000" w14:paraId="00000121">
            <w:pPr>
              <w:spacing w:before="240" w:line="360" w:lineRule="auto"/>
              <w:rPr/>
            </w:pPr>
            <w:r w:rsidDel="00000000" w:rsidR="00000000" w:rsidRPr="00000000">
              <w:rPr>
                <w:rtl w:val="0"/>
              </w:rPr>
              <w:t xml:space="preserve">1,03</w:t>
            </w:r>
          </w:p>
        </w:tc>
        <w:tc>
          <w:tcPr>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122">
            <w:pPr>
              <w:spacing w:before="240" w:line="360" w:lineRule="auto"/>
              <w:rPr/>
            </w:pPr>
            <w:r w:rsidDel="00000000" w:rsidR="00000000" w:rsidRPr="00000000">
              <w:rPr>
                <w:rtl w:val="0"/>
              </w:rPr>
              <w:t xml:space="preserve">0,99</w:t>
            </w:r>
          </w:p>
        </w:tc>
        <w:tc>
          <w:tcPr>
            <w:tcBorders>
              <w:top w:color="000000" w:space="0" w:sz="0" w:val="nil"/>
              <w:left w:color="000000" w:space="0" w:sz="0" w:val="nil"/>
              <w:bottom w:color="000000" w:space="0" w:sz="12" w:val="single"/>
              <w:right w:color="000000" w:space="0" w:sz="0" w:val="nil"/>
            </w:tcBorders>
            <w:tcMar>
              <w:top w:w="80.0" w:type="dxa"/>
              <w:left w:w="80.0" w:type="dxa"/>
              <w:bottom w:w="80.0" w:type="dxa"/>
              <w:right w:w="80.0" w:type="dxa"/>
            </w:tcMar>
          </w:tcPr>
          <w:p w:rsidR="00000000" w:rsidDel="00000000" w:rsidP="00000000" w:rsidRDefault="00000000" w:rsidRPr="00000000" w14:paraId="00000123">
            <w:pPr>
              <w:spacing w:before="240" w:line="360" w:lineRule="auto"/>
              <w:rPr/>
            </w:pPr>
            <w:r w:rsidDel="00000000" w:rsidR="00000000" w:rsidRPr="00000000">
              <w:rPr>
                <w:rtl w:val="0"/>
              </w:rPr>
              <w:t xml:space="preserve">0,03</w:t>
            </w:r>
          </w:p>
          <w:p w:rsidR="00000000" w:rsidDel="00000000" w:rsidP="00000000" w:rsidRDefault="00000000" w:rsidRPr="00000000" w14:paraId="00000124">
            <w:pPr>
              <w:spacing w:before="240" w:line="360" w:lineRule="auto"/>
              <w:rPr/>
            </w:pPr>
            <w:r w:rsidDel="00000000" w:rsidR="00000000" w:rsidRPr="00000000">
              <w:rPr>
                <w:rtl w:val="0"/>
              </w:rPr>
              <w:t xml:space="preserve">(0,01-0,05)</w:t>
            </w:r>
          </w:p>
        </w:tc>
        <w:tc>
          <w:tcPr>
            <w:tcBorders>
              <w:top w:color="000000" w:space="0" w:sz="0" w:val="nil"/>
              <w:left w:color="000000" w:space="0" w:sz="0" w:val="nil"/>
              <w:bottom w:color="000000" w:space="0" w:sz="12" w:val="single"/>
              <w:right w:color="000000" w:space="0" w:sz="0" w:val="nil"/>
            </w:tcBorders>
            <w:tcMar>
              <w:top w:w="80.0" w:type="dxa"/>
              <w:left w:w="80.0" w:type="dxa"/>
              <w:bottom w:w="80.0" w:type="dxa"/>
              <w:right w:w="80.0" w:type="dxa"/>
            </w:tcMar>
          </w:tcPr>
          <w:p w:rsidR="00000000" w:rsidDel="00000000" w:rsidP="00000000" w:rsidRDefault="00000000" w:rsidRPr="00000000" w14:paraId="00000125">
            <w:pPr>
              <w:spacing w:before="240" w:line="360" w:lineRule="auto"/>
              <w:rPr/>
            </w:pPr>
            <w:r w:rsidDel="00000000" w:rsidR="00000000" w:rsidRPr="00000000">
              <w:rPr>
                <w:rtl w:val="0"/>
              </w:rPr>
              <w:t xml:space="preserve">  0,03</w:t>
            </w:r>
          </w:p>
        </w:tc>
        <w:tc>
          <w:tcPr>
            <w:tcBorders>
              <w:top w:color="000000" w:space="0" w:sz="0" w:val="nil"/>
              <w:left w:color="000000" w:space="0" w:sz="0" w:val="nil"/>
              <w:bottom w:color="000000" w:space="0" w:sz="12" w:val="single"/>
            </w:tcBorders>
            <w:tcMar>
              <w:top w:w="100.0" w:type="dxa"/>
              <w:left w:w="100.0" w:type="dxa"/>
              <w:bottom w:w="100.0" w:type="dxa"/>
              <w:right w:w="100.0" w:type="dxa"/>
            </w:tcMar>
          </w:tcPr>
          <w:p w:rsidR="00000000" w:rsidDel="00000000" w:rsidP="00000000" w:rsidRDefault="00000000" w:rsidRPr="00000000" w14:paraId="00000126">
            <w:pPr>
              <w:spacing w:before="240" w:line="360" w:lineRule="auto"/>
              <w:rPr/>
            </w:pPr>
            <w:r w:rsidDel="00000000" w:rsidR="00000000" w:rsidRPr="00000000">
              <w:rPr>
                <w:rtl w:val="0"/>
              </w:rPr>
              <w:t xml:space="preserve">0,34</w:t>
            </w:r>
          </w:p>
        </w:tc>
      </w:tr>
    </w:tbl>
    <w:p w:rsidR="00000000" w:rsidDel="00000000" w:rsidP="00000000" w:rsidRDefault="00000000" w:rsidRPr="00000000" w14:paraId="00000127">
      <w:pPr>
        <w:spacing w:after="240" w:before="240" w:line="360" w:lineRule="auto"/>
        <w:rPr/>
      </w:pPr>
      <w:r w:rsidDel="00000000" w:rsidR="00000000" w:rsidRPr="00000000">
        <w:rPr>
          <w:rtl w:val="0"/>
        </w:rPr>
        <w:t xml:space="preserve">Nota: Uni= Unidimensiona; Tri= Tridimensional; Bi-factor S-1.</w:t>
      </w:r>
    </w:p>
    <w:p w:rsidR="00000000" w:rsidDel="00000000" w:rsidP="00000000" w:rsidRDefault="00000000" w:rsidRPr="00000000" w14:paraId="00000128">
      <w:pPr>
        <w:spacing w:line="360" w:lineRule="auto"/>
        <w:rPr/>
      </w:pPr>
      <w:r w:rsidDel="00000000" w:rsidR="00000000" w:rsidRPr="00000000">
        <w:rPr>
          <w:rtl w:val="0"/>
        </w:rPr>
        <w:tab/>
        <w:t xml:space="preserve">Quanto às cargas fatoriais, (</w:t>
      </w:r>
      <w:r w:rsidDel="00000000" w:rsidR="00000000" w:rsidRPr="00000000">
        <w:rPr>
          <w:i w:val="1"/>
          <w:rtl w:val="0"/>
        </w:rPr>
        <w:t xml:space="preserve">lambdas</w:t>
      </w:r>
      <w:r w:rsidDel="00000000" w:rsidR="00000000" w:rsidRPr="00000000">
        <w:rPr>
          <w:rtl w:val="0"/>
        </w:rPr>
        <w:t xml:space="preserve"> [</w:t>
      </w:r>
      <w:r w:rsidDel="00000000" w:rsidR="00000000" w:rsidRPr="00000000">
        <w:rPr>
          <w:i w:val="1"/>
          <w:rtl w:val="0"/>
        </w:rPr>
        <w:t xml:space="preserve">λ</w:t>
      </w:r>
      <w:r w:rsidDel="00000000" w:rsidR="00000000" w:rsidRPr="00000000">
        <w:rPr>
          <w:rtl w:val="0"/>
        </w:rPr>
        <w:t xml:space="preserve">]), do modelo bi-factor S-1, esse modelo mostrou que as cargas não foram estatisticamente diferentes de zero (p &lt;0,001), o que demonstra que as variáveis observáveis não estão contribuindo de forma significativa na formação do traço latente específicos. Apresentaram cargas variando de 0,13 (item 2) a 0,43 (item 12) em suas respectivas dimensões específicas, afetivo e somático. Segundo Boateng </w:t>
      </w:r>
      <w:r w:rsidDel="00000000" w:rsidR="00000000" w:rsidRPr="00000000">
        <w:rPr>
          <w:i w:val="1"/>
          <w:rtl w:val="0"/>
        </w:rPr>
        <w:t xml:space="preserve">et al.</w:t>
      </w:r>
      <w:r w:rsidDel="00000000" w:rsidR="00000000" w:rsidRPr="00000000">
        <w:rPr>
          <w:rtl w:val="0"/>
        </w:rPr>
        <w:t xml:space="preserve"> (2018) para ser um modelo bi-factor todas as cargas da dimensão geral têm que ser maiores que as cargas das dimensões específicas. Logo, o pressuposto para ser bi-factor S-1 foi satisfatório. Quando examinamos as cargas do modelo unidimensional e tridimensional que são os modelos alinhados, verificamos que todas as cargas fatoriais foram significativas, logo, percebemos que a variação das cargas fatoriais do modelo bi-factor S-1 sofre modificação pela quantidade de variância explicada nos dois construtos, tanto nas dimensões específicas quanto na dimensão geral. Na </w:t>
      </w:r>
      <w:r w:rsidDel="00000000" w:rsidR="00000000" w:rsidRPr="00000000">
        <w:rPr>
          <w:b w:val="1"/>
          <w:rtl w:val="0"/>
        </w:rPr>
        <w:t xml:space="preserve">Figura 2</w:t>
      </w:r>
      <w:r w:rsidDel="00000000" w:rsidR="00000000" w:rsidRPr="00000000">
        <w:rPr>
          <w:rtl w:val="0"/>
        </w:rPr>
        <w:t xml:space="preserve">, é possível perceber que todos os itens da dimensão geral possuem </w:t>
      </w:r>
      <w:r w:rsidDel="00000000" w:rsidR="00000000" w:rsidRPr="00000000">
        <w:rPr>
          <w:i w:val="1"/>
          <w:highlight w:val="white"/>
          <w:rtl w:val="0"/>
        </w:rPr>
        <w:t xml:space="preserve">λ &gt;</w:t>
      </w:r>
      <w:r w:rsidDel="00000000" w:rsidR="00000000" w:rsidRPr="00000000">
        <w:rPr>
          <w:highlight w:val="white"/>
          <w:rtl w:val="0"/>
        </w:rPr>
        <w:t xml:space="preserve"> 0,40, tornando-os estatisticamente adequados para pertencerem à dimensão (Nunnally &amp; Bernstein, 1994)</w:t>
      </w:r>
      <w:r w:rsidDel="00000000" w:rsidR="00000000" w:rsidRPr="00000000">
        <w:rPr>
          <w:rtl w:val="0"/>
        </w:rPr>
        <w:t xml:space="preserve">.</w:t>
      </w:r>
    </w:p>
    <w:p w:rsidR="00000000" w:rsidDel="00000000" w:rsidP="00000000" w:rsidRDefault="00000000" w:rsidRPr="00000000" w14:paraId="00000129">
      <w:pPr>
        <w:spacing w:line="360" w:lineRule="auto"/>
        <w:ind w:firstLine="709"/>
        <w:rPr/>
      </w:pPr>
      <w:r w:rsidDel="00000000" w:rsidR="00000000" w:rsidRPr="00000000">
        <w:rPr>
          <w:rtl w:val="0"/>
        </w:rPr>
        <w:t xml:space="preserve">Quanto a análise de confiabilidade, a BDI-13 apresentou o ômega de McDonald (</w:t>
      </w:r>
      <w:r w:rsidDel="00000000" w:rsidR="00000000" w:rsidRPr="00000000">
        <w:rPr>
          <w:highlight w:val="white"/>
          <w:rtl w:val="0"/>
        </w:rPr>
        <w:t xml:space="preserve">ω = 0,89) e </w:t>
      </w:r>
      <w:r w:rsidDel="00000000" w:rsidR="00000000" w:rsidRPr="00000000">
        <w:rPr>
          <w:rtl w:val="0"/>
        </w:rPr>
        <w:t xml:space="preserve">o alfa de Cronbach (</w:t>
      </w:r>
      <w:r w:rsidDel="00000000" w:rsidR="00000000" w:rsidRPr="00000000">
        <w:rPr>
          <w:highlight w:val="white"/>
          <w:rtl w:val="0"/>
        </w:rPr>
        <w:t xml:space="preserve">α= 0,88)</w:t>
      </w:r>
      <w:r w:rsidDel="00000000" w:rsidR="00000000" w:rsidRPr="00000000">
        <w:rPr>
          <w:rtl w:val="0"/>
        </w:rPr>
        <w:t xml:space="preserve"> estatisticamente satisfatórios. As dimensões da BDI apresentaram consistência interna suficientes para dados acadêmicos, considerados razoáveis na Dimensão Somática (</w:t>
      </w:r>
      <w:r w:rsidDel="00000000" w:rsidR="00000000" w:rsidRPr="00000000">
        <w:rPr>
          <w:highlight w:val="white"/>
          <w:rtl w:val="0"/>
        </w:rPr>
        <w:t xml:space="preserve">ω = 0,66; α= 0,63) e o Dimensão Cognitiva (ω = 0,68; α = 0,66) e aceitável na Dimensão </w:t>
      </w:r>
      <w:r w:rsidDel="00000000" w:rsidR="00000000" w:rsidRPr="00000000">
        <w:rPr>
          <w:rtl w:val="0"/>
        </w:rPr>
        <w:t xml:space="preserve">Afetiva (</w:t>
      </w:r>
      <w:r w:rsidDel="00000000" w:rsidR="00000000" w:rsidRPr="00000000">
        <w:rPr>
          <w:highlight w:val="white"/>
          <w:rtl w:val="0"/>
        </w:rPr>
        <w:t xml:space="preserve">ω =0,86; α</w:t>
      </w:r>
      <w:r w:rsidDel="00000000" w:rsidR="00000000" w:rsidRPr="00000000">
        <w:rPr>
          <w:rtl w:val="0"/>
        </w:rPr>
        <w:t xml:space="preserve"> = 0,85), já que obtiveram coeficientes &gt; 0,60 (</w:t>
      </w:r>
      <w:r w:rsidDel="00000000" w:rsidR="00000000" w:rsidRPr="00000000">
        <w:rPr>
          <w:highlight w:val="white"/>
          <w:rtl w:val="0"/>
        </w:rPr>
        <w:t xml:space="preserve">Nunnally &amp; Bernstein, 1994).</w:t>
      </w:r>
      <w:r w:rsidDel="00000000" w:rsidR="00000000" w:rsidRPr="00000000">
        <w:rPr>
          <w:rtl w:val="0"/>
        </w:rPr>
      </w:r>
    </w:p>
    <w:p w:rsidR="00000000" w:rsidDel="00000000" w:rsidP="00000000" w:rsidRDefault="00000000" w:rsidRPr="00000000" w14:paraId="0000012A">
      <w:pPr>
        <w:spacing w:after="240" w:before="240" w:line="360" w:lineRule="auto"/>
        <w:rPr>
          <w:b w:val="1"/>
          <w:highlight w:val="white"/>
        </w:rPr>
      </w:pPr>
      <w:r w:rsidDel="00000000" w:rsidR="00000000" w:rsidRPr="00000000">
        <w:rPr>
          <w:rtl w:val="0"/>
        </w:rPr>
      </w:r>
    </w:p>
    <w:p w:rsidR="00000000" w:rsidDel="00000000" w:rsidP="00000000" w:rsidRDefault="00000000" w:rsidRPr="00000000" w14:paraId="0000012B">
      <w:pPr>
        <w:spacing w:after="240" w:before="240" w:line="360" w:lineRule="auto"/>
        <w:rPr>
          <w:b w:val="1"/>
          <w:highlight w:val="white"/>
        </w:rPr>
      </w:pPr>
      <w:r w:rsidDel="00000000" w:rsidR="00000000" w:rsidRPr="00000000">
        <w:rPr>
          <w:rtl w:val="0"/>
        </w:rPr>
      </w:r>
    </w:p>
    <w:p w:rsidR="00000000" w:rsidDel="00000000" w:rsidP="00000000" w:rsidRDefault="00000000" w:rsidRPr="00000000" w14:paraId="0000012C">
      <w:pPr>
        <w:spacing w:after="240" w:before="240" w:line="360" w:lineRule="auto"/>
        <w:rPr>
          <w:b w:val="1"/>
          <w:highlight w:val="white"/>
        </w:rPr>
      </w:pPr>
      <w:r w:rsidDel="00000000" w:rsidR="00000000" w:rsidRPr="00000000">
        <w:rPr>
          <w:rtl w:val="0"/>
        </w:rPr>
      </w:r>
    </w:p>
    <w:p w:rsidR="00000000" w:rsidDel="00000000" w:rsidP="00000000" w:rsidRDefault="00000000" w:rsidRPr="00000000" w14:paraId="0000012D">
      <w:pPr>
        <w:spacing w:after="240" w:before="240" w:line="360" w:lineRule="auto"/>
        <w:rPr>
          <w:b w:val="1"/>
          <w:highlight w:val="white"/>
        </w:rPr>
      </w:pPr>
      <w:r w:rsidDel="00000000" w:rsidR="00000000" w:rsidRPr="00000000">
        <w:rPr>
          <w:rtl w:val="0"/>
        </w:rPr>
      </w:r>
    </w:p>
    <w:p w:rsidR="00000000" w:rsidDel="00000000" w:rsidP="00000000" w:rsidRDefault="00000000" w:rsidRPr="00000000" w14:paraId="0000012E">
      <w:pPr>
        <w:spacing w:after="240" w:before="240" w:line="360" w:lineRule="auto"/>
        <w:rPr>
          <w:b w:val="1"/>
          <w:highlight w:val="white"/>
        </w:rPr>
      </w:pPr>
      <w:r w:rsidDel="00000000" w:rsidR="00000000" w:rsidRPr="00000000">
        <w:rPr>
          <w:rtl w:val="0"/>
        </w:rPr>
      </w:r>
    </w:p>
    <w:p w:rsidR="00000000" w:rsidDel="00000000" w:rsidP="00000000" w:rsidRDefault="00000000" w:rsidRPr="00000000" w14:paraId="0000012F">
      <w:pPr>
        <w:spacing w:after="240" w:before="240" w:line="360" w:lineRule="auto"/>
        <w:rPr>
          <w:b w:val="1"/>
          <w:highlight w:val="white"/>
        </w:rPr>
      </w:pPr>
      <w:r w:rsidDel="00000000" w:rsidR="00000000" w:rsidRPr="00000000">
        <w:rPr>
          <w:b w:val="1"/>
          <w:highlight w:val="white"/>
          <w:rtl w:val="0"/>
        </w:rPr>
        <w:t xml:space="preserve">Figura 2.</w:t>
      </w:r>
    </w:p>
    <w:p w:rsidR="00000000" w:rsidDel="00000000" w:rsidP="00000000" w:rsidRDefault="00000000" w:rsidRPr="00000000" w14:paraId="00000130">
      <w:pPr>
        <w:spacing w:after="240" w:before="240" w:line="360" w:lineRule="auto"/>
        <w:rPr>
          <w:i w:val="1"/>
          <w:highlight w:val="white"/>
        </w:rPr>
      </w:pPr>
      <w:r w:rsidDel="00000000" w:rsidR="00000000" w:rsidRPr="00000000">
        <w:rPr>
          <w:i w:val="1"/>
          <w:highlight w:val="white"/>
          <w:rtl w:val="0"/>
        </w:rPr>
        <w:t xml:space="preserve">Modelo Bi-factor S-1 do BDI- 13</w:t>
      </w:r>
    </w:p>
    <w:p w:rsidR="00000000" w:rsidDel="00000000" w:rsidP="00000000" w:rsidRDefault="00000000" w:rsidRPr="00000000" w14:paraId="00000131">
      <w:pPr>
        <w:spacing w:after="240" w:before="240" w:line="360" w:lineRule="auto"/>
        <w:rPr/>
      </w:pPr>
      <w:r w:rsidDel="00000000" w:rsidR="00000000" w:rsidRPr="00000000">
        <w:rPr>
          <w:rtl w:val="0"/>
        </w:rPr>
        <w:tab/>
      </w:r>
    </w:p>
    <w:p w:rsidR="00000000" w:rsidDel="00000000" w:rsidP="00000000" w:rsidRDefault="00000000" w:rsidRPr="00000000" w14:paraId="00000132">
      <w:pPr>
        <w:spacing w:line="360" w:lineRule="auto"/>
        <w:ind w:firstLine="720"/>
        <w:rPr/>
      </w:pPr>
      <w:r w:rsidDel="00000000" w:rsidR="00000000" w:rsidRPr="00000000">
        <w:rPr/>
        <w:drawing>
          <wp:inline distB="0" distT="0" distL="0" distR="0">
            <wp:extent cx="3889780" cy="3047957"/>
            <wp:effectExtent b="0" l="0" r="0" t="0"/>
            <wp:docPr id="8"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3889780" cy="3047957"/>
                    </a:xfrm>
                    <a:prstGeom prst="rect"/>
                    <a:ln/>
                  </pic:spPr>
                </pic:pic>
              </a:graphicData>
            </a:graphic>
          </wp:inline>
        </w:drawing>
      </w:r>
      <w:r w:rsidDel="00000000" w:rsidR="00000000" w:rsidRPr="00000000">
        <w:rPr>
          <w:rtl w:val="0"/>
        </w:rPr>
      </w:r>
    </w:p>
    <w:p w:rsidR="00000000" w:rsidDel="00000000" w:rsidP="00000000" w:rsidRDefault="00000000" w:rsidRPr="00000000" w14:paraId="00000133">
      <w:pPr>
        <w:spacing w:line="360" w:lineRule="auto"/>
        <w:ind w:firstLine="720"/>
        <w:rPr/>
      </w:pPr>
      <w:r w:rsidDel="00000000" w:rsidR="00000000" w:rsidRPr="00000000">
        <w:rPr>
          <w:rtl w:val="0"/>
        </w:rPr>
      </w:r>
    </w:p>
    <w:p w:rsidR="00000000" w:rsidDel="00000000" w:rsidP="00000000" w:rsidRDefault="00000000" w:rsidRPr="00000000" w14:paraId="00000134">
      <w:pPr>
        <w:spacing w:line="360" w:lineRule="auto"/>
        <w:ind w:firstLine="720"/>
        <w:rPr/>
      </w:pPr>
      <w:r w:rsidDel="00000000" w:rsidR="00000000" w:rsidRPr="00000000">
        <w:rPr>
          <w:rtl w:val="0"/>
        </w:rPr>
      </w:r>
    </w:p>
    <w:p w:rsidR="00000000" w:rsidDel="00000000" w:rsidP="00000000" w:rsidRDefault="00000000" w:rsidRPr="00000000" w14:paraId="00000135">
      <w:pPr>
        <w:spacing w:line="360" w:lineRule="auto"/>
        <w:ind w:firstLine="720"/>
        <w:jc w:val="center"/>
        <w:rPr>
          <w:b w:val="1"/>
          <w:highlight w:val="yellow"/>
        </w:rPr>
      </w:pPr>
      <w:bookmarkStart w:colFirst="0" w:colLast="0" w:name="_heading=h.1t3h5sf" w:id="7"/>
      <w:bookmarkEnd w:id="7"/>
      <w:r w:rsidDel="00000000" w:rsidR="00000000" w:rsidRPr="00000000">
        <w:rPr>
          <w:b w:val="1"/>
          <w:rtl w:val="0"/>
        </w:rPr>
        <w:t xml:space="preserve">Discussão</w:t>
      </w:r>
      <w:r w:rsidDel="00000000" w:rsidR="00000000" w:rsidRPr="00000000">
        <w:rPr>
          <w:rtl w:val="0"/>
        </w:rPr>
      </w:r>
    </w:p>
    <w:p w:rsidR="00000000" w:rsidDel="00000000" w:rsidP="00000000" w:rsidRDefault="00000000" w:rsidRPr="00000000" w14:paraId="00000136">
      <w:pPr>
        <w:spacing w:line="360" w:lineRule="auto"/>
        <w:rPr/>
      </w:pPr>
      <w:bookmarkStart w:colFirst="0" w:colLast="0" w:name="_heading=h.4d34og8" w:id="8"/>
      <w:bookmarkEnd w:id="8"/>
      <w:r w:rsidDel="00000000" w:rsidR="00000000" w:rsidRPr="00000000">
        <w:rPr>
          <w:rtl w:val="0"/>
        </w:rPr>
        <w:t xml:space="preserve"> </w:t>
      </w:r>
    </w:p>
    <w:p w:rsidR="00000000" w:rsidDel="00000000" w:rsidP="00000000" w:rsidRDefault="00000000" w:rsidRPr="00000000" w14:paraId="00000137">
      <w:pPr>
        <w:spacing w:line="360" w:lineRule="auto"/>
        <w:ind w:firstLine="709"/>
        <w:rPr/>
      </w:pPr>
      <w:r w:rsidDel="00000000" w:rsidR="00000000" w:rsidRPr="00000000">
        <w:rPr>
          <w:rtl w:val="0"/>
        </w:rPr>
        <w:t xml:space="preserve">Ao longo dos dois estudos, testamos a estrutura fatorial da IDB-13. O primeiro estudo consistiu na exploração da IDB-13, do qual verificamos uma estrutura unidimensional. No segundo estudo consistiu da verificação do modelo mais adequado para IDB-13, testando a estrutura tridimensional, hierárquica e bi-factor como modelo alternativo às testagens do estudo 1. Verificamos nesse estudo que o modelo mais adequado possui três dimensões correlacionadas e uma dimensão geral, ou seja, o modelo bi-factor. Os dois estudos apresentaram confiabilidade variando de razoável a aceitável tanto nos índices gerados pelo alfa de Cronbach como o do ômega de McDonalds </w:t>
      </w:r>
      <w:r w:rsidDel="00000000" w:rsidR="00000000" w:rsidRPr="00000000">
        <w:rPr>
          <w:highlight w:val="white"/>
          <w:rtl w:val="0"/>
        </w:rPr>
        <w:t xml:space="preserve">(Nunnally &amp; Bernstein, 1994).</w:t>
      </w:r>
      <w:r w:rsidDel="00000000" w:rsidR="00000000" w:rsidRPr="00000000">
        <w:rPr>
          <w:rtl w:val="0"/>
        </w:rPr>
      </w:r>
    </w:p>
    <w:p w:rsidR="00000000" w:rsidDel="00000000" w:rsidP="00000000" w:rsidRDefault="00000000" w:rsidRPr="00000000" w14:paraId="00000138">
      <w:pPr>
        <w:spacing w:line="360" w:lineRule="auto"/>
        <w:ind w:firstLine="709"/>
        <w:rPr/>
      </w:pPr>
      <w:r w:rsidDel="00000000" w:rsidR="00000000" w:rsidRPr="00000000">
        <w:rPr>
          <w:rtl w:val="0"/>
        </w:rPr>
        <w:t xml:space="preserve">No primeiro estudo, encontramos uma estrutura unidimensional que comportou todos os itens com cargas maiores que 0,40, indicando que eles contribuem com mais de 20% na variância do traço latente (Boateng </w:t>
      </w:r>
      <w:r w:rsidDel="00000000" w:rsidR="00000000" w:rsidRPr="00000000">
        <w:rPr>
          <w:i w:val="1"/>
          <w:rtl w:val="0"/>
        </w:rPr>
        <w:t xml:space="preserve">et al.</w:t>
      </w:r>
      <w:r w:rsidDel="00000000" w:rsidR="00000000" w:rsidRPr="00000000">
        <w:rPr>
          <w:rtl w:val="0"/>
        </w:rPr>
        <w:t xml:space="preserve">, 2018). Além de avaliarmos como os itens se comportam na formação do traço latente, também examinamos a contribuição de cada item ao traço latente. Com isso, verificamos que os itens da BDI-13 também apresentaram discriminação e dificuldades diferenciadas para cada participante, ou seja, conforme os </w:t>
      </w:r>
      <w:r w:rsidDel="00000000" w:rsidR="00000000" w:rsidRPr="00000000">
        <w:rPr>
          <w:i w:val="1"/>
          <w:rtl w:val="0"/>
        </w:rPr>
        <w:t xml:space="preserve">thetas</w:t>
      </w:r>
      <w:r w:rsidDel="00000000" w:rsidR="00000000" w:rsidRPr="00000000">
        <w:rPr>
          <w:rtl w:val="0"/>
        </w:rPr>
        <w:t xml:space="preserve"> dos participantes eles podem endossar qualquer categoria de respostas. Aqueles com intensos sintomas da depressão sempre pontuarão na alta categoria de resposta no número 3, indicando os sintomas mais severos. O item mais discriminativo foram “decepção” e “sentimentos de fracasso” coerentes com os estudos de Castro et al. (2010), demonstrando que esses itens possuem boa capacidade de diferenciação dos participantes. Por isso, na área da saúde mental, principalmente o termo mais adequado para se denominar quanto ao parâmetro da dificuldade é a “localização” </w:t>
      </w:r>
      <w:r w:rsidDel="00000000" w:rsidR="00000000" w:rsidRPr="00000000">
        <w:rPr>
          <w:highlight w:val="white"/>
          <w:rtl w:val="0"/>
        </w:rPr>
        <w:t xml:space="preserve">(Yang &amp; Kao, 2014)</w:t>
      </w:r>
      <w:r w:rsidDel="00000000" w:rsidR="00000000" w:rsidRPr="00000000">
        <w:rPr>
          <w:rtl w:val="0"/>
        </w:rPr>
        <w:t xml:space="preserve">. Pois, dependendo da localização do valor, esse participante poderá apresentar sintomas mais leves ou mais severos quanto a depressão. Não existem itens fáceis ou difíceis </w:t>
      </w:r>
      <w:r w:rsidDel="00000000" w:rsidR="00000000" w:rsidRPr="00000000">
        <w:rPr>
          <w:highlight w:val="white"/>
          <w:rtl w:val="0"/>
        </w:rPr>
        <w:t xml:space="preserve">(Yang &amp; Kao, 2014)</w:t>
      </w:r>
      <w:r w:rsidDel="00000000" w:rsidR="00000000" w:rsidRPr="00000000">
        <w:rPr>
          <w:rtl w:val="0"/>
        </w:rPr>
        <w:t xml:space="preserve">, existe a expressão de como o participante está sentindo naquela semana (Dadfar &amp; Kalibatseva, 2016). </w:t>
      </w:r>
    </w:p>
    <w:p w:rsidR="00000000" w:rsidDel="00000000" w:rsidP="00000000" w:rsidRDefault="00000000" w:rsidRPr="00000000" w14:paraId="00000139">
      <w:pPr>
        <w:spacing w:line="360" w:lineRule="auto"/>
        <w:ind w:firstLine="709"/>
        <w:rPr/>
      </w:pPr>
      <w:r w:rsidDel="00000000" w:rsidR="00000000" w:rsidRPr="00000000">
        <w:rPr>
          <w:rtl w:val="0"/>
        </w:rPr>
        <w:t xml:space="preserve">Os índices de adequação do BDI-13 indicaram que o modelo proposto por Dadfar e Kalibatseva (2016) - tridimensional- também é um modelo adequado na composição da estrutura fatorial. Não só modelo tridimensional, mas também o modelo unidimensional consegue abarcar a dimensão da depressão. Além disso, as cargas fatoriais da dimensão geral foram todas acima de 0,40, o que indicam que eles contribuem com mais de 20% na formação do traço latente. Suas correlações fortes indicam que poderia ter um modelo geral que comportasse os três fatores (modelo hierárquico). No entanto, com a testagem de modelo, observou que o modelo tridimensional e modelo hierárquico não se diferem estatisticamente, logo, esse modelo hierárquico não é um modelo mais adequado. Pois, se fosse possível, os sintomas de depressão só seriam visíveis se as pessoas sofressem com os três tipos em conjunto, para então serem diagnosticados como depressivos. Porém, para a </w:t>
      </w:r>
      <w:r w:rsidDel="00000000" w:rsidR="00000000" w:rsidRPr="00000000">
        <w:rPr>
          <w:highlight w:val="white"/>
          <w:rtl w:val="0"/>
        </w:rPr>
        <w:t xml:space="preserve">DSM-V (2014) e ICD-11 (2018), para uma pessoa ser diagnosticada com o sintoma da depressão, ela pode apresentar alguns sintomas, que podem variar em termos das alterações somáticas, cognitivas e afetivas, e não necessariamente precisa que se apresente todos os sintomas em conjunto.</w:t>
      </w:r>
      <w:r w:rsidDel="00000000" w:rsidR="00000000" w:rsidRPr="00000000">
        <w:rPr>
          <w:rtl w:val="0"/>
        </w:rPr>
        <w:t xml:space="preserve"> </w:t>
      </w:r>
    </w:p>
    <w:p w:rsidR="00000000" w:rsidDel="00000000" w:rsidP="00000000" w:rsidRDefault="00000000" w:rsidRPr="00000000" w14:paraId="0000013A">
      <w:pPr>
        <w:spacing w:line="360" w:lineRule="auto"/>
        <w:ind w:firstLine="709"/>
        <w:rPr/>
      </w:pPr>
      <w:r w:rsidDel="00000000" w:rsidR="00000000" w:rsidRPr="00000000">
        <w:rPr>
          <w:rtl w:val="0"/>
        </w:rPr>
        <w:t xml:space="preserve">Uma das contribuições do nosso processo de validação fatorial concentra-se na realização da Teoria de Resposta ao Item (TRI). A TRI descreve a relação que a Teoria Clássica dos Testes (TCT), não conseguiu avaliar ser a relação do traço latente com as propriedades dos itens de forma individual </w:t>
      </w:r>
      <w:r w:rsidDel="00000000" w:rsidR="00000000" w:rsidRPr="00000000">
        <w:rPr>
          <w:highlight w:val="white"/>
          <w:rtl w:val="0"/>
        </w:rPr>
        <w:t xml:space="preserve">(Yang &amp; Kao, 2014; Boateng </w:t>
      </w:r>
      <w:r w:rsidDel="00000000" w:rsidR="00000000" w:rsidRPr="00000000">
        <w:rPr>
          <w:i w:val="1"/>
          <w:highlight w:val="white"/>
          <w:rtl w:val="0"/>
        </w:rPr>
        <w:t xml:space="preserve">et al.</w:t>
      </w:r>
      <w:r w:rsidDel="00000000" w:rsidR="00000000" w:rsidRPr="00000000">
        <w:rPr>
          <w:highlight w:val="white"/>
          <w:rtl w:val="0"/>
        </w:rPr>
        <w:t xml:space="preserve">, 2018).</w:t>
      </w:r>
      <w:r w:rsidDel="00000000" w:rsidR="00000000" w:rsidRPr="00000000">
        <w:rPr>
          <w:rtl w:val="0"/>
        </w:rPr>
        <w:t xml:space="preserve"> Catro</w:t>
      </w:r>
      <w:r w:rsidDel="00000000" w:rsidR="00000000" w:rsidRPr="00000000">
        <w:rPr>
          <w:i w:val="1"/>
          <w:rtl w:val="0"/>
        </w:rPr>
        <w:t xml:space="preserve"> et al.</w:t>
      </w:r>
      <w:r w:rsidDel="00000000" w:rsidR="00000000" w:rsidRPr="00000000">
        <w:rPr>
          <w:rtl w:val="0"/>
        </w:rPr>
        <w:t xml:space="preserve"> (2010) retrata que a TRI possibilita verificar a relação do nível de intensidade de sintomas depressivos relacionados com a probabilidade de respostas a cada item do BDI-13. Logo, os participantes serão diferenciados conforme suas categorias de respostas. </w:t>
      </w:r>
    </w:p>
    <w:p w:rsidR="00000000" w:rsidDel="00000000" w:rsidP="00000000" w:rsidRDefault="00000000" w:rsidRPr="00000000" w14:paraId="0000013B">
      <w:pPr>
        <w:spacing w:line="360" w:lineRule="auto"/>
        <w:ind w:firstLine="709"/>
        <w:rPr/>
      </w:pPr>
      <w:r w:rsidDel="00000000" w:rsidR="00000000" w:rsidRPr="00000000">
        <w:rPr>
          <w:rtl w:val="0"/>
        </w:rPr>
        <w:t xml:space="preserve">Também contribuímos testando modelos alternativos na composição do BDI-13, já que estudos anteriores não testaram a melhor estrutura dos sintomas da depressão (Dadfar &amp; Kalibatseva, 2016), assim como também não aparece a análise estrutural do inventário (</w:t>
      </w:r>
      <w:r w:rsidDel="00000000" w:rsidR="00000000" w:rsidRPr="00000000">
        <w:rPr>
          <w:highlight w:val="white"/>
          <w:rtl w:val="0"/>
        </w:rPr>
        <w:t xml:space="preserve">Beck </w:t>
      </w:r>
      <w:r w:rsidDel="00000000" w:rsidR="00000000" w:rsidRPr="00000000">
        <w:rPr>
          <w:i w:val="1"/>
          <w:highlight w:val="white"/>
          <w:rtl w:val="0"/>
        </w:rPr>
        <w:t xml:space="preserve">et al.,</w:t>
      </w:r>
      <w:r w:rsidDel="00000000" w:rsidR="00000000" w:rsidRPr="00000000">
        <w:rPr>
          <w:highlight w:val="white"/>
          <w:rtl w:val="0"/>
        </w:rPr>
        <w:t xml:space="preserve"> 1961)</w:t>
      </w:r>
      <w:r w:rsidDel="00000000" w:rsidR="00000000" w:rsidRPr="00000000">
        <w:rPr>
          <w:rtl w:val="0"/>
        </w:rPr>
        <w:t xml:space="preserve">. Essa estrutura baseada no modelo bi-factor S-1 pode ajudar profissionais a entender que a depressão é formada por três dimensões diferenciados e uma dimensão geral que abarca todas as variáveis observadas (sintomas manifestados) e não necessariamente precisam que eles aparecem de forma conjunta, mas eles podem ser manifestos de forma diferente. É claro, que a depressão não será diagnosticada apenas com o BDI-13, mas esse apresenta um suporte prático e empírico para se fazer um processo de anamnese por completo, analisando os aspectos do histórico familiar e social, sintomas relacionados a outros transtornos mentais. </w:t>
      </w:r>
    </w:p>
    <w:p w:rsidR="00000000" w:rsidDel="00000000" w:rsidP="00000000" w:rsidRDefault="00000000" w:rsidRPr="00000000" w14:paraId="0000013C">
      <w:pPr>
        <w:spacing w:line="360" w:lineRule="auto"/>
        <w:ind w:firstLine="709"/>
        <w:rPr/>
      </w:pPr>
      <w:r w:rsidDel="00000000" w:rsidR="00000000" w:rsidRPr="00000000">
        <w:rPr>
          <w:rtl w:val="0"/>
        </w:rPr>
        <w:t xml:space="preserve">Apesar de o nosso estudo ter apresentando validade fatorial, ele não está isento de limitações. A primeira delas é que o uso de uma amostra quase exclusivamente composta por indivíduos com ensino superior incompleto, em oposição a uma amostra clínica. Alguns exemplos de estudos com participantes provenientes de amostras clínicas são os de Gorenstein e Andrade (1998) e </w:t>
      </w:r>
      <w:r w:rsidDel="00000000" w:rsidR="00000000" w:rsidRPr="00000000">
        <w:rPr>
          <w:highlight w:val="white"/>
          <w:rtl w:val="0"/>
        </w:rPr>
        <w:t xml:space="preserve">Castro, </w:t>
      </w:r>
      <w:r w:rsidDel="00000000" w:rsidR="00000000" w:rsidRPr="00000000">
        <w:rPr>
          <w:i w:val="1"/>
          <w:highlight w:val="white"/>
          <w:rtl w:val="0"/>
        </w:rPr>
        <w:t xml:space="preserve">et al.</w:t>
      </w:r>
      <w:r w:rsidDel="00000000" w:rsidR="00000000" w:rsidRPr="00000000">
        <w:rPr>
          <w:highlight w:val="white"/>
          <w:rtl w:val="0"/>
        </w:rPr>
        <w:t xml:space="preserve"> (20</w:t>
      </w:r>
      <w:r w:rsidDel="00000000" w:rsidR="00000000" w:rsidRPr="00000000">
        <w:rPr>
          <w:rtl w:val="0"/>
        </w:rPr>
        <w:t xml:space="preserve">10) (utilização do BDI de 21 itens com sujeitos enfrentando sintomatologia depressiva), assim como nos estudos de Dadfar e Kalibatseva (2016) que avaliou a estrutura da versão curta em amostras clínicas iranianas. Um estudo futuro poderia analisar se a estrutura fatorial presente nos estudantes universitários também permanece a mesma estrutura fatorial em amostras clínicas. </w:t>
      </w:r>
    </w:p>
    <w:p w:rsidR="00000000" w:rsidDel="00000000" w:rsidP="00000000" w:rsidRDefault="00000000" w:rsidRPr="00000000" w14:paraId="0000013D">
      <w:pPr>
        <w:spacing w:line="360" w:lineRule="auto"/>
        <w:ind w:firstLine="709"/>
        <w:rPr/>
      </w:pPr>
      <w:r w:rsidDel="00000000" w:rsidR="00000000" w:rsidRPr="00000000">
        <w:rPr>
          <w:rtl w:val="0"/>
        </w:rPr>
        <w:t xml:space="preserve">A nossa segunda limitação é que nossa amostra contou com a maioria ser do sexo feminino, o que impossibilitou a testagem da invariância fatorial, que buscaria avaliar se a estrutura se mantém para ambos os sexos. Estudos futuros podem balancear a amostra para que fiquem de maneira equiparadas entre os sexos. Outra possibilidade futura é a comparação entre amostras clínicas e não clínicas, considerando tratamentos farmacológicos e psicoterapêuticos, verificando se ao longo de seis meses houve modificação em termos do endossamento dos sintomas nos participantes que recebem tratamento apenas farmacológicos e participantes que recebem psicofármacos e psicoterapia. </w:t>
      </w:r>
    </w:p>
    <w:p w:rsidR="00000000" w:rsidDel="00000000" w:rsidP="00000000" w:rsidRDefault="00000000" w:rsidRPr="00000000" w14:paraId="0000013E">
      <w:pPr>
        <w:spacing w:line="360" w:lineRule="auto"/>
        <w:ind w:firstLine="709"/>
        <w:rPr/>
      </w:pPr>
      <w:r w:rsidDel="00000000" w:rsidR="00000000" w:rsidRPr="00000000">
        <w:rPr>
          <w:rtl w:val="0"/>
        </w:rPr>
        <w:t xml:space="preserve">Por fim, o uso de um estudo online pode ser considerado uma limitação, já que o controle de variáveis intervenientes na participação é reduzido. Por outro lado, o uso da internet como universo de coleta de dados aumenta a probabilidade de acessar amostras mais representativas da população, já que o pesquisador não é restringido por sua localização geográfica.</w:t>
      </w:r>
    </w:p>
    <w:p w:rsidR="00000000" w:rsidDel="00000000" w:rsidP="00000000" w:rsidRDefault="00000000" w:rsidRPr="00000000" w14:paraId="0000013F">
      <w:pPr>
        <w:spacing w:line="360" w:lineRule="auto"/>
        <w:ind w:firstLine="709"/>
        <w:rPr/>
      </w:pPr>
      <w:r w:rsidDel="00000000" w:rsidR="00000000" w:rsidRPr="00000000">
        <w:rPr>
          <w:rtl w:val="0"/>
        </w:rPr>
        <w:t xml:space="preserve">Portanto, o estudo cumpriu com os objetivos, assim como confirmou as hipóteses testadas nos dois estudos. Apresentamos uma versão mais curta que possui a mesma capacidade que a versão longa em captar sintomas depressivos em pessoas que possuem predisposição em desenvolver esse transtorno. Considerando que pacientes depressivos podem não se sentir confortáveis a responder escalas extensas, essa medida supre com essa lacuna social. Também preenchemos a lacuna teórica que é a validação fatorial dessa medida para o contexto brasileiro que podem ser manejados em brasileiros. Por fim, o estudo atual fornece evidências de que o BDI-13 é um instrumento confiável e válido para rastreamento de depressão. </w:t>
      </w:r>
    </w:p>
    <w:p w:rsidR="00000000" w:rsidDel="00000000" w:rsidP="00000000" w:rsidRDefault="00000000" w:rsidRPr="00000000" w14:paraId="00000140">
      <w:pPr>
        <w:spacing w:line="360" w:lineRule="auto"/>
        <w:rPr>
          <w:highlight w:val="yellow"/>
        </w:rPr>
      </w:pPr>
      <w:r w:rsidDel="00000000" w:rsidR="00000000" w:rsidRPr="00000000">
        <w:rPr>
          <w:rtl w:val="0"/>
        </w:rPr>
      </w:r>
    </w:p>
    <w:p w:rsidR="00000000" w:rsidDel="00000000" w:rsidP="00000000" w:rsidRDefault="00000000" w:rsidRPr="00000000" w14:paraId="00000141">
      <w:pPr>
        <w:spacing w:line="360" w:lineRule="auto"/>
        <w:jc w:val="center"/>
        <w:rPr>
          <w:b w:val="1"/>
        </w:rPr>
      </w:pPr>
      <w:r w:rsidDel="00000000" w:rsidR="00000000" w:rsidRPr="00000000">
        <w:rPr>
          <w:b w:val="1"/>
          <w:rtl w:val="0"/>
        </w:rPr>
        <w:t xml:space="preserve">Referências</w:t>
      </w:r>
    </w:p>
    <w:p w:rsidR="00000000" w:rsidDel="00000000" w:rsidP="00000000" w:rsidRDefault="00000000" w:rsidRPr="00000000" w14:paraId="00000142">
      <w:pPr>
        <w:spacing w:line="360" w:lineRule="auto"/>
        <w:rPr/>
      </w:pPr>
      <w:r w:rsidDel="00000000" w:rsidR="00000000" w:rsidRPr="00000000">
        <w:rPr>
          <w:rtl w:val="0"/>
        </w:rPr>
      </w:r>
    </w:p>
    <w:p w:rsidR="00000000" w:rsidDel="00000000" w:rsidP="00000000" w:rsidRDefault="00000000" w:rsidRPr="00000000" w14:paraId="00000143">
      <w:pPr>
        <w:spacing w:line="360" w:lineRule="auto"/>
        <w:ind w:left="709" w:hanging="709"/>
        <w:rPr/>
      </w:pPr>
      <w:r w:rsidDel="00000000" w:rsidR="00000000" w:rsidRPr="00000000">
        <w:rPr>
          <w:rtl w:val="0"/>
        </w:rPr>
        <w:t xml:space="preserve">Addington, D., Addington, J., &amp; Schissel, B. (1990). A depression rating scale for schizophrenics. </w:t>
      </w:r>
      <w:r w:rsidDel="00000000" w:rsidR="00000000" w:rsidRPr="00000000">
        <w:rPr>
          <w:i w:val="1"/>
          <w:rtl w:val="0"/>
        </w:rPr>
        <w:t xml:space="preserve">Schizophrenia research</w:t>
      </w:r>
      <w:r w:rsidDel="00000000" w:rsidR="00000000" w:rsidRPr="00000000">
        <w:rPr>
          <w:rtl w:val="0"/>
        </w:rPr>
        <w:t xml:space="preserve">, </w:t>
      </w:r>
      <w:r w:rsidDel="00000000" w:rsidR="00000000" w:rsidRPr="00000000">
        <w:rPr>
          <w:i w:val="1"/>
          <w:rtl w:val="0"/>
        </w:rPr>
        <w:t xml:space="preserve">3</w:t>
      </w:r>
      <w:r w:rsidDel="00000000" w:rsidR="00000000" w:rsidRPr="00000000">
        <w:rPr>
          <w:rtl w:val="0"/>
        </w:rPr>
        <w:t xml:space="preserve">(4), 247-251. </w:t>
      </w:r>
      <w:hyperlink r:id="rId18">
        <w:r w:rsidDel="00000000" w:rsidR="00000000" w:rsidRPr="00000000">
          <w:rPr>
            <w:u w:val="single"/>
            <w:rtl w:val="0"/>
          </w:rPr>
          <w:t xml:space="preserve">https://doi.org/10.1016/0920-9964(90)90005-R</w:t>
        </w:r>
      </w:hyperlink>
      <w:r w:rsidDel="00000000" w:rsidR="00000000" w:rsidRPr="00000000">
        <w:rPr>
          <w:rtl w:val="0"/>
        </w:rPr>
      </w:r>
    </w:p>
    <w:p w:rsidR="00000000" w:rsidDel="00000000" w:rsidP="00000000" w:rsidRDefault="00000000" w:rsidRPr="00000000" w14:paraId="00000144">
      <w:pPr>
        <w:spacing w:line="360" w:lineRule="auto"/>
        <w:ind w:left="709" w:hanging="709"/>
        <w:rPr/>
      </w:pPr>
      <w:r w:rsidDel="00000000" w:rsidR="00000000" w:rsidRPr="00000000">
        <w:rPr>
          <w:rtl w:val="0"/>
        </w:rPr>
        <w:t xml:space="preserve">American Educational Research Association, American Psychological Association, &amp; National Council on Measurement in Education. (1999). </w:t>
      </w:r>
      <w:r w:rsidDel="00000000" w:rsidR="00000000" w:rsidRPr="00000000">
        <w:rPr>
          <w:i w:val="1"/>
          <w:rtl w:val="0"/>
        </w:rPr>
        <w:t xml:space="preserve">Standards for educational and psychological testing</w:t>
      </w:r>
      <w:r w:rsidDel="00000000" w:rsidR="00000000" w:rsidRPr="00000000">
        <w:rPr>
          <w:rtl w:val="0"/>
        </w:rPr>
        <w:t xml:space="preserve">. Wash-ington, DC: American Educational Research Association.</w:t>
      </w:r>
    </w:p>
    <w:p w:rsidR="00000000" w:rsidDel="00000000" w:rsidP="00000000" w:rsidRDefault="00000000" w:rsidRPr="00000000" w14:paraId="00000145">
      <w:pPr>
        <w:spacing w:line="360" w:lineRule="auto"/>
        <w:ind w:left="709" w:hanging="709"/>
        <w:rPr/>
      </w:pPr>
      <w:r w:rsidDel="00000000" w:rsidR="00000000" w:rsidRPr="00000000">
        <w:rPr>
          <w:rtl w:val="0"/>
        </w:rPr>
        <w:t xml:space="preserve">American Psychological Association, American Educational Research Association, &amp; National Council on Measurement in Education. (1966). </w:t>
      </w:r>
      <w:r w:rsidDel="00000000" w:rsidR="00000000" w:rsidRPr="00000000">
        <w:rPr>
          <w:i w:val="1"/>
          <w:rtl w:val="0"/>
        </w:rPr>
        <w:t xml:space="preserve">Standards for educational and psychological tests and manuals</w:t>
      </w:r>
      <w:r w:rsidDel="00000000" w:rsidR="00000000" w:rsidRPr="00000000">
        <w:rPr>
          <w:rtl w:val="0"/>
        </w:rPr>
        <w:t xml:space="preserve">. Washington, DC: American Psychological Association. </w:t>
      </w:r>
    </w:p>
    <w:p w:rsidR="00000000" w:rsidDel="00000000" w:rsidP="00000000" w:rsidRDefault="00000000" w:rsidRPr="00000000" w14:paraId="00000146">
      <w:pPr>
        <w:spacing w:line="360" w:lineRule="auto"/>
        <w:ind w:left="709" w:hanging="709"/>
        <w:rPr/>
      </w:pPr>
      <w:r w:rsidDel="00000000" w:rsidR="00000000" w:rsidRPr="00000000">
        <w:rPr>
          <w:rtl w:val="0"/>
        </w:rPr>
        <w:t xml:space="preserve">Angst, J., Gamma, A., Gastpar, M., Lépine, J.-P., Mendlewicz, J., &amp; Tylee, A. (2002). Gender differences in depression. </w:t>
      </w:r>
      <w:r w:rsidDel="00000000" w:rsidR="00000000" w:rsidRPr="00000000">
        <w:rPr>
          <w:i w:val="1"/>
          <w:rtl w:val="0"/>
        </w:rPr>
        <w:t xml:space="preserve">European Archives of Psychiatry and Clinical Neuroscience</w:t>
      </w:r>
      <w:r w:rsidDel="00000000" w:rsidR="00000000" w:rsidRPr="00000000">
        <w:rPr>
          <w:rtl w:val="0"/>
        </w:rPr>
        <w:t xml:space="preserve">, </w:t>
      </w:r>
      <w:r w:rsidDel="00000000" w:rsidR="00000000" w:rsidRPr="00000000">
        <w:rPr>
          <w:i w:val="1"/>
          <w:rtl w:val="0"/>
        </w:rPr>
        <w:t xml:space="preserve">252</w:t>
      </w:r>
      <w:r w:rsidDel="00000000" w:rsidR="00000000" w:rsidRPr="00000000">
        <w:rPr>
          <w:rtl w:val="0"/>
        </w:rPr>
        <w:t xml:space="preserve">(5), 201–209. </w:t>
      </w:r>
      <w:hyperlink r:id="rId19">
        <w:r w:rsidDel="00000000" w:rsidR="00000000" w:rsidRPr="00000000">
          <w:rPr>
            <w:u w:val="single"/>
            <w:rtl w:val="0"/>
          </w:rPr>
          <w:t xml:space="preserve">https://doi.org/10.1007/s00406-002-0381-6</w:t>
        </w:r>
      </w:hyperlink>
      <w:r w:rsidDel="00000000" w:rsidR="00000000" w:rsidRPr="00000000">
        <w:rPr>
          <w:rtl w:val="0"/>
        </w:rPr>
      </w:r>
    </w:p>
    <w:p w:rsidR="00000000" w:rsidDel="00000000" w:rsidP="00000000" w:rsidRDefault="00000000" w:rsidRPr="00000000" w14:paraId="00000147">
      <w:pPr>
        <w:spacing w:line="360" w:lineRule="auto"/>
        <w:ind w:left="709" w:hanging="709"/>
        <w:rPr/>
      </w:pPr>
      <w:r w:rsidDel="00000000" w:rsidR="00000000" w:rsidRPr="00000000">
        <w:rPr>
          <w:rtl w:val="0"/>
        </w:rPr>
        <w:t xml:space="preserve">Anunciação, L. (2018). An overview of the history and methodological aspects of psychometrics history and methodological aspects of psychometrics. </w:t>
      </w:r>
      <w:r w:rsidDel="00000000" w:rsidR="00000000" w:rsidRPr="00000000">
        <w:rPr>
          <w:i w:val="1"/>
          <w:rtl w:val="0"/>
        </w:rPr>
        <w:t xml:space="preserve">Journal for ReAttach Therapy and Developmental Diversities</w:t>
      </w:r>
      <w:r w:rsidDel="00000000" w:rsidR="00000000" w:rsidRPr="00000000">
        <w:rPr>
          <w:rtl w:val="0"/>
        </w:rPr>
        <w:t xml:space="preserve">, </w:t>
      </w:r>
      <w:r w:rsidDel="00000000" w:rsidR="00000000" w:rsidRPr="00000000">
        <w:rPr>
          <w:i w:val="1"/>
          <w:rtl w:val="0"/>
        </w:rPr>
        <w:t xml:space="preserve">1</w:t>
      </w:r>
      <w:r w:rsidDel="00000000" w:rsidR="00000000" w:rsidRPr="00000000">
        <w:rPr>
          <w:rtl w:val="0"/>
        </w:rPr>
        <w:t xml:space="preserve">(1), 44-58. </w:t>
      </w:r>
      <w:r w:rsidDel="00000000" w:rsidR="00000000" w:rsidRPr="00000000">
        <w:rPr>
          <w:u w:val="single"/>
          <w:rtl w:val="0"/>
        </w:rPr>
        <w:t xml:space="preserve">https://doi.org/10.26407/2018jrtdd.1.6eISSN: 2589-7799</w:t>
      </w:r>
      <w:r w:rsidDel="00000000" w:rsidR="00000000" w:rsidRPr="00000000">
        <w:rPr>
          <w:rtl w:val="0"/>
        </w:rPr>
      </w:r>
    </w:p>
    <w:p w:rsidR="00000000" w:rsidDel="00000000" w:rsidP="00000000" w:rsidRDefault="00000000" w:rsidRPr="00000000" w14:paraId="00000148">
      <w:pPr>
        <w:spacing w:line="360" w:lineRule="auto"/>
        <w:ind w:left="709" w:hanging="709"/>
        <w:rPr/>
      </w:pPr>
      <w:r w:rsidDel="00000000" w:rsidR="00000000" w:rsidRPr="00000000">
        <w:rPr>
          <w:rtl w:val="0"/>
        </w:rPr>
        <w:t xml:space="preserve">Baker, F. B. (2001). </w:t>
      </w:r>
      <w:r w:rsidDel="00000000" w:rsidR="00000000" w:rsidRPr="00000000">
        <w:rPr>
          <w:i w:val="1"/>
          <w:rtl w:val="0"/>
        </w:rPr>
        <w:t xml:space="preserve">The basics of item response theory</w:t>
      </w:r>
      <w:r w:rsidDel="00000000" w:rsidR="00000000" w:rsidRPr="00000000">
        <w:rPr>
          <w:rtl w:val="0"/>
        </w:rPr>
        <w:t xml:space="preserve">. ERIC. </w:t>
      </w:r>
      <w:r w:rsidDel="00000000" w:rsidR="00000000" w:rsidRPr="00000000">
        <w:rPr>
          <w:highlight w:val="white"/>
          <w:rtl w:val="0"/>
        </w:rPr>
        <w:t xml:space="preserve">For full text: </w:t>
      </w:r>
      <w:r w:rsidDel="00000000" w:rsidR="00000000" w:rsidRPr="00000000">
        <w:rPr>
          <w:highlight w:val="white"/>
          <w:u w:val="single"/>
          <w:rtl w:val="0"/>
        </w:rPr>
        <w:t xml:space="preserve">http://ericae. net/irt/baker.</w:t>
      </w:r>
      <w:r w:rsidDel="00000000" w:rsidR="00000000" w:rsidRPr="00000000">
        <w:rPr>
          <w:rtl w:val="0"/>
        </w:rPr>
      </w:r>
    </w:p>
    <w:p w:rsidR="00000000" w:rsidDel="00000000" w:rsidP="00000000" w:rsidRDefault="00000000" w:rsidRPr="00000000" w14:paraId="00000149">
      <w:pPr>
        <w:spacing w:line="360" w:lineRule="auto"/>
        <w:ind w:left="709" w:hanging="709"/>
        <w:rPr/>
      </w:pPr>
      <w:r w:rsidDel="00000000" w:rsidR="00000000" w:rsidRPr="00000000">
        <w:rPr>
          <w:rtl w:val="0"/>
        </w:rPr>
        <w:t xml:space="preserve">Beck, A. T., Ward, C., Mendelson, M., Mock, J., &amp; Erbaugh, J. (1961). Beck depression inventory (BDI). </w:t>
      </w:r>
      <w:r w:rsidDel="00000000" w:rsidR="00000000" w:rsidRPr="00000000">
        <w:rPr>
          <w:i w:val="1"/>
          <w:rtl w:val="0"/>
        </w:rPr>
        <w:t xml:space="preserve">Archives of General Psychiatry</w:t>
      </w:r>
      <w:r w:rsidDel="00000000" w:rsidR="00000000" w:rsidRPr="00000000">
        <w:rPr>
          <w:rtl w:val="0"/>
        </w:rPr>
        <w:t xml:space="preserve">, </w:t>
      </w:r>
      <w:r w:rsidDel="00000000" w:rsidR="00000000" w:rsidRPr="00000000">
        <w:rPr>
          <w:i w:val="1"/>
          <w:rtl w:val="0"/>
        </w:rPr>
        <w:t xml:space="preserve">4</w:t>
      </w:r>
      <w:r w:rsidDel="00000000" w:rsidR="00000000" w:rsidRPr="00000000">
        <w:rPr>
          <w:rtl w:val="0"/>
        </w:rPr>
        <w:t xml:space="preserve">(6), 561-571.</w:t>
      </w:r>
    </w:p>
    <w:p w:rsidR="00000000" w:rsidDel="00000000" w:rsidP="00000000" w:rsidRDefault="00000000" w:rsidRPr="00000000" w14:paraId="0000014A">
      <w:pPr>
        <w:spacing w:line="360" w:lineRule="auto"/>
        <w:ind w:left="709" w:hanging="709"/>
        <w:rPr/>
      </w:pPr>
      <w:r w:rsidDel="00000000" w:rsidR="00000000" w:rsidRPr="00000000">
        <w:rPr>
          <w:rtl w:val="0"/>
        </w:rPr>
        <w:t xml:space="preserve">Beck, A. T., Steer, R. A., &amp; Brown, G. (1996). Beck depression inventory–II. </w:t>
      </w:r>
      <w:r w:rsidDel="00000000" w:rsidR="00000000" w:rsidRPr="00000000">
        <w:rPr>
          <w:i w:val="1"/>
          <w:rtl w:val="0"/>
        </w:rPr>
        <w:t xml:space="preserve">Psychological Assessment</w:t>
      </w:r>
      <w:r w:rsidDel="00000000" w:rsidR="00000000" w:rsidRPr="00000000">
        <w:rPr>
          <w:rtl w:val="0"/>
        </w:rPr>
        <w:t xml:space="preserve">. </w:t>
      </w:r>
      <w:hyperlink r:id="rId20">
        <w:r w:rsidDel="00000000" w:rsidR="00000000" w:rsidRPr="00000000">
          <w:rPr>
            <w:highlight w:val="white"/>
            <w:u w:val="single"/>
            <w:rtl w:val="0"/>
          </w:rPr>
          <w:t xml:space="preserve">https://doi.org/10.1037/t00742-000</w:t>
        </w:r>
      </w:hyperlink>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line="360" w:lineRule="auto"/>
        <w:ind w:left="709" w:hanging="709"/>
        <w:rPr/>
      </w:pPr>
      <w:r w:rsidDel="00000000" w:rsidR="00000000" w:rsidRPr="00000000">
        <w:rPr>
          <w:rtl w:val="0"/>
        </w:rPr>
        <w:t xml:space="preserve">Botega, N. J., Bio, M. R., Zomignani, M. A., Garcia Jr, C., &amp; Pereira, W. A. B. (1995). Transtornos do humor em enfermaria de clínica médica e validação de escala de medida (HAD) de ansiedade e depressão. </w:t>
      </w:r>
      <w:r w:rsidDel="00000000" w:rsidR="00000000" w:rsidRPr="00000000">
        <w:rPr>
          <w:i w:val="1"/>
          <w:rtl w:val="0"/>
        </w:rPr>
        <w:t xml:space="preserve">Revista de Saúde Pública</w:t>
      </w:r>
      <w:r w:rsidDel="00000000" w:rsidR="00000000" w:rsidRPr="00000000">
        <w:rPr>
          <w:rtl w:val="0"/>
        </w:rPr>
        <w:t xml:space="preserve">, </w:t>
      </w:r>
      <w:r w:rsidDel="00000000" w:rsidR="00000000" w:rsidRPr="00000000">
        <w:rPr>
          <w:i w:val="1"/>
          <w:rtl w:val="0"/>
        </w:rPr>
        <w:t xml:space="preserve">29</w:t>
      </w:r>
      <w:r w:rsidDel="00000000" w:rsidR="00000000" w:rsidRPr="00000000">
        <w:rPr>
          <w:rtl w:val="0"/>
        </w:rPr>
        <w:t xml:space="preserve">(5), 359–363. </w:t>
      </w:r>
      <w:hyperlink r:id="rId21">
        <w:r w:rsidDel="00000000" w:rsidR="00000000" w:rsidRPr="00000000">
          <w:rPr>
            <w:u w:val="single"/>
            <w:rtl w:val="0"/>
          </w:rPr>
          <w:t xml:space="preserve">https://doi.org/10.1590/s0034-89101995000500004</w:t>
        </w:r>
      </w:hyperlink>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line="360" w:lineRule="auto"/>
        <w:ind w:left="709" w:hanging="709"/>
        <w:rPr>
          <w:sz w:val="20"/>
          <w:szCs w:val="20"/>
          <w:highlight w:val="white"/>
        </w:rPr>
      </w:pPr>
      <w:r w:rsidDel="00000000" w:rsidR="00000000" w:rsidRPr="00000000">
        <w:rPr>
          <w:rtl w:val="0"/>
        </w:rPr>
        <w:t xml:space="preserve">Botega, N.J., Pondé, M.P., Medeiros, P., Lima, M.G., &amp; Guerreiro, C. A. M. (1998). Validação da escala hospitalar de ansiedade e depressão (HAD) em pacientes epilépticos ambulatoriais. </w:t>
      </w:r>
      <w:r w:rsidDel="00000000" w:rsidR="00000000" w:rsidRPr="00000000">
        <w:rPr>
          <w:i w:val="1"/>
          <w:rtl w:val="0"/>
        </w:rPr>
        <w:t xml:space="preserve">Jornal Brasileiro de Psiquiatria, 47</w:t>
      </w:r>
      <w:r w:rsidDel="00000000" w:rsidR="00000000" w:rsidRPr="00000000">
        <w:rPr>
          <w:rtl w:val="0"/>
        </w:rPr>
        <w:t xml:space="preserve"> (6), 285–289.</w:t>
      </w:r>
      <w:r w:rsidDel="00000000" w:rsidR="00000000" w:rsidRPr="00000000">
        <w:rPr>
          <w:sz w:val="20"/>
          <w:szCs w:val="20"/>
          <w:highlight w:val="white"/>
          <w:rtl w:val="0"/>
        </w:rPr>
        <w:t xml:space="preserve"> </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line="360" w:lineRule="auto"/>
        <w:ind w:left="709" w:hanging="709"/>
        <w:rPr/>
      </w:pPr>
      <w:r w:rsidDel="00000000" w:rsidR="00000000" w:rsidRPr="00000000">
        <w:rPr>
          <w:highlight w:val="white"/>
          <w:rtl w:val="0"/>
        </w:rPr>
        <w:t xml:space="preserve">Boateng, G. O., Neilands, T. B., Frongillo, E. A., Melgar-Quiñonez, H. R., &amp; Young, S. L. (2018). Best practices for developing and validating scales for health, social, and behavioral research: a primer. </w:t>
      </w:r>
      <w:r w:rsidDel="00000000" w:rsidR="00000000" w:rsidRPr="00000000">
        <w:rPr>
          <w:i w:val="1"/>
          <w:highlight w:val="white"/>
          <w:rtl w:val="0"/>
        </w:rPr>
        <w:t xml:space="preserve">Frontiers in public health</w:t>
      </w:r>
      <w:r w:rsidDel="00000000" w:rsidR="00000000" w:rsidRPr="00000000">
        <w:rPr>
          <w:highlight w:val="white"/>
          <w:rtl w:val="0"/>
        </w:rPr>
        <w:t xml:space="preserve">, </w:t>
      </w:r>
      <w:r w:rsidDel="00000000" w:rsidR="00000000" w:rsidRPr="00000000">
        <w:rPr>
          <w:i w:val="1"/>
          <w:highlight w:val="white"/>
          <w:rtl w:val="0"/>
        </w:rPr>
        <w:t xml:space="preserve">6</w:t>
      </w:r>
      <w:r w:rsidDel="00000000" w:rsidR="00000000" w:rsidRPr="00000000">
        <w:rPr>
          <w:highlight w:val="white"/>
          <w:rtl w:val="0"/>
        </w:rPr>
        <w:t xml:space="preserve">, 149. </w:t>
      </w:r>
      <w:hyperlink r:id="rId22">
        <w:r w:rsidDel="00000000" w:rsidR="00000000" w:rsidRPr="00000000">
          <w:rPr>
            <w:highlight w:val="white"/>
            <w:u w:val="single"/>
            <w:rtl w:val="0"/>
          </w:rPr>
          <w:t xml:space="preserve">https://doi.org/10.3389/fpubh.2018.00149</w:t>
        </w:r>
      </w:hyperlink>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line="360" w:lineRule="auto"/>
        <w:ind w:left="709" w:hanging="709"/>
        <w:rPr>
          <w:u w:val="single"/>
        </w:rPr>
      </w:pPr>
      <w:r w:rsidDel="00000000" w:rsidR="00000000" w:rsidRPr="00000000">
        <w:rPr>
          <w:rtl w:val="0"/>
        </w:rPr>
        <w:t xml:space="preserve">Carthery-Goulart, M. T., Areza-Fegyveres, R., Schultz, R. R., Okamoto, I., Caramelli, P., Bertolucci, P. H. F., &amp; Nitrini, R. (2007). Versão brasileira da Escala Cornell de depressão em demência. </w:t>
      </w:r>
      <w:r w:rsidDel="00000000" w:rsidR="00000000" w:rsidRPr="00000000">
        <w:rPr>
          <w:i w:val="1"/>
          <w:rtl w:val="0"/>
        </w:rPr>
        <w:t xml:space="preserve">Arquivos de Neuro-psiquiatria</w:t>
      </w:r>
      <w:r w:rsidDel="00000000" w:rsidR="00000000" w:rsidRPr="00000000">
        <w:rPr>
          <w:rtl w:val="0"/>
        </w:rPr>
        <w:t xml:space="preserve">, </w:t>
      </w:r>
      <w:r w:rsidDel="00000000" w:rsidR="00000000" w:rsidRPr="00000000">
        <w:rPr>
          <w:i w:val="1"/>
          <w:rtl w:val="0"/>
        </w:rPr>
        <w:t xml:space="preserve">65</w:t>
      </w:r>
      <w:r w:rsidDel="00000000" w:rsidR="00000000" w:rsidRPr="00000000">
        <w:rPr>
          <w:rtl w:val="0"/>
        </w:rPr>
        <w:t xml:space="preserve">(3B), 912-915. </w:t>
      </w:r>
      <w:hyperlink r:id="rId23">
        <w:r w:rsidDel="00000000" w:rsidR="00000000" w:rsidRPr="00000000">
          <w:rPr>
            <w:u w:val="single"/>
            <w:rtl w:val="0"/>
          </w:rPr>
          <w:t xml:space="preserve">https://doi.org/10.1590/s0004-282x2007000500037</w:t>
        </w:r>
      </w:hyperlink>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line="360" w:lineRule="auto"/>
        <w:ind w:left="709" w:hanging="709"/>
        <w:rPr>
          <w:sz w:val="21"/>
          <w:szCs w:val="21"/>
          <w:u w:val="single"/>
        </w:rPr>
      </w:pPr>
      <w:r w:rsidDel="00000000" w:rsidR="00000000" w:rsidRPr="00000000">
        <w:rPr>
          <w:rtl w:val="0"/>
        </w:rPr>
        <w:t xml:space="preserve">Chagas, M. H. N., Tumas, V., Loureiro, S. R., Hallak, J. E., Trzesniak, C., de Sousa, J. P. M., ... &amp; Crippa, J. A. S. (2010). Validity of a Brazilian version of the Zung self-rating depression scale for screening of depression in patients with Parkinson's disease. </w:t>
      </w:r>
      <w:r w:rsidDel="00000000" w:rsidR="00000000" w:rsidRPr="00000000">
        <w:rPr>
          <w:i w:val="1"/>
          <w:rtl w:val="0"/>
        </w:rPr>
        <w:t xml:space="preserve">Parkinsonism &amp; related disorders</w:t>
      </w:r>
      <w:r w:rsidDel="00000000" w:rsidR="00000000" w:rsidRPr="00000000">
        <w:rPr>
          <w:rtl w:val="0"/>
        </w:rPr>
        <w:t xml:space="preserve">, </w:t>
      </w:r>
      <w:r w:rsidDel="00000000" w:rsidR="00000000" w:rsidRPr="00000000">
        <w:rPr>
          <w:i w:val="1"/>
          <w:rtl w:val="0"/>
        </w:rPr>
        <w:t xml:space="preserve">16</w:t>
      </w:r>
      <w:r w:rsidDel="00000000" w:rsidR="00000000" w:rsidRPr="00000000">
        <w:rPr>
          <w:rtl w:val="0"/>
        </w:rPr>
        <w:t xml:space="preserve">(1), 42-45. </w:t>
      </w:r>
      <w:hyperlink r:id="rId24">
        <w:r w:rsidDel="00000000" w:rsidR="00000000" w:rsidRPr="00000000">
          <w:rPr>
            <w:sz w:val="21"/>
            <w:szCs w:val="21"/>
            <w:u w:val="single"/>
            <w:rtl w:val="0"/>
          </w:rPr>
          <w:t xml:space="preserve">https://doi.org/10.1016/j.parkreldis.2009.07.010</w:t>
        </w:r>
      </w:hyperlink>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360" w:lineRule="auto"/>
        <w:ind w:left="709" w:hanging="709"/>
        <w:rPr/>
      </w:pPr>
      <w:r w:rsidDel="00000000" w:rsidR="00000000" w:rsidRPr="00000000">
        <w:rPr>
          <w:rtl w:val="0"/>
        </w:rPr>
        <w:t xml:space="preserve">Castro, S. M. de J., Trentini, C., &amp; Riboldi, J. (2010). Teoria da resposta ao item aplicada ao Inventário de Depressão Beck. </w:t>
      </w:r>
      <w:r w:rsidDel="00000000" w:rsidR="00000000" w:rsidRPr="00000000">
        <w:rPr>
          <w:i w:val="1"/>
          <w:rtl w:val="0"/>
        </w:rPr>
        <w:t xml:space="preserve">Revista Brasileira de Epidemiologia</w:t>
      </w:r>
      <w:r w:rsidDel="00000000" w:rsidR="00000000" w:rsidRPr="00000000">
        <w:rPr>
          <w:rtl w:val="0"/>
        </w:rPr>
        <w:t xml:space="preserve">, </w:t>
      </w:r>
      <w:r w:rsidDel="00000000" w:rsidR="00000000" w:rsidRPr="00000000">
        <w:rPr>
          <w:i w:val="1"/>
          <w:rtl w:val="0"/>
        </w:rPr>
        <w:t xml:space="preserve">13</w:t>
      </w:r>
      <w:r w:rsidDel="00000000" w:rsidR="00000000" w:rsidRPr="00000000">
        <w:rPr>
          <w:rtl w:val="0"/>
        </w:rPr>
        <w:t xml:space="preserve">(3), 487-501. </w:t>
      </w:r>
      <w:hyperlink r:id="rId25">
        <w:r w:rsidDel="00000000" w:rsidR="00000000" w:rsidRPr="00000000">
          <w:rPr>
            <w:u w:val="single"/>
            <w:rtl w:val="0"/>
          </w:rPr>
          <w:t xml:space="preserve">https://dx.doi.org/10.1590/S1415-790X2010000300012</w:t>
        </w:r>
      </w:hyperlink>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line="360" w:lineRule="auto"/>
        <w:ind w:left="709" w:hanging="709"/>
        <w:rPr/>
      </w:pPr>
      <w:r w:rsidDel="00000000" w:rsidR="00000000" w:rsidRPr="00000000">
        <w:rPr>
          <w:rtl w:val="0"/>
        </w:rPr>
        <w:t xml:space="preserve">Dadfar, M., &amp; Kalibatseva, Z. (2016). Psychometric properties of the persian version of the short beck depression inventory with Iranian psychiatric outpatients. </w:t>
      </w:r>
      <w:r w:rsidDel="00000000" w:rsidR="00000000" w:rsidRPr="00000000">
        <w:rPr>
          <w:i w:val="1"/>
          <w:rtl w:val="0"/>
        </w:rPr>
        <w:t xml:space="preserve">Scientifica</w:t>
      </w:r>
      <w:r w:rsidDel="00000000" w:rsidR="00000000" w:rsidRPr="00000000">
        <w:rPr>
          <w:rtl w:val="0"/>
        </w:rPr>
        <w:t xml:space="preserve">, 2016, 1-6. </w:t>
      </w:r>
      <w:hyperlink r:id="rId26">
        <w:r w:rsidDel="00000000" w:rsidR="00000000" w:rsidRPr="00000000">
          <w:rPr>
            <w:u w:val="single"/>
            <w:rtl w:val="0"/>
          </w:rPr>
          <w:t xml:space="preserve">https://doi.org/10.1155/2016/8196463</w:t>
        </w:r>
      </w:hyperlink>
      <w:r w:rsidDel="00000000" w:rsidR="00000000" w:rsidRPr="00000000">
        <w:rPr>
          <w:rtl w:val="0"/>
        </w:rPr>
        <w:t xml:space="preserve"> </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line="360" w:lineRule="auto"/>
        <w:ind w:left="709" w:hanging="709"/>
        <w:rPr>
          <w:highlight w:val="white"/>
          <w:u w:val="single"/>
        </w:rPr>
      </w:pPr>
      <w:r w:rsidDel="00000000" w:rsidR="00000000" w:rsidRPr="00000000">
        <w:rPr>
          <w:rtl w:val="0"/>
        </w:rPr>
        <w:t xml:space="preserve">Ferrando, P. J., &amp; Lorenzo-Seva U. (2018). Assessing the quality and appropriateness of factor solutions and factor score estimates in exploratory item factor analysis. </w:t>
      </w:r>
      <w:r w:rsidDel="00000000" w:rsidR="00000000" w:rsidRPr="00000000">
        <w:rPr>
          <w:i w:val="1"/>
          <w:rtl w:val="0"/>
        </w:rPr>
        <w:t xml:space="preserve">Educational and Psychological Measurement</w:t>
      </w:r>
      <w:r w:rsidDel="00000000" w:rsidR="00000000" w:rsidRPr="00000000">
        <w:rPr>
          <w:rtl w:val="0"/>
        </w:rPr>
        <w:t xml:space="preserve">, 78, 762-780. </w:t>
      </w:r>
      <w:hyperlink r:id="rId27">
        <w:r w:rsidDel="00000000" w:rsidR="00000000" w:rsidRPr="00000000">
          <w:rPr>
            <w:highlight w:val="white"/>
            <w:u w:val="single"/>
            <w:rtl w:val="0"/>
          </w:rPr>
          <w:t xml:space="preserve">https://doi.org/10.1177/0013164417719308</w:t>
        </w:r>
      </w:hyperlink>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line="360" w:lineRule="auto"/>
        <w:ind w:left="709" w:hanging="709"/>
        <w:rPr/>
      </w:pPr>
      <w:r w:rsidDel="00000000" w:rsidR="00000000" w:rsidRPr="00000000">
        <w:rPr>
          <w:rtl w:val="0"/>
        </w:rPr>
        <w:t xml:space="preserve">Ferrando, P.J., &amp; Lorenzo-Seva, U. (2017). Program FACTOR at 10: origins, development and future directions. </w:t>
      </w:r>
      <w:r w:rsidDel="00000000" w:rsidR="00000000" w:rsidRPr="00000000">
        <w:rPr>
          <w:i w:val="1"/>
          <w:rtl w:val="0"/>
        </w:rPr>
        <w:t xml:space="preserve">Psicothema</w:t>
      </w:r>
      <w:r w:rsidDel="00000000" w:rsidR="00000000" w:rsidRPr="00000000">
        <w:rPr>
          <w:rtl w:val="0"/>
        </w:rPr>
        <w:t xml:space="preserve">, 29(2), 236-241. </w:t>
      </w:r>
      <w:hyperlink r:id="rId28">
        <w:r w:rsidDel="00000000" w:rsidR="00000000" w:rsidRPr="00000000">
          <w:rPr>
            <w:color w:val="000000"/>
            <w:u w:val="single"/>
            <w:rtl w:val="0"/>
          </w:rPr>
          <w:t xml:space="preserve">https://doi.org/10.7334/psicothema2016.304</w:t>
        </w:r>
      </w:hyperlink>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line="360" w:lineRule="auto"/>
        <w:ind w:left="709" w:hanging="709"/>
        <w:rPr/>
      </w:pPr>
      <w:r w:rsidDel="00000000" w:rsidR="00000000" w:rsidRPr="00000000">
        <w:rPr>
          <w:highlight w:val="white"/>
          <w:rtl w:val="0"/>
        </w:rPr>
        <w:t xml:space="preserve">Ganong, L. H. (1987). Integrative reviews of nursing research. </w:t>
      </w:r>
      <w:r w:rsidDel="00000000" w:rsidR="00000000" w:rsidRPr="00000000">
        <w:rPr>
          <w:i w:val="1"/>
          <w:highlight w:val="white"/>
          <w:rtl w:val="0"/>
        </w:rPr>
        <w:t xml:space="preserve">Research in nursing &amp; health</w:t>
      </w:r>
      <w:r w:rsidDel="00000000" w:rsidR="00000000" w:rsidRPr="00000000">
        <w:rPr>
          <w:highlight w:val="white"/>
          <w:rtl w:val="0"/>
        </w:rPr>
        <w:t xml:space="preserve">, </w:t>
      </w:r>
      <w:r w:rsidDel="00000000" w:rsidR="00000000" w:rsidRPr="00000000">
        <w:rPr>
          <w:i w:val="1"/>
          <w:highlight w:val="white"/>
          <w:rtl w:val="0"/>
        </w:rPr>
        <w:t xml:space="preserve">10</w:t>
      </w:r>
      <w:r w:rsidDel="00000000" w:rsidR="00000000" w:rsidRPr="00000000">
        <w:rPr>
          <w:highlight w:val="white"/>
          <w:rtl w:val="0"/>
        </w:rPr>
        <w:t xml:space="preserve">(1), 1-11. </w:t>
      </w: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line="360" w:lineRule="auto"/>
        <w:ind w:left="709" w:hanging="709"/>
        <w:rPr>
          <w:u w:val="single"/>
        </w:rPr>
      </w:pPr>
      <w:r w:rsidDel="00000000" w:rsidR="00000000" w:rsidRPr="00000000">
        <w:rPr>
          <w:rtl w:val="0"/>
        </w:rPr>
        <w:t xml:space="preserve">Giavoni, A., Melo, G. F. D., Parente, I., &amp; Dantas, G. (2008). Elaboração e validação da Escala de Depressão para Idosos. </w:t>
      </w:r>
      <w:r w:rsidDel="00000000" w:rsidR="00000000" w:rsidRPr="00000000">
        <w:rPr>
          <w:i w:val="1"/>
          <w:rtl w:val="0"/>
        </w:rPr>
        <w:t xml:space="preserve">Cadernos de Saúde Pública</w:t>
      </w:r>
      <w:r w:rsidDel="00000000" w:rsidR="00000000" w:rsidRPr="00000000">
        <w:rPr>
          <w:rtl w:val="0"/>
        </w:rPr>
        <w:t xml:space="preserve">, </w:t>
      </w:r>
      <w:r w:rsidDel="00000000" w:rsidR="00000000" w:rsidRPr="00000000">
        <w:rPr>
          <w:i w:val="1"/>
          <w:rtl w:val="0"/>
        </w:rPr>
        <w:t xml:space="preserve">24</w:t>
      </w:r>
      <w:r w:rsidDel="00000000" w:rsidR="00000000" w:rsidRPr="00000000">
        <w:rPr>
          <w:rtl w:val="0"/>
        </w:rPr>
        <w:t xml:space="preserve">, 975-982. </w:t>
      </w:r>
      <w:hyperlink r:id="rId29">
        <w:r w:rsidDel="00000000" w:rsidR="00000000" w:rsidRPr="00000000">
          <w:rPr>
            <w:u w:val="single"/>
            <w:rtl w:val="0"/>
          </w:rPr>
          <w:t xml:space="preserve">https://doi.org/10.1590/s0102-311x2008000500004</w:t>
        </w:r>
      </w:hyperlink>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line="360" w:lineRule="auto"/>
        <w:ind w:left="709" w:hanging="709"/>
        <w:rPr/>
      </w:pPr>
      <w:r w:rsidDel="00000000" w:rsidR="00000000" w:rsidRPr="00000000">
        <w:rPr>
          <w:rtl w:val="0"/>
        </w:rPr>
        <w:t xml:space="preserve">Gorenstein, C., &amp; Andrade, L. H. S. G. (1998). Inventário de depressão de Beck: propriedades psicométricas da versão em português. </w:t>
      </w:r>
      <w:r w:rsidDel="00000000" w:rsidR="00000000" w:rsidRPr="00000000">
        <w:rPr>
          <w:i w:val="1"/>
          <w:rtl w:val="0"/>
        </w:rPr>
        <w:t xml:space="preserve">Revista de Psiquiatria Clínica</w:t>
      </w:r>
      <w:r w:rsidDel="00000000" w:rsidR="00000000" w:rsidRPr="00000000">
        <w:rPr>
          <w:rtl w:val="0"/>
        </w:rPr>
        <w:t xml:space="preserve">, </w:t>
      </w:r>
      <w:r w:rsidDel="00000000" w:rsidR="00000000" w:rsidRPr="00000000">
        <w:rPr>
          <w:i w:val="1"/>
          <w:rtl w:val="0"/>
        </w:rPr>
        <w:t xml:space="preserve">25</w:t>
      </w:r>
      <w:r w:rsidDel="00000000" w:rsidR="00000000" w:rsidRPr="00000000">
        <w:rPr>
          <w:rtl w:val="0"/>
        </w:rPr>
        <w:t xml:space="preserve">(5), 245-50.</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line="360" w:lineRule="auto"/>
        <w:ind w:left="709" w:hanging="709"/>
        <w:rPr/>
      </w:pPr>
      <w:r w:rsidDel="00000000" w:rsidR="00000000" w:rsidRPr="00000000">
        <w:rPr>
          <w:highlight w:val="white"/>
          <w:rtl w:val="0"/>
        </w:rPr>
        <w:t xml:space="preserve">Gosling, S. D., Rentfrow, P. J., &amp; Swann Jr, W. B. (2003). A very brief measure of the Big-Five personality domains. </w:t>
      </w:r>
      <w:r w:rsidDel="00000000" w:rsidR="00000000" w:rsidRPr="00000000">
        <w:rPr>
          <w:i w:val="1"/>
          <w:highlight w:val="white"/>
          <w:rtl w:val="0"/>
        </w:rPr>
        <w:t xml:space="preserve">Journal of Research in personality</w:t>
      </w:r>
      <w:r w:rsidDel="00000000" w:rsidR="00000000" w:rsidRPr="00000000">
        <w:rPr>
          <w:highlight w:val="white"/>
          <w:rtl w:val="0"/>
        </w:rPr>
        <w:t xml:space="preserve">, </w:t>
      </w:r>
      <w:r w:rsidDel="00000000" w:rsidR="00000000" w:rsidRPr="00000000">
        <w:rPr>
          <w:i w:val="1"/>
          <w:highlight w:val="white"/>
          <w:rtl w:val="0"/>
        </w:rPr>
        <w:t xml:space="preserve">37</w:t>
      </w:r>
      <w:r w:rsidDel="00000000" w:rsidR="00000000" w:rsidRPr="00000000">
        <w:rPr>
          <w:highlight w:val="white"/>
          <w:rtl w:val="0"/>
        </w:rPr>
        <w:t xml:space="preserve">(6), 504-528.</w:t>
      </w: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line="360" w:lineRule="auto"/>
        <w:ind w:left="709" w:hanging="709"/>
        <w:rPr/>
      </w:pPr>
      <w:r w:rsidDel="00000000" w:rsidR="00000000" w:rsidRPr="00000000">
        <w:rPr>
          <w:rtl w:val="0"/>
        </w:rPr>
        <w:t xml:space="preserve">Horn, J. L. (1965). A rationale and test for the number of factors in factor analysis. </w:t>
      </w:r>
      <w:r w:rsidDel="00000000" w:rsidR="00000000" w:rsidRPr="00000000">
        <w:rPr>
          <w:i w:val="1"/>
          <w:rtl w:val="0"/>
        </w:rPr>
        <w:t xml:space="preserve">Psychometrika</w:t>
      </w:r>
      <w:r w:rsidDel="00000000" w:rsidR="00000000" w:rsidRPr="00000000">
        <w:rPr>
          <w:rtl w:val="0"/>
        </w:rPr>
        <w:t xml:space="preserve">, </w:t>
      </w:r>
      <w:r w:rsidDel="00000000" w:rsidR="00000000" w:rsidRPr="00000000">
        <w:rPr>
          <w:i w:val="1"/>
          <w:rtl w:val="0"/>
        </w:rPr>
        <w:t xml:space="preserve">30</w:t>
      </w:r>
      <w:r w:rsidDel="00000000" w:rsidR="00000000" w:rsidRPr="00000000">
        <w:rPr>
          <w:rtl w:val="0"/>
        </w:rPr>
        <w:t xml:space="preserve">(2), 179-185.</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line="360" w:lineRule="auto"/>
        <w:ind w:left="709" w:hanging="709"/>
        <w:rPr/>
      </w:pPr>
      <w:r w:rsidDel="00000000" w:rsidR="00000000" w:rsidRPr="00000000">
        <w:rPr>
          <w:rtl w:val="0"/>
        </w:rPr>
        <w:t xml:space="preserve">World Health Organization, ICD-11. International Classification of Diseases. </w:t>
      </w:r>
      <w:hyperlink r:id="rId30">
        <w:r w:rsidDel="00000000" w:rsidR="00000000" w:rsidRPr="00000000">
          <w:rPr>
            <w:u w:val="single"/>
            <w:rtl w:val="0"/>
          </w:rPr>
          <w:t xml:space="preserve">https://www.cdc.gov/nchs/icd/icd10.htm</w:t>
        </w:r>
      </w:hyperlink>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line="360" w:lineRule="auto"/>
        <w:ind w:left="709" w:hanging="709"/>
        <w:rPr/>
      </w:pPr>
      <w:r w:rsidDel="00000000" w:rsidR="00000000" w:rsidRPr="00000000">
        <w:rPr>
          <w:rtl w:val="0"/>
        </w:rPr>
        <w:t xml:space="preserve">Kline, R. B. (2015). </w:t>
      </w:r>
      <w:r w:rsidDel="00000000" w:rsidR="00000000" w:rsidRPr="00000000">
        <w:rPr>
          <w:i w:val="1"/>
          <w:rtl w:val="0"/>
        </w:rPr>
        <w:t xml:space="preserve">Principles and practice of structural equation modeling</w:t>
      </w:r>
      <w:r w:rsidDel="00000000" w:rsidR="00000000" w:rsidRPr="00000000">
        <w:rPr>
          <w:rtl w:val="0"/>
        </w:rPr>
        <w:t xml:space="preserve">. Guilford publications.</w:t>
      </w: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line="360" w:lineRule="auto"/>
        <w:ind w:left="709" w:hanging="709"/>
        <w:rPr/>
      </w:pPr>
      <w:r w:rsidDel="00000000" w:rsidR="00000000" w:rsidRPr="00000000">
        <w:rPr>
          <w:highlight w:val="white"/>
          <w:rtl w:val="0"/>
        </w:rPr>
        <w:t xml:space="preserve">Moreno, R. A., &amp; Moreno, D. H. (1998). Escalas de depressão de Montgomery &amp; Asberg (MADRS) e de Hamilton (HAM-D). </w:t>
      </w:r>
      <w:r w:rsidDel="00000000" w:rsidR="00000000" w:rsidRPr="00000000">
        <w:rPr>
          <w:i w:val="1"/>
          <w:highlight w:val="white"/>
          <w:rtl w:val="0"/>
        </w:rPr>
        <w:t xml:space="preserve">Revista Psiquiatria Clínica</w:t>
      </w:r>
      <w:r w:rsidDel="00000000" w:rsidR="00000000" w:rsidRPr="00000000">
        <w:rPr>
          <w:highlight w:val="white"/>
          <w:rtl w:val="0"/>
        </w:rPr>
        <w:t xml:space="preserve">, 262-72.</w:t>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line="360" w:lineRule="auto"/>
        <w:ind w:left="709" w:hanging="709"/>
        <w:rPr>
          <w:rFonts w:ascii="Verdana" w:cs="Verdana" w:eastAsia="Verdana" w:hAnsi="Verdana"/>
          <w:highlight w:val="white"/>
        </w:rPr>
      </w:pPr>
      <w:r w:rsidDel="00000000" w:rsidR="00000000" w:rsidRPr="00000000">
        <w:rPr>
          <w:highlight w:val="white"/>
          <w:rtl w:val="0"/>
        </w:rPr>
        <w:t xml:space="preserve">Mulrow, C., Williams, J., Gerety, M., Ramirez, G., Montiel, O., &amp; Kerber, C. (1995). Case-finding instruments for depression in primary care settings. </w:t>
      </w:r>
      <w:r w:rsidDel="00000000" w:rsidR="00000000" w:rsidRPr="00000000">
        <w:rPr>
          <w:i w:val="1"/>
          <w:highlight w:val="white"/>
          <w:rtl w:val="0"/>
        </w:rPr>
        <w:t xml:space="preserve">Annals of internal medicine</w:t>
      </w:r>
      <w:r w:rsidDel="00000000" w:rsidR="00000000" w:rsidRPr="00000000">
        <w:rPr>
          <w:highlight w:val="white"/>
          <w:rtl w:val="0"/>
        </w:rPr>
        <w:t xml:space="preserve">, 122(12), 913-21.</w:t>
      </w: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line="360" w:lineRule="auto"/>
        <w:ind w:left="709" w:hanging="709"/>
        <w:rPr/>
      </w:pPr>
      <w:r w:rsidDel="00000000" w:rsidR="00000000" w:rsidRPr="00000000">
        <w:rPr>
          <w:rtl w:val="0"/>
        </w:rPr>
        <w:t xml:space="preserve">Nunnally, J.C. &amp; Bernstein, I.H. (1994) </w:t>
      </w:r>
      <w:r w:rsidDel="00000000" w:rsidR="00000000" w:rsidRPr="00000000">
        <w:rPr>
          <w:i w:val="1"/>
          <w:rtl w:val="0"/>
        </w:rPr>
        <w:t xml:space="preserve">The Assessment of Reliability. Psychometric Theory</w:t>
      </w:r>
      <w:r w:rsidDel="00000000" w:rsidR="00000000" w:rsidRPr="00000000">
        <w:rPr>
          <w:rtl w:val="0"/>
        </w:rPr>
        <w:t xml:space="preserve">, 3, 248-292.</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line="360" w:lineRule="auto"/>
        <w:ind w:left="709" w:hanging="709"/>
        <w:rPr>
          <w:u w:val="single"/>
        </w:rPr>
      </w:pPr>
      <w:r w:rsidDel="00000000" w:rsidR="00000000" w:rsidRPr="00000000">
        <w:rPr>
          <w:rtl w:val="0"/>
        </w:rPr>
        <w:t xml:space="preserve">OPAS/OMS Brasil. (2017). Aumenta o número de pessoas com depressão no mundo. </w:t>
      </w:r>
      <w:r w:rsidDel="00000000" w:rsidR="00000000" w:rsidRPr="00000000">
        <w:rPr>
          <w:i w:val="1"/>
          <w:rtl w:val="0"/>
        </w:rPr>
        <w:t xml:space="preserve">Pan American Health Organization / World Health Organization.</w:t>
      </w:r>
      <w:r w:rsidDel="00000000" w:rsidR="00000000" w:rsidRPr="00000000">
        <w:rPr>
          <w:rtl w:val="0"/>
        </w:rPr>
        <w:t xml:space="preserve"> </w:t>
      </w:r>
      <w:hyperlink r:id="rId31">
        <w:r w:rsidDel="00000000" w:rsidR="00000000" w:rsidRPr="00000000">
          <w:rPr>
            <w:u w:val="single"/>
            <w:rtl w:val="0"/>
          </w:rPr>
          <w:t xml:space="preserve">https://www.paho.org/bra/index.php?option=com_content&amp;view=article&amp;id=5354:aumenta-o-numero-de-pessoas-com-depressao-no-mundo&amp;Itemid=839</w:t>
        </w:r>
      </w:hyperlink>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line="360" w:lineRule="auto"/>
        <w:ind w:left="709" w:hanging="709"/>
        <w:rPr/>
      </w:pPr>
      <w:r w:rsidDel="00000000" w:rsidR="00000000" w:rsidRPr="00000000">
        <w:rPr>
          <w:rtl w:val="0"/>
        </w:rPr>
        <w:t xml:space="preserve">Paradela, E. M. P., Lourenço, R. A., &amp; Veras, R. P. (2005). Validação da escala de depressão geriátrica em um ambulatório geral. </w:t>
      </w:r>
      <w:r w:rsidDel="00000000" w:rsidR="00000000" w:rsidRPr="00000000">
        <w:rPr>
          <w:i w:val="1"/>
          <w:rtl w:val="0"/>
        </w:rPr>
        <w:t xml:space="preserve">Revista de saúde pública</w:t>
      </w:r>
      <w:r w:rsidDel="00000000" w:rsidR="00000000" w:rsidRPr="00000000">
        <w:rPr>
          <w:rtl w:val="0"/>
        </w:rPr>
        <w:t xml:space="preserve">, </w:t>
      </w:r>
      <w:r w:rsidDel="00000000" w:rsidR="00000000" w:rsidRPr="00000000">
        <w:rPr>
          <w:i w:val="1"/>
          <w:rtl w:val="0"/>
        </w:rPr>
        <w:t xml:space="preserve">39</w:t>
      </w:r>
      <w:r w:rsidDel="00000000" w:rsidR="00000000" w:rsidRPr="00000000">
        <w:rPr>
          <w:rtl w:val="0"/>
        </w:rPr>
        <w:t xml:space="preserve">, 918-923. </w:t>
      </w:r>
      <w:hyperlink r:id="rId32">
        <w:r w:rsidDel="00000000" w:rsidR="00000000" w:rsidRPr="00000000">
          <w:rPr>
            <w:u w:val="single"/>
            <w:rtl w:val="0"/>
          </w:rPr>
          <w:t xml:space="preserve">https://doi.org/10.1590/s0034-89102005000600008</w:t>
        </w:r>
      </w:hyperlink>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line="360" w:lineRule="auto"/>
        <w:ind w:left="709" w:hanging="709"/>
        <w:rPr/>
      </w:pPr>
      <w:r w:rsidDel="00000000" w:rsidR="00000000" w:rsidRPr="00000000">
        <w:rPr>
          <w:rtl w:val="0"/>
        </w:rPr>
        <w:t xml:space="preserve">Parcias, S., Rosario, B. P. D., Sakae, T., Monte, F., Guimarães, A. C., &amp; Xavier, A. J. (2011). Validação da versão em português do Inventário de Depressão Maior. </w:t>
      </w:r>
      <w:r w:rsidDel="00000000" w:rsidR="00000000" w:rsidRPr="00000000">
        <w:rPr>
          <w:i w:val="1"/>
          <w:rtl w:val="0"/>
        </w:rPr>
        <w:t xml:space="preserve">Jornal Brasileiro de Psiquiatria</w:t>
      </w:r>
      <w:r w:rsidDel="00000000" w:rsidR="00000000" w:rsidRPr="00000000">
        <w:rPr>
          <w:rtl w:val="0"/>
        </w:rPr>
        <w:t xml:space="preserve">, </w:t>
      </w:r>
      <w:r w:rsidDel="00000000" w:rsidR="00000000" w:rsidRPr="00000000">
        <w:rPr>
          <w:i w:val="1"/>
          <w:rtl w:val="0"/>
        </w:rPr>
        <w:t xml:space="preserve">60</w:t>
      </w:r>
      <w:r w:rsidDel="00000000" w:rsidR="00000000" w:rsidRPr="00000000">
        <w:rPr>
          <w:rtl w:val="0"/>
        </w:rPr>
        <w:t xml:space="preserve">(3), 164-170. </w:t>
      </w:r>
      <w:hyperlink r:id="rId33">
        <w:r w:rsidDel="00000000" w:rsidR="00000000" w:rsidRPr="00000000">
          <w:rPr>
            <w:u w:val="single"/>
            <w:rtl w:val="0"/>
          </w:rPr>
          <w:t xml:space="preserve">https://doi.org/10.1590/S0047-20852011000300003</w:t>
        </w:r>
      </w:hyperlink>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line="360" w:lineRule="auto"/>
        <w:ind w:left="709" w:hanging="709"/>
        <w:rPr>
          <w:sz w:val="28"/>
          <w:szCs w:val="28"/>
        </w:rPr>
      </w:pPr>
      <w:r w:rsidDel="00000000" w:rsidR="00000000" w:rsidRPr="00000000">
        <w:rPr>
          <w:highlight w:val="white"/>
          <w:rtl w:val="0"/>
        </w:rPr>
        <w:t xml:space="preserve">Pasquali, L. (2018). TRI–Teoria de resposta ao item. </w:t>
      </w:r>
      <w:r w:rsidDel="00000000" w:rsidR="00000000" w:rsidRPr="00000000">
        <w:rPr>
          <w:i w:val="1"/>
          <w:highlight w:val="white"/>
          <w:rtl w:val="0"/>
        </w:rPr>
        <w:t xml:space="preserve">Teoria, procedimentos e aplicações. Curitiba: Appris</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line="360" w:lineRule="auto"/>
        <w:ind w:left="709" w:hanging="709"/>
        <w:rPr>
          <w:rFonts w:ascii="Arial" w:cs="Arial" w:eastAsia="Arial" w:hAnsi="Arial"/>
          <w:sz w:val="20"/>
          <w:szCs w:val="20"/>
          <w:highlight w:val="white"/>
        </w:rPr>
      </w:pPr>
      <w:r w:rsidDel="00000000" w:rsidR="00000000" w:rsidRPr="00000000">
        <w:rPr>
          <w:rtl w:val="0"/>
        </w:rPr>
        <w:t xml:space="preserve">Reynolds, W. M. (2002). Manual for the Reynolds Adolescent Depression Scale—Second Edition (RADS-2). </w:t>
      </w:r>
      <w:r w:rsidDel="00000000" w:rsidR="00000000" w:rsidRPr="00000000">
        <w:rPr>
          <w:i w:val="1"/>
          <w:rtl w:val="0"/>
        </w:rPr>
        <w:t xml:space="preserve">Psychological Assessment Resources</w:t>
      </w:r>
      <w:r w:rsidDel="00000000" w:rsidR="00000000" w:rsidRPr="00000000">
        <w:rPr>
          <w:rtl w:val="0"/>
        </w:rPr>
        <w:t xml:space="preserve">.</w:t>
      </w: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line="360" w:lineRule="auto"/>
        <w:ind w:left="709" w:hanging="709"/>
        <w:rPr/>
      </w:pPr>
      <w:r w:rsidDel="00000000" w:rsidR="00000000" w:rsidRPr="00000000">
        <w:rPr>
          <w:highlight w:val="white"/>
          <w:rtl w:val="0"/>
        </w:rPr>
        <w:t xml:space="preserve">Samejima, F. (1969). Estimation of latent ability using a response pattern of graded scores. </w:t>
      </w:r>
      <w:r w:rsidDel="00000000" w:rsidR="00000000" w:rsidRPr="00000000">
        <w:rPr>
          <w:i w:val="1"/>
          <w:highlight w:val="white"/>
          <w:rtl w:val="0"/>
        </w:rPr>
        <w:t xml:space="preserve">Psychometrika monograph supplement</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164">
      <w:pPr>
        <w:shd w:fill="ffffff" w:val="clear"/>
        <w:spacing w:line="360" w:lineRule="auto"/>
        <w:ind w:left="709" w:hanging="709"/>
        <w:rPr>
          <w:highlight w:val="white"/>
          <w:u w:val="single"/>
        </w:rPr>
      </w:pPr>
      <w:r w:rsidDel="00000000" w:rsidR="00000000" w:rsidRPr="00000000">
        <w:rPr>
          <w:rtl w:val="0"/>
        </w:rPr>
        <w:t xml:space="preserve">Schreiner, A. S., Hayakawa, H., Morimoto, T., &amp; Kakuma, T. (2003). Screening for late life depression: cut‐off scores for the geriatric depression scale and the cornell scale for depression in dementia among japanese subjects. </w:t>
      </w:r>
      <w:r w:rsidDel="00000000" w:rsidR="00000000" w:rsidRPr="00000000">
        <w:rPr>
          <w:i w:val="1"/>
          <w:rtl w:val="0"/>
        </w:rPr>
        <w:t xml:space="preserve">International journal of geriatric psychiatry</w:t>
      </w:r>
      <w:r w:rsidDel="00000000" w:rsidR="00000000" w:rsidRPr="00000000">
        <w:rPr>
          <w:rtl w:val="0"/>
        </w:rPr>
        <w:t xml:space="preserve">, </w:t>
      </w:r>
      <w:r w:rsidDel="00000000" w:rsidR="00000000" w:rsidRPr="00000000">
        <w:rPr>
          <w:i w:val="1"/>
          <w:rtl w:val="0"/>
        </w:rPr>
        <w:t xml:space="preserve">18</w:t>
      </w:r>
      <w:r w:rsidDel="00000000" w:rsidR="00000000" w:rsidRPr="00000000">
        <w:rPr>
          <w:rtl w:val="0"/>
        </w:rPr>
        <w:t xml:space="preserve">(6), 498-505. </w:t>
      </w:r>
      <w:hyperlink r:id="rId34">
        <w:r w:rsidDel="00000000" w:rsidR="00000000" w:rsidRPr="00000000">
          <w:rPr>
            <w:highlight w:val="white"/>
            <w:u w:val="single"/>
            <w:rtl w:val="0"/>
          </w:rPr>
          <w:t xml:space="preserve">https://doi.org/10.1002/gps.880</w:t>
        </w:r>
      </w:hyperlink>
      <w:r w:rsidDel="00000000" w:rsidR="00000000" w:rsidRPr="00000000">
        <w:rPr>
          <w:rtl w:val="0"/>
        </w:rPr>
      </w:r>
    </w:p>
    <w:p w:rsidR="00000000" w:rsidDel="00000000" w:rsidP="00000000" w:rsidRDefault="00000000" w:rsidRPr="00000000" w14:paraId="00000165">
      <w:pPr>
        <w:shd w:fill="ffffff" w:val="clear"/>
        <w:spacing w:line="360" w:lineRule="auto"/>
        <w:ind w:left="709" w:hanging="709"/>
        <w:rPr>
          <w:highlight w:val="white"/>
        </w:rPr>
      </w:pPr>
      <w:r w:rsidDel="00000000" w:rsidR="00000000" w:rsidRPr="00000000">
        <w:rPr>
          <w:highlight w:val="white"/>
          <w:rtl w:val="0"/>
        </w:rPr>
        <w:t xml:space="preserve">Wang, Y. P., &amp; Gorenstein, C. (2013). Psychometric properties of the Beck Depression Inventory-II: a comprehensive review. </w:t>
      </w:r>
      <w:r w:rsidDel="00000000" w:rsidR="00000000" w:rsidRPr="00000000">
        <w:rPr>
          <w:i w:val="1"/>
          <w:highlight w:val="white"/>
          <w:rtl w:val="0"/>
        </w:rPr>
        <w:t xml:space="preserve">Brazilian Journal of Psychiatry</w:t>
      </w:r>
      <w:r w:rsidDel="00000000" w:rsidR="00000000" w:rsidRPr="00000000">
        <w:rPr>
          <w:highlight w:val="white"/>
          <w:rtl w:val="0"/>
        </w:rPr>
        <w:t xml:space="preserve">, </w:t>
      </w:r>
      <w:r w:rsidDel="00000000" w:rsidR="00000000" w:rsidRPr="00000000">
        <w:rPr>
          <w:i w:val="1"/>
          <w:highlight w:val="white"/>
          <w:rtl w:val="0"/>
        </w:rPr>
        <w:t xml:space="preserve">35</w:t>
      </w:r>
      <w:r w:rsidDel="00000000" w:rsidR="00000000" w:rsidRPr="00000000">
        <w:rPr>
          <w:highlight w:val="white"/>
          <w:rtl w:val="0"/>
        </w:rPr>
        <w:t xml:space="preserve">, 416-431.</w:t>
      </w:r>
    </w:p>
    <w:p w:rsidR="00000000" w:rsidDel="00000000" w:rsidP="00000000" w:rsidRDefault="00000000" w:rsidRPr="00000000" w14:paraId="00000166">
      <w:pPr>
        <w:shd w:fill="ffffff" w:val="clear"/>
        <w:spacing w:line="360" w:lineRule="auto"/>
        <w:ind w:left="709" w:hanging="709"/>
        <w:rPr>
          <w:u w:val="single"/>
        </w:rPr>
      </w:pPr>
      <w:r w:rsidDel="00000000" w:rsidR="00000000" w:rsidRPr="00000000">
        <w:rPr>
          <w:rtl w:val="0"/>
        </w:rPr>
        <w:t xml:space="preserve">Weissman, M. M., Bland, R. C., Canino, G. J., Faravelli, C., Greenwald, S., Hwu, H. G., ... &amp; Lépine, J. P. (1996). Cross-national epidemiology of major depression and bipolar disorder. </w:t>
      </w:r>
      <w:r w:rsidDel="00000000" w:rsidR="00000000" w:rsidRPr="00000000">
        <w:rPr>
          <w:i w:val="1"/>
          <w:rtl w:val="0"/>
        </w:rPr>
        <w:t xml:space="preserve">Jama,</w:t>
      </w:r>
      <w:r w:rsidDel="00000000" w:rsidR="00000000" w:rsidRPr="00000000">
        <w:rPr>
          <w:rtl w:val="0"/>
        </w:rPr>
        <w:t xml:space="preserve"> </w:t>
      </w:r>
      <w:r w:rsidDel="00000000" w:rsidR="00000000" w:rsidRPr="00000000">
        <w:rPr>
          <w:i w:val="1"/>
          <w:rtl w:val="0"/>
        </w:rPr>
        <w:t xml:space="preserve">276</w:t>
      </w:r>
      <w:r w:rsidDel="00000000" w:rsidR="00000000" w:rsidRPr="00000000">
        <w:rPr>
          <w:rtl w:val="0"/>
        </w:rPr>
        <w:t xml:space="preserve">(4), 293-299. </w:t>
      </w:r>
      <w:hyperlink r:id="rId35">
        <w:r w:rsidDel="00000000" w:rsidR="00000000" w:rsidRPr="00000000">
          <w:rPr>
            <w:u w:val="single"/>
            <w:rtl w:val="0"/>
          </w:rPr>
          <w:t xml:space="preserve">https://doi.org/10.1001/jama.1996.03540040037030</w:t>
        </w:r>
      </w:hyperlink>
      <w:r w:rsidDel="00000000" w:rsidR="00000000" w:rsidRPr="00000000">
        <w:rPr>
          <w:rtl w:val="0"/>
        </w:rPr>
      </w:r>
    </w:p>
    <w:p w:rsidR="00000000" w:rsidDel="00000000" w:rsidP="00000000" w:rsidRDefault="00000000" w:rsidRPr="00000000" w14:paraId="00000167">
      <w:pPr>
        <w:shd w:fill="ffffff" w:val="clear"/>
        <w:spacing w:line="360" w:lineRule="auto"/>
        <w:ind w:left="709" w:hanging="709"/>
        <w:rPr>
          <w:u w:val="single"/>
        </w:rPr>
      </w:pPr>
      <w:r w:rsidDel="00000000" w:rsidR="00000000" w:rsidRPr="00000000">
        <w:rPr>
          <w:rtl w:val="0"/>
        </w:rPr>
        <w:t xml:space="preserve">Yang, F.M., &amp; Kao, S. T. (2014) Item response theory for measurement validity. Shanghai Arch Psychiatry, 26(3), 171–177. </w:t>
      </w:r>
      <w:r w:rsidDel="00000000" w:rsidR="00000000" w:rsidRPr="00000000">
        <w:rPr>
          <w:u w:val="single"/>
          <w:rtl w:val="0"/>
        </w:rPr>
        <w:t xml:space="preserve">https://doi: 10.3969/j.issn.1002-0829.2014.03.010</w:t>
      </w:r>
    </w:p>
    <w:p w:rsidR="00000000" w:rsidDel="00000000" w:rsidP="00000000" w:rsidRDefault="00000000" w:rsidRPr="00000000" w14:paraId="00000168">
      <w:pPr>
        <w:shd w:fill="ffffff" w:val="clear"/>
        <w:spacing w:line="360" w:lineRule="auto"/>
        <w:ind w:left="709" w:hanging="709"/>
        <w:rPr>
          <w:i w:val="1"/>
        </w:rPr>
      </w:pPr>
      <w:r w:rsidDel="00000000" w:rsidR="00000000" w:rsidRPr="00000000">
        <w:rPr>
          <w:rtl w:val="0"/>
        </w:rPr>
        <w:t xml:space="preserve">Yesavage, J.A., Brink, T.L., Rose, T.L., Lum, O, Huang, V., &amp; Adey, M., (1893). Development and validation of a geriatric depression screening scale: a preliminary report</w:t>
      </w:r>
      <w:r w:rsidDel="00000000" w:rsidR="00000000" w:rsidRPr="00000000">
        <w:rPr>
          <w:i w:val="1"/>
          <w:rtl w:val="0"/>
        </w:rPr>
        <w:t xml:space="preserve">. Journal of Psychiatric Research</w:t>
      </w:r>
      <w:r w:rsidDel="00000000" w:rsidR="00000000" w:rsidRPr="00000000">
        <w:rPr>
          <w:rtl w:val="0"/>
        </w:rPr>
        <w:t xml:space="preserve">;17(1),37-49. </w:t>
      </w:r>
      <w:r w:rsidDel="00000000" w:rsidR="00000000" w:rsidRPr="00000000">
        <w:rPr>
          <w:rtl w:val="0"/>
        </w:rPr>
      </w:r>
    </w:p>
    <w:p w:rsidR="00000000" w:rsidDel="00000000" w:rsidP="00000000" w:rsidRDefault="00000000" w:rsidRPr="00000000" w14:paraId="00000169">
      <w:pPr>
        <w:shd w:fill="ffffff" w:val="clear"/>
        <w:spacing w:line="360" w:lineRule="auto"/>
        <w:ind w:left="709" w:hanging="709"/>
        <w:rPr/>
      </w:pPr>
      <w:r w:rsidDel="00000000" w:rsidR="00000000" w:rsidRPr="00000000">
        <w:rPr>
          <w:rtl w:val="0"/>
        </w:rPr>
        <w:t xml:space="preserve"> Zhang, Z., &amp; Yuan, K. H. (2018). </w:t>
      </w:r>
      <w:r w:rsidDel="00000000" w:rsidR="00000000" w:rsidRPr="00000000">
        <w:rPr>
          <w:i w:val="1"/>
          <w:rtl w:val="0"/>
        </w:rPr>
        <w:t xml:space="preserve">Practical statistical power analysis using Webpower and R</w:t>
      </w:r>
      <w:r w:rsidDel="00000000" w:rsidR="00000000" w:rsidRPr="00000000">
        <w:rPr>
          <w:rtl w:val="0"/>
        </w:rPr>
        <w:t xml:space="preserve">. ISDSA Press. </w:t>
      </w:r>
    </w:p>
    <w:p w:rsidR="00000000" w:rsidDel="00000000" w:rsidP="00000000" w:rsidRDefault="00000000" w:rsidRPr="00000000" w14:paraId="0000016A">
      <w:pPr>
        <w:shd w:fill="ffffff" w:val="clear"/>
        <w:spacing w:line="360" w:lineRule="auto"/>
        <w:ind w:left="709" w:hanging="709"/>
        <w:rPr/>
      </w:pPr>
      <w:r w:rsidDel="00000000" w:rsidR="00000000" w:rsidRPr="00000000">
        <w:rPr>
          <w:rtl w:val="0"/>
        </w:rPr>
        <w:t xml:space="preserve"> Zigmond, A. S., &amp; Snaith, R. P. (1983). The hospital anxiety and depression scale. </w:t>
      </w:r>
      <w:r w:rsidDel="00000000" w:rsidR="00000000" w:rsidRPr="00000000">
        <w:rPr>
          <w:i w:val="1"/>
          <w:rtl w:val="0"/>
        </w:rPr>
        <w:t xml:space="preserve">Acta psychiatrica scandinavica</w:t>
      </w:r>
      <w:r w:rsidDel="00000000" w:rsidR="00000000" w:rsidRPr="00000000">
        <w:rPr>
          <w:rtl w:val="0"/>
        </w:rPr>
        <w:t xml:space="preserve">, </w:t>
      </w:r>
      <w:r w:rsidDel="00000000" w:rsidR="00000000" w:rsidRPr="00000000">
        <w:rPr>
          <w:i w:val="1"/>
          <w:rtl w:val="0"/>
        </w:rPr>
        <w:t xml:space="preserve">67</w:t>
      </w:r>
      <w:r w:rsidDel="00000000" w:rsidR="00000000" w:rsidRPr="00000000">
        <w:rPr>
          <w:rtl w:val="0"/>
        </w:rPr>
        <w:t xml:space="preserve">(6), 361-370. </w:t>
      </w:r>
      <w:hyperlink r:id="rId36">
        <w:r w:rsidDel="00000000" w:rsidR="00000000" w:rsidRPr="00000000">
          <w:rPr>
            <w:highlight w:val="white"/>
            <w:u w:val="single"/>
            <w:rtl w:val="0"/>
          </w:rPr>
          <w:t xml:space="preserve">https://doi.org/10.1111/j.1600-0447.1983.tb09716.x</w:t>
        </w:r>
      </w:hyperlink>
      <w:r w:rsidDel="00000000" w:rsidR="00000000" w:rsidRPr="00000000">
        <w:rPr>
          <w:rtl w:val="0"/>
        </w:rPr>
      </w:r>
    </w:p>
    <w:p w:rsidR="00000000" w:rsidDel="00000000" w:rsidP="00000000" w:rsidRDefault="00000000" w:rsidRPr="00000000" w14:paraId="0000016B">
      <w:pPr>
        <w:shd w:fill="ffffff" w:val="clear"/>
        <w:spacing w:line="360" w:lineRule="auto"/>
        <w:ind w:left="709" w:hanging="709"/>
        <w:rPr/>
      </w:pPr>
      <w:r w:rsidDel="00000000" w:rsidR="00000000" w:rsidRPr="00000000">
        <w:rPr>
          <w:rtl w:val="0"/>
        </w:rPr>
        <w:t xml:space="preserve"> Zung, W. W. (1965). A self-rating depression scale. </w:t>
      </w:r>
      <w:r w:rsidDel="00000000" w:rsidR="00000000" w:rsidRPr="00000000">
        <w:rPr>
          <w:i w:val="1"/>
          <w:rtl w:val="0"/>
        </w:rPr>
        <w:t xml:space="preserve">Archives of general psychiatry</w:t>
      </w:r>
      <w:r w:rsidDel="00000000" w:rsidR="00000000" w:rsidRPr="00000000">
        <w:rPr>
          <w:rtl w:val="0"/>
        </w:rPr>
        <w:t xml:space="preserve">, </w:t>
      </w:r>
      <w:r w:rsidDel="00000000" w:rsidR="00000000" w:rsidRPr="00000000">
        <w:rPr>
          <w:i w:val="1"/>
          <w:rtl w:val="0"/>
        </w:rPr>
        <w:t xml:space="preserve">12</w:t>
      </w:r>
      <w:r w:rsidDel="00000000" w:rsidR="00000000" w:rsidRPr="00000000">
        <w:rPr>
          <w:rtl w:val="0"/>
        </w:rPr>
        <w:t xml:space="preserve">(1), 63-70. </w:t>
      </w:r>
      <w:r w:rsidDel="00000000" w:rsidR="00000000" w:rsidRPr="00000000">
        <w:rPr>
          <w:u w:val="single"/>
          <w:rtl w:val="0"/>
        </w:rPr>
        <w:t xml:space="preserve">https://doi:10.1001/archpsyc.1965.01720310065008</w:t>
      </w: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line="360" w:lineRule="auto"/>
        <w:ind w:firstLine="708"/>
        <w:jc w:val="both"/>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line="360" w:lineRule="auto"/>
        <w:ind w:firstLine="708"/>
        <w:jc w:val="both"/>
        <w:rPr/>
      </w:pPr>
      <w:r w:rsidDel="00000000" w:rsidR="00000000" w:rsidRPr="00000000">
        <w:rPr>
          <w:rtl w:val="0"/>
        </w:rPr>
      </w:r>
    </w:p>
    <w:sectPr>
      <w:headerReference r:id="rId37" w:type="default"/>
      <w:headerReference r:id="rId38" w:type="even"/>
      <w:footerReference r:id="rId39" w:type="default"/>
      <w:footerReference r:id="rId4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Verdan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center" w:pos="4680"/>
        <w:tab w:val="right" w:pos="9360"/>
      </w:tabs>
      <w:ind w:left="3960" w:firstLine="3960"/>
      <w:rPr>
        <w:rFonts w:ascii="Calibri" w:cs="Calibri" w:eastAsia="Calibri" w:hAnsi="Calibri"/>
        <w:color w:val="000000"/>
      </w:rPr>
    </w:pPr>
    <w:r w:rsidDel="00000000" w:rsidR="00000000" w:rsidRPr="00000000">
      <w:rPr>
        <w:rFonts w:ascii="Times" w:cs="Times" w:eastAsia="Times" w:hAnsi="Times"/>
        <w:color w:val="000000"/>
        <w:sz w:val="16"/>
        <w:szCs w:val="16"/>
        <w:rtl w:val="0"/>
      </w:rPr>
      <w:t xml:space="preserve">ARTICLE | </w:t>
    </w:r>
    <w:r w:rsidDel="00000000" w:rsidR="00000000" w:rsidRPr="00000000">
      <w:rPr>
        <w:rFonts w:ascii="Times" w:cs="Times" w:eastAsia="Times" w:hAnsi="Times"/>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center" w:pos="4680"/>
        <w:tab w:val="right" w:pos="9360"/>
      </w:tabs>
      <w:rPr>
        <w:rFonts w:ascii="Calibri" w:cs="Calibri" w:eastAsia="Calibri" w:hAnsi="Calibri"/>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center" w:pos="4680"/>
        <w:tab w:val="right" w:pos="9360"/>
      </w:tabs>
      <w:rPr>
        <w:rFonts w:ascii="Calibri" w:cs="Calibri" w:eastAsia="Calibri" w:hAnsi="Calibri"/>
        <w:color w:val="000000"/>
      </w:rPr>
    </w:pPr>
    <w:r w:rsidDel="00000000" w:rsidR="00000000" w:rsidRPr="00000000">
      <w:rPr>
        <w:rFonts w:ascii="Times" w:cs="Times" w:eastAsia="Times" w:hAnsi="Times"/>
        <w:color w:val="000000"/>
        <w:sz w:val="16"/>
        <w:szCs w:val="16"/>
        <w:rtl w:val="0"/>
      </w:rPr>
      <w:t xml:space="preserve">ARTICLE | </w:t>
    </w:r>
    <w:r w:rsidDel="00000000" w:rsidR="00000000" w:rsidRPr="00000000">
      <w:rPr>
        <w:rFonts w:ascii="Times" w:cs="Times" w:eastAsia="Times" w:hAnsi="Times"/>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pos="4680"/>
        <w:tab w:val="right" w:pos="9360"/>
      </w:tabs>
      <w:rPr>
        <w:rFonts w:ascii="Calibri" w:cs="Calibri" w:eastAsia="Calibri" w:hAnsi="Calibri"/>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center" w:pos="4680"/>
        <w:tab w:val="right" w:pos="9360"/>
      </w:tabs>
      <w:jc w:val="center"/>
      <w:rPr>
        <w:rFonts w:ascii="Times" w:cs="Times" w:eastAsia="Times" w:hAnsi="Times"/>
        <w:smallCaps w:val="1"/>
        <w:color w:val="000000"/>
        <w:sz w:val="20"/>
        <w:szCs w:val="20"/>
      </w:rPr>
    </w:pPr>
    <w:r w:rsidDel="00000000" w:rsidR="00000000" w:rsidRPr="00000000">
      <w:rPr>
        <w:rFonts w:ascii="Times" w:cs="Times" w:eastAsia="Times" w:hAnsi="Times"/>
        <w:smallCaps w:val="1"/>
        <w:color w:val="000000"/>
        <w:sz w:val="20"/>
        <w:szCs w:val="20"/>
        <w:rtl w:val="0"/>
      </w:rPr>
      <w:t xml:space="preserve">Manuscript submission model</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center" w:pos="4680"/>
        <w:tab w:val="right" w:pos="9360"/>
      </w:tabs>
      <w:jc w:val="right"/>
      <w:rPr>
        <w:rFonts w:ascii="Times" w:cs="Times" w:eastAsia="Times" w:hAnsi="Times"/>
        <w:i w:val="1"/>
        <w:color w:val="000000"/>
        <w:sz w:val="18"/>
        <w:szCs w:val="18"/>
      </w:rPr>
    </w:pPr>
    <w:r w:rsidDel="00000000" w:rsidR="00000000" w:rsidRPr="00000000">
      <w:rPr>
        <w:rFonts w:ascii="Times" w:cs="Times" w:eastAsia="Times" w:hAnsi="Times"/>
        <w:b w:val="1"/>
        <w:i w:val="1"/>
        <w:color w:val="000000"/>
        <w:sz w:val="18"/>
        <w:szCs w:val="18"/>
        <w:rtl w:val="0"/>
      </w:rPr>
      <w:t xml:space="preserve">Revista Interamericana de Psicología/Interamerican Journal of Psychology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64658</wp:posOffset>
          </wp:positionH>
          <wp:positionV relativeFrom="paragraph">
            <wp:posOffset>-253534</wp:posOffset>
          </wp:positionV>
          <wp:extent cx="681164" cy="628073"/>
          <wp:effectExtent b="0" l="0" r="0" t="0"/>
          <wp:wrapNone/>
          <wp:docPr id="6" name="image2.png"/>
          <a:graphic>
            <a:graphicData uri="http://schemas.openxmlformats.org/drawingml/2006/picture">
              <pic:pic>
                <pic:nvPicPr>
                  <pic:cNvPr id="0" name="image2.png"/>
                  <pic:cNvPicPr preferRelativeResize="0"/>
                </pic:nvPicPr>
                <pic:blipFill>
                  <a:blip r:embed="rId1"/>
                  <a:srcRect b="0" l="18661" r="0" t="0"/>
                  <a:stretch>
                    <a:fillRect/>
                  </a:stretch>
                </pic:blipFill>
                <pic:spPr>
                  <a:xfrm>
                    <a:off x="0" y="0"/>
                    <a:ext cx="681164" cy="628073"/>
                  </a:xfrm>
                  <a:prstGeom prst="rect"/>
                  <a:ln/>
                </pic:spPr>
              </pic:pic>
            </a:graphicData>
          </a:graphic>
        </wp:anchor>
      </w:drawing>
    </w:r>
  </w:p>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center" w:pos="4680"/>
        <w:tab w:val="right" w:pos="9360"/>
      </w:tabs>
      <w:jc w:val="right"/>
      <w:rPr>
        <w:rFonts w:ascii="Calibri" w:cs="Calibri" w:eastAsia="Calibri" w:hAnsi="Calibri"/>
        <w:color w:val="000000"/>
      </w:rPr>
    </w:pPr>
    <w:r w:rsidDel="00000000" w:rsidR="00000000" w:rsidRPr="00000000">
      <w:rPr>
        <w:rFonts w:ascii="Times" w:cs="Times" w:eastAsia="Times" w:hAnsi="Times"/>
        <w:i w:val="1"/>
        <w:color w:val="000000"/>
        <w:sz w:val="18"/>
        <w:szCs w:val="18"/>
        <w:rtl w:val="0"/>
      </w:rPr>
      <w:t xml:space="preserve">Manuscript submission model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 w:type="table" w:styleId="Table1">
    <w:basedOn w:val="TableNormal"/>
    <w:pPr>
      <w:pBdr>
        <w:top w:space="0" w:sz="0" w:val="nil"/>
        <w:left w:space="0" w:sz="0" w:val="nil"/>
        <w:bottom w:space="0" w:sz="0" w:val="nil"/>
        <w:right w:space="0" w:sz="0" w:val="nil"/>
        <w:between w:space="0" w:sz="0" w:val="nil"/>
      </w:pBdr>
    </w:pPr>
    <w:rPr>
      <w:sz w:val="22"/>
      <w:szCs w:val="22"/>
    </w:rPr>
    <w:tblPr>
      <w:tblStyleRowBandSize w:val="1"/>
      <w:tblStyleColBandSize w:val="1"/>
      <w:tblCellMar>
        <w:top w:w="0.0" w:type="dxa"/>
        <w:left w:w="115.0" w:type="dxa"/>
        <w:bottom w:w="0.0" w:type="dxa"/>
        <w:right w:w="115.0" w:type="dxa"/>
      </w:tblCellMar>
    </w:tblPr>
  </w:style>
  <w:style w:type="table" w:styleId="Table2">
    <w:basedOn w:val="TableNormal"/>
    <w:pPr>
      <w:pBdr>
        <w:top w:space="0" w:sz="0" w:val="nil"/>
        <w:left w:space="0" w:sz="0" w:val="nil"/>
        <w:bottom w:space="0" w:sz="0" w:val="nil"/>
        <w:right w:space="0" w:sz="0" w:val="nil"/>
        <w:between w:space="0" w:sz="0" w:val="nil"/>
      </w:pBdr>
    </w:pPr>
    <w:rPr>
      <w:sz w:val="22"/>
      <w:szCs w:val="22"/>
    </w:rPr>
    <w:tblPr>
      <w:tblStyleRowBandSize w:val="1"/>
      <w:tblStyleColBandSize w:val="1"/>
      <w:tblCellMar>
        <w:top w:w="0.0" w:type="dxa"/>
        <w:left w:w="115.0" w:type="dxa"/>
        <w:bottom w:w="0.0" w:type="dxa"/>
        <w:right w:w="115.0" w:type="dxa"/>
      </w:tblCellMar>
    </w:tblPr>
  </w:style>
  <w:style w:type="table" w:styleId="Table3">
    <w:basedOn w:val="TableNormal"/>
    <w:pPr>
      <w:pBdr>
        <w:top w:space="0" w:sz="0" w:val="nil"/>
        <w:left w:space="0" w:sz="0" w:val="nil"/>
        <w:bottom w:space="0" w:sz="0" w:val="nil"/>
        <w:right w:space="0" w:sz="0" w:val="nil"/>
        <w:between w:space="0" w:sz="0" w:val="nil"/>
      </w:pBdr>
    </w:pPr>
    <w:rPr>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 w:type="table" w:styleId="Table1">
    <w:basedOn w:val="TableNormal"/>
    <w:pPr>
      <w:pBdr>
        <w:top w:space="0" w:sz="0" w:val="nil"/>
        <w:left w:space="0" w:sz="0" w:val="nil"/>
        <w:bottom w:space="0" w:sz="0" w:val="nil"/>
        <w:right w:space="0" w:sz="0" w:val="nil"/>
        <w:between w:space="0" w:sz="0" w:val="nil"/>
      </w:pBdr>
    </w:pPr>
    <w:rPr>
      <w:sz w:val="22"/>
      <w:szCs w:val="22"/>
    </w:rPr>
    <w:tblPr>
      <w:tblStyleRowBandSize w:val="1"/>
      <w:tblStyleColBandSize w:val="1"/>
      <w:tblCellMar>
        <w:top w:w="0.0" w:type="dxa"/>
        <w:left w:w="115.0" w:type="dxa"/>
        <w:bottom w:w="0.0" w:type="dxa"/>
        <w:right w:w="115.0" w:type="dxa"/>
      </w:tblCellMar>
    </w:tblPr>
  </w:style>
  <w:style w:type="table" w:styleId="Table2">
    <w:basedOn w:val="TableNormal"/>
    <w:pPr>
      <w:pBdr>
        <w:top w:space="0" w:sz="0" w:val="nil"/>
        <w:left w:space="0" w:sz="0" w:val="nil"/>
        <w:bottom w:space="0" w:sz="0" w:val="nil"/>
        <w:right w:space="0" w:sz="0" w:val="nil"/>
        <w:between w:space="0" w:sz="0" w:val="nil"/>
      </w:pBdr>
    </w:pPr>
    <w:rPr>
      <w:sz w:val="22"/>
      <w:szCs w:val="22"/>
    </w:rPr>
    <w:tblPr>
      <w:tblStyleRowBandSize w:val="1"/>
      <w:tblStyleColBandSize w:val="1"/>
      <w:tblCellMar>
        <w:top w:w="0.0" w:type="dxa"/>
        <w:left w:w="115.0" w:type="dxa"/>
        <w:bottom w:w="0.0" w:type="dxa"/>
        <w:right w:w="115.0" w:type="dxa"/>
      </w:tblCellMar>
    </w:tblPr>
  </w:style>
  <w:style w:type="table" w:styleId="Table3">
    <w:basedOn w:val="TableNormal"/>
    <w:pPr>
      <w:pBdr>
        <w:top w:space="0" w:sz="0" w:val="nil"/>
        <w:left w:space="0" w:sz="0" w:val="nil"/>
        <w:bottom w:space="0" w:sz="0" w:val="nil"/>
        <w:right w:space="0" w:sz="0" w:val="nil"/>
        <w:between w:space="0" w:sz="0" w:val="nil"/>
      </w:pBdr>
    </w:pPr>
    <w:rPr>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hyperlink" Target="https://psycnet.apa.org/doi/10.1037/t00742-000" TargetMode="External"/><Relationship Id="rId22" Type="http://schemas.openxmlformats.org/officeDocument/2006/relationships/hyperlink" Target="https://doi.org/10.3389/fpubh.2018.00149" TargetMode="External"/><Relationship Id="rId21" Type="http://schemas.openxmlformats.org/officeDocument/2006/relationships/hyperlink" Target="https://doi.org/10.1590/s0034-89101995000500004" TargetMode="External"/><Relationship Id="rId24" Type="http://schemas.openxmlformats.org/officeDocument/2006/relationships/hyperlink" Target="https://doi.org/10.1016/j.parkreldis.2009.07.010" TargetMode="External"/><Relationship Id="rId23" Type="http://schemas.openxmlformats.org/officeDocument/2006/relationships/hyperlink" Target="https://doi.org/10.1590/s0004-282x200700050003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orcid.org/0000-0002-6525-3733" TargetMode="External"/><Relationship Id="rId26" Type="http://schemas.openxmlformats.org/officeDocument/2006/relationships/hyperlink" Target="https://doi.org/10.1155/2016/8196463" TargetMode="External"/><Relationship Id="rId25" Type="http://schemas.openxmlformats.org/officeDocument/2006/relationships/hyperlink" Target="https://dx.doi.org/10.1590/S1415-790X2010000300012" TargetMode="External"/><Relationship Id="rId28" Type="http://schemas.openxmlformats.org/officeDocument/2006/relationships/hyperlink" Target="https://doi.org/10.7334/psicothema2016.304" TargetMode="External"/><Relationship Id="rId27" Type="http://schemas.openxmlformats.org/officeDocument/2006/relationships/hyperlink" Target="https://doi.org/10.1177%2F0013164417719308"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1590/s0102-311x2008000500004" TargetMode="External"/><Relationship Id="rId7" Type="http://schemas.openxmlformats.org/officeDocument/2006/relationships/hyperlink" Target="https://orcid.org/0000-0001-7621-6789" TargetMode="External"/><Relationship Id="rId8" Type="http://schemas.openxmlformats.org/officeDocument/2006/relationships/hyperlink" Target="http://orcid.org/0000-0001-9415-0963" TargetMode="External"/><Relationship Id="rId31" Type="http://schemas.openxmlformats.org/officeDocument/2006/relationships/hyperlink" Target="https://www.paho.org/bra/index.php?option=com_content&amp;view=article&amp;id=5354:aumenta-o-numero-de-pessoas-com-depressao-no-mundo&amp;Itemid=839" TargetMode="External"/><Relationship Id="rId30" Type="http://schemas.openxmlformats.org/officeDocument/2006/relationships/hyperlink" Target="https://www.cdc.gov/nchs/icd/icd10.htm" TargetMode="External"/><Relationship Id="rId11" Type="http://schemas.openxmlformats.org/officeDocument/2006/relationships/hyperlink" Target="https://orcid.org/0000-0001-6716-0250" TargetMode="External"/><Relationship Id="rId33" Type="http://schemas.openxmlformats.org/officeDocument/2006/relationships/hyperlink" Target="https://doi.org/10.1590/S0047-20852011000300003" TargetMode="External"/><Relationship Id="rId10" Type="http://schemas.openxmlformats.org/officeDocument/2006/relationships/hyperlink" Target="https://orcid.org/0000-0003-3894-5790" TargetMode="External"/><Relationship Id="rId32" Type="http://schemas.openxmlformats.org/officeDocument/2006/relationships/hyperlink" Target="https://doi.org/10.1590/s0034-89102005000600008" TargetMode="External"/><Relationship Id="rId13" Type="http://schemas.openxmlformats.org/officeDocument/2006/relationships/image" Target="media/image4.png"/><Relationship Id="rId35" Type="http://schemas.openxmlformats.org/officeDocument/2006/relationships/hyperlink" Target="https://doi.org/10.1001/jama.1996.03540040037030" TargetMode="External"/><Relationship Id="rId12" Type="http://schemas.openxmlformats.org/officeDocument/2006/relationships/hyperlink" Target="mailto:thaisgaldino@live.com" TargetMode="External"/><Relationship Id="rId34" Type="http://schemas.openxmlformats.org/officeDocument/2006/relationships/hyperlink" Target="https://doi.org/10.1002/gps.880" TargetMode="External"/><Relationship Id="rId15" Type="http://schemas.openxmlformats.org/officeDocument/2006/relationships/hyperlink" Target="https://www.scielo.br/scielo.php?pid=S0004-282X2007000500037&amp;script=sci_arttext" TargetMode="External"/><Relationship Id="rId37" Type="http://schemas.openxmlformats.org/officeDocument/2006/relationships/header" Target="header2.xml"/><Relationship Id="rId14" Type="http://schemas.openxmlformats.org/officeDocument/2006/relationships/hyperlink" Target="https://psycnet.apa.org/record/1998-10557-001" TargetMode="External"/><Relationship Id="rId36" Type="http://schemas.openxmlformats.org/officeDocument/2006/relationships/hyperlink" Target="https://doi.org/10.1111/j.1600-0447.1983.tb09716.x" TargetMode="External"/><Relationship Id="rId17" Type="http://schemas.openxmlformats.org/officeDocument/2006/relationships/image" Target="media/image1.png"/><Relationship Id="rId39" Type="http://schemas.openxmlformats.org/officeDocument/2006/relationships/footer" Target="footer2.xml"/><Relationship Id="rId16" Type="http://schemas.openxmlformats.org/officeDocument/2006/relationships/image" Target="media/image3.png"/><Relationship Id="rId38" Type="http://schemas.openxmlformats.org/officeDocument/2006/relationships/header" Target="header1.xml"/><Relationship Id="rId19" Type="http://schemas.openxmlformats.org/officeDocument/2006/relationships/hyperlink" Target="https://doi.org/10.1007/s00406-002-0381-6" TargetMode="External"/><Relationship Id="rId18" Type="http://schemas.openxmlformats.org/officeDocument/2006/relationships/hyperlink" Target="https://doi.org/10.1016/0920-9964(90)90005-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ZoFfkQufaK9LTT8ByaQ6pERGog==">AMUW2mUFSmDY49bqQ4wgvoBYYwaZdY9XxBvPl/50NMrMEiiYy23cNL67FV6quAPjxrB2FUfO/RJOYLA8VnxPGa+Pgk2Qp2eySYsiIPZSnvDKXrPGKlEWWu0boxm5PgoBaSFg++drcFipgWGqToiK050P+TFj+lfErqgcjyStNTpWDx0wvNQV+kcTaZbLaGlwvByVB4qhI6rZbwFzwlhyDgw/xTUJBd/DGPbHVXNYo+Pbuj6EFQBubjQ=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