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12BC8CE" w14:textId="1F5F5C2C" w:rsidR="00742E4A" w:rsidRPr="00E25900" w:rsidRDefault="00153DC5" w:rsidP="00977250">
      <w:pPr>
        <w:pStyle w:val="Titulodeartculo"/>
        <w:rPr>
          <w:lang w:val="en-US" w:eastAsia="pt-BR"/>
        </w:rPr>
      </w:pPr>
      <w:r w:rsidRPr="002B2297">
        <w:rPr>
          <w:lang w:val="en-US"/>
        </w:rPr>
        <w:t xml:space="preserve"> </w:t>
      </w:r>
      <w:r w:rsidR="00824EA4" w:rsidRPr="00824EA4">
        <w:rPr>
          <w:lang w:val="en-US"/>
        </w:rPr>
        <w:t>Psychological impact of a country-wide lockdown. Role of personal, behavioral, social, and physical conditions on negative and positive affect and meaning in life</w:t>
      </w:r>
    </w:p>
    <w:p w14:paraId="166E5255" w14:textId="2E8511A3" w:rsidR="00C413D4" w:rsidRPr="00E25900" w:rsidRDefault="00C413D4" w:rsidP="00DE1119">
      <w:pPr>
        <w:rPr>
          <w:b/>
          <w:lang w:val="en-US"/>
        </w:rPr>
      </w:pPr>
    </w:p>
    <w:p w14:paraId="6C942DCA" w14:textId="77777777" w:rsidR="00B845A1" w:rsidRPr="009E37BF" w:rsidRDefault="00B845A1" w:rsidP="00C413D4">
      <w:pPr>
        <w:rPr>
          <w:i/>
          <w:sz w:val="28"/>
          <w:szCs w:val="28"/>
          <w:lang w:val="en-US"/>
        </w:rPr>
      </w:pPr>
    </w:p>
    <w:p w14:paraId="0BAD9FA3" w14:textId="098C1666" w:rsidR="00C413D4" w:rsidRPr="009E37BF" w:rsidRDefault="00C413D4" w:rsidP="00C413D4">
      <w:pPr>
        <w:rPr>
          <w:rFonts w:ascii="Times" w:hAnsi="Times"/>
          <w:i/>
          <w:sz w:val="28"/>
          <w:szCs w:val="28"/>
          <w:lang w:val="en-US"/>
        </w:rPr>
      </w:pPr>
      <w:r w:rsidRPr="00E25900">
        <w:rPr>
          <w:noProof/>
          <w:lang w:val="es-ES" w:eastAsia="es-ES"/>
        </w:rPr>
        <mc:AlternateContent>
          <mc:Choice Requires="wps">
            <w:drawing>
              <wp:anchor distT="4294967295" distB="4294967295" distL="114300" distR="114300" simplePos="0" relativeHeight="251657216" behindDoc="0" locked="0" layoutInCell="1" allowOverlap="1" wp14:anchorId="40A29C03" wp14:editId="61C057E6">
                <wp:simplePos x="0" y="0"/>
                <wp:positionH relativeFrom="column">
                  <wp:posOffset>0</wp:posOffset>
                </wp:positionH>
                <wp:positionV relativeFrom="paragraph">
                  <wp:posOffset>66674</wp:posOffset>
                </wp:positionV>
                <wp:extent cx="6172200" cy="0"/>
                <wp:effectExtent l="0" t="0" r="19050" b="19050"/>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6172200" cy="0"/>
                        </a:xfrm>
                        <a:prstGeom prst="line">
                          <a:avLst/>
                        </a:prstGeom>
                        <a:noFill/>
                        <a:ln w="25400" cap="flat" cmpd="sng" algn="ctr">
                          <a:solidFill>
                            <a:sysClr val="windowText" lastClr="000000"/>
                          </a:solidFill>
                          <a:prstDash val="solid"/>
                        </a:ln>
                        <a:effec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w:pict>
              <v:line w14:anchorId="34FA7680" id="Straight Connector 8" o:spid="_x0000_s1026" style="position:absolute;z-index:251657216;visibility:visible;mso-wrap-style:square;mso-width-percent:0;mso-height-percent:0;mso-wrap-distance-left:9pt;mso-wrap-distance-top:.mm;mso-wrap-distance-right:9pt;mso-wrap-distance-bottom:.mm;mso-position-horizontal:absolute;mso-position-horizontal-relative:text;mso-position-vertical:absolute;mso-position-vertical-relative:text;mso-width-percent:0;mso-height-percent:0;mso-width-relative:page;mso-height-relative:page" from="0,5.25pt" to="486pt,5.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oy0BzwEAAI4DAAAOAAAAZHJzL2Uyb0RvYy54bWysU02P2yAQvVfqf0DcGydRu11ZcfaQaHtZ&#10;tZGy/QGzGGxUYBBD4+TfdyAf3W1vVX1AwMw85r15Xj0cvRMHnchi6ORiNpdCB4W9DUMnvz8/friX&#10;gjKEHhwG3cmTJvmwfv9uNcVWL3FE1+skGCRQO8VOjjnHtmlIjdoDzTDqwEGDyUPmYxqaPsHE6N41&#10;y/n8rpkw9TGh0kR8uz0H5briG6NV/mYM6SxcJ7m3XNdU15eyNusVtEOCOFp1aQP+oQsPNvCjN6gt&#10;ZBA/k/0LyluVkNDkmULfoDFW6cqB2Szmf7DZjxB15cLiULzJRP8PVn097JKwfSd5UAE8j2ifE9hh&#10;zGKDIbCAmMR90WmK1HL6JuxSYaqOYR+fUP0gjjVvguVA8Zx2NMmXdKYqjlX30013fcxC8eXd4vOS&#10;hymFusYaaK+FMVH+otGLsumks6FIAi0cniiXp6G9ppTrgI/WuTpWF8TUyeWnjxUa2F3GQeZXfGS+&#10;FAYpwA1sW5VThSR0ti/lBYhOtHFJHICdw4brcXrmfqVwQJkDTKJ+RRlu4U1p6WcLNJ6La+iS5kKB&#10;1tWYl/Z/i1V2L9ifdumqKA+9ol8MWlz1+sz717/R+hcAAAD//wMAUEsDBBQABgAIAAAAIQAuWQrn&#10;3gAAAAsBAAAPAAAAZHJzL2Rvd25yZXYueG1sTI/NTsMwEITvSH0Haytxow6V+EvjVFURiHBrKRJH&#10;J94mEfY6st00vD2LOMBlpf1GOztTrCdnxYgh9p4UXC8yEEiNNz21Cg5vT1f3IGLSZLT1hAq+MMK6&#10;nF0UOjf+TDsc96kVbEIx1wq6lIZcyth06HRc+AGJtaMPTideQytN0Gc2d1Yus+xWOt0Tf+j0gNsO&#10;m8/9ySkYXscXrF04HN+fP6xPoWqrqVLqcj49rnhsViASTunvAn46cH4oOVjtT2SisAq4TWKa3YBg&#10;9eFuyaD+BbIs5P8O5TcAAAD//wMAUEsBAi0AFAAGAAgAAAAhALaDOJL+AAAA4QEAABMAAAAAAAAA&#10;AAAAAAAAAAAAAFtDb250ZW50X1R5cGVzXS54bWxQSwECLQAUAAYACAAAACEAOP0h/9YAAACUAQAA&#10;CwAAAAAAAAAAAAAAAAAvAQAAX3JlbHMvLnJlbHNQSwECLQAUAAYACAAAACEAFaMtAc8BAACOAwAA&#10;DgAAAAAAAAAAAAAAAAAuAgAAZHJzL2Uyb0RvYy54bWxQSwECLQAUAAYACAAAACEALlkK594AAAAL&#10;AQAADwAAAAAAAAAAAAAAAAApBAAAZHJzL2Rvd25yZXYueG1sUEsFBgAAAAAEAAQA8wAAADQFAAAA&#10;AA==&#10;" strokecolor="windowText" strokeweight="2pt">
                <o:lock v:ext="edit" shapetype="f"/>
              </v:line>
            </w:pict>
          </mc:Fallback>
        </mc:AlternateContent>
      </w:r>
    </w:p>
    <w:p w14:paraId="1B312314" w14:textId="77777777" w:rsidR="00C413D4" w:rsidRPr="009E37BF" w:rsidRDefault="00C413D4" w:rsidP="00C413D4">
      <w:pPr>
        <w:rPr>
          <w:b/>
          <w:sz w:val="20"/>
          <w:szCs w:val="20"/>
          <w:lang w:val="en-US"/>
        </w:rPr>
      </w:pPr>
    </w:p>
    <w:p w14:paraId="7A1D8FAB" w14:textId="5B1D7EDE" w:rsidR="00473579" w:rsidRDefault="00C413D4" w:rsidP="00473579">
      <w:pPr>
        <w:pStyle w:val="TtuloResumen"/>
        <w:rPr>
          <w:lang w:val="en-US"/>
        </w:rPr>
      </w:pPr>
      <w:r w:rsidRPr="00E25900">
        <w:rPr>
          <w:lang w:val="en-US"/>
        </w:rPr>
        <w:t>Abstract</w:t>
      </w:r>
    </w:p>
    <w:p w14:paraId="6A256081" w14:textId="404D8CC1" w:rsidR="00473579" w:rsidRPr="00E25900" w:rsidRDefault="00473579" w:rsidP="005B5614">
      <w:pPr>
        <w:jc w:val="both"/>
        <w:rPr>
          <w:sz w:val="20"/>
          <w:szCs w:val="20"/>
          <w:lang w:val="en-US"/>
        </w:rPr>
      </w:pPr>
      <w:r w:rsidRPr="00473579">
        <w:rPr>
          <w:sz w:val="20"/>
          <w:szCs w:val="20"/>
          <w:lang w:val="en-US"/>
        </w:rPr>
        <w:t>The spread of COVID-19 became the main public health risk for most countries in 2020. In Spain, emergency lockdown measures were imposed. Given this sudden situation, we measured with an online questionnaire (a) risk perception; (b) individual, social, and physical conditions of isolation; (c) a set of personal well-being indicators; and (d) a set of recommended coping behaviors. A total of 1343 adult residents in Spain participated in this correlational and cross-sectional study. We analyzed how the conditions of isolation and individual behaviors were related to positive and negative affect and meaning in life. We found that belonging to high-risk groups, age and employment status were related to health risk perception, and employment status was related to economic risk perception. We also found a relation between resilience and positive affect and meaning in life. Home isolation with family members was linked to negative affect and the availability and use of open spaces at home was related to positive affect. Additionally, we found that some of the recommended behaviors, like creative activities, maintaining daily routines and exercising were related to positive affect and meaning in life. In this study, we have identified personal, behavioral, social, and physical factors that can help mitigate the impact of a country-wide lockdown.</w:t>
      </w:r>
    </w:p>
    <w:p w14:paraId="547103FF" w14:textId="77777777" w:rsidR="00C413D4" w:rsidRPr="00E25900" w:rsidRDefault="00C413D4" w:rsidP="00C413D4">
      <w:pPr>
        <w:rPr>
          <w:sz w:val="20"/>
          <w:szCs w:val="20"/>
          <w:lang w:val="en-US"/>
        </w:rPr>
      </w:pPr>
    </w:p>
    <w:p w14:paraId="00DE32DF" w14:textId="77777777" w:rsidR="00C95109" w:rsidRDefault="00C413D4" w:rsidP="00C95109">
      <w:pPr>
        <w:rPr>
          <w:b/>
          <w:sz w:val="20"/>
          <w:szCs w:val="20"/>
          <w:lang w:val="en-US"/>
        </w:rPr>
      </w:pPr>
      <w:r w:rsidRPr="00E25900">
        <w:rPr>
          <w:b/>
          <w:sz w:val="20"/>
          <w:szCs w:val="20"/>
          <w:lang w:val="en-US"/>
        </w:rPr>
        <w:t>Keywords</w:t>
      </w:r>
    </w:p>
    <w:p w14:paraId="120FF658" w14:textId="6DA9A8DB" w:rsidR="00153DC5" w:rsidRPr="00C95109" w:rsidRDefault="00C95109" w:rsidP="00C95109">
      <w:pPr>
        <w:rPr>
          <w:b/>
          <w:sz w:val="20"/>
          <w:szCs w:val="20"/>
          <w:lang w:val="en-US"/>
        </w:rPr>
      </w:pPr>
      <w:r w:rsidRPr="00C95109">
        <w:rPr>
          <w:bCs/>
          <w:sz w:val="20"/>
          <w:szCs w:val="20"/>
          <w:lang w:val="en-US"/>
        </w:rPr>
        <w:t xml:space="preserve">COVID Lockdown, Positive Affect, Negative Affect, </w:t>
      </w:r>
      <w:proofErr w:type="gramStart"/>
      <w:r w:rsidRPr="00C95109">
        <w:rPr>
          <w:bCs/>
          <w:sz w:val="20"/>
          <w:szCs w:val="20"/>
          <w:lang w:val="en-US"/>
        </w:rPr>
        <w:t>Meaning</w:t>
      </w:r>
      <w:proofErr w:type="gramEnd"/>
      <w:r w:rsidRPr="00C95109">
        <w:rPr>
          <w:bCs/>
          <w:sz w:val="20"/>
          <w:szCs w:val="20"/>
          <w:lang w:val="en-US"/>
        </w:rPr>
        <w:t xml:space="preserve"> in life, Risk Perception, </w:t>
      </w:r>
      <w:r w:rsidR="00C51633">
        <w:rPr>
          <w:bCs/>
          <w:sz w:val="20"/>
          <w:szCs w:val="20"/>
          <w:lang w:val="en-US"/>
        </w:rPr>
        <w:t xml:space="preserve">Coping behaviors </w:t>
      </w:r>
    </w:p>
    <w:p w14:paraId="3C2A8692" w14:textId="46796CA0" w:rsidR="00153DC5" w:rsidRPr="00E25900" w:rsidRDefault="00153DC5" w:rsidP="007A7C7C">
      <w:pPr>
        <w:jc w:val="both"/>
        <w:rPr>
          <w:bCs/>
          <w:sz w:val="20"/>
          <w:szCs w:val="20"/>
          <w:lang w:val="en-US"/>
        </w:rPr>
      </w:pPr>
    </w:p>
    <w:p w14:paraId="57CB705B" w14:textId="42ED0BBE" w:rsidR="009E37BF" w:rsidRPr="00E44F8B" w:rsidRDefault="009E37BF" w:rsidP="00E44F8B">
      <w:pPr>
        <w:pBdr>
          <w:top w:val="nil"/>
          <w:left w:val="nil"/>
          <w:bottom w:val="nil"/>
          <w:right w:val="nil"/>
          <w:between w:val="nil"/>
        </w:pBdr>
        <w:spacing w:after="120"/>
        <w:jc w:val="center"/>
        <w:rPr>
          <w:b/>
          <w:smallCaps/>
          <w:color w:val="000000"/>
          <w:sz w:val="20"/>
          <w:szCs w:val="20"/>
          <w:lang w:val="es-ES"/>
        </w:rPr>
      </w:pPr>
      <w:r w:rsidRPr="00824EA4">
        <w:rPr>
          <w:b/>
          <w:smallCaps/>
          <w:color w:val="000000"/>
          <w:sz w:val="20"/>
          <w:szCs w:val="20"/>
          <w:lang w:val="es-ES"/>
        </w:rPr>
        <w:t>Resumen</w:t>
      </w:r>
    </w:p>
    <w:p w14:paraId="60FADF39" w14:textId="7CB87758" w:rsidR="00473579" w:rsidRDefault="00473579" w:rsidP="00E44F8B">
      <w:pPr>
        <w:jc w:val="both"/>
        <w:rPr>
          <w:sz w:val="20"/>
          <w:szCs w:val="20"/>
          <w:lang w:val="es-ES"/>
        </w:rPr>
      </w:pPr>
      <w:r w:rsidRPr="00473579">
        <w:rPr>
          <w:sz w:val="20"/>
          <w:szCs w:val="20"/>
          <w:lang w:val="es-ES"/>
        </w:rPr>
        <w:t>La propagación COVID-19 se convirtió en el principal riesgo para la salud pública en la mayoría de los países en 2020. En España, se implementaron medidas de confinamiento en el hogar. Se midió (a) la percepción de riesgo; (b) las condiciones individuales, sociales y físicas de confinamiento; (c) indicadores de bienestar personal; y (d) conductas de afrontamiento. Participaron 1343 residentes en España en este estudio correlacional y transversal. Se analizó cómo las condiciones de aislamiento y las conductas individuales se relacionan con el afecto positivo, negativo y el significado de la vida. Se observó que la pertenencia a grupos de alto riesgo, la edad y el estatus laboral se relacionan con la percepción de riesgo para la salud, y el estatus laboral se relaciona con la percepción de riesgo económico. También se observó una relación entre la resiliencia y el afecto positivo y el significado de la vida. El confinamiento en el hogar con miembros de la familia se relaciona con el afecto negativo y la disponibilidad y el uso de espacios abiertos en el hogar se relaciona con el afecto positivo. Además, se encontró que algunos de los comportamientos recomendados, como las actividades creativas, el mantenimiento de las rutinas diarias y el ejercicio, se relacionan con el afecto positivo y el significado de la vida. En este estudio, hemos identificado factores personales, conductuales, sociales y físicos que pueden ayudar a mitigar el impacto de un confinamiento a nivel nacional.</w:t>
      </w:r>
    </w:p>
    <w:p w14:paraId="32A22B7A" w14:textId="77777777" w:rsidR="009E37BF" w:rsidRPr="00824EA4" w:rsidRDefault="009E37BF" w:rsidP="009E37BF">
      <w:pPr>
        <w:rPr>
          <w:sz w:val="20"/>
          <w:szCs w:val="20"/>
          <w:lang w:val="es-ES"/>
        </w:rPr>
      </w:pPr>
    </w:p>
    <w:p w14:paraId="126AA7B0" w14:textId="46BA07EC" w:rsidR="009E37BF" w:rsidRPr="00824EA4" w:rsidRDefault="009E37BF" w:rsidP="009E37BF">
      <w:pPr>
        <w:jc w:val="both"/>
        <w:rPr>
          <w:b/>
          <w:sz w:val="20"/>
          <w:szCs w:val="20"/>
          <w:lang w:val="es-ES"/>
        </w:rPr>
      </w:pPr>
      <w:r w:rsidRPr="00824EA4">
        <w:rPr>
          <w:b/>
          <w:sz w:val="20"/>
          <w:szCs w:val="20"/>
          <w:lang w:val="es-ES"/>
        </w:rPr>
        <w:t>Palabras clave</w:t>
      </w:r>
    </w:p>
    <w:p w14:paraId="7189B82D" w14:textId="19631875" w:rsidR="00E55124" w:rsidRPr="00C736D3" w:rsidRDefault="00C736D3" w:rsidP="009E37BF">
      <w:pPr>
        <w:jc w:val="both"/>
        <w:rPr>
          <w:bCs/>
          <w:sz w:val="20"/>
          <w:szCs w:val="20"/>
          <w:lang w:val="es-ES"/>
        </w:rPr>
      </w:pPr>
      <w:r w:rsidRPr="00C736D3">
        <w:rPr>
          <w:bCs/>
          <w:sz w:val="20"/>
          <w:szCs w:val="20"/>
          <w:lang w:val="es-ES"/>
        </w:rPr>
        <w:t xml:space="preserve">Confinamiento COVID, Afecto Positivo, Afecto Negativo, Significado </w:t>
      </w:r>
      <w:r>
        <w:rPr>
          <w:bCs/>
          <w:sz w:val="20"/>
          <w:szCs w:val="20"/>
          <w:lang w:val="es-ES"/>
        </w:rPr>
        <w:t>de</w:t>
      </w:r>
      <w:r w:rsidRPr="00C736D3">
        <w:rPr>
          <w:bCs/>
          <w:sz w:val="20"/>
          <w:szCs w:val="20"/>
          <w:lang w:val="es-ES"/>
        </w:rPr>
        <w:t xml:space="preserve"> la vida, Percepción de Riesgo, C</w:t>
      </w:r>
      <w:r w:rsidR="00C51633">
        <w:rPr>
          <w:bCs/>
          <w:sz w:val="20"/>
          <w:szCs w:val="20"/>
          <w:lang w:val="es-ES"/>
        </w:rPr>
        <w:t>onductas de afrontamiento</w:t>
      </w:r>
      <w:r w:rsidRPr="00C736D3">
        <w:rPr>
          <w:bCs/>
          <w:sz w:val="20"/>
          <w:szCs w:val="20"/>
          <w:lang w:val="es-ES"/>
        </w:rPr>
        <w:t xml:space="preserve"> </w:t>
      </w:r>
      <w:r w:rsidR="00E55124" w:rsidRPr="00C736D3">
        <w:rPr>
          <w:bCs/>
          <w:noProof/>
          <w:sz w:val="20"/>
          <w:szCs w:val="20"/>
          <w:lang w:val="es-ES"/>
        </w:rPr>
        <w:drawing>
          <wp:anchor distT="0" distB="0" distL="114300" distR="114300" simplePos="0" relativeHeight="251660288" behindDoc="0" locked="0" layoutInCell="1" allowOverlap="1" wp14:anchorId="260AE470" wp14:editId="2AF90160">
            <wp:simplePos x="0" y="0"/>
            <wp:positionH relativeFrom="column">
              <wp:posOffset>5400675</wp:posOffset>
            </wp:positionH>
            <wp:positionV relativeFrom="page">
              <wp:posOffset>9181465</wp:posOffset>
            </wp:positionV>
            <wp:extent cx="396000" cy="259200"/>
            <wp:effectExtent l="0" t="0" r="0" b="0"/>
            <wp:wrapNone/>
            <wp:docPr id="3" name="Gráfico 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áfico 3">
                      <a:hlinkClick r:id="rId8"/>
                    </pic:cNvPr>
                    <pic:cNvPicPr/>
                  </pic:nvPicPr>
                  <pic:blipFill>
                    <a:blip r:embed="rId9">
                      <a:extLst>
                        <a:ext uri="{96DAC541-7B7A-43D3-8B79-37D633B846F1}">
                          <asvg:svgBlip xmlns:asvg="http://schemas.microsoft.com/office/drawing/2016/SVG/main" r:embed="rId10"/>
                        </a:ext>
                      </a:extLst>
                    </a:blip>
                    <a:stretch>
                      <a:fillRect/>
                    </a:stretch>
                  </pic:blipFill>
                  <pic:spPr>
                    <a:xfrm>
                      <a:off x="0" y="0"/>
                      <a:ext cx="396000" cy="259200"/>
                    </a:xfrm>
                    <a:prstGeom prst="rect">
                      <a:avLst/>
                    </a:prstGeom>
                  </pic:spPr>
                </pic:pic>
              </a:graphicData>
            </a:graphic>
            <wp14:sizeRelH relativeFrom="page">
              <wp14:pctWidth>0</wp14:pctWidth>
            </wp14:sizeRelH>
            <wp14:sizeRelV relativeFrom="page">
              <wp14:pctHeight>0</wp14:pctHeight>
            </wp14:sizeRelV>
          </wp:anchor>
        </w:drawing>
      </w:r>
    </w:p>
    <w:p w14:paraId="3B35E00C" w14:textId="77777777" w:rsidR="00483D6B" w:rsidRPr="006A538A" w:rsidRDefault="00483D6B" w:rsidP="00B6522A">
      <w:pPr>
        <w:rPr>
          <w:b/>
          <w:lang w:val="es-ES"/>
        </w:rPr>
      </w:pPr>
    </w:p>
    <w:p w14:paraId="3F538DA7" w14:textId="1A475F09" w:rsidR="00153DC5" w:rsidRPr="00E25900" w:rsidRDefault="0059034C" w:rsidP="007A7CDC">
      <w:pPr>
        <w:pStyle w:val="Ttuloprincipiodeartculo"/>
        <w:rPr>
          <w:lang w:val="es-AR"/>
        </w:rPr>
      </w:pPr>
      <w:r w:rsidRPr="009E37BF">
        <w:rPr>
          <w:lang w:val="es-AR"/>
        </w:rPr>
        <w:br w:type="page"/>
      </w:r>
      <w:r w:rsidR="00316E20" w:rsidRPr="00316E20">
        <w:rPr>
          <w:lang w:val="es-AR"/>
        </w:rPr>
        <w:lastRenderedPageBreak/>
        <w:t>Impacto psicológico de un confinamiento a nivel nacional. El papel de las condiciones personales, conductuales, sociales y físicas en el afecto negativo</w:t>
      </w:r>
      <w:r w:rsidR="00DE3790">
        <w:rPr>
          <w:lang w:val="es-AR"/>
        </w:rPr>
        <w:t xml:space="preserve">, </w:t>
      </w:r>
      <w:r w:rsidR="00316E20" w:rsidRPr="00316E20">
        <w:rPr>
          <w:lang w:val="es-AR"/>
        </w:rPr>
        <w:t>positivo y el significado de la vida</w:t>
      </w:r>
    </w:p>
    <w:p w14:paraId="4FA726CB" w14:textId="0CA97B8C" w:rsidR="006A1BA2" w:rsidRPr="0042142D" w:rsidRDefault="00153DC5" w:rsidP="00CE7D65">
      <w:pPr>
        <w:pStyle w:val="Ttulosinternos"/>
        <w:rPr>
          <w:bCs/>
        </w:rPr>
      </w:pPr>
      <w:r w:rsidRPr="0042142D">
        <w:t>Introduction</w:t>
      </w:r>
    </w:p>
    <w:p w14:paraId="6AD3C68F" w14:textId="2E24626E" w:rsidR="00B82B43" w:rsidRDefault="00B82B43" w:rsidP="008773B6">
      <w:pPr>
        <w:pStyle w:val="Prrafocomn"/>
      </w:pPr>
      <w:r w:rsidRPr="00B82B43">
        <w:t>Infection and spread of SARS-CoV-2, better known as COVID-19, became the main public health risk for most countries in 2020. When it came to controlling the disease, the strategy implemented in most of the affected countries involved adopting lockdown measures, following recommendations from the World Health Organization (WHO, 2020a). Spain is the European country that, after Italy, suffered the earliest impact and one of the highest numbers of infections and deaths caused by the COVID-19 pandemic (WHO/Europe, 2020). On March 12th 2020, the Spanish government declared a state of emergency, implemented lockdown measures and, as in most European countries, imposed severe restrictions on mobility and compulsory home isolation for the majority of the population, resulting in approximately 47,000,000 people being confined to their homes. During the first week of the state of emergency, more than 17,000 cases had already been diagnosed and more than 1,000 people had died. On March 22, 2020, the Spanish Government extended the state of emergency and on March 28, 2020, strengthened lockdown measures. All economic activities were banned, except those covering the basic needs of the population (e.g., security and health services, grocery stores, pharmacies or gas stations, etc.). In all, COVID-19 led to a strict lockdown of over 50 days in Spain, followed by progressive de-escalation measures. While from a public health perspective, the magnitude of COVID-19 infection and its impact on the health care systems is unprecedented, the strict and massive lockdown of the majority of a country’s population for such a prolonged period of time is an absolutely novel social circumstance, with psychological, social, and community implications. The aim of this research is to identify the psychosocial effects caused by the massive lockdown of the Spanish population.</w:t>
      </w:r>
    </w:p>
    <w:p w14:paraId="44E0E1B7" w14:textId="18BD3DB0" w:rsidR="00313E35" w:rsidRDefault="00313E35" w:rsidP="008773B6">
      <w:pPr>
        <w:pStyle w:val="Prrafocomn"/>
      </w:pPr>
      <w:r w:rsidRPr="00313E35">
        <w:t xml:space="preserve">There is previous evidence of the psychological impact of lockdown measures related to various outbreaks such as SARS, Ebola, H1N1 or MERS. In general, people who have been quarantined tend to report symptoms of general psychological distress, as well as emotional disturbance (e.g., emotional exhaustion, irritability, or anger) or even symptoms of post-traumatic stress (Cowling et al., 2010; Green et al., 2018; Liu et al., 2012; Peng et al., 2010). Most research addressing the psychological impact of confinement focuses on the analysis of the negative effects </w:t>
      </w:r>
      <w:r w:rsidRPr="00313E35">
        <w:lastRenderedPageBreak/>
        <w:t xml:space="preserve">and risks involved, either during confinement or afterwards. Recent work on COVID-19, involving either the general population, health professionals, or infected patients, has developed in a similar manner (Bo et al., 2020; Cao et al., 2020; Li et al., 2020; </w:t>
      </w:r>
      <w:proofErr w:type="spellStart"/>
      <w:r w:rsidRPr="00313E35">
        <w:t>Lohiniva</w:t>
      </w:r>
      <w:proofErr w:type="spellEnd"/>
      <w:r w:rsidRPr="00313E35">
        <w:t xml:space="preserve"> et al., 2020; Wang et al., 2020). </w:t>
      </w:r>
      <w:r w:rsidRPr="00313E35">
        <w:rPr>
          <w:highlight w:val="yellow"/>
        </w:rPr>
        <w:t>However, lockdown situations analyzed prior to the COVID-19 pandemic provide only partial evidence on the psychological impact associated to the extent and duration of confinement and, even less evidence on the impact of uncertainty regarding its long-term duration (Hossain et al., 2020).</w:t>
      </w:r>
    </w:p>
    <w:p w14:paraId="75DCE28B" w14:textId="1DC823BC" w:rsidR="00313E35" w:rsidRDefault="00313E35" w:rsidP="008773B6">
      <w:pPr>
        <w:pStyle w:val="Prrafocomn"/>
      </w:pPr>
      <w:r w:rsidRPr="00313E35">
        <w:t xml:space="preserve">Moreover, the risks associated with confinement are not limited exclusively to physical or mental health conditions. These negative effects are also linked to broad social aspects of daily life, such as neighborhood and family relationships, or economic conditions (Ko et al., 2006; </w:t>
      </w:r>
      <w:proofErr w:type="spellStart"/>
      <w:r w:rsidRPr="00313E35">
        <w:t>Mihashi</w:t>
      </w:r>
      <w:proofErr w:type="spellEnd"/>
      <w:r w:rsidRPr="00313E35">
        <w:t xml:space="preserve"> et al., 2009). </w:t>
      </w:r>
      <w:r w:rsidRPr="00313E35">
        <w:rPr>
          <w:highlight w:val="yellow"/>
        </w:rPr>
        <w:t>The differential impact of the negative effects of confinement also needs to be considered. Children and at-risk populations such as the elderly, people who have been institutionalized or are economically vulnerable, may be particularly affected (Scholten et al., 2020)</w:t>
      </w:r>
      <w:r w:rsidRPr="00313E35">
        <w:t>. In any case, it is important to note that the negative impact of confinement is neither widespread nor direct. Several factors have been identified that can exacerbate the psychological damage associated with COVID-19 quarantine, such as length of confinement, inadequate supplies and poor environmental conditions, fear of infection, or frustration and boredom (Brooks et al., 2020).</w:t>
      </w:r>
    </w:p>
    <w:p w14:paraId="220F9487" w14:textId="72C67A76" w:rsidR="000E035C" w:rsidRDefault="000E035C" w:rsidP="008773B6">
      <w:pPr>
        <w:pStyle w:val="Prrafocomn"/>
      </w:pPr>
      <w:r w:rsidRPr="000E035C">
        <w:t xml:space="preserve">There is less systematic evidence on what might be mitigating the negative effects of quarantine and what factors might act to protect psychological well-being. For example, family income stability and living with parents versus living alone were identified as protective factors against anxiety, in Hubei college students, during the COVID-19 outbreak in China (Cao et al., 2020). </w:t>
      </w:r>
      <w:r w:rsidRPr="000E035C">
        <w:rPr>
          <w:highlight w:val="yellow"/>
        </w:rPr>
        <w:t xml:space="preserve">Moreover, Corral-Verdugo et al. (2021) when working with a sample of the </w:t>
      </w:r>
      <w:proofErr w:type="spellStart"/>
      <w:r w:rsidRPr="000E035C">
        <w:rPr>
          <w:highlight w:val="yellow"/>
        </w:rPr>
        <w:t>mexican</w:t>
      </w:r>
      <w:proofErr w:type="spellEnd"/>
      <w:r w:rsidRPr="000E035C">
        <w:rPr>
          <w:highlight w:val="yellow"/>
        </w:rPr>
        <w:t xml:space="preserve"> population, 3 months after the onset of the pandemic in Mexico, found that family and social support, as well as access to certain types of physical infrastructure (open-air spaces, nearby natural areas or areas for physical activity) acted as positive environmental resources and significantly influenced precautionary behaviors against COVID-19 and hedonic well-being</w:t>
      </w:r>
      <w:r w:rsidRPr="000E035C">
        <w:t>.</w:t>
      </w:r>
    </w:p>
    <w:p w14:paraId="4354F648" w14:textId="14029981" w:rsidR="000E035C" w:rsidRDefault="000E035C" w:rsidP="008773B6">
      <w:pPr>
        <w:pStyle w:val="Prrafocomn"/>
      </w:pPr>
      <w:r w:rsidRPr="000E035C">
        <w:t xml:space="preserve">In addition to the existence of factors that moderate the impact of confinement, the consequences of isolation may emerge with a wide range of expressions. </w:t>
      </w:r>
      <w:r w:rsidRPr="000E035C">
        <w:rPr>
          <w:highlight w:val="yellow"/>
        </w:rPr>
        <w:t xml:space="preserve">For example, </w:t>
      </w:r>
      <w:proofErr w:type="spellStart"/>
      <w:r w:rsidRPr="000E035C">
        <w:rPr>
          <w:highlight w:val="yellow"/>
        </w:rPr>
        <w:t>Trzebiński</w:t>
      </w:r>
      <w:proofErr w:type="spellEnd"/>
      <w:r w:rsidRPr="000E035C">
        <w:rPr>
          <w:highlight w:val="yellow"/>
        </w:rPr>
        <w:t xml:space="preserve"> et al., (2020) note that reactions to the COVID-19 Pandemic might be influenced by the convictions and general positive assumptions that people have regarding the social world and their </w:t>
      </w:r>
      <w:r w:rsidRPr="000E035C">
        <w:rPr>
          <w:highlight w:val="yellow"/>
        </w:rPr>
        <w:lastRenderedPageBreak/>
        <w:t>own lives. In a study conducted during the start of the pandemic in Poland, these authors identified that basic hope on the world’s orderliness and positivity, was significantly and negatively related to the anxiety and stress associated to COVID-19 lockdown. This relationship, in turn, was mediated by Meaning in life, which was defined as the extent to which one’s life is experienced as making sense, as being directed and motivated by valued goals, and as mattering in the world (George &amp; Park, 2016. Page 205). Similarly, meaning in life was significantly and positively related to emotional, problem-focused and meaning-focused coping strategies developed by healthcare workers during the COVID-19 pandemic (</w:t>
      </w:r>
      <w:proofErr w:type="spellStart"/>
      <w:r w:rsidRPr="000E035C">
        <w:rPr>
          <w:highlight w:val="yellow"/>
        </w:rPr>
        <w:t>Krok</w:t>
      </w:r>
      <w:proofErr w:type="spellEnd"/>
      <w:r w:rsidRPr="000E035C">
        <w:rPr>
          <w:highlight w:val="yellow"/>
        </w:rPr>
        <w:t xml:space="preserve"> &amp; </w:t>
      </w:r>
      <w:proofErr w:type="spellStart"/>
      <w:r w:rsidRPr="000E035C">
        <w:rPr>
          <w:highlight w:val="yellow"/>
        </w:rPr>
        <w:t>Zarzycka</w:t>
      </w:r>
      <w:proofErr w:type="spellEnd"/>
      <w:r w:rsidRPr="000E035C">
        <w:rPr>
          <w:highlight w:val="yellow"/>
        </w:rPr>
        <w:t>, 2020).</w:t>
      </w:r>
    </w:p>
    <w:p w14:paraId="42C7A73B" w14:textId="26252647" w:rsidR="000E035C" w:rsidRDefault="000E035C" w:rsidP="008773B6">
      <w:pPr>
        <w:pStyle w:val="Prrafocomn"/>
      </w:pPr>
      <w:r w:rsidRPr="000E035C">
        <w:t xml:space="preserve">For their part, Weber et al. (2019) observed that negative affect was not altered by isolation, in contrast, positive affect tended to decrease as confinement progressed. A similar pattern of emotional response is identified in confinement under extreme environments (e.g., Sandal et al., 2018). Likewise, being confined with others can have paradoxical effects, such as expressing a need to interact with others but with little intimacy, or expecting others to establish close relationships but preferring to maintain little social interaction (Paul et al., 2010). Emotional responses to these situations are therefore not universally negative and can be expressed through a variety of consequences that are not necessarily limited to an increase in negative emotions. </w:t>
      </w:r>
      <w:r w:rsidRPr="000E035C">
        <w:rPr>
          <w:highlight w:val="yellow"/>
        </w:rPr>
        <w:t>For instance, such contrasting outcomes can be found in relation to cognitive reappraisal. As a coping strategy, it has a positive influence on mental well-being, but is also linked to an increase in the perception of risk regarding COVID-19 (</w:t>
      </w:r>
      <w:proofErr w:type="spellStart"/>
      <w:r w:rsidRPr="000E035C">
        <w:rPr>
          <w:highlight w:val="yellow"/>
        </w:rPr>
        <w:t>Schudy</w:t>
      </w:r>
      <w:proofErr w:type="spellEnd"/>
      <w:r w:rsidRPr="000E035C">
        <w:rPr>
          <w:highlight w:val="yellow"/>
        </w:rPr>
        <w:t xml:space="preserve"> et al., 2020). There is also evidence of cultural differences in the emotional response to the pandemic. US residents of Latin American origin differed from non-Latinos in their perception of susceptibility and in their acceptance of the affective tone in messaging on protective measures against COVID-19 (</w:t>
      </w:r>
      <w:proofErr w:type="spellStart"/>
      <w:r w:rsidRPr="000E035C">
        <w:rPr>
          <w:highlight w:val="yellow"/>
        </w:rPr>
        <w:t>Shelus</w:t>
      </w:r>
      <w:proofErr w:type="spellEnd"/>
      <w:r w:rsidRPr="000E035C">
        <w:rPr>
          <w:highlight w:val="yellow"/>
        </w:rPr>
        <w:t xml:space="preserve"> et al., 2020). Similarly, parental perception of the emotional effects of COVID-19 quarantine on children was different when comparing samples from </w:t>
      </w:r>
      <w:proofErr w:type="spellStart"/>
      <w:r w:rsidRPr="000E035C">
        <w:rPr>
          <w:highlight w:val="yellow"/>
        </w:rPr>
        <w:t>italian</w:t>
      </w:r>
      <w:proofErr w:type="spellEnd"/>
      <w:r w:rsidRPr="000E035C">
        <w:rPr>
          <w:highlight w:val="yellow"/>
        </w:rPr>
        <w:t xml:space="preserve"> and </w:t>
      </w:r>
      <w:proofErr w:type="spellStart"/>
      <w:r w:rsidRPr="000E035C">
        <w:rPr>
          <w:highlight w:val="yellow"/>
        </w:rPr>
        <w:t>spanish</w:t>
      </w:r>
      <w:proofErr w:type="spellEnd"/>
      <w:r w:rsidRPr="000E035C">
        <w:rPr>
          <w:highlight w:val="yellow"/>
        </w:rPr>
        <w:t xml:space="preserve"> families. Spanish parents perceived more adverse psychological and behavioral effects on their children (</w:t>
      </w:r>
      <w:proofErr w:type="spellStart"/>
      <w:r w:rsidRPr="000E035C">
        <w:rPr>
          <w:highlight w:val="yellow"/>
        </w:rPr>
        <w:t>Orgilés</w:t>
      </w:r>
      <w:proofErr w:type="spellEnd"/>
      <w:r w:rsidRPr="000E035C">
        <w:rPr>
          <w:highlight w:val="yellow"/>
        </w:rPr>
        <w:t xml:space="preserve"> et al., 2020).</w:t>
      </w:r>
    </w:p>
    <w:p w14:paraId="7A3A3F31" w14:textId="0E0045AC" w:rsidR="000E035C" w:rsidRDefault="000E035C" w:rsidP="008773B6">
      <w:pPr>
        <w:pStyle w:val="Prrafocomn"/>
      </w:pPr>
      <w:r w:rsidRPr="000E035C">
        <w:t xml:space="preserve">Following guidelines established by the World Health Organization (WHO, 2020a), in order to reduce the risk of developing mental health problems, </w:t>
      </w:r>
      <w:proofErr w:type="spellStart"/>
      <w:r w:rsidRPr="000E035C">
        <w:t>Fiorillo</w:t>
      </w:r>
      <w:proofErr w:type="spellEnd"/>
      <w:r w:rsidRPr="000E035C">
        <w:t xml:space="preserve"> and </w:t>
      </w:r>
      <w:proofErr w:type="spellStart"/>
      <w:r w:rsidRPr="000E035C">
        <w:t>Gorwood</w:t>
      </w:r>
      <w:proofErr w:type="spellEnd"/>
      <w:r w:rsidRPr="000E035C">
        <w:t xml:space="preserve"> (2020) note the importance of promoting a series of basic positive coping strategies among the population confined by the COVID-19 pandemic. These include: a) Increasing video communication with friends and family members to proactively break isolation. b) Maintaining regular daily routines, including sleep-wake and diet patterns. c) Developing intellectual, physical, and virtual social </w:t>
      </w:r>
      <w:r w:rsidRPr="000E035C">
        <w:lastRenderedPageBreak/>
        <w:t>activities. d) Focusing on the benefit of confinement both for one’s own health and others, by mitigating and finally stopping the pandemic’s negative effects. However, maintaining precautionary measures or recommended behaviors could be affected by the severity of the situation or the concern of individuals (</w:t>
      </w:r>
      <w:proofErr w:type="spellStart"/>
      <w:r w:rsidRPr="000E035C">
        <w:t>Prati</w:t>
      </w:r>
      <w:proofErr w:type="spellEnd"/>
      <w:r w:rsidRPr="000E035C">
        <w:t xml:space="preserve"> et al., 2011).</w:t>
      </w:r>
    </w:p>
    <w:p w14:paraId="3B7D8C76" w14:textId="2B15FD9B" w:rsidR="000E035C" w:rsidRDefault="000E035C" w:rsidP="008773B6">
      <w:pPr>
        <w:pStyle w:val="Prrafocomn"/>
      </w:pPr>
      <w:r w:rsidRPr="000E035C">
        <w:t xml:space="preserve">There is evidence that positive actions increase positive emotions, alleviate negative ones and satisfy psychological needs like autonomy, purpose, competence or connectedness (e.g., Shin et al., 2018). Resilience also has a positive influence on psychological coherence, subjective well-being, positive emotions, proactive coping behaviors, or cohesive relationships (Moore et al., 2014) and is inversely linked with psychological distress (Lee et al., 2018; Osofsky et al., 2011). </w:t>
      </w:r>
      <w:r w:rsidRPr="000E035C">
        <w:rPr>
          <w:highlight w:val="yellow"/>
        </w:rPr>
        <w:t>Connor and Davidson (2003) consider resilience as a measure of people’s ability to successfully cope with the stress produced by an adverse situation. Under such situations, resilience drives a more positive coping and adaptive recovery, which in turn leads to further empowerment.</w:t>
      </w:r>
      <w:r w:rsidRPr="000E035C">
        <w:t xml:space="preserve"> As such, psychological resilience can also act as a protective measure during strict lockdown. </w:t>
      </w:r>
      <w:r w:rsidRPr="000E035C">
        <w:rPr>
          <w:highlight w:val="yellow"/>
        </w:rPr>
        <w:t xml:space="preserve">After comparing psychiatric patients with unaffected relatives and the general </w:t>
      </w:r>
      <w:proofErr w:type="spellStart"/>
      <w:r w:rsidRPr="000E035C">
        <w:rPr>
          <w:highlight w:val="yellow"/>
        </w:rPr>
        <w:t>spanish</w:t>
      </w:r>
      <w:proofErr w:type="spellEnd"/>
      <w:r w:rsidRPr="000E035C">
        <w:rPr>
          <w:highlight w:val="yellow"/>
        </w:rPr>
        <w:t xml:space="preserve"> population, </w:t>
      </w:r>
      <w:proofErr w:type="spellStart"/>
      <w:r w:rsidRPr="000E035C">
        <w:rPr>
          <w:highlight w:val="yellow"/>
        </w:rPr>
        <w:t>Verdolini</w:t>
      </w:r>
      <w:proofErr w:type="spellEnd"/>
      <w:r w:rsidRPr="000E035C">
        <w:rPr>
          <w:highlight w:val="yellow"/>
        </w:rPr>
        <w:t xml:space="preserve"> et al. (2021) reported that psychiatric patients experienced worse overall resilience and experienced more unpleasant events during lockdown. Similar results were also obtained by </w:t>
      </w:r>
      <w:proofErr w:type="spellStart"/>
      <w:r w:rsidRPr="000E035C">
        <w:rPr>
          <w:highlight w:val="yellow"/>
        </w:rPr>
        <w:t>Barzilay</w:t>
      </w:r>
      <w:proofErr w:type="spellEnd"/>
      <w:r w:rsidRPr="000E035C">
        <w:rPr>
          <w:highlight w:val="yellow"/>
        </w:rPr>
        <w:t xml:space="preserve"> et al. (2020) with a large sample of the general U.S. and Israeli population, in which people with higher levels of resilience had less generalized anxiety and depression, and perceived less risk (contracting or dying from COVID-19, infecting others and financial burden due to COVID-19). Moreover, a number of factors have been identified that have an impact on psychological resilience to the COVID-19 outbreak, both positive (perceived social support, healthy routines, outdoor activities) and negative (socioeconomic vulnerability, duration of mandatory confinement, needing greater help from others to recover from the impact of COVID-19) (Ferreira et al., 2020; Hou et al., 2020; </w:t>
      </w:r>
      <w:proofErr w:type="spellStart"/>
      <w:r w:rsidRPr="000E035C">
        <w:rPr>
          <w:highlight w:val="yellow"/>
        </w:rPr>
        <w:t>Killgore</w:t>
      </w:r>
      <w:proofErr w:type="spellEnd"/>
      <w:r w:rsidRPr="000E035C">
        <w:rPr>
          <w:highlight w:val="yellow"/>
        </w:rPr>
        <w:t xml:space="preserve"> et al., 2020).</w:t>
      </w:r>
    </w:p>
    <w:p w14:paraId="517ED3E3" w14:textId="3D7D1237" w:rsidR="00B82B43" w:rsidRDefault="00596F07" w:rsidP="00596F07">
      <w:pPr>
        <w:pStyle w:val="Prrafocomn"/>
      </w:pPr>
      <w:r w:rsidRPr="00596F07">
        <w:t xml:space="preserve">Therefore, one way to lessen the negative effects of psychological distress could involve analyzing any existing relationships between personal and social conditions during lockdown, affective reactions and psychological well-being. The aim of this study is to analyze the affective response during the initial period of mandatory home lockdown during the COVID-19 outbreak in Spain. Specifically, to analyze: a) risk perception regarding personal health and economic conditions; b) the impact of others and environmental conditions during home isolation on personal </w:t>
      </w:r>
      <w:r w:rsidRPr="00596F07">
        <w:lastRenderedPageBreak/>
        <w:t>well-being (positive affect, negative affect and meaning in life); c) the influence of psychological resilience and positive coping activities as factors promoting well-being.</w:t>
      </w:r>
    </w:p>
    <w:p w14:paraId="2254AC27" w14:textId="06CA9A42" w:rsidR="006F7E7E" w:rsidRPr="00E25900" w:rsidRDefault="001516ED" w:rsidP="001516ED">
      <w:pPr>
        <w:pStyle w:val="Ttulosinternos"/>
      </w:pPr>
      <w:r w:rsidRPr="00E25900">
        <w:t>Method</w:t>
      </w:r>
    </w:p>
    <w:p w14:paraId="2F19162A" w14:textId="58968C22" w:rsidR="006F7E7E" w:rsidRPr="00E25900" w:rsidRDefault="005B5614" w:rsidP="007E3B8D">
      <w:pPr>
        <w:pStyle w:val="SubtituloInterno"/>
        <w:rPr>
          <w:rFonts w:eastAsia="Calibri"/>
        </w:rPr>
      </w:pPr>
      <w:r w:rsidRPr="00E25900">
        <w:rPr>
          <w:rFonts w:eastAsia="Calibri"/>
        </w:rPr>
        <w:t>Participants</w:t>
      </w:r>
    </w:p>
    <w:p w14:paraId="255D2DA8" w14:textId="3DBA5CE6" w:rsidR="00427055" w:rsidRDefault="007171A7" w:rsidP="00427055">
      <w:pPr>
        <w:pStyle w:val="Prrafocomn"/>
        <w:rPr>
          <w:rFonts w:eastAsia="Calibri"/>
          <w:lang w:eastAsia="en-US"/>
        </w:rPr>
      </w:pPr>
      <w:r w:rsidRPr="007171A7">
        <w:rPr>
          <w:rFonts w:eastAsia="Calibri"/>
          <w:lang w:eastAsia="en-US"/>
        </w:rPr>
        <w:t>A total of 1407 people participated in this study</w:t>
      </w:r>
      <w:r w:rsidR="008A5ACB">
        <w:rPr>
          <w:rFonts w:eastAsia="Calibri"/>
          <w:lang w:eastAsia="en-US"/>
        </w:rPr>
        <w:t xml:space="preserve">. </w:t>
      </w:r>
      <w:r w:rsidR="008A5ACB" w:rsidRPr="008A5ACB">
        <w:rPr>
          <w:rFonts w:eastAsia="Calibri"/>
          <w:highlight w:val="yellow"/>
          <w:lang w:eastAsia="en-US"/>
        </w:rPr>
        <w:t>Two general inclusion and exclusion criteria were used: legal age (18 years or older) and residence in Spain</w:t>
      </w:r>
      <w:r w:rsidR="008A5ACB">
        <w:rPr>
          <w:rFonts w:eastAsia="Calibri"/>
          <w:lang w:eastAsia="en-US"/>
        </w:rPr>
        <w:t>. Of the total</w:t>
      </w:r>
      <w:r w:rsidRPr="007171A7">
        <w:rPr>
          <w:rFonts w:eastAsia="Calibri"/>
          <w:lang w:eastAsia="en-US"/>
        </w:rPr>
        <w:t xml:space="preserve"> sample, 46 were discarded for not residing in Spain and 18 for being underage. The final sample consisted of 1343 people, (31.9%, men; 66.3%, women; 0.2% marked the option Other, and 1.6% did not answer). Participants’ average age was 39.66 years (</w:t>
      </w:r>
      <w:r w:rsidRPr="007171A7">
        <w:rPr>
          <w:rFonts w:eastAsia="Calibri"/>
          <w:i/>
          <w:iCs/>
          <w:lang w:eastAsia="en-US"/>
        </w:rPr>
        <w:t>SD</w:t>
      </w:r>
      <w:r w:rsidRPr="007171A7">
        <w:rPr>
          <w:rFonts w:eastAsia="Calibri"/>
          <w:lang w:eastAsia="en-US"/>
        </w:rPr>
        <w:t xml:space="preserve"> = 14.865) ranging from 18 to 84. Of the total sample of participants, 35.1% were under 30 years of age, 61.8% were between the ages of 31 and 64 and 3.1% were older than 65. Regarding academic level, 23.3% had completed secondary education, 18.4% had vocational education or training and 37.1% had completed university studies. </w:t>
      </w:r>
      <w:r w:rsidRPr="007171A7">
        <w:rPr>
          <w:rFonts w:eastAsia="Calibri"/>
          <w:highlight w:val="yellow"/>
          <w:lang w:eastAsia="en-US"/>
        </w:rPr>
        <w:t xml:space="preserve">Distribution of participants by academic level was comparable to that of the adult Spanish population, as reported by the Instituto Nacional de </w:t>
      </w:r>
      <w:proofErr w:type="spellStart"/>
      <w:r w:rsidRPr="007171A7">
        <w:rPr>
          <w:rFonts w:eastAsia="Calibri"/>
          <w:highlight w:val="yellow"/>
          <w:lang w:eastAsia="en-US"/>
        </w:rPr>
        <w:t>Estadística</w:t>
      </w:r>
      <w:proofErr w:type="spellEnd"/>
      <w:r w:rsidRPr="007171A7">
        <w:rPr>
          <w:rFonts w:eastAsia="Calibri"/>
          <w:highlight w:val="yellow"/>
          <w:lang w:eastAsia="en-US"/>
        </w:rPr>
        <w:t>, INE (INE, n.d.).</w:t>
      </w:r>
    </w:p>
    <w:p w14:paraId="2DD5729A" w14:textId="6E0DEC19" w:rsidR="00D14F5F" w:rsidRDefault="00D14F5F" w:rsidP="00415AE0">
      <w:pPr>
        <w:pStyle w:val="Prrafocomn"/>
        <w:spacing w:after="240"/>
        <w:rPr>
          <w:rFonts w:eastAsia="Calibri"/>
          <w:lang w:eastAsia="en-US"/>
        </w:rPr>
      </w:pPr>
      <w:r w:rsidRPr="00D14F5F">
        <w:rPr>
          <w:rFonts w:eastAsia="Calibri"/>
          <w:lang w:eastAsia="en-US"/>
        </w:rPr>
        <w:t>Table 1 includes details related to participants’ housing; a relevant factor given that it was the place where participants were confined to at the moment of answering the survey. An equitable distribution was observed between the different types of housing and the majority claimed to have space to be alone within their homes (91.4%) and open-air spaces (79.3%).</w:t>
      </w:r>
    </w:p>
    <w:tbl>
      <w:tblPr>
        <w:tblW w:w="5000" w:type="pct"/>
        <w:tblCellMar>
          <w:top w:w="15" w:type="dxa"/>
          <w:left w:w="15" w:type="dxa"/>
          <w:bottom w:w="15" w:type="dxa"/>
          <w:right w:w="15" w:type="dxa"/>
        </w:tblCellMar>
        <w:tblLook w:val="04A0" w:firstRow="1" w:lastRow="0" w:firstColumn="1" w:lastColumn="0" w:noHBand="0" w:noVBand="1"/>
      </w:tblPr>
      <w:tblGrid>
        <w:gridCol w:w="7402"/>
        <w:gridCol w:w="1024"/>
        <w:gridCol w:w="934"/>
      </w:tblGrid>
      <w:tr w:rsidR="00415AE0" w:rsidRPr="006D23CB" w14:paraId="421678BA" w14:textId="77777777" w:rsidTr="002A7E94">
        <w:tc>
          <w:tcPr>
            <w:tcW w:w="5000" w:type="pct"/>
            <w:gridSpan w:val="3"/>
            <w:tcMar>
              <w:top w:w="0" w:type="dxa"/>
              <w:left w:w="108" w:type="dxa"/>
              <w:bottom w:w="0" w:type="dxa"/>
              <w:right w:w="108" w:type="dxa"/>
            </w:tcMar>
            <w:hideMark/>
          </w:tcPr>
          <w:p w14:paraId="1B525F15" w14:textId="77777777" w:rsidR="00415AE0" w:rsidRPr="006D23CB" w:rsidRDefault="00415AE0" w:rsidP="002A7E94">
            <w:pPr>
              <w:rPr>
                <w:b/>
                <w:bCs/>
                <w:lang w:eastAsia="es-ES"/>
              </w:rPr>
            </w:pPr>
            <w:r w:rsidRPr="006D23CB">
              <w:rPr>
                <w:b/>
                <w:bCs/>
                <w:color w:val="000000"/>
                <w:lang w:eastAsia="es-ES"/>
              </w:rPr>
              <w:t>Table 1</w:t>
            </w:r>
          </w:p>
        </w:tc>
      </w:tr>
      <w:tr w:rsidR="00415AE0" w:rsidRPr="008A5ACB" w14:paraId="0799CF4F" w14:textId="77777777" w:rsidTr="002A7E94">
        <w:tc>
          <w:tcPr>
            <w:tcW w:w="5000" w:type="pct"/>
            <w:gridSpan w:val="3"/>
            <w:tcBorders>
              <w:bottom w:val="single" w:sz="4" w:space="0" w:color="000000"/>
            </w:tcBorders>
            <w:tcMar>
              <w:top w:w="0" w:type="dxa"/>
              <w:left w:w="108" w:type="dxa"/>
              <w:bottom w:w="0" w:type="dxa"/>
              <w:right w:w="108" w:type="dxa"/>
            </w:tcMar>
            <w:hideMark/>
          </w:tcPr>
          <w:p w14:paraId="73225813" w14:textId="77777777" w:rsidR="00415AE0" w:rsidRPr="00415AE0" w:rsidRDefault="00415AE0" w:rsidP="002A7E94">
            <w:pPr>
              <w:rPr>
                <w:i/>
                <w:iCs/>
                <w:lang w:val="en-US" w:eastAsia="es-ES"/>
              </w:rPr>
            </w:pPr>
            <w:r w:rsidRPr="00415AE0">
              <w:rPr>
                <w:i/>
                <w:iCs/>
                <w:color w:val="000000"/>
                <w:lang w:val="en-US" w:eastAsia="es-ES"/>
              </w:rPr>
              <w:t>Descriptive details of housing conditions</w:t>
            </w:r>
          </w:p>
        </w:tc>
      </w:tr>
      <w:tr w:rsidR="00415AE0" w:rsidRPr="006D23CB" w14:paraId="55220216" w14:textId="77777777" w:rsidTr="002A7E94">
        <w:tc>
          <w:tcPr>
            <w:tcW w:w="3954" w:type="pct"/>
            <w:tcBorders>
              <w:top w:val="single" w:sz="4" w:space="0" w:color="000000"/>
              <w:bottom w:val="single" w:sz="4" w:space="0" w:color="000000"/>
            </w:tcBorders>
            <w:tcMar>
              <w:top w:w="0" w:type="dxa"/>
              <w:left w:w="108" w:type="dxa"/>
              <w:bottom w:w="0" w:type="dxa"/>
              <w:right w:w="108" w:type="dxa"/>
            </w:tcMar>
            <w:hideMark/>
          </w:tcPr>
          <w:p w14:paraId="32B2CDA9" w14:textId="77777777" w:rsidR="00415AE0" w:rsidRPr="006D23CB" w:rsidRDefault="00415AE0" w:rsidP="002A7E94">
            <w:pPr>
              <w:jc w:val="center"/>
              <w:rPr>
                <w:lang w:eastAsia="es-ES"/>
              </w:rPr>
            </w:pPr>
            <w:r w:rsidRPr="006D23CB">
              <w:rPr>
                <w:color w:val="000000"/>
                <w:lang w:eastAsia="es-ES"/>
              </w:rPr>
              <w:t>Variables</w:t>
            </w:r>
          </w:p>
        </w:tc>
        <w:tc>
          <w:tcPr>
            <w:tcW w:w="547" w:type="pct"/>
            <w:tcBorders>
              <w:top w:val="single" w:sz="4" w:space="0" w:color="000000"/>
              <w:bottom w:val="single" w:sz="4" w:space="0" w:color="000000"/>
            </w:tcBorders>
            <w:tcMar>
              <w:top w:w="0" w:type="dxa"/>
              <w:left w:w="108" w:type="dxa"/>
              <w:bottom w:w="0" w:type="dxa"/>
              <w:right w:w="108" w:type="dxa"/>
            </w:tcMar>
            <w:hideMark/>
          </w:tcPr>
          <w:p w14:paraId="10889C92" w14:textId="77777777" w:rsidR="00415AE0" w:rsidRPr="006D23CB" w:rsidRDefault="00415AE0" w:rsidP="002A7E94">
            <w:pPr>
              <w:jc w:val="center"/>
              <w:rPr>
                <w:i/>
                <w:iCs/>
                <w:lang w:eastAsia="es-ES"/>
              </w:rPr>
            </w:pPr>
            <w:r w:rsidRPr="006D23CB">
              <w:rPr>
                <w:i/>
                <w:iCs/>
                <w:color w:val="000000"/>
                <w:lang w:eastAsia="es-ES"/>
              </w:rPr>
              <w:t>n</w:t>
            </w:r>
          </w:p>
        </w:tc>
        <w:tc>
          <w:tcPr>
            <w:tcW w:w="499" w:type="pct"/>
            <w:tcBorders>
              <w:top w:val="single" w:sz="4" w:space="0" w:color="000000"/>
              <w:bottom w:val="single" w:sz="4" w:space="0" w:color="000000"/>
            </w:tcBorders>
            <w:tcMar>
              <w:top w:w="0" w:type="dxa"/>
              <w:left w:w="108" w:type="dxa"/>
              <w:bottom w:w="0" w:type="dxa"/>
              <w:right w:w="108" w:type="dxa"/>
            </w:tcMar>
            <w:hideMark/>
          </w:tcPr>
          <w:p w14:paraId="63EB4E26" w14:textId="77777777" w:rsidR="00415AE0" w:rsidRPr="006D23CB" w:rsidRDefault="00415AE0" w:rsidP="002A7E94">
            <w:pPr>
              <w:jc w:val="center"/>
              <w:rPr>
                <w:lang w:eastAsia="es-ES"/>
              </w:rPr>
            </w:pPr>
            <w:r>
              <w:rPr>
                <w:color w:val="000000"/>
                <w:lang w:eastAsia="es-ES"/>
              </w:rPr>
              <w:t>%</w:t>
            </w:r>
          </w:p>
        </w:tc>
      </w:tr>
      <w:tr w:rsidR="00415AE0" w:rsidRPr="006D23CB" w14:paraId="77F3302D" w14:textId="77777777" w:rsidTr="002A7E94">
        <w:tc>
          <w:tcPr>
            <w:tcW w:w="3954" w:type="pct"/>
            <w:tcBorders>
              <w:top w:val="single" w:sz="4" w:space="0" w:color="000000"/>
            </w:tcBorders>
            <w:tcMar>
              <w:top w:w="0" w:type="dxa"/>
              <w:left w:w="108" w:type="dxa"/>
              <w:bottom w:w="0" w:type="dxa"/>
              <w:right w:w="108" w:type="dxa"/>
            </w:tcMar>
            <w:hideMark/>
          </w:tcPr>
          <w:p w14:paraId="14B6F09E" w14:textId="77777777" w:rsidR="00415AE0" w:rsidRPr="006D23CB" w:rsidRDefault="00415AE0" w:rsidP="002A7E94">
            <w:pPr>
              <w:rPr>
                <w:lang w:eastAsia="es-ES"/>
              </w:rPr>
            </w:pPr>
            <w:proofErr w:type="spellStart"/>
            <w:r w:rsidRPr="006D23CB">
              <w:rPr>
                <w:color w:val="000000"/>
                <w:lang w:eastAsia="es-ES"/>
              </w:rPr>
              <w:t>Type</w:t>
            </w:r>
            <w:proofErr w:type="spellEnd"/>
            <w:r w:rsidRPr="006D23CB">
              <w:rPr>
                <w:color w:val="000000"/>
                <w:lang w:eastAsia="es-ES"/>
              </w:rPr>
              <w:t xml:space="preserve"> </w:t>
            </w:r>
            <w:proofErr w:type="spellStart"/>
            <w:r w:rsidRPr="006D23CB">
              <w:rPr>
                <w:color w:val="000000"/>
                <w:lang w:eastAsia="es-ES"/>
              </w:rPr>
              <w:t>of</w:t>
            </w:r>
            <w:proofErr w:type="spellEnd"/>
            <w:r w:rsidRPr="006D23CB">
              <w:rPr>
                <w:color w:val="000000"/>
                <w:lang w:eastAsia="es-ES"/>
              </w:rPr>
              <w:t xml:space="preserve"> </w:t>
            </w:r>
            <w:proofErr w:type="spellStart"/>
            <w:r w:rsidRPr="006D23CB">
              <w:rPr>
                <w:color w:val="000000"/>
                <w:lang w:eastAsia="es-ES"/>
              </w:rPr>
              <w:t>housing</w:t>
            </w:r>
            <w:proofErr w:type="spellEnd"/>
          </w:p>
        </w:tc>
        <w:tc>
          <w:tcPr>
            <w:tcW w:w="547" w:type="pct"/>
            <w:tcBorders>
              <w:top w:val="single" w:sz="4" w:space="0" w:color="000000"/>
            </w:tcBorders>
            <w:tcMar>
              <w:top w:w="0" w:type="dxa"/>
              <w:left w:w="108" w:type="dxa"/>
              <w:bottom w:w="0" w:type="dxa"/>
              <w:right w:w="108" w:type="dxa"/>
            </w:tcMar>
            <w:hideMark/>
          </w:tcPr>
          <w:p w14:paraId="4939A315" w14:textId="77777777" w:rsidR="00415AE0" w:rsidRPr="006D23CB" w:rsidRDefault="00415AE0" w:rsidP="002A7E94">
            <w:pPr>
              <w:rPr>
                <w:lang w:eastAsia="es-ES"/>
              </w:rPr>
            </w:pPr>
          </w:p>
        </w:tc>
        <w:tc>
          <w:tcPr>
            <w:tcW w:w="499" w:type="pct"/>
            <w:tcBorders>
              <w:top w:val="single" w:sz="4" w:space="0" w:color="000000"/>
            </w:tcBorders>
            <w:tcMar>
              <w:top w:w="0" w:type="dxa"/>
              <w:left w:w="108" w:type="dxa"/>
              <w:bottom w:w="0" w:type="dxa"/>
              <w:right w:w="108" w:type="dxa"/>
            </w:tcMar>
            <w:hideMark/>
          </w:tcPr>
          <w:p w14:paraId="4332339F" w14:textId="77777777" w:rsidR="00415AE0" w:rsidRPr="006D23CB" w:rsidRDefault="00415AE0" w:rsidP="002A7E94">
            <w:pPr>
              <w:rPr>
                <w:lang w:eastAsia="es-ES"/>
              </w:rPr>
            </w:pPr>
          </w:p>
        </w:tc>
      </w:tr>
      <w:tr w:rsidR="00415AE0" w:rsidRPr="006D23CB" w14:paraId="1F80FD8C" w14:textId="77777777" w:rsidTr="002A7E94">
        <w:tc>
          <w:tcPr>
            <w:tcW w:w="3954" w:type="pct"/>
            <w:tcMar>
              <w:top w:w="0" w:type="dxa"/>
              <w:left w:w="108" w:type="dxa"/>
              <w:bottom w:w="0" w:type="dxa"/>
              <w:right w:w="108" w:type="dxa"/>
            </w:tcMar>
            <w:hideMark/>
          </w:tcPr>
          <w:p w14:paraId="478C313F"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Detached</w:t>
            </w:r>
            <w:proofErr w:type="spellEnd"/>
            <w:r w:rsidRPr="006D23CB">
              <w:rPr>
                <w:color w:val="000000"/>
                <w:lang w:eastAsia="es-ES"/>
              </w:rPr>
              <w:t xml:space="preserve"> </w:t>
            </w:r>
            <w:proofErr w:type="spellStart"/>
            <w:r w:rsidRPr="006D23CB">
              <w:rPr>
                <w:color w:val="000000"/>
                <w:lang w:eastAsia="es-ES"/>
              </w:rPr>
              <w:t>house</w:t>
            </w:r>
            <w:proofErr w:type="spellEnd"/>
          </w:p>
        </w:tc>
        <w:tc>
          <w:tcPr>
            <w:tcW w:w="547" w:type="pct"/>
            <w:tcMar>
              <w:top w:w="0" w:type="dxa"/>
              <w:left w:w="108" w:type="dxa"/>
              <w:bottom w:w="0" w:type="dxa"/>
              <w:right w:w="108" w:type="dxa"/>
            </w:tcMar>
            <w:hideMark/>
          </w:tcPr>
          <w:p w14:paraId="684A2450" w14:textId="77777777" w:rsidR="00415AE0" w:rsidRPr="006D23CB" w:rsidRDefault="00415AE0" w:rsidP="002A7E94">
            <w:pPr>
              <w:jc w:val="center"/>
              <w:rPr>
                <w:lang w:eastAsia="es-ES"/>
              </w:rPr>
            </w:pPr>
            <w:r w:rsidRPr="006D23CB">
              <w:rPr>
                <w:color w:val="000000"/>
                <w:lang w:eastAsia="es-ES"/>
              </w:rPr>
              <w:t>320</w:t>
            </w:r>
          </w:p>
        </w:tc>
        <w:tc>
          <w:tcPr>
            <w:tcW w:w="499" w:type="pct"/>
            <w:tcMar>
              <w:top w:w="0" w:type="dxa"/>
              <w:left w:w="108" w:type="dxa"/>
              <w:bottom w:w="0" w:type="dxa"/>
              <w:right w:w="108" w:type="dxa"/>
            </w:tcMar>
            <w:hideMark/>
          </w:tcPr>
          <w:p w14:paraId="7F5FF683" w14:textId="77777777" w:rsidR="00415AE0" w:rsidRPr="006D23CB" w:rsidRDefault="00415AE0" w:rsidP="002A7E94">
            <w:pPr>
              <w:jc w:val="center"/>
              <w:rPr>
                <w:lang w:eastAsia="es-ES"/>
              </w:rPr>
            </w:pPr>
            <w:r w:rsidRPr="006D23CB">
              <w:rPr>
                <w:color w:val="000000"/>
                <w:lang w:eastAsia="es-ES"/>
              </w:rPr>
              <w:t>23.8</w:t>
            </w:r>
          </w:p>
        </w:tc>
      </w:tr>
      <w:tr w:rsidR="00415AE0" w:rsidRPr="006D23CB" w14:paraId="62E2E38F" w14:textId="77777777" w:rsidTr="002A7E94">
        <w:tc>
          <w:tcPr>
            <w:tcW w:w="3954" w:type="pct"/>
            <w:tcMar>
              <w:top w:w="0" w:type="dxa"/>
              <w:left w:w="108" w:type="dxa"/>
              <w:bottom w:w="0" w:type="dxa"/>
              <w:right w:w="108" w:type="dxa"/>
            </w:tcMar>
            <w:hideMark/>
          </w:tcPr>
          <w:p w14:paraId="328BA460"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Townhouse</w:t>
            </w:r>
            <w:proofErr w:type="spellEnd"/>
          </w:p>
        </w:tc>
        <w:tc>
          <w:tcPr>
            <w:tcW w:w="547" w:type="pct"/>
            <w:tcMar>
              <w:top w:w="0" w:type="dxa"/>
              <w:left w:w="108" w:type="dxa"/>
              <w:bottom w:w="0" w:type="dxa"/>
              <w:right w:w="108" w:type="dxa"/>
            </w:tcMar>
            <w:hideMark/>
          </w:tcPr>
          <w:p w14:paraId="322DB96A" w14:textId="77777777" w:rsidR="00415AE0" w:rsidRPr="006D23CB" w:rsidRDefault="00415AE0" w:rsidP="002A7E94">
            <w:pPr>
              <w:jc w:val="center"/>
              <w:rPr>
                <w:lang w:eastAsia="es-ES"/>
              </w:rPr>
            </w:pPr>
            <w:r w:rsidRPr="006D23CB">
              <w:rPr>
                <w:color w:val="000000"/>
                <w:lang w:eastAsia="es-ES"/>
              </w:rPr>
              <w:t>198</w:t>
            </w:r>
          </w:p>
        </w:tc>
        <w:tc>
          <w:tcPr>
            <w:tcW w:w="499" w:type="pct"/>
            <w:tcMar>
              <w:top w:w="0" w:type="dxa"/>
              <w:left w:w="108" w:type="dxa"/>
              <w:bottom w:w="0" w:type="dxa"/>
              <w:right w:w="108" w:type="dxa"/>
            </w:tcMar>
            <w:hideMark/>
          </w:tcPr>
          <w:p w14:paraId="1F2ED660" w14:textId="77777777" w:rsidR="00415AE0" w:rsidRPr="006D23CB" w:rsidRDefault="00415AE0" w:rsidP="002A7E94">
            <w:pPr>
              <w:jc w:val="center"/>
              <w:rPr>
                <w:lang w:eastAsia="es-ES"/>
              </w:rPr>
            </w:pPr>
            <w:r w:rsidRPr="006D23CB">
              <w:rPr>
                <w:color w:val="000000"/>
                <w:lang w:eastAsia="es-ES"/>
              </w:rPr>
              <w:t>14.7</w:t>
            </w:r>
          </w:p>
        </w:tc>
      </w:tr>
      <w:tr w:rsidR="00415AE0" w:rsidRPr="006D23CB" w14:paraId="08BEAA16" w14:textId="77777777" w:rsidTr="002A7E94">
        <w:tc>
          <w:tcPr>
            <w:tcW w:w="3954" w:type="pct"/>
            <w:tcMar>
              <w:top w:w="0" w:type="dxa"/>
              <w:left w:w="108" w:type="dxa"/>
              <w:bottom w:w="0" w:type="dxa"/>
              <w:right w:w="108" w:type="dxa"/>
            </w:tcMar>
            <w:hideMark/>
          </w:tcPr>
          <w:p w14:paraId="3540D81D" w14:textId="77777777" w:rsidR="00415AE0" w:rsidRPr="00415AE0" w:rsidRDefault="00415AE0" w:rsidP="002A7E94">
            <w:pPr>
              <w:rPr>
                <w:lang w:val="en-US" w:eastAsia="es-ES"/>
              </w:rPr>
            </w:pPr>
            <w:r w:rsidRPr="00415AE0">
              <w:rPr>
                <w:color w:val="000000"/>
                <w:lang w:val="en-US" w:eastAsia="es-ES"/>
              </w:rPr>
              <w:t xml:space="preserve">    Building with 6 or less apartments</w:t>
            </w:r>
          </w:p>
        </w:tc>
        <w:tc>
          <w:tcPr>
            <w:tcW w:w="547" w:type="pct"/>
            <w:tcMar>
              <w:top w:w="0" w:type="dxa"/>
              <w:left w:w="108" w:type="dxa"/>
              <w:bottom w:w="0" w:type="dxa"/>
              <w:right w:w="108" w:type="dxa"/>
            </w:tcMar>
            <w:hideMark/>
          </w:tcPr>
          <w:p w14:paraId="13AFB158" w14:textId="77777777" w:rsidR="00415AE0" w:rsidRPr="006D23CB" w:rsidRDefault="00415AE0" w:rsidP="002A7E94">
            <w:pPr>
              <w:jc w:val="center"/>
              <w:rPr>
                <w:lang w:eastAsia="es-ES"/>
              </w:rPr>
            </w:pPr>
            <w:r w:rsidRPr="006D23CB">
              <w:rPr>
                <w:color w:val="000000"/>
                <w:lang w:eastAsia="es-ES"/>
              </w:rPr>
              <w:t>245</w:t>
            </w:r>
          </w:p>
        </w:tc>
        <w:tc>
          <w:tcPr>
            <w:tcW w:w="499" w:type="pct"/>
            <w:tcMar>
              <w:top w:w="0" w:type="dxa"/>
              <w:left w:w="108" w:type="dxa"/>
              <w:bottom w:w="0" w:type="dxa"/>
              <w:right w:w="108" w:type="dxa"/>
            </w:tcMar>
            <w:hideMark/>
          </w:tcPr>
          <w:p w14:paraId="56334A85" w14:textId="77777777" w:rsidR="00415AE0" w:rsidRPr="006D23CB" w:rsidRDefault="00415AE0" w:rsidP="002A7E94">
            <w:pPr>
              <w:jc w:val="center"/>
              <w:rPr>
                <w:lang w:eastAsia="es-ES"/>
              </w:rPr>
            </w:pPr>
            <w:r w:rsidRPr="006D23CB">
              <w:rPr>
                <w:color w:val="000000"/>
                <w:lang w:eastAsia="es-ES"/>
              </w:rPr>
              <w:t>18.2</w:t>
            </w:r>
          </w:p>
        </w:tc>
      </w:tr>
      <w:tr w:rsidR="00415AE0" w:rsidRPr="006D23CB" w14:paraId="0CD279FD" w14:textId="77777777" w:rsidTr="002A7E94">
        <w:tc>
          <w:tcPr>
            <w:tcW w:w="3954" w:type="pct"/>
            <w:tcMar>
              <w:top w:w="0" w:type="dxa"/>
              <w:left w:w="108" w:type="dxa"/>
              <w:bottom w:w="0" w:type="dxa"/>
              <w:right w:w="108" w:type="dxa"/>
            </w:tcMar>
            <w:hideMark/>
          </w:tcPr>
          <w:p w14:paraId="158FB256"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Building</w:t>
            </w:r>
            <w:proofErr w:type="spellEnd"/>
            <w:r w:rsidRPr="006D23CB">
              <w:rPr>
                <w:color w:val="000000"/>
                <w:lang w:eastAsia="es-ES"/>
              </w:rPr>
              <w:t xml:space="preserve"> </w:t>
            </w:r>
            <w:proofErr w:type="spellStart"/>
            <w:r w:rsidRPr="006D23CB">
              <w:rPr>
                <w:color w:val="000000"/>
                <w:lang w:eastAsia="es-ES"/>
              </w:rPr>
              <w:t>with</w:t>
            </w:r>
            <w:proofErr w:type="spellEnd"/>
            <w:r w:rsidRPr="006D23CB">
              <w:rPr>
                <w:color w:val="000000"/>
                <w:lang w:eastAsia="es-ES"/>
              </w:rPr>
              <w:t xml:space="preserve"> 6-12 </w:t>
            </w:r>
            <w:proofErr w:type="spellStart"/>
            <w:r w:rsidRPr="006D23CB">
              <w:rPr>
                <w:color w:val="000000"/>
                <w:lang w:eastAsia="es-ES"/>
              </w:rPr>
              <w:t>apartments</w:t>
            </w:r>
            <w:proofErr w:type="spellEnd"/>
          </w:p>
        </w:tc>
        <w:tc>
          <w:tcPr>
            <w:tcW w:w="547" w:type="pct"/>
            <w:tcMar>
              <w:top w:w="0" w:type="dxa"/>
              <w:left w:w="108" w:type="dxa"/>
              <w:bottom w:w="0" w:type="dxa"/>
              <w:right w:w="108" w:type="dxa"/>
            </w:tcMar>
            <w:hideMark/>
          </w:tcPr>
          <w:p w14:paraId="44B94464" w14:textId="77777777" w:rsidR="00415AE0" w:rsidRPr="006D23CB" w:rsidRDefault="00415AE0" w:rsidP="002A7E94">
            <w:pPr>
              <w:jc w:val="center"/>
              <w:rPr>
                <w:lang w:eastAsia="es-ES"/>
              </w:rPr>
            </w:pPr>
            <w:r w:rsidRPr="006D23CB">
              <w:rPr>
                <w:color w:val="000000"/>
                <w:lang w:eastAsia="es-ES"/>
              </w:rPr>
              <w:t>209</w:t>
            </w:r>
          </w:p>
        </w:tc>
        <w:tc>
          <w:tcPr>
            <w:tcW w:w="499" w:type="pct"/>
            <w:tcMar>
              <w:top w:w="0" w:type="dxa"/>
              <w:left w:w="108" w:type="dxa"/>
              <w:bottom w:w="0" w:type="dxa"/>
              <w:right w:w="108" w:type="dxa"/>
            </w:tcMar>
            <w:hideMark/>
          </w:tcPr>
          <w:p w14:paraId="12817E2F" w14:textId="77777777" w:rsidR="00415AE0" w:rsidRPr="006D23CB" w:rsidRDefault="00415AE0" w:rsidP="002A7E94">
            <w:pPr>
              <w:jc w:val="center"/>
              <w:rPr>
                <w:lang w:eastAsia="es-ES"/>
              </w:rPr>
            </w:pPr>
            <w:r w:rsidRPr="006D23CB">
              <w:rPr>
                <w:color w:val="000000"/>
                <w:lang w:eastAsia="es-ES"/>
              </w:rPr>
              <w:t>15.6</w:t>
            </w:r>
          </w:p>
        </w:tc>
      </w:tr>
      <w:tr w:rsidR="00415AE0" w:rsidRPr="006D23CB" w14:paraId="3510AD3F" w14:textId="77777777" w:rsidTr="002A7E94">
        <w:tc>
          <w:tcPr>
            <w:tcW w:w="3954" w:type="pct"/>
            <w:tcMar>
              <w:top w:w="0" w:type="dxa"/>
              <w:left w:w="108" w:type="dxa"/>
              <w:bottom w:w="0" w:type="dxa"/>
              <w:right w:w="108" w:type="dxa"/>
            </w:tcMar>
            <w:hideMark/>
          </w:tcPr>
          <w:p w14:paraId="019E9922" w14:textId="77777777" w:rsidR="00415AE0" w:rsidRPr="00415AE0" w:rsidRDefault="00415AE0" w:rsidP="002A7E94">
            <w:pPr>
              <w:rPr>
                <w:lang w:val="en-US" w:eastAsia="es-ES"/>
              </w:rPr>
            </w:pPr>
            <w:r w:rsidRPr="00415AE0">
              <w:rPr>
                <w:color w:val="000000"/>
                <w:lang w:val="en-US" w:eastAsia="es-ES"/>
              </w:rPr>
              <w:t xml:space="preserve">    Building with more than 12 apartments</w:t>
            </w:r>
          </w:p>
        </w:tc>
        <w:tc>
          <w:tcPr>
            <w:tcW w:w="547" w:type="pct"/>
            <w:tcMar>
              <w:top w:w="0" w:type="dxa"/>
              <w:left w:w="108" w:type="dxa"/>
              <w:bottom w:w="0" w:type="dxa"/>
              <w:right w:w="108" w:type="dxa"/>
            </w:tcMar>
            <w:hideMark/>
          </w:tcPr>
          <w:p w14:paraId="3C6565FF" w14:textId="77777777" w:rsidR="00415AE0" w:rsidRPr="006D23CB" w:rsidRDefault="00415AE0" w:rsidP="002A7E94">
            <w:pPr>
              <w:jc w:val="center"/>
              <w:rPr>
                <w:lang w:eastAsia="es-ES"/>
              </w:rPr>
            </w:pPr>
            <w:r w:rsidRPr="006D23CB">
              <w:rPr>
                <w:color w:val="000000"/>
                <w:lang w:eastAsia="es-ES"/>
              </w:rPr>
              <w:t>269</w:t>
            </w:r>
          </w:p>
        </w:tc>
        <w:tc>
          <w:tcPr>
            <w:tcW w:w="499" w:type="pct"/>
            <w:tcMar>
              <w:top w:w="0" w:type="dxa"/>
              <w:left w:w="108" w:type="dxa"/>
              <w:bottom w:w="0" w:type="dxa"/>
              <w:right w:w="108" w:type="dxa"/>
            </w:tcMar>
            <w:hideMark/>
          </w:tcPr>
          <w:p w14:paraId="1906CDC5" w14:textId="77777777" w:rsidR="00415AE0" w:rsidRPr="006D23CB" w:rsidRDefault="00415AE0" w:rsidP="002A7E94">
            <w:pPr>
              <w:jc w:val="center"/>
              <w:rPr>
                <w:lang w:eastAsia="es-ES"/>
              </w:rPr>
            </w:pPr>
            <w:r w:rsidRPr="006D23CB">
              <w:rPr>
                <w:color w:val="000000"/>
                <w:lang w:eastAsia="es-ES"/>
              </w:rPr>
              <w:t>20.0</w:t>
            </w:r>
          </w:p>
        </w:tc>
      </w:tr>
      <w:tr w:rsidR="00415AE0" w:rsidRPr="006D23CB" w14:paraId="51423F10" w14:textId="77777777" w:rsidTr="002A7E94">
        <w:tc>
          <w:tcPr>
            <w:tcW w:w="3954" w:type="pct"/>
            <w:tcMar>
              <w:top w:w="0" w:type="dxa"/>
              <w:left w:w="108" w:type="dxa"/>
              <w:bottom w:w="0" w:type="dxa"/>
              <w:right w:w="108" w:type="dxa"/>
            </w:tcMar>
            <w:hideMark/>
          </w:tcPr>
          <w:p w14:paraId="5BD329F2" w14:textId="77777777" w:rsidR="00415AE0" w:rsidRPr="00415AE0" w:rsidRDefault="00415AE0" w:rsidP="002A7E94">
            <w:pPr>
              <w:rPr>
                <w:lang w:val="en-US" w:eastAsia="es-ES"/>
              </w:rPr>
            </w:pPr>
            <w:r w:rsidRPr="00415AE0">
              <w:rPr>
                <w:color w:val="000000"/>
                <w:lang w:val="en-US" w:eastAsia="es-ES"/>
              </w:rPr>
              <w:t xml:space="preserve">    Residential complex with a shared garden or patio</w:t>
            </w:r>
          </w:p>
        </w:tc>
        <w:tc>
          <w:tcPr>
            <w:tcW w:w="547" w:type="pct"/>
            <w:tcMar>
              <w:top w:w="0" w:type="dxa"/>
              <w:left w:w="108" w:type="dxa"/>
              <w:bottom w:w="0" w:type="dxa"/>
              <w:right w:w="108" w:type="dxa"/>
            </w:tcMar>
            <w:hideMark/>
          </w:tcPr>
          <w:p w14:paraId="4EFCFD82" w14:textId="77777777" w:rsidR="00415AE0" w:rsidRPr="006D23CB" w:rsidRDefault="00415AE0" w:rsidP="002A7E94">
            <w:pPr>
              <w:jc w:val="center"/>
              <w:rPr>
                <w:lang w:eastAsia="es-ES"/>
              </w:rPr>
            </w:pPr>
            <w:r w:rsidRPr="006D23CB">
              <w:rPr>
                <w:color w:val="000000"/>
                <w:lang w:eastAsia="es-ES"/>
              </w:rPr>
              <w:t>99</w:t>
            </w:r>
          </w:p>
        </w:tc>
        <w:tc>
          <w:tcPr>
            <w:tcW w:w="499" w:type="pct"/>
            <w:tcMar>
              <w:top w:w="0" w:type="dxa"/>
              <w:left w:w="108" w:type="dxa"/>
              <w:bottom w:w="0" w:type="dxa"/>
              <w:right w:w="108" w:type="dxa"/>
            </w:tcMar>
            <w:hideMark/>
          </w:tcPr>
          <w:p w14:paraId="5A9640D6" w14:textId="77777777" w:rsidR="00415AE0" w:rsidRPr="006D23CB" w:rsidRDefault="00415AE0" w:rsidP="002A7E94">
            <w:pPr>
              <w:jc w:val="center"/>
              <w:rPr>
                <w:lang w:eastAsia="es-ES"/>
              </w:rPr>
            </w:pPr>
            <w:r w:rsidRPr="006D23CB">
              <w:rPr>
                <w:color w:val="000000"/>
                <w:lang w:eastAsia="es-ES"/>
              </w:rPr>
              <w:t>7.4</w:t>
            </w:r>
          </w:p>
        </w:tc>
      </w:tr>
      <w:tr w:rsidR="00415AE0" w:rsidRPr="006D23CB" w14:paraId="07607228" w14:textId="77777777" w:rsidTr="002A7E94">
        <w:tc>
          <w:tcPr>
            <w:tcW w:w="3954" w:type="pct"/>
            <w:tcBorders>
              <w:bottom w:val="single" w:sz="4" w:space="0" w:color="auto"/>
            </w:tcBorders>
            <w:tcMar>
              <w:top w:w="0" w:type="dxa"/>
              <w:left w:w="108" w:type="dxa"/>
              <w:bottom w:w="0" w:type="dxa"/>
              <w:right w:w="108" w:type="dxa"/>
            </w:tcMar>
            <w:hideMark/>
          </w:tcPr>
          <w:p w14:paraId="757A232C" w14:textId="77777777" w:rsidR="00415AE0" w:rsidRPr="006D23CB" w:rsidRDefault="00415AE0" w:rsidP="002A7E94">
            <w:pPr>
              <w:rPr>
                <w:lang w:eastAsia="es-ES"/>
              </w:rPr>
            </w:pPr>
            <w:proofErr w:type="spellStart"/>
            <w:r w:rsidRPr="006D23CB">
              <w:rPr>
                <w:color w:val="000000"/>
                <w:lang w:eastAsia="es-ES"/>
              </w:rPr>
              <w:t>Missing</w:t>
            </w:r>
            <w:proofErr w:type="spellEnd"/>
            <w:r w:rsidRPr="006D23CB">
              <w:rPr>
                <w:color w:val="000000"/>
                <w:lang w:eastAsia="es-ES"/>
              </w:rPr>
              <w:t xml:space="preserve"> </w:t>
            </w:r>
            <w:proofErr w:type="spellStart"/>
            <w:r w:rsidRPr="006D23CB">
              <w:rPr>
                <w:color w:val="000000"/>
                <w:lang w:eastAsia="es-ES"/>
              </w:rPr>
              <w:t>values</w:t>
            </w:r>
            <w:proofErr w:type="spellEnd"/>
            <w:r w:rsidRPr="006D23CB">
              <w:rPr>
                <w:color w:val="000000"/>
                <w:lang w:eastAsia="es-ES"/>
              </w:rPr>
              <w:t xml:space="preserve"> </w:t>
            </w:r>
          </w:p>
        </w:tc>
        <w:tc>
          <w:tcPr>
            <w:tcW w:w="547" w:type="pct"/>
            <w:tcBorders>
              <w:bottom w:val="single" w:sz="4" w:space="0" w:color="auto"/>
            </w:tcBorders>
            <w:tcMar>
              <w:top w:w="0" w:type="dxa"/>
              <w:left w:w="108" w:type="dxa"/>
              <w:bottom w:w="0" w:type="dxa"/>
              <w:right w:w="108" w:type="dxa"/>
            </w:tcMar>
            <w:hideMark/>
          </w:tcPr>
          <w:p w14:paraId="69A4516F" w14:textId="77777777" w:rsidR="00415AE0" w:rsidRPr="006D23CB" w:rsidRDefault="00415AE0" w:rsidP="002A7E94">
            <w:pPr>
              <w:jc w:val="center"/>
              <w:rPr>
                <w:lang w:eastAsia="es-ES"/>
              </w:rPr>
            </w:pPr>
            <w:r w:rsidRPr="006D23CB">
              <w:rPr>
                <w:color w:val="000000"/>
                <w:lang w:eastAsia="es-ES"/>
              </w:rPr>
              <w:t>3</w:t>
            </w:r>
          </w:p>
        </w:tc>
        <w:tc>
          <w:tcPr>
            <w:tcW w:w="499" w:type="pct"/>
            <w:tcBorders>
              <w:bottom w:val="single" w:sz="4" w:space="0" w:color="auto"/>
            </w:tcBorders>
            <w:tcMar>
              <w:top w:w="0" w:type="dxa"/>
              <w:left w:w="108" w:type="dxa"/>
              <w:bottom w:w="0" w:type="dxa"/>
              <w:right w:w="108" w:type="dxa"/>
            </w:tcMar>
            <w:hideMark/>
          </w:tcPr>
          <w:p w14:paraId="5FD4F24E" w14:textId="77777777" w:rsidR="00415AE0" w:rsidRPr="006D23CB" w:rsidRDefault="00415AE0" w:rsidP="002A7E94">
            <w:pPr>
              <w:jc w:val="center"/>
              <w:rPr>
                <w:lang w:eastAsia="es-ES"/>
              </w:rPr>
            </w:pPr>
            <w:r w:rsidRPr="006D23CB">
              <w:rPr>
                <w:color w:val="000000"/>
                <w:lang w:eastAsia="es-ES"/>
              </w:rPr>
              <w:t>2</w:t>
            </w:r>
          </w:p>
        </w:tc>
      </w:tr>
      <w:tr w:rsidR="00415AE0" w:rsidRPr="006D23CB" w14:paraId="15FA8B7A"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1A081784" w14:textId="77777777" w:rsidR="00415AE0" w:rsidRPr="006D23CB" w:rsidRDefault="00415AE0" w:rsidP="002A7E94">
            <w:pPr>
              <w:rPr>
                <w:lang w:eastAsia="es-ES"/>
              </w:rPr>
            </w:pPr>
            <w:r w:rsidRPr="006D23CB">
              <w:rPr>
                <w:color w:val="000000"/>
                <w:lang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37AD228" w14:textId="77777777" w:rsidR="00415AE0" w:rsidRPr="006D23CB" w:rsidRDefault="00415AE0" w:rsidP="002A7E94">
            <w:pPr>
              <w:jc w:val="center"/>
              <w:rPr>
                <w:lang w:eastAsia="es-ES"/>
              </w:rPr>
            </w:pPr>
            <w:r w:rsidRPr="006D23CB">
              <w:rPr>
                <w:color w:val="000000"/>
                <w:lang w:eastAsia="es-ES"/>
              </w:rPr>
              <w:t>1340</w:t>
            </w:r>
          </w:p>
        </w:tc>
        <w:tc>
          <w:tcPr>
            <w:tcW w:w="499" w:type="pct"/>
            <w:tcBorders>
              <w:top w:val="single" w:sz="4" w:space="0" w:color="auto"/>
              <w:bottom w:val="single" w:sz="4" w:space="0" w:color="auto"/>
            </w:tcBorders>
            <w:tcMar>
              <w:top w:w="0" w:type="dxa"/>
              <w:left w:w="108" w:type="dxa"/>
              <w:bottom w:w="0" w:type="dxa"/>
              <w:right w:w="108" w:type="dxa"/>
            </w:tcMar>
            <w:hideMark/>
          </w:tcPr>
          <w:p w14:paraId="59DD3301" w14:textId="77777777" w:rsidR="00415AE0" w:rsidRPr="006D23CB" w:rsidRDefault="00415AE0" w:rsidP="002A7E94">
            <w:pPr>
              <w:jc w:val="center"/>
              <w:rPr>
                <w:lang w:eastAsia="es-ES"/>
              </w:rPr>
            </w:pPr>
            <w:r w:rsidRPr="006D23CB">
              <w:rPr>
                <w:color w:val="000000"/>
                <w:lang w:eastAsia="es-ES"/>
              </w:rPr>
              <w:t>99.8</w:t>
            </w:r>
          </w:p>
        </w:tc>
      </w:tr>
      <w:tr w:rsidR="00415AE0" w:rsidRPr="008A5ACB" w14:paraId="38929042" w14:textId="77777777" w:rsidTr="002A7E94">
        <w:tc>
          <w:tcPr>
            <w:tcW w:w="3954" w:type="pct"/>
            <w:tcBorders>
              <w:top w:val="single" w:sz="4" w:space="0" w:color="auto"/>
            </w:tcBorders>
            <w:tcMar>
              <w:top w:w="0" w:type="dxa"/>
              <w:left w:w="108" w:type="dxa"/>
              <w:bottom w:w="0" w:type="dxa"/>
              <w:right w:w="108" w:type="dxa"/>
            </w:tcMar>
            <w:hideMark/>
          </w:tcPr>
          <w:p w14:paraId="47C58031" w14:textId="77777777" w:rsidR="00415AE0" w:rsidRPr="00415AE0" w:rsidRDefault="00415AE0" w:rsidP="002A7E94">
            <w:pPr>
              <w:rPr>
                <w:lang w:val="en-US" w:eastAsia="es-ES"/>
              </w:rPr>
            </w:pPr>
            <w:r w:rsidRPr="00415AE0">
              <w:rPr>
                <w:color w:val="000000"/>
                <w:lang w:val="en-US" w:eastAsia="es-ES"/>
              </w:rPr>
              <w:t>Availability of space to be alone</w:t>
            </w:r>
          </w:p>
        </w:tc>
        <w:tc>
          <w:tcPr>
            <w:tcW w:w="547" w:type="pct"/>
            <w:tcBorders>
              <w:top w:val="single" w:sz="4" w:space="0" w:color="auto"/>
            </w:tcBorders>
            <w:tcMar>
              <w:top w:w="0" w:type="dxa"/>
              <w:left w:w="108" w:type="dxa"/>
              <w:bottom w:w="0" w:type="dxa"/>
              <w:right w:w="108" w:type="dxa"/>
            </w:tcMar>
            <w:hideMark/>
          </w:tcPr>
          <w:p w14:paraId="7ED3AC77" w14:textId="77777777" w:rsidR="00415AE0" w:rsidRPr="00415AE0"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198C5B2D" w14:textId="77777777" w:rsidR="00415AE0" w:rsidRPr="00415AE0" w:rsidRDefault="00415AE0" w:rsidP="002A7E94">
            <w:pPr>
              <w:rPr>
                <w:lang w:val="en-US" w:eastAsia="es-ES"/>
              </w:rPr>
            </w:pPr>
          </w:p>
        </w:tc>
      </w:tr>
      <w:tr w:rsidR="00415AE0" w:rsidRPr="006D23CB" w14:paraId="6311ADF9" w14:textId="77777777" w:rsidTr="002A7E94">
        <w:tc>
          <w:tcPr>
            <w:tcW w:w="3954" w:type="pct"/>
            <w:tcMar>
              <w:top w:w="0" w:type="dxa"/>
              <w:left w:w="108" w:type="dxa"/>
              <w:bottom w:w="0" w:type="dxa"/>
              <w:right w:w="108" w:type="dxa"/>
            </w:tcMar>
            <w:hideMark/>
          </w:tcPr>
          <w:p w14:paraId="69B515AE" w14:textId="77777777" w:rsidR="00415AE0" w:rsidRPr="006D23CB" w:rsidRDefault="00415AE0" w:rsidP="002A7E94">
            <w:pPr>
              <w:rPr>
                <w:lang w:eastAsia="es-ES"/>
              </w:rPr>
            </w:pPr>
            <w:r w:rsidRPr="00415AE0">
              <w:rPr>
                <w:color w:val="000000"/>
                <w:lang w:val="en-US" w:eastAsia="es-ES"/>
              </w:rPr>
              <w:t xml:space="preserve">    </w:t>
            </w:r>
            <w:r w:rsidRPr="006D23CB">
              <w:rPr>
                <w:color w:val="000000"/>
                <w:lang w:eastAsia="es-ES"/>
              </w:rPr>
              <w:t>Yes</w:t>
            </w:r>
          </w:p>
        </w:tc>
        <w:tc>
          <w:tcPr>
            <w:tcW w:w="547" w:type="pct"/>
            <w:tcMar>
              <w:top w:w="0" w:type="dxa"/>
              <w:left w:w="108" w:type="dxa"/>
              <w:bottom w:w="0" w:type="dxa"/>
              <w:right w:w="108" w:type="dxa"/>
            </w:tcMar>
            <w:hideMark/>
          </w:tcPr>
          <w:p w14:paraId="630DAF04" w14:textId="77777777" w:rsidR="00415AE0" w:rsidRPr="006D23CB" w:rsidRDefault="00415AE0" w:rsidP="002A7E94">
            <w:pPr>
              <w:jc w:val="center"/>
              <w:rPr>
                <w:lang w:eastAsia="es-ES"/>
              </w:rPr>
            </w:pPr>
            <w:r w:rsidRPr="006D23CB">
              <w:rPr>
                <w:color w:val="000000"/>
                <w:lang w:eastAsia="es-ES"/>
              </w:rPr>
              <w:t>1228</w:t>
            </w:r>
          </w:p>
        </w:tc>
        <w:tc>
          <w:tcPr>
            <w:tcW w:w="499" w:type="pct"/>
            <w:tcMar>
              <w:top w:w="0" w:type="dxa"/>
              <w:left w:w="108" w:type="dxa"/>
              <w:bottom w:w="0" w:type="dxa"/>
              <w:right w:w="108" w:type="dxa"/>
            </w:tcMar>
            <w:hideMark/>
          </w:tcPr>
          <w:p w14:paraId="1F00217E" w14:textId="77777777" w:rsidR="00415AE0" w:rsidRPr="006D23CB" w:rsidRDefault="00415AE0" w:rsidP="002A7E94">
            <w:pPr>
              <w:jc w:val="center"/>
              <w:rPr>
                <w:lang w:eastAsia="es-ES"/>
              </w:rPr>
            </w:pPr>
            <w:r w:rsidRPr="006D23CB">
              <w:rPr>
                <w:color w:val="000000"/>
                <w:lang w:eastAsia="es-ES"/>
              </w:rPr>
              <w:t>91.4</w:t>
            </w:r>
          </w:p>
        </w:tc>
      </w:tr>
      <w:tr w:rsidR="00415AE0" w:rsidRPr="006D23CB" w14:paraId="0FFBBB7B" w14:textId="77777777" w:rsidTr="002A7E94">
        <w:tc>
          <w:tcPr>
            <w:tcW w:w="3954" w:type="pct"/>
            <w:tcBorders>
              <w:bottom w:val="single" w:sz="4" w:space="0" w:color="auto"/>
            </w:tcBorders>
            <w:tcMar>
              <w:top w:w="0" w:type="dxa"/>
              <w:left w:w="108" w:type="dxa"/>
              <w:bottom w:w="0" w:type="dxa"/>
              <w:right w:w="108" w:type="dxa"/>
            </w:tcMar>
            <w:hideMark/>
          </w:tcPr>
          <w:p w14:paraId="384C0312" w14:textId="77777777" w:rsidR="00415AE0" w:rsidRPr="006D23CB" w:rsidRDefault="00415AE0" w:rsidP="002A7E94">
            <w:pPr>
              <w:rPr>
                <w:lang w:eastAsia="es-ES"/>
              </w:rPr>
            </w:pPr>
            <w:r>
              <w:rPr>
                <w:color w:val="000000"/>
                <w:lang w:eastAsia="es-ES"/>
              </w:rPr>
              <w:t xml:space="preserve">    </w:t>
            </w:r>
            <w:r w:rsidRPr="006D23CB">
              <w:rPr>
                <w:color w:val="000000"/>
                <w:lang w:eastAsia="es-ES"/>
              </w:rPr>
              <w:t>No</w:t>
            </w:r>
          </w:p>
        </w:tc>
        <w:tc>
          <w:tcPr>
            <w:tcW w:w="547" w:type="pct"/>
            <w:tcBorders>
              <w:bottom w:val="single" w:sz="4" w:space="0" w:color="auto"/>
            </w:tcBorders>
            <w:tcMar>
              <w:top w:w="0" w:type="dxa"/>
              <w:left w:w="108" w:type="dxa"/>
              <w:bottom w:w="0" w:type="dxa"/>
              <w:right w:w="108" w:type="dxa"/>
            </w:tcMar>
            <w:hideMark/>
          </w:tcPr>
          <w:p w14:paraId="571EACAB" w14:textId="77777777" w:rsidR="00415AE0" w:rsidRPr="006D23CB" w:rsidRDefault="00415AE0" w:rsidP="002A7E94">
            <w:pPr>
              <w:jc w:val="center"/>
              <w:rPr>
                <w:lang w:eastAsia="es-ES"/>
              </w:rPr>
            </w:pPr>
            <w:r w:rsidRPr="006D23CB">
              <w:rPr>
                <w:color w:val="000000"/>
                <w:lang w:eastAsia="es-ES"/>
              </w:rPr>
              <w:t>115</w:t>
            </w:r>
          </w:p>
        </w:tc>
        <w:tc>
          <w:tcPr>
            <w:tcW w:w="499" w:type="pct"/>
            <w:tcBorders>
              <w:bottom w:val="single" w:sz="4" w:space="0" w:color="auto"/>
            </w:tcBorders>
            <w:tcMar>
              <w:top w:w="0" w:type="dxa"/>
              <w:left w:w="108" w:type="dxa"/>
              <w:bottom w:w="0" w:type="dxa"/>
              <w:right w:w="108" w:type="dxa"/>
            </w:tcMar>
            <w:hideMark/>
          </w:tcPr>
          <w:p w14:paraId="4ED301E0" w14:textId="77777777" w:rsidR="00415AE0" w:rsidRPr="006D23CB" w:rsidRDefault="00415AE0" w:rsidP="002A7E94">
            <w:pPr>
              <w:jc w:val="center"/>
              <w:rPr>
                <w:lang w:eastAsia="es-ES"/>
              </w:rPr>
            </w:pPr>
            <w:r w:rsidRPr="006D23CB">
              <w:rPr>
                <w:color w:val="000000"/>
                <w:lang w:eastAsia="es-ES"/>
              </w:rPr>
              <w:t>8.6</w:t>
            </w:r>
          </w:p>
        </w:tc>
      </w:tr>
      <w:tr w:rsidR="00415AE0" w:rsidRPr="006D23CB" w14:paraId="5E01E005"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47540DA3" w14:textId="77777777" w:rsidR="00415AE0" w:rsidRPr="006D23CB" w:rsidRDefault="00415AE0" w:rsidP="002A7E94">
            <w:pPr>
              <w:rPr>
                <w:lang w:eastAsia="es-ES"/>
              </w:rPr>
            </w:pPr>
            <w:r w:rsidRPr="006D23CB">
              <w:rPr>
                <w:color w:val="000000"/>
                <w:lang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7E9C09A4" w14:textId="77777777" w:rsidR="00415AE0" w:rsidRPr="006D23CB" w:rsidRDefault="00415AE0" w:rsidP="002A7E94">
            <w:pPr>
              <w:jc w:val="center"/>
              <w:rPr>
                <w:lang w:eastAsia="es-ES"/>
              </w:rPr>
            </w:pPr>
            <w:r w:rsidRPr="006D23CB">
              <w:rPr>
                <w:color w:val="000000"/>
                <w:lang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432ADA34" w14:textId="77777777" w:rsidR="00415AE0" w:rsidRPr="006D23CB" w:rsidRDefault="00415AE0" w:rsidP="002A7E94">
            <w:pPr>
              <w:jc w:val="center"/>
              <w:rPr>
                <w:lang w:eastAsia="es-ES"/>
              </w:rPr>
            </w:pPr>
            <w:r w:rsidRPr="006D23CB">
              <w:rPr>
                <w:color w:val="000000"/>
                <w:lang w:eastAsia="es-ES"/>
              </w:rPr>
              <w:t>100</w:t>
            </w:r>
          </w:p>
        </w:tc>
      </w:tr>
      <w:tr w:rsidR="00415AE0" w:rsidRPr="008A5ACB" w14:paraId="10022C20" w14:textId="77777777" w:rsidTr="002A7E94">
        <w:tc>
          <w:tcPr>
            <w:tcW w:w="3954" w:type="pct"/>
            <w:tcBorders>
              <w:top w:val="single" w:sz="4" w:space="0" w:color="auto"/>
            </w:tcBorders>
            <w:tcMar>
              <w:top w:w="0" w:type="dxa"/>
              <w:left w:w="108" w:type="dxa"/>
              <w:bottom w:w="0" w:type="dxa"/>
              <w:right w:w="108" w:type="dxa"/>
            </w:tcMar>
            <w:hideMark/>
          </w:tcPr>
          <w:p w14:paraId="08FC0593" w14:textId="77777777" w:rsidR="00415AE0" w:rsidRPr="00415AE0" w:rsidRDefault="00415AE0" w:rsidP="002A7E94">
            <w:pPr>
              <w:rPr>
                <w:lang w:val="en-US" w:eastAsia="es-ES"/>
              </w:rPr>
            </w:pPr>
            <w:r w:rsidRPr="00415AE0">
              <w:rPr>
                <w:color w:val="000000"/>
                <w:lang w:val="en-US" w:eastAsia="es-ES"/>
              </w:rPr>
              <w:lastRenderedPageBreak/>
              <w:t>Use of space to be alone</w:t>
            </w:r>
          </w:p>
        </w:tc>
        <w:tc>
          <w:tcPr>
            <w:tcW w:w="547" w:type="pct"/>
            <w:tcBorders>
              <w:top w:val="single" w:sz="4" w:space="0" w:color="auto"/>
            </w:tcBorders>
            <w:tcMar>
              <w:top w:w="0" w:type="dxa"/>
              <w:left w:w="108" w:type="dxa"/>
              <w:bottom w:w="0" w:type="dxa"/>
              <w:right w:w="108" w:type="dxa"/>
            </w:tcMar>
            <w:hideMark/>
          </w:tcPr>
          <w:p w14:paraId="476E7F24" w14:textId="77777777" w:rsidR="00415AE0" w:rsidRPr="00415AE0"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5105E65" w14:textId="77777777" w:rsidR="00415AE0" w:rsidRPr="00415AE0" w:rsidRDefault="00415AE0" w:rsidP="002A7E94">
            <w:pPr>
              <w:rPr>
                <w:lang w:val="en-US" w:eastAsia="es-ES"/>
              </w:rPr>
            </w:pPr>
          </w:p>
        </w:tc>
      </w:tr>
      <w:tr w:rsidR="00415AE0" w:rsidRPr="006D23CB" w14:paraId="36AF372A" w14:textId="77777777" w:rsidTr="002A7E94">
        <w:tc>
          <w:tcPr>
            <w:tcW w:w="3954" w:type="pct"/>
            <w:tcMar>
              <w:top w:w="0" w:type="dxa"/>
              <w:left w:w="108" w:type="dxa"/>
              <w:bottom w:w="0" w:type="dxa"/>
              <w:right w:w="108" w:type="dxa"/>
            </w:tcMar>
            <w:hideMark/>
          </w:tcPr>
          <w:p w14:paraId="3E637C9A" w14:textId="77777777" w:rsidR="00415AE0" w:rsidRPr="006D23CB" w:rsidRDefault="00415AE0" w:rsidP="002A7E94">
            <w:pPr>
              <w:rPr>
                <w:lang w:eastAsia="es-ES"/>
              </w:rPr>
            </w:pPr>
            <w:r w:rsidRPr="00415AE0">
              <w:rPr>
                <w:color w:val="000000"/>
                <w:lang w:val="en-US" w:eastAsia="es-ES"/>
              </w:rPr>
              <w:t xml:space="preserve">    </w:t>
            </w:r>
            <w:proofErr w:type="spellStart"/>
            <w:r w:rsidRPr="006D23CB">
              <w:rPr>
                <w:color w:val="000000"/>
                <w:lang w:eastAsia="es-ES"/>
              </w:rPr>
              <w:t>Never</w:t>
            </w:r>
            <w:proofErr w:type="spellEnd"/>
          </w:p>
        </w:tc>
        <w:tc>
          <w:tcPr>
            <w:tcW w:w="547" w:type="pct"/>
            <w:tcMar>
              <w:top w:w="0" w:type="dxa"/>
              <w:left w:w="108" w:type="dxa"/>
              <w:bottom w:w="0" w:type="dxa"/>
              <w:right w:w="108" w:type="dxa"/>
            </w:tcMar>
            <w:hideMark/>
          </w:tcPr>
          <w:p w14:paraId="09AFE389" w14:textId="77777777" w:rsidR="00415AE0" w:rsidRPr="006D23CB" w:rsidRDefault="00415AE0" w:rsidP="002A7E94">
            <w:pPr>
              <w:jc w:val="center"/>
              <w:rPr>
                <w:lang w:eastAsia="es-ES"/>
              </w:rPr>
            </w:pPr>
            <w:r w:rsidRPr="006D23CB">
              <w:rPr>
                <w:color w:val="000000"/>
                <w:lang w:eastAsia="es-ES"/>
              </w:rPr>
              <w:t>254</w:t>
            </w:r>
          </w:p>
        </w:tc>
        <w:tc>
          <w:tcPr>
            <w:tcW w:w="499" w:type="pct"/>
            <w:tcMar>
              <w:top w:w="0" w:type="dxa"/>
              <w:left w:w="108" w:type="dxa"/>
              <w:bottom w:w="0" w:type="dxa"/>
              <w:right w:w="108" w:type="dxa"/>
            </w:tcMar>
            <w:hideMark/>
          </w:tcPr>
          <w:p w14:paraId="3BB8AC1A" w14:textId="77777777" w:rsidR="00415AE0" w:rsidRPr="006D23CB" w:rsidRDefault="00415AE0" w:rsidP="002A7E94">
            <w:pPr>
              <w:jc w:val="center"/>
              <w:rPr>
                <w:lang w:eastAsia="es-ES"/>
              </w:rPr>
            </w:pPr>
            <w:r w:rsidRPr="006D23CB">
              <w:rPr>
                <w:color w:val="000000"/>
                <w:lang w:eastAsia="es-ES"/>
              </w:rPr>
              <w:t>18.9</w:t>
            </w:r>
          </w:p>
        </w:tc>
      </w:tr>
      <w:tr w:rsidR="00415AE0" w:rsidRPr="006D23CB" w14:paraId="3F558EBE" w14:textId="77777777" w:rsidTr="002A7E94">
        <w:tc>
          <w:tcPr>
            <w:tcW w:w="3954" w:type="pct"/>
            <w:tcMar>
              <w:top w:w="0" w:type="dxa"/>
              <w:left w:w="108" w:type="dxa"/>
              <w:bottom w:w="0" w:type="dxa"/>
              <w:right w:w="108" w:type="dxa"/>
            </w:tcMar>
            <w:hideMark/>
          </w:tcPr>
          <w:p w14:paraId="7AE4184D"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Almost</w:t>
            </w:r>
            <w:proofErr w:type="spellEnd"/>
            <w:r w:rsidRPr="006D23CB">
              <w:rPr>
                <w:color w:val="000000"/>
                <w:lang w:eastAsia="es-ES"/>
              </w:rPr>
              <w:t xml:space="preserve"> </w:t>
            </w:r>
            <w:proofErr w:type="spellStart"/>
            <w:r w:rsidRPr="006D23CB">
              <w:rPr>
                <w:color w:val="000000"/>
                <w:lang w:eastAsia="es-ES"/>
              </w:rPr>
              <w:t>never</w:t>
            </w:r>
            <w:proofErr w:type="spellEnd"/>
          </w:p>
        </w:tc>
        <w:tc>
          <w:tcPr>
            <w:tcW w:w="547" w:type="pct"/>
            <w:tcMar>
              <w:top w:w="0" w:type="dxa"/>
              <w:left w:w="108" w:type="dxa"/>
              <w:bottom w:w="0" w:type="dxa"/>
              <w:right w:w="108" w:type="dxa"/>
            </w:tcMar>
            <w:hideMark/>
          </w:tcPr>
          <w:p w14:paraId="1B853E35" w14:textId="77777777" w:rsidR="00415AE0" w:rsidRPr="006D23CB" w:rsidRDefault="00415AE0" w:rsidP="002A7E94">
            <w:pPr>
              <w:jc w:val="center"/>
              <w:rPr>
                <w:lang w:eastAsia="es-ES"/>
              </w:rPr>
            </w:pPr>
            <w:r w:rsidRPr="006D23CB">
              <w:rPr>
                <w:color w:val="000000"/>
                <w:lang w:eastAsia="es-ES"/>
              </w:rPr>
              <w:t>158</w:t>
            </w:r>
          </w:p>
        </w:tc>
        <w:tc>
          <w:tcPr>
            <w:tcW w:w="499" w:type="pct"/>
            <w:tcMar>
              <w:top w:w="0" w:type="dxa"/>
              <w:left w:w="108" w:type="dxa"/>
              <w:bottom w:w="0" w:type="dxa"/>
              <w:right w:w="108" w:type="dxa"/>
            </w:tcMar>
            <w:hideMark/>
          </w:tcPr>
          <w:p w14:paraId="61B03106" w14:textId="77777777" w:rsidR="00415AE0" w:rsidRPr="006D23CB" w:rsidRDefault="00415AE0" w:rsidP="002A7E94">
            <w:pPr>
              <w:jc w:val="center"/>
              <w:rPr>
                <w:lang w:eastAsia="es-ES"/>
              </w:rPr>
            </w:pPr>
            <w:r w:rsidRPr="006D23CB">
              <w:rPr>
                <w:color w:val="000000"/>
                <w:lang w:eastAsia="es-ES"/>
              </w:rPr>
              <w:t>11.8</w:t>
            </w:r>
          </w:p>
        </w:tc>
      </w:tr>
      <w:tr w:rsidR="00415AE0" w:rsidRPr="006D23CB" w14:paraId="747CCC57" w14:textId="77777777" w:rsidTr="002A7E94">
        <w:tc>
          <w:tcPr>
            <w:tcW w:w="3954" w:type="pct"/>
            <w:tcMar>
              <w:top w:w="0" w:type="dxa"/>
              <w:left w:w="108" w:type="dxa"/>
              <w:bottom w:w="0" w:type="dxa"/>
              <w:right w:w="108" w:type="dxa"/>
            </w:tcMar>
            <w:hideMark/>
          </w:tcPr>
          <w:p w14:paraId="5051E783"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Occasionally</w:t>
            </w:r>
            <w:proofErr w:type="spellEnd"/>
          </w:p>
        </w:tc>
        <w:tc>
          <w:tcPr>
            <w:tcW w:w="547" w:type="pct"/>
            <w:tcMar>
              <w:top w:w="0" w:type="dxa"/>
              <w:left w:w="108" w:type="dxa"/>
              <w:bottom w:w="0" w:type="dxa"/>
              <w:right w:w="108" w:type="dxa"/>
            </w:tcMar>
            <w:hideMark/>
          </w:tcPr>
          <w:p w14:paraId="712B7A48" w14:textId="77777777" w:rsidR="00415AE0" w:rsidRPr="006D23CB" w:rsidRDefault="00415AE0" w:rsidP="002A7E94">
            <w:pPr>
              <w:jc w:val="center"/>
              <w:rPr>
                <w:lang w:eastAsia="es-ES"/>
              </w:rPr>
            </w:pPr>
            <w:r w:rsidRPr="006D23CB">
              <w:rPr>
                <w:color w:val="000000"/>
                <w:lang w:eastAsia="es-ES"/>
              </w:rPr>
              <w:t>260</w:t>
            </w:r>
          </w:p>
        </w:tc>
        <w:tc>
          <w:tcPr>
            <w:tcW w:w="499" w:type="pct"/>
            <w:tcMar>
              <w:top w:w="0" w:type="dxa"/>
              <w:left w:w="108" w:type="dxa"/>
              <w:bottom w:w="0" w:type="dxa"/>
              <w:right w:w="108" w:type="dxa"/>
            </w:tcMar>
            <w:hideMark/>
          </w:tcPr>
          <w:p w14:paraId="2BFF195D" w14:textId="77777777" w:rsidR="00415AE0" w:rsidRPr="006D23CB" w:rsidRDefault="00415AE0" w:rsidP="002A7E94">
            <w:pPr>
              <w:jc w:val="center"/>
              <w:rPr>
                <w:lang w:eastAsia="es-ES"/>
              </w:rPr>
            </w:pPr>
            <w:r w:rsidRPr="006D23CB">
              <w:rPr>
                <w:color w:val="000000"/>
                <w:lang w:eastAsia="es-ES"/>
              </w:rPr>
              <w:t>19.4</w:t>
            </w:r>
          </w:p>
        </w:tc>
      </w:tr>
      <w:tr w:rsidR="00415AE0" w:rsidRPr="006D23CB" w14:paraId="271ADCF1" w14:textId="77777777" w:rsidTr="002A7E94">
        <w:tc>
          <w:tcPr>
            <w:tcW w:w="3954" w:type="pct"/>
            <w:tcMar>
              <w:top w:w="0" w:type="dxa"/>
              <w:left w:w="108" w:type="dxa"/>
              <w:bottom w:w="0" w:type="dxa"/>
              <w:right w:w="108" w:type="dxa"/>
            </w:tcMar>
            <w:hideMark/>
          </w:tcPr>
          <w:p w14:paraId="72B81159"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Almost</w:t>
            </w:r>
            <w:proofErr w:type="spellEnd"/>
            <w:r w:rsidRPr="006D23CB">
              <w:rPr>
                <w:color w:val="000000"/>
                <w:lang w:eastAsia="es-ES"/>
              </w:rPr>
              <w:t xml:space="preserve"> </w:t>
            </w:r>
            <w:proofErr w:type="spellStart"/>
            <w:r w:rsidRPr="006D23CB">
              <w:rPr>
                <w:color w:val="000000"/>
                <w:lang w:eastAsia="es-ES"/>
              </w:rPr>
              <w:t>every</w:t>
            </w:r>
            <w:proofErr w:type="spellEnd"/>
            <w:r w:rsidRPr="006D23CB">
              <w:rPr>
                <w:color w:val="000000"/>
                <w:lang w:eastAsia="es-ES"/>
              </w:rPr>
              <w:t xml:space="preserve"> </w:t>
            </w:r>
            <w:proofErr w:type="spellStart"/>
            <w:r w:rsidRPr="006D23CB">
              <w:rPr>
                <w:color w:val="000000"/>
                <w:lang w:eastAsia="es-ES"/>
              </w:rPr>
              <w:t>day</w:t>
            </w:r>
            <w:proofErr w:type="spellEnd"/>
          </w:p>
        </w:tc>
        <w:tc>
          <w:tcPr>
            <w:tcW w:w="547" w:type="pct"/>
            <w:tcMar>
              <w:top w:w="0" w:type="dxa"/>
              <w:left w:w="108" w:type="dxa"/>
              <w:bottom w:w="0" w:type="dxa"/>
              <w:right w:w="108" w:type="dxa"/>
            </w:tcMar>
            <w:hideMark/>
          </w:tcPr>
          <w:p w14:paraId="1A7E8B54" w14:textId="77777777" w:rsidR="00415AE0" w:rsidRPr="006D23CB" w:rsidRDefault="00415AE0" w:rsidP="002A7E94">
            <w:pPr>
              <w:jc w:val="center"/>
              <w:rPr>
                <w:lang w:eastAsia="es-ES"/>
              </w:rPr>
            </w:pPr>
            <w:r w:rsidRPr="006D23CB">
              <w:rPr>
                <w:color w:val="000000"/>
                <w:lang w:eastAsia="es-ES"/>
              </w:rPr>
              <w:t>226</w:t>
            </w:r>
          </w:p>
        </w:tc>
        <w:tc>
          <w:tcPr>
            <w:tcW w:w="499" w:type="pct"/>
            <w:tcMar>
              <w:top w:w="0" w:type="dxa"/>
              <w:left w:w="108" w:type="dxa"/>
              <w:bottom w:w="0" w:type="dxa"/>
              <w:right w:w="108" w:type="dxa"/>
            </w:tcMar>
            <w:hideMark/>
          </w:tcPr>
          <w:p w14:paraId="03B3E312" w14:textId="77777777" w:rsidR="00415AE0" w:rsidRPr="006D23CB" w:rsidRDefault="00415AE0" w:rsidP="002A7E94">
            <w:pPr>
              <w:jc w:val="center"/>
              <w:rPr>
                <w:lang w:eastAsia="es-ES"/>
              </w:rPr>
            </w:pPr>
            <w:r w:rsidRPr="006D23CB">
              <w:rPr>
                <w:color w:val="000000"/>
                <w:lang w:eastAsia="es-ES"/>
              </w:rPr>
              <w:t>16.8</w:t>
            </w:r>
          </w:p>
        </w:tc>
      </w:tr>
      <w:tr w:rsidR="00415AE0" w:rsidRPr="006D23CB" w14:paraId="580E83AB" w14:textId="77777777" w:rsidTr="002A7E94">
        <w:tc>
          <w:tcPr>
            <w:tcW w:w="3954" w:type="pct"/>
            <w:tcBorders>
              <w:bottom w:val="single" w:sz="4" w:space="0" w:color="auto"/>
            </w:tcBorders>
            <w:tcMar>
              <w:top w:w="0" w:type="dxa"/>
              <w:left w:w="108" w:type="dxa"/>
              <w:bottom w:w="0" w:type="dxa"/>
              <w:right w:w="108" w:type="dxa"/>
            </w:tcMar>
            <w:hideMark/>
          </w:tcPr>
          <w:p w14:paraId="4C9AD441"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Every</w:t>
            </w:r>
            <w:proofErr w:type="spellEnd"/>
            <w:r w:rsidRPr="006D23CB">
              <w:rPr>
                <w:color w:val="000000"/>
                <w:lang w:eastAsia="es-ES"/>
              </w:rPr>
              <w:t xml:space="preserve"> </w:t>
            </w:r>
            <w:proofErr w:type="spellStart"/>
            <w:r w:rsidRPr="006D23CB">
              <w:rPr>
                <w:color w:val="000000"/>
                <w:lang w:eastAsia="es-ES"/>
              </w:rPr>
              <w:t>day</w:t>
            </w:r>
            <w:proofErr w:type="spellEnd"/>
          </w:p>
        </w:tc>
        <w:tc>
          <w:tcPr>
            <w:tcW w:w="547" w:type="pct"/>
            <w:tcBorders>
              <w:bottom w:val="single" w:sz="4" w:space="0" w:color="auto"/>
            </w:tcBorders>
            <w:tcMar>
              <w:top w:w="0" w:type="dxa"/>
              <w:left w:w="108" w:type="dxa"/>
              <w:bottom w:w="0" w:type="dxa"/>
              <w:right w:w="108" w:type="dxa"/>
            </w:tcMar>
            <w:hideMark/>
          </w:tcPr>
          <w:p w14:paraId="6ACD9F1F" w14:textId="77777777" w:rsidR="00415AE0" w:rsidRPr="006D23CB" w:rsidRDefault="00415AE0" w:rsidP="002A7E94">
            <w:pPr>
              <w:jc w:val="center"/>
              <w:rPr>
                <w:lang w:eastAsia="es-ES"/>
              </w:rPr>
            </w:pPr>
            <w:r w:rsidRPr="006D23CB">
              <w:rPr>
                <w:color w:val="000000"/>
                <w:lang w:eastAsia="es-ES"/>
              </w:rPr>
              <w:t>445</w:t>
            </w:r>
          </w:p>
        </w:tc>
        <w:tc>
          <w:tcPr>
            <w:tcW w:w="499" w:type="pct"/>
            <w:tcBorders>
              <w:bottom w:val="single" w:sz="4" w:space="0" w:color="auto"/>
            </w:tcBorders>
            <w:tcMar>
              <w:top w:w="0" w:type="dxa"/>
              <w:left w:w="108" w:type="dxa"/>
              <w:bottom w:w="0" w:type="dxa"/>
              <w:right w:w="108" w:type="dxa"/>
            </w:tcMar>
            <w:hideMark/>
          </w:tcPr>
          <w:p w14:paraId="6D5E5C79" w14:textId="77777777" w:rsidR="00415AE0" w:rsidRPr="006D23CB" w:rsidRDefault="00415AE0" w:rsidP="002A7E94">
            <w:pPr>
              <w:jc w:val="center"/>
              <w:rPr>
                <w:lang w:eastAsia="es-ES"/>
              </w:rPr>
            </w:pPr>
            <w:r w:rsidRPr="006D23CB">
              <w:rPr>
                <w:color w:val="000000"/>
                <w:lang w:eastAsia="es-ES"/>
              </w:rPr>
              <w:t>33.1</w:t>
            </w:r>
          </w:p>
        </w:tc>
      </w:tr>
      <w:tr w:rsidR="00415AE0" w:rsidRPr="006D23CB" w14:paraId="745F65B6"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3FDE1EBF" w14:textId="77777777" w:rsidR="00415AE0" w:rsidRPr="006D23CB" w:rsidRDefault="00415AE0" w:rsidP="002A7E94">
            <w:pPr>
              <w:rPr>
                <w:lang w:eastAsia="es-ES"/>
              </w:rPr>
            </w:pPr>
            <w:r w:rsidRPr="006D23CB">
              <w:rPr>
                <w:color w:val="000000"/>
                <w:lang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474E673E" w14:textId="77777777" w:rsidR="00415AE0" w:rsidRPr="006D23CB" w:rsidRDefault="00415AE0" w:rsidP="002A7E94">
            <w:pPr>
              <w:jc w:val="center"/>
              <w:rPr>
                <w:lang w:eastAsia="es-ES"/>
              </w:rPr>
            </w:pPr>
            <w:r w:rsidRPr="006D23CB">
              <w:rPr>
                <w:color w:val="000000"/>
                <w:lang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25DB97E8" w14:textId="77777777" w:rsidR="00415AE0" w:rsidRPr="006D23CB" w:rsidRDefault="00415AE0" w:rsidP="002A7E94">
            <w:pPr>
              <w:jc w:val="center"/>
              <w:rPr>
                <w:lang w:eastAsia="es-ES"/>
              </w:rPr>
            </w:pPr>
            <w:r w:rsidRPr="006D23CB">
              <w:rPr>
                <w:color w:val="000000"/>
                <w:lang w:eastAsia="es-ES"/>
              </w:rPr>
              <w:t>100</w:t>
            </w:r>
          </w:p>
        </w:tc>
      </w:tr>
      <w:tr w:rsidR="00415AE0" w:rsidRPr="008A5ACB" w14:paraId="60EE2F53" w14:textId="77777777" w:rsidTr="002A7E94">
        <w:tc>
          <w:tcPr>
            <w:tcW w:w="3954" w:type="pct"/>
            <w:tcBorders>
              <w:top w:val="single" w:sz="4" w:space="0" w:color="auto"/>
            </w:tcBorders>
            <w:tcMar>
              <w:top w:w="0" w:type="dxa"/>
              <w:left w:w="108" w:type="dxa"/>
              <w:bottom w:w="0" w:type="dxa"/>
              <w:right w:w="108" w:type="dxa"/>
            </w:tcMar>
            <w:hideMark/>
          </w:tcPr>
          <w:p w14:paraId="0ACDED6F" w14:textId="77777777" w:rsidR="00415AE0" w:rsidRPr="00415AE0" w:rsidRDefault="00415AE0" w:rsidP="002A7E94">
            <w:pPr>
              <w:rPr>
                <w:lang w:val="en-US" w:eastAsia="es-ES"/>
              </w:rPr>
            </w:pPr>
            <w:r w:rsidRPr="00415AE0">
              <w:rPr>
                <w:color w:val="000000"/>
                <w:lang w:val="en-US" w:eastAsia="es-ES"/>
              </w:rPr>
              <w:t>Availability of open-air spaces</w:t>
            </w:r>
          </w:p>
        </w:tc>
        <w:tc>
          <w:tcPr>
            <w:tcW w:w="547" w:type="pct"/>
            <w:tcBorders>
              <w:top w:val="single" w:sz="4" w:space="0" w:color="auto"/>
            </w:tcBorders>
            <w:tcMar>
              <w:top w:w="0" w:type="dxa"/>
              <w:left w:w="108" w:type="dxa"/>
              <w:bottom w:w="0" w:type="dxa"/>
              <w:right w:w="108" w:type="dxa"/>
            </w:tcMar>
            <w:hideMark/>
          </w:tcPr>
          <w:p w14:paraId="191A679C" w14:textId="77777777" w:rsidR="00415AE0" w:rsidRPr="00415AE0"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25058C90" w14:textId="77777777" w:rsidR="00415AE0" w:rsidRPr="00415AE0" w:rsidRDefault="00415AE0" w:rsidP="002A7E94">
            <w:pPr>
              <w:rPr>
                <w:lang w:val="en-US" w:eastAsia="es-ES"/>
              </w:rPr>
            </w:pPr>
          </w:p>
        </w:tc>
      </w:tr>
      <w:tr w:rsidR="00415AE0" w:rsidRPr="006D23CB" w14:paraId="5E275B70" w14:textId="77777777" w:rsidTr="002A7E94">
        <w:tc>
          <w:tcPr>
            <w:tcW w:w="3954" w:type="pct"/>
            <w:tcMar>
              <w:top w:w="0" w:type="dxa"/>
              <w:left w:w="108" w:type="dxa"/>
              <w:bottom w:w="0" w:type="dxa"/>
              <w:right w:w="108" w:type="dxa"/>
            </w:tcMar>
            <w:hideMark/>
          </w:tcPr>
          <w:p w14:paraId="2C9A7A24" w14:textId="77777777" w:rsidR="00415AE0" w:rsidRPr="006D23CB" w:rsidRDefault="00415AE0" w:rsidP="002A7E94">
            <w:pPr>
              <w:rPr>
                <w:lang w:eastAsia="es-ES"/>
              </w:rPr>
            </w:pPr>
            <w:r w:rsidRPr="00415AE0">
              <w:rPr>
                <w:color w:val="000000"/>
                <w:lang w:val="en-US" w:eastAsia="es-ES"/>
              </w:rPr>
              <w:t xml:space="preserve">    </w:t>
            </w:r>
            <w:r w:rsidRPr="006D23CB">
              <w:rPr>
                <w:color w:val="000000"/>
                <w:lang w:eastAsia="es-ES"/>
              </w:rPr>
              <w:t>Yes </w:t>
            </w:r>
          </w:p>
        </w:tc>
        <w:tc>
          <w:tcPr>
            <w:tcW w:w="547" w:type="pct"/>
            <w:tcMar>
              <w:top w:w="0" w:type="dxa"/>
              <w:left w:w="108" w:type="dxa"/>
              <w:bottom w:w="0" w:type="dxa"/>
              <w:right w:w="108" w:type="dxa"/>
            </w:tcMar>
            <w:hideMark/>
          </w:tcPr>
          <w:p w14:paraId="3D4C7BA3" w14:textId="77777777" w:rsidR="00415AE0" w:rsidRPr="006D23CB" w:rsidRDefault="00415AE0" w:rsidP="002A7E94">
            <w:pPr>
              <w:jc w:val="center"/>
              <w:rPr>
                <w:lang w:eastAsia="es-ES"/>
              </w:rPr>
            </w:pPr>
            <w:r w:rsidRPr="006D23CB">
              <w:rPr>
                <w:color w:val="000000"/>
                <w:lang w:eastAsia="es-ES"/>
              </w:rPr>
              <w:t>1065</w:t>
            </w:r>
          </w:p>
        </w:tc>
        <w:tc>
          <w:tcPr>
            <w:tcW w:w="499" w:type="pct"/>
            <w:tcMar>
              <w:top w:w="0" w:type="dxa"/>
              <w:left w:w="108" w:type="dxa"/>
              <w:bottom w:w="0" w:type="dxa"/>
              <w:right w:w="108" w:type="dxa"/>
            </w:tcMar>
            <w:hideMark/>
          </w:tcPr>
          <w:p w14:paraId="3A2FFDC6" w14:textId="77777777" w:rsidR="00415AE0" w:rsidRPr="006D23CB" w:rsidRDefault="00415AE0" w:rsidP="002A7E94">
            <w:pPr>
              <w:jc w:val="center"/>
              <w:rPr>
                <w:lang w:eastAsia="es-ES"/>
              </w:rPr>
            </w:pPr>
            <w:r w:rsidRPr="006D23CB">
              <w:rPr>
                <w:color w:val="000000"/>
                <w:lang w:eastAsia="es-ES"/>
              </w:rPr>
              <w:t>79.3</w:t>
            </w:r>
          </w:p>
        </w:tc>
      </w:tr>
      <w:tr w:rsidR="00415AE0" w:rsidRPr="006D23CB" w14:paraId="611DF354" w14:textId="77777777" w:rsidTr="002A7E94">
        <w:tc>
          <w:tcPr>
            <w:tcW w:w="3954" w:type="pct"/>
            <w:tcBorders>
              <w:bottom w:val="single" w:sz="4" w:space="0" w:color="auto"/>
            </w:tcBorders>
            <w:tcMar>
              <w:top w:w="0" w:type="dxa"/>
              <w:left w:w="108" w:type="dxa"/>
              <w:bottom w:w="0" w:type="dxa"/>
              <w:right w:w="108" w:type="dxa"/>
            </w:tcMar>
            <w:hideMark/>
          </w:tcPr>
          <w:p w14:paraId="26EBAE9B" w14:textId="77777777" w:rsidR="00415AE0" w:rsidRPr="006D23CB" w:rsidRDefault="00415AE0" w:rsidP="002A7E94">
            <w:pPr>
              <w:rPr>
                <w:lang w:eastAsia="es-ES"/>
              </w:rPr>
            </w:pPr>
            <w:r>
              <w:rPr>
                <w:color w:val="000000"/>
                <w:lang w:eastAsia="es-ES"/>
              </w:rPr>
              <w:t xml:space="preserve">    </w:t>
            </w:r>
            <w:r w:rsidRPr="006D23CB">
              <w:rPr>
                <w:color w:val="000000"/>
                <w:lang w:eastAsia="es-ES"/>
              </w:rPr>
              <w:t>No</w:t>
            </w:r>
          </w:p>
        </w:tc>
        <w:tc>
          <w:tcPr>
            <w:tcW w:w="547" w:type="pct"/>
            <w:tcBorders>
              <w:bottom w:val="single" w:sz="4" w:space="0" w:color="auto"/>
            </w:tcBorders>
            <w:tcMar>
              <w:top w:w="0" w:type="dxa"/>
              <w:left w:w="108" w:type="dxa"/>
              <w:bottom w:w="0" w:type="dxa"/>
              <w:right w:w="108" w:type="dxa"/>
            </w:tcMar>
            <w:hideMark/>
          </w:tcPr>
          <w:p w14:paraId="3A963EC2" w14:textId="77777777" w:rsidR="00415AE0" w:rsidRPr="006D23CB" w:rsidRDefault="00415AE0" w:rsidP="002A7E94">
            <w:pPr>
              <w:jc w:val="center"/>
              <w:rPr>
                <w:lang w:eastAsia="es-ES"/>
              </w:rPr>
            </w:pPr>
            <w:r w:rsidRPr="006D23CB">
              <w:rPr>
                <w:color w:val="000000"/>
                <w:lang w:eastAsia="es-ES"/>
              </w:rPr>
              <w:t>278</w:t>
            </w:r>
          </w:p>
        </w:tc>
        <w:tc>
          <w:tcPr>
            <w:tcW w:w="499" w:type="pct"/>
            <w:tcBorders>
              <w:bottom w:val="single" w:sz="4" w:space="0" w:color="auto"/>
            </w:tcBorders>
            <w:tcMar>
              <w:top w:w="0" w:type="dxa"/>
              <w:left w:w="108" w:type="dxa"/>
              <w:bottom w:w="0" w:type="dxa"/>
              <w:right w:w="108" w:type="dxa"/>
            </w:tcMar>
            <w:hideMark/>
          </w:tcPr>
          <w:p w14:paraId="30F27923" w14:textId="77777777" w:rsidR="00415AE0" w:rsidRPr="006D23CB" w:rsidRDefault="00415AE0" w:rsidP="002A7E94">
            <w:pPr>
              <w:jc w:val="center"/>
              <w:rPr>
                <w:lang w:eastAsia="es-ES"/>
              </w:rPr>
            </w:pPr>
            <w:r w:rsidRPr="006D23CB">
              <w:rPr>
                <w:color w:val="000000"/>
                <w:lang w:eastAsia="es-ES"/>
              </w:rPr>
              <w:t>20.7</w:t>
            </w:r>
          </w:p>
        </w:tc>
      </w:tr>
      <w:tr w:rsidR="00415AE0" w:rsidRPr="006D23CB" w14:paraId="3A2B0E7B" w14:textId="77777777" w:rsidTr="002A7E94">
        <w:tc>
          <w:tcPr>
            <w:tcW w:w="3954" w:type="pct"/>
            <w:tcBorders>
              <w:top w:val="single" w:sz="4" w:space="0" w:color="auto"/>
              <w:bottom w:val="single" w:sz="4" w:space="0" w:color="auto"/>
            </w:tcBorders>
            <w:tcMar>
              <w:top w:w="0" w:type="dxa"/>
              <w:left w:w="108" w:type="dxa"/>
              <w:bottom w:w="0" w:type="dxa"/>
              <w:right w:w="108" w:type="dxa"/>
            </w:tcMar>
            <w:hideMark/>
          </w:tcPr>
          <w:p w14:paraId="550CBF85" w14:textId="77777777" w:rsidR="00415AE0" w:rsidRPr="006D23CB" w:rsidRDefault="00415AE0" w:rsidP="002A7E94">
            <w:pPr>
              <w:rPr>
                <w:lang w:eastAsia="es-ES"/>
              </w:rPr>
            </w:pPr>
            <w:r w:rsidRPr="006D23CB">
              <w:rPr>
                <w:color w:val="000000"/>
                <w:lang w:eastAsia="es-ES"/>
              </w:rPr>
              <w:t>Total</w:t>
            </w:r>
          </w:p>
        </w:tc>
        <w:tc>
          <w:tcPr>
            <w:tcW w:w="547" w:type="pct"/>
            <w:tcBorders>
              <w:top w:val="single" w:sz="4" w:space="0" w:color="auto"/>
              <w:bottom w:val="single" w:sz="4" w:space="0" w:color="auto"/>
            </w:tcBorders>
            <w:tcMar>
              <w:top w:w="0" w:type="dxa"/>
              <w:left w:w="108" w:type="dxa"/>
              <w:bottom w:w="0" w:type="dxa"/>
              <w:right w:w="108" w:type="dxa"/>
            </w:tcMar>
            <w:hideMark/>
          </w:tcPr>
          <w:p w14:paraId="651C41A2" w14:textId="77777777" w:rsidR="00415AE0" w:rsidRPr="006D23CB" w:rsidRDefault="00415AE0" w:rsidP="002A7E94">
            <w:pPr>
              <w:jc w:val="center"/>
              <w:rPr>
                <w:lang w:eastAsia="es-ES"/>
              </w:rPr>
            </w:pPr>
            <w:r w:rsidRPr="006D23CB">
              <w:rPr>
                <w:color w:val="000000"/>
                <w:lang w:eastAsia="es-ES"/>
              </w:rPr>
              <w:t>1343</w:t>
            </w:r>
          </w:p>
        </w:tc>
        <w:tc>
          <w:tcPr>
            <w:tcW w:w="499" w:type="pct"/>
            <w:tcBorders>
              <w:top w:val="single" w:sz="4" w:space="0" w:color="auto"/>
              <w:bottom w:val="single" w:sz="4" w:space="0" w:color="auto"/>
            </w:tcBorders>
            <w:tcMar>
              <w:top w:w="0" w:type="dxa"/>
              <w:left w:w="108" w:type="dxa"/>
              <w:bottom w:w="0" w:type="dxa"/>
              <w:right w:w="108" w:type="dxa"/>
            </w:tcMar>
            <w:hideMark/>
          </w:tcPr>
          <w:p w14:paraId="080EC869" w14:textId="77777777" w:rsidR="00415AE0" w:rsidRPr="006D23CB" w:rsidRDefault="00415AE0" w:rsidP="002A7E94">
            <w:pPr>
              <w:jc w:val="center"/>
              <w:rPr>
                <w:lang w:eastAsia="es-ES"/>
              </w:rPr>
            </w:pPr>
            <w:r w:rsidRPr="006D23CB">
              <w:rPr>
                <w:color w:val="000000"/>
                <w:lang w:eastAsia="es-ES"/>
              </w:rPr>
              <w:t>100</w:t>
            </w:r>
          </w:p>
        </w:tc>
      </w:tr>
      <w:tr w:rsidR="00415AE0" w:rsidRPr="008A5ACB" w14:paraId="76BCEDA3" w14:textId="77777777" w:rsidTr="002A7E94">
        <w:tc>
          <w:tcPr>
            <w:tcW w:w="3954" w:type="pct"/>
            <w:tcBorders>
              <w:top w:val="single" w:sz="4" w:space="0" w:color="auto"/>
            </w:tcBorders>
            <w:tcMar>
              <w:top w:w="0" w:type="dxa"/>
              <w:left w:w="108" w:type="dxa"/>
              <w:bottom w:w="0" w:type="dxa"/>
              <w:right w:w="108" w:type="dxa"/>
            </w:tcMar>
            <w:hideMark/>
          </w:tcPr>
          <w:p w14:paraId="20D75037" w14:textId="77777777" w:rsidR="00415AE0" w:rsidRPr="00415AE0" w:rsidRDefault="00415AE0" w:rsidP="002A7E94">
            <w:pPr>
              <w:rPr>
                <w:lang w:val="en-US" w:eastAsia="es-ES"/>
              </w:rPr>
            </w:pPr>
            <w:r w:rsidRPr="00415AE0">
              <w:rPr>
                <w:color w:val="000000"/>
                <w:lang w:val="en-US" w:eastAsia="es-ES"/>
              </w:rPr>
              <w:t>Use of open-air spaces</w:t>
            </w:r>
          </w:p>
        </w:tc>
        <w:tc>
          <w:tcPr>
            <w:tcW w:w="547" w:type="pct"/>
            <w:tcBorders>
              <w:top w:val="single" w:sz="4" w:space="0" w:color="auto"/>
            </w:tcBorders>
            <w:tcMar>
              <w:top w:w="0" w:type="dxa"/>
              <w:left w:w="108" w:type="dxa"/>
              <w:bottom w:w="0" w:type="dxa"/>
              <w:right w:w="108" w:type="dxa"/>
            </w:tcMar>
            <w:hideMark/>
          </w:tcPr>
          <w:p w14:paraId="7F2D050D" w14:textId="77777777" w:rsidR="00415AE0" w:rsidRPr="00415AE0" w:rsidRDefault="00415AE0" w:rsidP="002A7E94">
            <w:pPr>
              <w:rPr>
                <w:lang w:val="en-US" w:eastAsia="es-ES"/>
              </w:rPr>
            </w:pPr>
          </w:p>
        </w:tc>
        <w:tc>
          <w:tcPr>
            <w:tcW w:w="499" w:type="pct"/>
            <w:tcBorders>
              <w:top w:val="single" w:sz="4" w:space="0" w:color="auto"/>
            </w:tcBorders>
            <w:tcMar>
              <w:top w:w="0" w:type="dxa"/>
              <w:left w:w="108" w:type="dxa"/>
              <w:bottom w:w="0" w:type="dxa"/>
              <w:right w:w="108" w:type="dxa"/>
            </w:tcMar>
            <w:hideMark/>
          </w:tcPr>
          <w:p w14:paraId="7D27B0F7" w14:textId="77777777" w:rsidR="00415AE0" w:rsidRPr="00415AE0" w:rsidRDefault="00415AE0" w:rsidP="002A7E94">
            <w:pPr>
              <w:rPr>
                <w:lang w:val="en-US" w:eastAsia="es-ES"/>
              </w:rPr>
            </w:pPr>
          </w:p>
        </w:tc>
      </w:tr>
      <w:tr w:rsidR="00415AE0" w:rsidRPr="006D23CB" w14:paraId="38E8ACEB" w14:textId="77777777" w:rsidTr="002A7E94">
        <w:tc>
          <w:tcPr>
            <w:tcW w:w="3954" w:type="pct"/>
            <w:tcMar>
              <w:top w:w="0" w:type="dxa"/>
              <w:left w:w="108" w:type="dxa"/>
              <w:bottom w:w="0" w:type="dxa"/>
              <w:right w:w="108" w:type="dxa"/>
            </w:tcMar>
            <w:hideMark/>
          </w:tcPr>
          <w:p w14:paraId="48F5746F" w14:textId="77777777" w:rsidR="00415AE0" w:rsidRPr="006D23CB" w:rsidRDefault="00415AE0" w:rsidP="002A7E94">
            <w:pPr>
              <w:rPr>
                <w:lang w:eastAsia="es-ES"/>
              </w:rPr>
            </w:pPr>
            <w:r w:rsidRPr="00415AE0">
              <w:rPr>
                <w:color w:val="000000"/>
                <w:lang w:val="en-US" w:eastAsia="es-ES"/>
              </w:rPr>
              <w:t xml:space="preserve">    </w:t>
            </w:r>
            <w:proofErr w:type="spellStart"/>
            <w:r w:rsidRPr="006D23CB">
              <w:rPr>
                <w:color w:val="000000"/>
                <w:lang w:eastAsia="es-ES"/>
              </w:rPr>
              <w:t>Never</w:t>
            </w:r>
            <w:proofErr w:type="spellEnd"/>
          </w:p>
        </w:tc>
        <w:tc>
          <w:tcPr>
            <w:tcW w:w="547" w:type="pct"/>
            <w:tcMar>
              <w:top w:w="0" w:type="dxa"/>
              <w:left w:w="108" w:type="dxa"/>
              <w:bottom w:w="0" w:type="dxa"/>
              <w:right w:w="108" w:type="dxa"/>
            </w:tcMar>
            <w:hideMark/>
          </w:tcPr>
          <w:p w14:paraId="0B80A7A9" w14:textId="77777777" w:rsidR="00415AE0" w:rsidRPr="006D23CB" w:rsidRDefault="00415AE0" w:rsidP="002A7E94">
            <w:pPr>
              <w:jc w:val="center"/>
              <w:rPr>
                <w:lang w:eastAsia="es-ES"/>
              </w:rPr>
            </w:pPr>
            <w:r w:rsidRPr="006D23CB">
              <w:rPr>
                <w:color w:val="000000"/>
                <w:lang w:eastAsia="es-ES"/>
              </w:rPr>
              <w:t>299</w:t>
            </w:r>
          </w:p>
        </w:tc>
        <w:tc>
          <w:tcPr>
            <w:tcW w:w="499" w:type="pct"/>
            <w:tcMar>
              <w:top w:w="0" w:type="dxa"/>
              <w:left w:w="108" w:type="dxa"/>
              <w:bottom w:w="0" w:type="dxa"/>
              <w:right w:w="108" w:type="dxa"/>
            </w:tcMar>
            <w:hideMark/>
          </w:tcPr>
          <w:p w14:paraId="61ACAFFF" w14:textId="77777777" w:rsidR="00415AE0" w:rsidRPr="006D23CB" w:rsidRDefault="00415AE0" w:rsidP="002A7E94">
            <w:pPr>
              <w:jc w:val="center"/>
              <w:rPr>
                <w:lang w:eastAsia="es-ES"/>
              </w:rPr>
            </w:pPr>
            <w:r w:rsidRPr="006D23CB">
              <w:rPr>
                <w:color w:val="000000"/>
                <w:lang w:eastAsia="es-ES"/>
              </w:rPr>
              <w:t>22.3</w:t>
            </w:r>
          </w:p>
        </w:tc>
      </w:tr>
      <w:tr w:rsidR="00415AE0" w:rsidRPr="006D23CB" w14:paraId="0F71DBCC" w14:textId="77777777" w:rsidTr="002A7E94">
        <w:tc>
          <w:tcPr>
            <w:tcW w:w="3954" w:type="pct"/>
            <w:tcMar>
              <w:top w:w="0" w:type="dxa"/>
              <w:left w:w="108" w:type="dxa"/>
              <w:bottom w:w="0" w:type="dxa"/>
              <w:right w:w="108" w:type="dxa"/>
            </w:tcMar>
            <w:hideMark/>
          </w:tcPr>
          <w:p w14:paraId="513E80B2"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Almost</w:t>
            </w:r>
            <w:proofErr w:type="spellEnd"/>
            <w:r w:rsidRPr="006D23CB">
              <w:rPr>
                <w:color w:val="000000"/>
                <w:lang w:eastAsia="es-ES"/>
              </w:rPr>
              <w:t xml:space="preserve"> </w:t>
            </w:r>
            <w:proofErr w:type="spellStart"/>
            <w:r w:rsidRPr="006D23CB">
              <w:rPr>
                <w:color w:val="000000"/>
                <w:lang w:eastAsia="es-ES"/>
              </w:rPr>
              <w:t>never</w:t>
            </w:r>
            <w:proofErr w:type="spellEnd"/>
          </w:p>
        </w:tc>
        <w:tc>
          <w:tcPr>
            <w:tcW w:w="547" w:type="pct"/>
            <w:tcMar>
              <w:top w:w="0" w:type="dxa"/>
              <w:left w:w="108" w:type="dxa"/>
              <w:bottom w:w="0" w:type="dxa"/>
              <w:right w:w="108" w:type="dxa"/>
            </w:tcMar>
            <w:hideMark/>
          </w:tcPr>
          <w:p w14:paraId="65DC17E2" w14:textId="77777777" w:rsidR="00415AE0" w:rsidRPr="006D23CB" w:rsidRDefault="00415AE0" w:rsidP="002A7E94">
            <w:pPr>
              <w:jc w:val="center"/>
              <w:rPr>
                <w:lang w:eastAsia="es-ES"/>
              </w:rPr>
            </w:pPr>
            <w:r w:rsidRPr="006D23CB">
              <w:rPr>
                <w:color w:val="000000"/>
                <w:lang w:eastAsia="es-ES"/>
              </w:rPr>
              <w:t>104</w:t>
            </w:r>
          </w:p>
        </w:tc>
        <w:tc>
          <w:tcPr>
            <w:tcW w:w="499" w:type="pct"/>
            <w:tcMar>
              <w:top w:w="0" w:type="dxa"/>
              <w:left w:w="108" w:type="dxa"/>
              <w:bottom w:w="0" w:type="dxa"/>
              <w:right w:w="108" w:type="dxa"/>
            </w:tcMar>
            <w:hideMark/>
          </w:tcPr>
          <w:p w14:paraId="478D3688" w14:textId="77777777" w:rsidR="00415AE0" w:rsidRPr="006D23CB" w:rsidRDefault="00415AE0" w:rsidP="002A7E94">
            <w:pPr>
              <w:jc w:val="center"/>
              <w:rPr>
                <w:lang w:eastAsia="es-ES"/>
              </w:rPr>
            </w:pPr>
            <w:r w:rsidRPr="006D23CB">
              <w:rPr>
                <w:color w:val="000000"/>
                <w:lang w:eastAsia="es-ES"/>
              </w:rPr>
              <w:t>7.7</w:t>
            </w:r>
          </w:p>
        </w:tc>
      </w:tr>
      <w:tr w:rsidR="00415AE0" w:rsidRPr="006D23CB" w14:paraId="1B6B9ED4" w14:textId="77777777" w:rsidTr="002A7E94">
        <w:tc>
          <w:tcPr>
            <w:tcW w:w="3954" w:type="pct"/>
            <w:tcMar>
              <w:top w:w="0" w:type="dxa"/>
              <w:left w:w="108" w:type="dxa"/>
              <w:bottom w:w="0" w:type="dxa"/>
              <w:right w:w="108" w:type="dxa"/>
            </w:tcMar>
            <w:hideMark/>
          </w:tcPr>
          <w:p w14:paraId="1E09D32A"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Occasionally</w:t>
            </w:r>
            <w:proofErr w:type="spellEnd"/>
          </w:p>
        </w:tc>
        <w:tc>
          <w:tcPr>
            <w:tcW w:w="547" w:type="pct"/>
            <w:tcMar>
              <w:top w:w="0" w:type="dxa"/>
              <w:left w:w="108" w:type="dxa"/>
              <w:bottom w:w="0" w:type="dxa"/>
              <w:right w:w="108" w:type="dxa"/>
            </w:tcMar>
            <w:hideMark/>
          </w:tcPr>
          <w:p w14:paraId="79F6B29E" w14:textId="77777777" w:rsidR="00415AE0" w:rsidRPr="006D23CB" w:rsidRDefault="00415AE0" w:rsidP="002A7E94">
            <w:pPr>
              <w:jc w:val="center"/>
              <w:rPr>
                <w:lang w:eastAsia="es-ES"/>
              </w:rPr>
            </w:pPr>
            <w:r w:rsidRPr="006D23CB">
              <w:rPr>
                <w:color w:val="000000"/>
                <w:lang w:eastAsia="es-ES"/>
              </w:rPr>
              <w:t>249</w:t>
            </w:r>
          </w:p>
        </w:tc>
        <w:tc>
          <w:tcPr>
            <w:tcW w:w="499" w:type="pct"/>
            <w:tcMar>
              <w:top w:w="0" w:type="dxa"/>
              <w:left w:w="108" w:type="dxa"/>
              <w:bottom w:w="0" w:type="dxa"/>
              <w:right w:w="108" w:type="dxa"/>
            </w:tcMar>
            <w:hideMark/>
          </w:tcPr>
          <w:p w14:paraId="082F58BA" w14:textId="77777777" w:rsidR="00415AE0" w:rsidRPr="006D23CB" w:rsidRDefault="00415AE0" w:rsidP="002A7E94">
            <w:pPr>
              <w:jc w:val="center"/>
              <w:rPr>
                <w:lang w:eastAsia="es-ES"/>
              </w:rPr>
            </w:pPr>
            <w:r w:rsidRPr="006D23CB">
              <w:rPr>
                <w:color w:val="000000"/>
                <w:lang w:eastAsia="es-ES"/>
              </w:rPr>
              <w:t>18.5</w:t>
            </w:r>
          </w:p>
        </w:tc>
      </w:tr>
      <w:tr w:rsidR="00415AE0" w:rsidRPr="006D23CB" w14:paraId="2570C0E9" w14:textId="77777777" w:rsidTr="002A7E94">
        <w:tc>
          <w:tcPr>
            <w:tcW w:w="3954" w:type="pct"/>
            <w:tcMar>
              <w:top w:w="0" w:type="dxa"/>
              <w:left w:w="108" w:type="dxa"/>
              <w:bottom w:w="0" w:type="dxa"/>
              <w:right w:w="108" w:type="dxa"/>
            </w:tcMar>
            <w:hideMark/>
          </w:tcPr>
          <w:p w14:paraId="0AB8FAE5"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Almost</w:t>
            </w:r>
            <w:proofErr w:type="spellEnd"/>
            <w:r w:rsidRPr="006D23CB">
              <w:rPr>
                <w:color w:val="000000"/>
                <w:lang w:eastAsia="es-ES"/>
              </w:rPr>
              <w:t xml:space="preserve"> </w:t>
            </w:r>
            <w:proofErr w:type="spellStart"/>
            <w:r w:rsidRPr="006D23CB">
              <w:rPr>
                <w:color w:val="000000"/>
                <w:lang w:eastAsia="es-ES"/>
              </w:rPr>
              <w:t>every</w:t>
            </w:r>
            <w:proofErr w:type="spellEnd"/>
            <w:r w:rsidRPr="006D23CB">
              <w:rPr>
                <w:color w:val="000000"/>
                <w:lang w:eastAsia="es-ES"/>
              </w:rPr>
              <w:t xml:space="preserve"> </w:t>
            </w:r>
            <w:proofErr w:type="spellStart"/>
            <w:r w:rsidRPr="006D23CB">
              <w:rPr>
                <w:color w:val="000000"/>
                <w:lang w:eastAsia="es-ES"/>
              </w:rPr>
              <w:t>day</w:t>
            </w:r>
            <w:proofErr w:type="spellEnd"/>
          </w:p>
        </w:tc>
        <w:tc>
          <w:tcPr>
            <w:tcW w:w="547" w:type="pct"/>
            <w:tcMar>
              <w:top w:w="0" w:type="dxa"/>
              <w:left w:w="108" w:type="dxa"/>
              <w:bottom w:w="0" w:type="dxa"/>
              <w:right w:w="108" w:type="dxa"/>
            </w:tcMar>
            <w:hideMark/>
          </w:tcPr>
          <w:p w14:paraId="757DC86E" w14:textId="77777777" w:rsidR="00415AE0" w:rsidRPr="006D23CB" w:rsidRDefault="00415AE0" w:rsidP="002A7E94">
            <w:pPr>
              <w:jc w:val="center"/>
              <w:rPr>
                <w:lang w:eastAsia="es-ES"/>
              </w:rPr>
            </w:pPr>
            <w:r w:rsidRPr="006D23CB">
              <w:rPr>
                <w:color w:val="000000"/>
                <w:lang w:eastAsia="es-ES"/>
              </w:rPr>
              <w:t>316</w:t>
            </w:r>
          </w:p>
        </w:tc>
        <w:tc>
          <w:tcPr>
            <w:tcW w:w="499" w:type="pct"/>
            <w:tcMar>
              <w:top w:w="0" w:type="dxa"/>
              <w:left w:w="108" w:type="dxa"/>
              <w:bottom w:w="0" w:type="dxa"/>
              <w:right w:w="108" w:type="dxa"/>
            </w:tcMar>
            <w:hideMark/>
          </w:tcPr>
          <w:p w14:paraId="757F085D" w14:textId="77777777" w:rsidR="00415AE0" w:rsidRPr="006D23CB" w:rsidRDefault="00415AE0" w:rsidP="002A7E94">
            <w:pPr>
              <w:jc w:val="center"/>
              <w:rPr>
                <w:lang w:eastAsia="es-ES"/>
              </w:rPr>
            </w:pPr>
            <w:r w:rsidRPr="006D23CB">
              <w:rPr>
                <w:color w:val="000000"/>
                <w:lang w:eastAsia="es-ES"/>
              </w:rPr>
              <w:t>23.5</w:t>
            </w:r>
          </w:p>
        </w:tc>
      </w:tr>
      <w:tr w:rsidR="00415AE0" w:rsidRPr="006D23CB" w14:paraId="584A619E" w14:textId="77777777" w:rsidTr="002A7E94">
        <w:tc>
          <w:tcPr>
            <w:tcW w:w="3954" w:type="pct"/>
            <w:tcBorders>
              <w:bottom w:val="single" w:sz="4" w:space="0" w:color="auto"/>
            </w:tcBorders>
            <w:tcMar>
              <w:top w:w="0" w:type="dxa"/>
              <w:left w:w="108" w:type="dxa"/>
              <w:bottom w:w="0" w:type="dxa"/>
              <w:right w:w="108" w:type="dxa"/>
            </w:tcMar>
            <w:hideMark/>
          </w:tcPr>
          <w:p w14:paraId="71A57E7D" w14:textId="77777777" w:rsidR="00415AE0" w:rsidRPr="006D23CB" w:rsidRDefault="00415AE0" w:rsidP="002A7E94">
            <w:pPr>
              <w:rPr>
                <w:lang w:eastAsia="es-ES"/>
              </w:rPr>
            </w:pPr>
            <w:r>
              <w:rPr>
                <w:color w:val="000000"/>
                <w:lang w:eastAsia="es-ES"/>
              </w:rPr>
              <w:t xml:space="preserve">    </w:t>
            </w:r>
            <w:proofErr w:type="spellStart"/>
            <w:r w:rsidRPr="006D23CB">
              <w:rPr>
                <w:color w:val="000000"/>
                <w:lang w:eastAsia="es-ES"/>
              </w:rPr>
              <w:t>Every</w:t>
            </w:r>
            <w:proofErr w:type="spellEnd"/>
            <w:r w:rsidRPr="006D23CB">
              <w:rPr>
                <w:color w:val="000000"/>
                <w:lang w:eastAsia="es-ES"/>
              </w:rPr>
              <w:t xml:space="preserve"> </w:t>
            </w:r>
            <w:proofErr w:type="spellStart"/>
            <w:r w:rsidRPr="006D23CB">
              <w:rPr>
                <w:color w:val="000000"/>
                <w:lang w:eastAsia="es-ES"/>
              </w:rPr>
              <w:t>day</w:t>
            </w:r>
            <w:proofErr w:type="spellEnd"/>
          </w:p>
        </w:tc>
        <w:tc>
          <w:tcPr>
            <w:tcW w:w="547" w:type="pct"/>
            <w:tcBorders>
              <w:bottom w:val="single" w:sz="4" w:space="0" w:color="auto"/>
            </w:tcBorders>
            <w:tcMar>
              <w:top w:w="0" w:type="dxa"/>
              <w:left w:w="108" w:type="dxa"/>
              <w:bottom w:w="0" w:type="dxa"/>
              <w:right w:w="108" w:type="dxa"/>
            </w:tcMar>
            <w:hideMark/>
          </w:tcPr>
          <w:p w14:paraId="74F26510" w14:textId="77777777" w:rsidR="00415AE0" w:rsidRPr="006D23CB" w:rsidRDefault="00415AE0" w:rsidP="002A7E94">
            <w:pPr>
              <w:jc w:val="center"/>
              <w:rPr>
                <w:lang w:eastAsia="es-ES"/>
              </w:rPr>
            </w:pPr>
            <w:r w:rsidRPr="006D23CB">
              <w:rPr>
                <w:color w:val="000000"/>
                <w:lang w:eastAsia="es-ES"/>
              </w:rPr>
              <w:t>375</w:t>
            </w:r>
          </w:p>
        </w:tc>
        <w:tc>
          <w:tcPr>
            <w:tcW w:w="499" w:type="pct"/>
            <w:tcBorders>
              <w:bottom w:val="single" w:sz="4" w:space="0" w:color="auto"/>
            </w:tcBorders>
            <w:tcMar>
              <w:top w:w="0" w:type="dxa"/>
              <w:left w:w="108" w:type="dxa"/>
              <w:bottom w:w="0" w:type="dxa"/>
              <w:right w:w="108" w:type="dxa"/>
            </w:tcMar>
            <w:hideMark/>
          </w:tcPr>
          <w:p w14:paraId="121C0722" w14:textId="77777777" w:rsidR="00415AE0" w:rsidRPr="006D23CB" w:rsidRDefault="00415AE0" w:rsidP="002A7E94">
            <w:pPr>
              <w:jc w:val="center"/>
              <w:rPr>
                <w:lang w:eastAsia="es-ES"/>
              </w:rPr>
            </w:pPr>
            <w:r w:rsidRPr="006D23CB">
              <w:rPr>
                <w:color w:val="000000"/>
                <w:lang w:eastAsia="es-ES"/>
              </w:rPr>
              <w:t>27.9</w:t>
            </w:r>
          </w:p>
        </w:tc>
      </w:tr>
      <w:tr w:rsidR="00415AE0" w:rsidRPr="006D23CB" w14:paraId="7CEDA2E8" w14:textId="77777777" w:rsidTr="002A7E94">
        <w:tc>
          <w:tcPr>
            <w:tcW w:w="3954" w:type="pct"/>
            <w:tcBorders>
              <w:top w:val="single" w:sz="4" w:space="0" w:color="auto"/>
              <w:bottom w:val="single" w:sz="4" w:space="0" w:color="000000"/>
            </w:tcBorders>
            <w:tcMar>
              <w:top w:w="0" w:type="dxa"/>
              <w:left w:w="108" w:type="dxa"/>
              <w:bottom w:w="0" w:type="dxa"/>
              <w:right w:w="108" w:type="dxa"/>
            </w:tcMar>
            <w:hideMark/>
          </w:tcPr>
          <w:p w14:paraId="388FC211" w14:textId="77777777" w:rsidR="00415AE0" w:rsidRPr="006D23CB" w:rsidRDefault="00415AE0" w:rsidP="002A7E94">
            <w:pPr>
              <w:rPr>
                <w:lang w:eastAsia="es-ES"/>
              </w:rPr>
            </w:pPr>
            <w:r w:rsidRPr="006D23CB">
              <w:rPr>
                <w:color w:val="000000"/>
                <w:lang w:eastAsia="es-ES"/>
              </w:rPr>
              <w:t>Total</w:t>
            </w:r>
          </w:p>
        </w:tc>
        <w:tc>
          <w:tcPr>
            <w:tcW w:w="547" w:type="pct"/>
            <w:tcBorders>
              <w:top w:val="single" w:sz="4" w:space="0" w:color="auto"/>
              <w:bottom w:val="single" w:sz="4" w:space="0" w:color="000000"/>
            </w:tcBorders>
            <w:tcMar>
              <w:top w:w="0" w:type="dxa"/>
              <w:left w:w="108" w:type="dxa"/>
              <w:bottom w:w="0" w:type="dxa"/>
              <w:right w:w="108" w:type="dxa"/>
            </w:tcMar>
            <w:hideMark/>
          </w:tcPr>
          <w:p w14:paraId="7E14CD94" w14:textId="77777777" w:rsidR="00415AE0" w:rsidRPr="006D23CB" w:rsidRDefault="00415AE0" w:rsidP="002A7E94">
            <w:pPr>
              <w:jc w:val="center"/>
              <w:rPr>
                <w:lang w:eastAsia="es-ES"/>
              </w:rPr>
            </w:pPr>
            <w:r w:rsidRPr="006D23CB">
              <w:rPr>
                <w:color w:val="000000"/>
                <w:lang w:eastAsia="es-ES"/>
              </w:rPr>
              <w:t>1343</w:t>
            </w:r>
          </w:p>
        </w:tc>
        <w:tc>
          <w:tcPr>
            <w:tcW w:w="499" w:type="pct"/>
            <w:tcBorders>
              <w:top w:val="single" w:sz="4" w:space="0" w:color="auto"/>
              <w:bottom w:val="single" w:sz="4" w:space="0" w:color="000000"/>
            </w:tcBorders>
            <w:tcMar>
              <w:top w:w="0" w:type="dxa"/>
              <w:left w:w="108" w:type="dxa"/>
              <w:bottom w:w="0" w:type="dxa"/>
              <w:right w:w="108" w:type="dxa"/>
            </w:tcMar>
            <w:hideMark/>
          </w:tcPr>
          <w:p w14:paraId="7F1FAAF0" w14:textId="77777777" w:rsidR="00415AE0" w:rsidRPr="006D23CB" w:rsidRDefault="00415AE0" w:rsidP="002A7E94">
            <w:pPr>
              <w:jc w:val="center"/>
              <w:rPr>
                <w:lang w:eastAsia="es-ES"/>
              </w:rPr>
            </w:pPr>
            <w:r w:rsidRPr="006D23CB">
              <w:rPr>
                <w:color w:val="000000"/>
                <w:lang w:eastAsia="es-ES"/>
              </w:rPr>
              <w:t>100</w:t>
            </w:r>
          </w:p>
        </w:tc>
      </w:tr>
    </w:tbl>
    <w:p w14:paraId="2888D34D" w14:textId="4A4566FF" w:rsidR="003F4BDF" w:rsidRDefault="003F4BDF" w:rsidP="003F4BDF">
      <w:pPr>
        <w:pStyle w:val="Prrafocomn"/>
        <w:ind w:firstLine="0"/>
        <w:rPr>
          <w:rFonts w:eastAsia="Calibri"/>
          <w:lang w:eastAsia="en-US"/>
        </w:rPr>
      </w:pPr>
    </w:p>
    <w:p w14:paraId="7C41453A" w14:textId="17A0237D" w:rsidR="00415AE0" w:rsidRDefault="00415AE0" w:rsidP="00415AE0">
      <w:pPr>
        <w:pStyle w:val="Prrafocomn"/>
        <w:spacing w:after="240"/>
        <w:rPr>
          <w:rFonts w:eastAsia="Calibri"/>
          <w:lang w:eastAsia="en-US"/>
        </w:rPr>
      </w:pPr>
      <w:r w:rsidRPr="00415AE0">
        <w:rPr>
          <w:rFonts w:eastAsia="Calibri"/>
          <w:lang w:eastAsia="en-US"/>
        </w:rPr>
        <w:t>The average number of people with whom participants lived was 2.44 (</w:t>
      </w:r>
      <w:r w:rsidRPr="00415AE0">
        <w:rPr>
          <w:rFonts w:eastAsia="Calibri"/>
          <w:i/>
          <w:iCs/>
          <w:lang w:eastAsia="en-US"/>
        </w:rPr>
        <w:t>SD</w:t>
      </w:r>
      <w:r w:rsidRPr="00415AE0">
        <w:rPr>
          <w:rFonts w:eastAsia="Calibri"/>
          <w:lang w:eastAsia="en-US"/>
        </w:rPr>
        <w:t xml:space="preserve"> = 1.55), in most cases they were relatives (59.1%) or couples or spouses (31.7%). More than half of participants did not reside with minors (68.7%) or with adults over the age of 65 (85.3%). Among those who did, they mostly lived with one (66.9%) or two minors (28.7%). Among participants that lived with elderly people, most of them did so with one (76.9%) or two (21.5%). Table 2 shows participants belonging to high-risk groups regarding COVID-19.</w:t>
      </w:r>
    </w:p>
    <w:tbl>
      <w:tblPr>
        <w:tblW w:w="0" w:type="auto"/>
        <w:tblCellMar>
          <w:top w:w="15" w:type="dxa"/>
          <w:left w:w="15" w:type="dxa"/>
          <w:bottom w:w="15" w:type="dxa"/>
          <w:right w:w="15" w:type="dxa"/>
        </w:tblCellMar>
        <w:tblLook w:val="04A0" w:firstRow="1" w:lastRow="0" w:firstColumn="1" w:lastColumn="0" w:noHBand="0" w:noVBand="1"/>
      </w:tblPr>
      <w:tblGrid>
        <w:gridCol w:w="7308"/>
        <w:gridCol w:w="696"/>
        <w:gridCol w:w="636"/>
      </w:tblGrid>
      <w:tr w:rsidR="00415AE0" w:rsidRPr="003E4F6B" w14:paraId="25D9177D" w14:textId="77777777" w:rsidTr="002A7E94">
        <w:tc>
          <w:tcPr>
            <w:tcW w:w="0" w:type="auto"/>
            <w:gridSpan w:val="3"/>
            <w:tcMar>
              <w:top w:w="0" w:type="dxa"/>
              <w:left w:w="108" w:type="dxa"/>
              <w:bottom w:w="0" w:type="dxa"/>
              <w:right w:w="108" w:type="dxa"/>
            </w:tcMar>
            <w:hideMark/>
          </w:tcPr>
          <w:p w14:paraId="0623C8C0" w14:textId="77777777" w:rsidR="00415AE0" w:rsidRPr="003E4F6B" w:rsidRDefault="00415AE0" w:rsidP="002A7E94">
            <w:pPr>
              <w:rPr>
                <w:lang w:eastAsia="es-ES"/>
              </w:rPr>
            </w:pPr>
            <w:r w:rsidRPr="003E4F6B">
              <w:rPr>
                <w:b/>
                <w:bCs/>
                <w:color w:val="000000"/>
                <w:lang w:eastAsia="es-ES"/>
              </w:rPr>
              <w:t>Table 2</w:t>
            </w:r>
          </w:p>
        </w:tc>
      </w:tr>
      <w:tr w:rsidR="00415AE0" w:rsidRPr="008A5ACB" w14:paraId="475BAFA0" w14:textId="77777777" w:rsidTr="002A7E94">
        <w:tc>
          <w:tcPr>
            <w:tcW w:w="0" w:type="auto"/>
            <w:gridSpan w:val="3"/>
            <w:tcBorders>
              <w:bottom w:val="single" w:sz="4" w:space="0" w:color="000000"/>
            </w:tcBorders>
            <w:tcMar>
              <w:top w:w="0" w:type="dxa"/>
              <w:left w:w="108" w:type="dxa"/>
              <w:bottom w:w="0" w:type="dxa"/>
              <w:right w:w="108" w:type="dxa"/>
            </w:tcMar>
            <w:hideMark/>
          </w:tcPr>
          <w:p w14:paraId="1466D08F" w14:textId="475596DF" w:rsidR="00415AE0" w:rsidRPr="00415AE0" w:rsidRDefault="00415AE0" w:rsidP="002A7E94">
            <w:pPr>
              <w:rPr>
                <w:lang w:val="en-US" w:eastAsia="es-ES"/>
              </w:rPr>
            </w:pPr>
            <w:r w:rsidRPr="00415AE0">
              <w:rPr>
                <w:i/>
                <w:iCs/>
                <w:color w:val="000000"/>
                <w:lang w:val="en-US" w:eastAsia="es-ES"/>
              </w:rPr>
              <w:t>Participants belonging to high</w:t>
            </w:r>
            <w:r w:rsidR="001D0076">
              <w:rPr>
                <w:i/>
                <w:iCs/>
                <w:color w:val="000000"/>
                <w:lang w:val="en-US" w:eastAsia="es-ES"/>
              </w:rPr>
              <w:t>-</w:t>
            </w:r>
            <w:r w:rsidRPr="00415AE0">
              <w:rPr>
                <w:i/>
                <w:iCs/>
                <w:color w:val="000000"/>
                <w:lang w:val="en-US" w:eastAsia="es-ES"/>
              </w:rPr>
              <w:t>risk groups</w:t>
            </w:r>
          </w:p>
        </w:tc>
      </w:tr>
      <w:tr w:rsidR="00415AE0" w:rsidRPr="003E4F6B" w14:paraId="439ED2D5" w14:textId="77777777" w:rsidTr="002A7E94">
        <w:tc>
          <w:tcPr>
            <w:tcW w:w="0" w:type="auto"/>
            <w:tcBorders>
              <w:top w:val="single" w:sz="4" w:space="0" w:color="000000"/>
              <w:bottom w:val="single" w:sz="4" w:space="0" w:color="000000"/>
            </w:tcBorders>
            <w:tcMar>
              <w:top w:w="0" w:type="dxa"/>
              <w:left w:w="108" w:type="dxa"/>
              <w:bottom w:w="0" w:type="dxa"/>
              <w:right w:w="108" w:type="dxa"/>
            </w:tcMar>
            <w:hideMark/>
          </w:tcPr>
          <w:p w14:paraId="236D7760" w14:textId="77777777" w:rsidR="00415AE0" w:rsidRPr="003E4F6B" w:rsidRDefault="00415AE0" w:rsidP="002A7E94">
            <w:pPr>
              <w:jc w:val="center"/>
              <w:rPr>
                <w:lang w:eastAsia="es-ES"/>
              </w:rPr>
            </w:pPr>
            <w:r w:rsidRPr="003E4F6B">
              <w:rPr>
                <w:color w:val="000000"/>
                <w:lang w:eastAsia="es-ES"/>
              </w:rPr>
              <w:t>Variables</w:t>
            </w:r>
          </w:p>
        </w:tc>
        <w:tc>
          <w:tcPr>
            <w:tcW w:w="0" w:type="auto"/>
            <w:tcBorders>
              <w:top w:val="single" w:sz="4" w:space="0" w:color="000000"/>
              <w:bottom w:val="single" w:sz="4" w:space="0" w:color="000000"/>
            </w:tcBorders>
            <w:tcMar>
              <w:top w:w="0" w:type="dxa"/>
              <w:left w:w="108" w:type="dxa"/>
              <w:bottom w:w="0" w:type="dxa"/>
              <w:right w:w="108" w:type="dxa"/>
            </w:tcMar>
            <w:hideMark/>
          </w:tcPr>
          <w:p w14:paraId="39896715" w14:textId="77777777" w:rsidR="00415AE0" w:rsidRPr="003E4F6B" w:rsidRDefault="00415AE0" w:rsidP="002A7E94">
            <w:pPr>
              <w:jc w:val="center"/>
              <w:rPr>
                <w:i/>
                <w:iCs/>
                <w:lang w:eastAsia="es-ES"/>
              </w:rPr>
            </w:pPr>
            <w:r w:rsidRPr="003E2B8C">
              <w:rPr>
                <w:i/>
                <w:iCs/>
                <w:color w:val="000000"/>
                <w:lang w:eastAsia="es-ES"/>
              </w:rPr>
              <w:t>n</w:t>
            </w:r>
          </w:p>
        </w:tc>
        <w:tc>
          <w:tcPr>
            <w:tcW w:w="0" w:type="auto"/>
            <w:tcBorders>
              <w:top w:val="single" w:sz="4" w:space="0" w:color="000000"/>
              <w:bottom w:val="single" w:sz="4" w:space="0" w:color="000000"/>
            </w:tcBorders>
            <w:tcMar>
              <w:top w:w="0" w:type="dxa"/>
              <w:left w:w="108" w:type="dxa"/>
              <w:bottom w:w="0" w:type="dxa"/>
              <w:right w:w="108" w:type="dxa"/>
            </w:tcMar>
            <w:hideMark/>
          </w:tcPr>
          <w:p w14:paraId="674455DC" w14:textId="77777777" w:rsidR="00415AE0" w:rsidRPr="003E4F6B" w:rsidRDefault="00415AE0" w:rsidP="002A7E94">
            <w:pPr>
              <w:jc w:val="center"/>
              <w:rPr>
                <w:lang w:eastAsia="es-ES"/>
              </w:rPr>
            </w:pPr>
            <w:r>
              <w:rPr>
                <w:color w:val="000000"/>
                <w:lang w:eastAsia="es-ES"/>
              </w:rPr>
              <w:t>%</w:t>
            </w:r>
          </w:p>
        </w:tc>
      </w:tr>
      <w:tr w:rsidR="00415AE0" w:rsidRPr="008A5ACB" w14:paraId="4598C6D4" w14:textId="77777777" w:rsidTr="002A7E94">
        <w:tc>
          <w:tcPr>
            <w:tcW w:w="0" w:type="auto"/>
            <w:tcBorders>
              <w:top w:val="single" w:sz="4" w:space="0" w:color="000000"/>
            </w:tcBorders>
            <w:tcMar>
              <w:top w:w="0" w:type="dxa"/>
              <w:left w:w="108" w:type="dxa"/>
              <w:bottom w:w="0" w:type="dxa"/>
              <w:right w:w="108" w:type="dxa"/>
            </w:tcMar>
            <w:hideMark/>
          </w:tcPr>
          <w:p w14:paraId="3F0AFD29" w14:textId="77777777" w:rsidR="00415AE0" w:rsidRPr="00415AE0" w:rsidRDefault="00415AE0" w:rsidP="002A7E94">
            <w:pPr>
              <w:rPr>
                <w:lang w:val="en-US" w:eastAsia="es-ES"/>
              </w:rPr>
            </w:pPr>
            <w:r w:rsidRPr="00415AE0">
              <w:rPr>
                <w:color w:val="000000"/>
                <w:lang w:val="en-US" w:eastAsia="es-ES"/>
              </w:rPr>
              <w:t>Suffers from a chronic disease</w:t>
            </w:r>
          </w:p>
        </w:tc>
        <w:tc>
          <w:tcPr>
            <w:tcW w:w="0" w:type="auto"/>
            <w:tcBorders>
              <w:top w:val="single" w:sz="4" w:space="0" w:color="000000"/>
            </w:tcBorders>
            <w:tcMar>
              <w:top w:w="0" w:type="dxa"/>
              <w:left w:w="108" w:type="dxa"/>
              <w:bottom w:w="0" w:type="dxa"/>
              <w:right w:w="108" w:type="dxa"/>
            </w:tcMar>
            <w:hideMark/>
          </w:tcPr>
          <w:p w14:paraId="239EE82F" w14:textId="77777777" w:rsidR="00415AE0" w:rsidRPr="00415AE0" w:rsidRDefault="00415AE0" w:rsidP="002A7E94">
            <w:pPr>
              <w:rPr>
                <w:lang w:val="en-US" w:eastAsia="es-ES"/>
              </w:rPr>
            </w:pPr>
          </w:p>
        </w:tc>
        <w:tc>
          <w:tcPr>
            <w:tcW w:w="0" w:type="auto"/>
            <w:tcBorders>
              <w:top w:val="single" w:sz="4" w:space="0" w:color="000000"/>
            </w:tcBorders>
            <w:tcMar>
              <w:top w:w="0" w:type="dxa"/>
              <w:left w:w="108" w:type="dxa"/>
              <w:bottom w:w="0" w:type="dxa"/>
              <w:right w:w="108" w:type="dxa"/>
            </w:tcMar>
            <w:hideMark/>
          </w:tcPr>
          <w:p w14:paraId="223E2832" w14:textId="77777777" w:rsidR="00415AE0" w:rsidRPr="00415AE0" w:rsidRDefault="00415AE0" w:rsidP="002A7E94">
            <w:pPr>
              <w:rPr>
                <w:lang w:val="en-US" w:eastAsia="es-ES"/>
              </w:rPr>
            </w:pPr>
          </w:p>
        </w:tc>
      </w:tr>
      <w:tr w:rsidR="00415AE0" w:rsidRPr="003E4F6B" w14:paraId="59C8EA88" w14:textId="77777777" w:rsidTr="002A7E94">
        <w:tc>
          <w:tcPr>
            <w:tcW w:w="0" w:type="auto"/>
            <w:tcMar>
              <w:top w:w="0" w:type="dxa"/>
              <w:left w:w="108" w:type="dxa"/>
              <w:bottom w:w="0" w:type="dxa"/>
              <w:right w:w="108" w:type="dxa"/>
            </w:tcMar>
            <w:hideMark/>
          </w:tcPr>
          <w:p w14:paraId="1110837E" w14:textId="77777777" w:rsidR="00415AE0" w:rsidRPr="003E4F6B" w:rsidRDefault="00415AE0" w:rsidP="002A7E94">
            <w:pPr>
              <w:rPr>
                <w:lang w:eastAsia="es-ES"/>
              </w:rPr>
            </w:pPr>
            <w:r w:rsidRPr="00415AE0">
              <w:rPr>
                <w:color w:val="000000"/>
                <w:lang w:val="en-US" w:eastAsia="es-ES"/>
              </w:rPr>
              <w:t xml:space="preserve">    </w:t>
            </w:r>
            <w:r w:rsidRPr="003E4F6B">
              <w:rPr>
                <w:color w:val="000000"/>
                <w:lang w:eastAsia="es-ES"/>
              </w:rPr>
              <w:t>Yes</w:t>
            </w:r>
          </w:p>
        </w:tc>
        <w:tc>
          <w:tcPr>
            <w:tcW w:w="0" w:type="auto"/>
            <w:tcMar>
              <w:top w:w="0" w:type="dxa"/>
              <w:left w:w="108" w:type="dxa"/>
              <w:bottom w:w="0" w:type="dxa"/>
              <w:right w:w="108" w:type="dxa"/>
            </w:tcMar>
            <w:hideMark/>
          </w:tcPr>
          <w:p w14:paraId="41912F65" w14:textId="77777777" w:rsidR="00415AE0" w:rsidRPr="003E4F6B" w:rsidRDefault="00415AE0" w:rsidP="002A7E94">
            <w:pPr>
              <w:jc w:val="center"/>
              <w:rPr>
                <w:lang w:eastAsia="es-ES"/>
              </w:rPr>
            </w:pPr>
            <w:r w:rsidRPr="003E4F6B">
              <w:rPr>
                <w:color w:val="000000"/>
                <w:lang w:eastAsia="es-ES"/>
              </w:rPr>
              <w:t>162</w:t>
            </w:r>
          </w:p>
        </w:tc>
        <w:tc>
          <w:tcPr>
            <w:tcW w:w="0" w:type="auto"/>
            <w:tcMar>
              <w:top w:w="0" w:type="dxa"/>
              <w:left w:w="108" w:type="dxa"/>
              <w:bottom w:w="0" w:type="dxa"/>
              <w:right w:w="108" w:type="dxa"/>
            </w:tcMar>
            <w:hideMark/>
          </w:tcPr>
          <w:p w14:paraId="79D41F7D" w14:textId="77777777" w:rsidR="00415AE0" w:rsidRPr="003E4F6B" w:rsidRDefault="00415AE0" w:rsidP="002A7E94">
            <w:pPr>
              <w:jc w:val="center"/>
              <w:rPr>
                <w:lang w:eastAsia="es-ES"/>
              </w:rPr>
            </w:pPr>
            <w:r w:rsidRPr="003E4F6B">
              <w:rPr>
                <w:color w:val="000000"/>
                <w:lang w:eastAsia="es-ES"/>
              </w:rPr>
              <w:t>12.1</w:t>
            </w:r>
          </w:p>
        </w:tc>
      </w:tr>
      <w:tr w:rsidR="00415AE0" w:rsidRPr="003E4F6B" w14:paraId="38E83130" w14:textId="77777777" w:rsidTr="002A7E94">
        <w:tc>
          <w:tcPr>
            <w:tcW w:w="0" w:type="auto"/>
            <w:tcBorders>
              <w:bottom w:val="single" w:sz="4" w:space="0" w:color="auto"/>
            </w:tcBorders>
            <w:tcMar>
              <w:top w:w="0" w:type="dxa"/>
              <w:left w:w="108" w:type="dxa"/>
              <w:bottom w:w="0" w:type="dxa"/>
              <w:right w:w="108" w:type="dxa"/>
            </w:tcMar>
            <w:hideMark/>
          </w:tcPr>
          <w:p w14:paraId="0BDA4172" w14:textId="77777777" w:rsidR="00415AE0" w:rsidRPr="003E4F6B" w:rsidRDefault="00415AE0" w:rsidP="002A7E94">
            <w:pPr>
              <w:rPr>
                <w:lang w:eastAsia="es-ES"/>
              </w:rPr>
            </w:pPr>
            <w:r>
              <w:rPr>
                <w:color w:val="000000"/>
                <w:lang w:eastAsia="es-ES"/>
              </w:rPr>
              <w:t xml:space="preserve">    </w:t>
            </w:r>
            <w:r w:rsidRPr="003E4F6B">
              <w:rPr>
                <w:color w:val="000000"/>
                <w:lang w:eastAsia="es-ES"/>
              </w:rPr>
              <w:t>No</w:t>
            </w:r>
          </w:p>
        </w:tc>
        <w:tc>
          <w:tcPr>
            <w:tcW w:w="0" w:type="auto"/>
            <w:tcBorders>
              <w:bottom w:val="single" w:sz="4" w:space="0" w:color="auto"/>
            </w:tcBorders>
            <w:tcMar>
              <w:top w:w="0" w:type="dxa"/>
              <w:left w:w="108" w:type="dxa"/>
              <w:bottom w:w="0" w:type="dxa"/>
              <w:right w:w="108" w:type="dxa"/>
            </w:tcMar>
            <w:hideMark/>
          </w:tcPr>
          <w:p w14:paraId="4F0D6451" w14:textId="77777777" w:rsidR="00415AE0" w:rsidRPr="003E4F6B" w:rsidRDefault="00415AE0" w:rsidP="002A7E94">
            <w:pPr>
              <w:jc w:val="center"/>
              <w:rPr>
                <w:lang w:eastAsia="es-ES"/>
              </w:rPr>
            </w:pPr>
            <w:r w:rsidRPr="003E4F6B">
              <w:rPr>
                <w:color w:val="000000"/>
                <w:lang w:eastAsia="es-ES"/>
              </w:rPr>
              <w:t>1181</w:t>
            </w:r>
          </w:p>
        </w:tc>
        <w:tc>
          <w:tcPr>
            <w:tcW w:w="0" w:type="auto"/>
            <w:tcBorders>
              <w:bottom w:val="single" w:sz="4" w:space="0" w:color="auto"/>
            </w:tcBorders>
            <w:tcMar>
              <w:top w:w="0" w:type="dxa"/>
              <w:left w:w="108" w:type="dxa"/>
              <w:bottom w:w="0" w:type="dxa"/>
              <w:right w:w="108" w:type="dxa"/>
            </w:tcMar>
            <w:hideMark/>
          </w:tcPr>
          <w:p w14:paraId="4FCE5037" w14:textId="77777777" w:rsidR="00415AE0" w:rsidRPr="003E4F6B" w:rsidRDefault="00415AE0" w:rsidP="002A7E94">
            <w:pPr>
              <w:jc w:val="center"/>
              <w:rPr>
                <w:lang w:eastAsia="es-ES"/>
              </w:rPr>
            </w:pPr>
            <w:r w:rsidRPr="003E4F6B">
              <w:rPr>
                <w:color w:val="000000"/>
                <w:lang w:eastAsia="es-ES"/>
              </w:rPr>
              <w:t>87.9</w:t>
            </w:r>
          </w:p>
        </w:tc>
      </w:tr>
      <w:tr w:rsidR="00415AE0" w:rsidRPr="003E4F6B" w14:paraId="4DAB7844"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3EB3C4CC"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1918F18"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82B3C0D" w14:textId="77777777" w:rsidR="00415AE0" w:rsidRPr="003E4F6B" w:rsidRDefault="00415AE0" w:rsidP="002A7E94">
            <w:pPr>
              <w:jc w:val="center"/>
              <w:rPr>
                <w:lang w:eastAsia="es-ES"/>
              </w:rPr>
            </w:pPr>
            <w:r w:rsidRPr="003E4F6B">
              <w:rPr>
                <w:color w:val="000000"/>
                <w:lang w:eastAsia="es-ES"/>
              </w:rPr>
              <w:t>100</w:t>
            </w:r>
          </w:p>
        </w:tc>
      </w:tr>
      <w:tr w:rsidR="00415AE0" w:rsidRPr="008A5ACB" w14:paraId="4503344C" w14:textId="77777777" w:rsidTr="002A7E94">
        <w:tc>
          <w:tcPr>
            <w:tcW w:w="0" w:type="auto"/>
            <w:tcBorders>
              <w:top w:val="single" w:sz="4" w:space="0" w:color="auto"/>
            </w:tcBorders>
            <w:tcMar>
              <w:top w:w="0" w:type="dxa"/>
              <w:left w:w="108" w:type="dxa"/>
              <w:bottom w:w="0" w:type="dxa"/>
              <w:right w:w="108" w:type="dxa"/>
            </w:tcMar>
            <w:hideMark/>
          </w:tcPr>
          <w:p w14:paraId="4631B5B9" w14:textId="77777777" w:rsidR="00415AE0" w:rsidRPr="00415AE0" w:rsidRDefault="00415AE0" w:rsidP="002A7E94">
            <w:pPr>
              <w:rPr>
                <w:lang w:val="en-US" w:eastAsia="es-ES"/>
              </w:rPr>
            </w:pPr>
            <w:r w:rsidRPr="00415AE0">
              <w:rPr>
                <w:color w:val="000000"/>
                <w:lang w:val="en-US" w:eastAsia="es-ES"/>
              </w:rPr>
              <w:t>Lives with someone chronically ill</w:t>
            </w:r>
          </w:p>
        </w:tc>
        <w:tc>
          <w:tcPr>
            <w:tcW w:w="0" w:type="auto"/>
            <w:tcBorders>
              <w:top w:val="single" w:sz="4" w:space="0" w:color="auto"/>
            </w:tcBorders>
            <w:tcMar>
              <w:top w:w="0" w:type="dxa"/>
              <w:left w:w="108" w:type="dxa"/>
              <w:bottom w:w="0" w:type="dxa"/>
              <w:right w:w="108" w:type="dxa"/>
            </w:tcMar>
            <w:hideMark/>
          </w:tcPr>
          <w:p w14:paraId="7C155F0F" w14:textId="77777777" w:rsidR="00415AE0" w:rsidRPr="00415AE0"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AECAF05" w14:textId="77777777" w:rsidR="00415AE0" w:rsidRPr="00415AE0" w:rsidRDefault="00415AE0" w:rsidP="002A7E94">
            <w:pPr>
              <w:rPr>
                <w:lang w:val="en-US" w:eastAsia="es-ES"/>
              </w:rPr>
            </w:pPr>
          </w:p>
        </w:tc>
      </w:tr>
      <w:tr w:rsidR="00415AE0" w:rsidRPr="003E4F6B" w14:paraId="0BF92B7F" w14:textId="77777777" w:rsidTr="002A7E94">
        <w:tc>
          <w:tcPr>
            <w:tcW w:w="0" w:type="auto"/>
            <w:tcMar>
              <w:top w:w="0" w:type="dxa"/>
              <w:left w:w="108" w:type="dxa"/>
              <w:bottom w:w="0" w:type="dxa"/>
              <w:right w:w="108" w:type="dxa"/>
            </w:tcMar>
            <w:hideMark/>
          </w:tcPr>
          <w:p w14:paraId="26FA2D84" w14:textId="77777777" w:rsidR="00415AE0" w:rsidRPr="003E4F6B" w:rsidRDefault="00415AE0" w:rsidP="002A7E94">
            <w:pPr>
              <w:rPr>
                <w:lang w:eastAsia="es-ES"/>
              </w:rPr>
            </w:pPr>
            <w:r w:rsidRPr="00415AE0">
              <w:rPr>
                <w:color w:val="000000"/>
                <w:lang w:val="en-US" w:eastAsia="es-ES"/>
              </w:rPr>
              <w:t xml:space="preserve">    </w:t>
            </w:r>
            <w:r w:rsidRPr="003E4F6B">
              <w:rPr>
                <w:color w:val="000000"/>
                <w:lang w:eastAsia="es-ES"/>
              </w:rPr>
              <w:t>Yes</w:t>
            </w:r>
          </w:p>
        </w:tc>
        <w:tc>
          <w:tcPr>
            <w:tcW w:w="0" w:type="auto"/>
            <w:tcMar>
              <w:top w:w="0" w:type="dxa"/>
              <w:left w:w="108" w:type="dxa"/>
              <w:bottom w:w="0" w:type="dxa"/>
              <w:right w:w="108" w:type="dxa"/>
            </w:tcMar>
            <w:hideMark/>
          </w:tcPr>
          <w:p w14:paraId="66B0D5A0" w14:textId="77777777" w:rsidR="00415AE0" w:rsidRPr="003E4F6B" w:rsidRDefault="00415AE0" w:rsidP="002A7E94">
            <w:pPr>
              <w:jc w:val="center"/>
              <w:rPr>
                <w:lang w:eastAsia="es-ES"/>
              </w:rPr>
            </w:pPr>
            <w:r w:rsidRPr="003E4F6B">
              <w:rPr>
                <w:color w:val="000000"/>
                <w:lang w:eastAsia="es-ES"/>
              </w:rPr>
              <w:t>221</w:t>
            </w:r>
          </w:p>
        </w:tc>
        <w:tc>
          <w:tcPr>
            <w:tcW w:w="0" w:type="auto"/>
            <w:tcMar>
              <w:top w:w="0" w:type="dxa"/>
              <w:left w:w="108" w:type="dxa"/>
              <w:bottom w:w="0" w:type="dxa"/>
              <w:right w:w="108" w:type="dxa"/>
            </w:tcMar>
            <w:hideMark/>
          </w:tcPr>
          <w:p w14:paraId="29004F91" w14:textId="77777777" w:rsidR="00415AE0" w:rsidRPr="003E4F6B" w:rsidRDefault="00415AE0" w:rsidP="002A7E94">
            <w:pPr>
              <w:jc w:val="center"/>
              <w:rPr>
                <w:lang w:eastAsia="es-ES"/>
              </w:rPr>
            </w:pPr>
            <w:r w:rsidRPr="003E4F6B">
              <w:rPr>
                <w:color w:val="000000"/>
                <w:lang w:eastAsia="es-ES"/>
              </w:rPr>
              <w:t>16.5</w:t>
            </w:r>
          </w:p>
        </w:tc>
      </w:tr>
      <w:tr w:rsidR="00415AE0" w:rsidRPr="003E4F6B" w14:paraId="16260955" w14:textId="77777777" w:rsidTr="002A7E94">
        <w:tc>
          <w:tcPr>
            <w:tcW w:w="0" w:type="auto"/>
            <w:tcBorders>
              <w:bottom w:val="single" w:sz="4" w:space="0" w:color="auto"/>
            </w:tcBorders>
            <w:tcMar>
              <w:top w:w="0" w:type="dxa"/>
              <w:left w:w="108" w:type="dxa"/>
              <w:bottom w:w="0" w:type="dxa"/>
              <w:right w:w="108" w:type="dxa"/>
            </w:tcMar>
            <w:hideMark/>
          </w:tcPr>
          <w:p w14:paraId="710654FD" w14:textId="77777777" w:rsidR="00415AE0" w:rsidRPr="003E4F6B" w:rsidRDefault="00415AE0" w:rsidP="002A7E94">
            <w:pPr>
              <w:rPr>
                <w:lang w:eastAsia="es-ES"/>
              </w:rPr>
            </w:pPr>
            <w:r>
              <w:rPr>
                <w:color w:val="000000"/>
                <w:lang w:eastAsia="es-ES"/>
              </w:rPr>
              <w:t xml:space="preserve">    </w:t>
            </w:r>
            <w:r w:rsidRPr="003E4F6B">
              <w:rPr>
                <w:color w:val="000000"/>
                <w:lang w:eastAsia="es-ES"/>
              </w:rPr>
              <w:t>No</w:t>
            </w:r>
          </w:p>
        </w:tc>
        <w:tc>
          <w:tcPr>
            <w:tcW w:w="0" w:type="auto"/>
            <w:tcBorders>
              <w:bottom w:val="single" w:sz="4" w:space="0" w:color="auto"/>
            </w:tcBorders>
            <w:tcMar>
              <w:top w:w="0" w:type="dxa"/>
              <w:left w:w="108" w:type="dxa"/>
              <w:bottom w:w="0" w:type="dxa"/>
              <w:right w:w="108" w:type="dxa"/>
            </w:tcMar>
            <w:hideMark/>
          </w:tcPr>
          <w:p w14:paraId="1AF77469" w14:textId="77777777" w:rsidR="00415AE0" w:rsidRPr="003E4F6B" w:rsidRDefault="00415AE0" w:rsidP="002A7E94">
            <w:pPr>
              <w:jc w:val="center"/>
              <w:rPr>
                <w:lang w:eastAsia="es-ES"/>
              </w:rPr>
            </w:pPr>
            <w:r w:rsidRPr="003E4F6B">
              <w:rPr>
                <w:color w:val="000000"/>
                <w:lang w:eastAsia="es-ES"/>
              </w:rPr>
              <w:t>1122</w:t>
            </w:r>
          </w:p>
        </w:tc>
        <w:tc>
          <w:tcPr>
            <w:tcW w:w="0" w:type="auto"/>
            <w:tcBorders>
              <w:bottom w:val="single" w:sz="4" w:space="0" w:color="auto"/>
            </w:tcBorders>
            <w:tcMar>
              <w:top w:w="0" w:type="dxa"/>
              <w:left w:w="108" w:type="dxa"/>
              <w:bottom w:w="0" w:type="dxa"/>
              <w:right w:w="108" w:type="dxa"/>
            </w:tcMar>
            <w:hideMark/>
          </w:tcPr>
          <w:p w14:paraId="2239956C" w14:textId="77777777" w:rsidR="00415AE0" w:rsidRPr="003E4F6B" w:rsidRDefault="00415AE0" w:rsidP="002A7E94">
            <w:pPr>
              <w:jc w:val="center"/>
              <w:rPr>
                <w:lang w:eastAsia="es-ES"/>
              </w:rPr>
            </w:pPr>
            <w:r w:rsidRPr="003E4F6B">
              <w:rPr>
                <w:color w:val="000000"/>
                <w:lang w:eastAsia="es-ES"/>
              </w:rPr>
              <w:t>83.5</w:t>
            </w:r>
          </w:p>
        </w:tc>
      </w:tr>
      <w:tr w:rsidR="00415AE0" w:rsidRPr="003E4F6B" w14:paraId="53BAA908"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C40C517"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6BD5DA92"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062EFD5E" w14:textId="77777777" w:rsidR="00415AE0" w:rsidRPr="003E4F6B" w:rsidRDefault="00415AE0" w:rsidP="002A7E94">
            <w:pPr>
              <w:jc w:val="center"/>
              <w:rPr>
                <w:lang w:eastAsia="es-ES"/>
              </w:rPr>
            </w:pPr>
            <w:r w:rsidRPr="003E4F6B">
              <w:rPr>
                <w:color w:val="000000"/>
                <w:lang w:eastAsia="es-ES"/>
              </w:rPr>
              <w:t>100</w:t>
            </w:r>
          </w:p>
        </w:tc>
      </w:tr>
      <w:tr w:rsidR="00415AE0" w:rsidRPr="008A5ACB" w14:paraId="6D32D417" w14:textId="77777777" w:rsidTr="002A7E94">
        <w:tc>
          <w:tcPr>
            <w:tcW w:w="0" w:type="auto"/>
            <w:tcBorders>
              <w:top w:val="single" w:sz="4" w:space="0" w:color="auto"/>
            </w:tcBorders>
            <w:tcMar>
              <w:top w:w="0" w:type="dxa"/>
              <w:left w:w="108" w:type="dxa"/>
              <w:bottom w:w="0" w:type="dxa"/>
              <w:right w:w="108" w:type="dxa"/>
            </w:tcMar>
            <w:hideMark/>
          </w:tcPr>
          <w:p w14:paraId="3AF3865A" w14:textId="77777777" w:rsidR="00415AE0" w:rsidRPr="00415AE0" w:rsidRDefault="00415AE0" w:rsidP="002A7E94">
            <w:pPr>
              <w:rPr>
                <w:lang w:val="en-US" w:eastAsia="es-ES"/>
              </w:rPr>
            </w:pPr>
            <w:r w:rsidRPr="00415AE0">
              <w:rPr>
                <w:color w:val="000000"/>
                <w:lang w:val="en-US" w:eastAsia="es-ES"/>
              </w:rPr>
              <w:t>Cares for someone chronically ill</w:t>
            </w:r>
          </w:p>
        </w:tc>
        <w:tc>
          <w:tcPr>
            <w:tcW w:w="0" w:type="auto"/>
            <w:tcBorders>
              <w:top w:val="single" w:sz="4" w:space="0" w:color="auto"/>
            </w:tcBorders>
            <w:tcMar>
              <w:top w:w="0" w:type="dxa"/>
              <w:left w:w="108" w:type="dxa"/>
              <w:bottom w:w="0" w:type="dxa"/>
              <w:right w:w="108" w:type="dxa"/>
            </w:tcMar>
            <w:hideMark/>
          </w:tcPr>
          <w:p w14:paraId="2B75FA7F" w14:textId="77777777" w:rsidR="00415AE0" w:rsidRPr="00415AE0"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68179EC5" w14:textId="77777777" w:rsidR="00415AE0" w:rsidRPr="00415AE0" w:rsidRDefault="00415AE0" w:rsidP="002A7E94">
            <w:pPr>
              <w:rPr>
                <w:lang w:val="en-US" w:eastAsia="es-ES"/>
              </w:rPr>
            </w:pPr>
          </w:p>
        </w:tc>
      </w:tr>
      <w:tr w:rsidR="00415AE0" w:rsidRPr="003E4F6B" w14:paraId="44E608B5" w14:textId="77777777" w:rsidTr="002A7E94">
        <w:tc>
          <w:tcPr>
            <w:tcW w:w="0" w:type="auto"/>
            <w:tcMar>
              <w:top w:w="0" w:type="dxa"/>
              <w:left w:w="108" w:type="dxa"/>
              <w:bottom w:w="0" w:type="dxa"/>
              <w:right w:w="108" w:type="dxa"/>
            </w:tcMar>
            <w:hideMark/>
          </w:tcPr>
          <w:p w14:paraId="51FF5F1B" w14:textId="77777777" w:rsidR="00415AE0" w:rsidRPr="003E4F6B" w:rsidRDefault="00415AE0" w:rsidP="002A7E94">
            <w:pPr>
              <w:rPr>
                <w:lang w:eastAsia="es-ES"/>
              </w:rPr>
            </w:pPr>
            <w:r w:rsidRPr="00415AE0">
              <w:rPr>
                <w:color w:val="000000"/>
                <w:lang w:val="en-US" w:eastAsia="es-ES"/>
              </w:rPr>
              <w:t xml:space="preserve">    </w:t>
            </w:r>
            <w:r w:rsidRPr="003E4F6B">
              <w:rPr>
                <w:color w:val="000000"/>
                <w:lang w:eastAsia="es-ES"/>
              </w:rPr>
              <w:t>Yes</w:t>
            </w:r>
          </w:p>
        </w:tc>
        <w:tc>
          <w:tcPr>
            <w:tcW w:w="0" w:type="auto"/>
            <w:tcMar>
              <w:top w:w="0" w:type="dxa"/>
              <w:left w:w="108" w:type="dxa"/>
              <w:bottom w:w="0" w:type="dxa"/>
              <w:right w:w="108" w:type="dxa"/>
            </w:tcMar>
            <w:hideMark/>
          </w:tcPr>
          <w:p w14:paraId="4CF06640" w14:textId="77777777" w:rsidR="00415AE0" w:rsidRPr="003E4F6B" w:rsidRDefault="00415AE0" w:rsidP="002A7E94">
            <w:pPr>
              <w:jc w:val="center"/>
              <w:rPr>
                <w:lang w:eastAsia="es-ES"/>
              </w:rPr>
            </w:pPr>
            <w:r w:rsidRPr="003E4F6B">
              <w:rPr>
                <w:color w:val="000000"/>
                <w:lang w:eastAsia="es-ES"/>
              </w:rPr>
              <w:t>45</w:t>
            </w:r>
          </w:p>
        </w:tc>
        <w:tc>
          <w:tcPr>
            <w:tcW w:w="0" w:type="auto"/>
            <w:tcMar>
              <w:top w:w="0" w:type="dxa"/>
              <w:left w:w="108" w:type="dxa"/>
              <w:bottom w:w="0" w:type="dxa"/>
              <w:right w:w="108" w:type="dxa"/>
            </w:tcMar>
            <w:hideMark/>
          </w:tcPr>
          <w:p w14:paraId="3D8F7E1E" w14:textId="77777777" w:rsidR="00415AE0" w:rsidRPr="003E4F6B" w:rsidRDefault="00415AE0" w:rsidP="002A7E94">
            <w:pPr>
              <w:jc w:val="center"/>
              <w:rPr>
                <w:lang w:eastAsia="es-ES"/>
              </w:rPr>
            </w:pPr>
            <w:r w:rsidRPr="003E4F6B">
              <w:rPr>
                <w:color w:val="000000"/>
                <w:lang w:eastAsia="es-ES"/>
              </w:rPr>
              <w:t>3.4</w:t>
            </w:r>
          </w:p>
        </w:tc>
      </w:tr>
      <w:tr w:rsidR="00415AE0" w:rsidRPr="003E4F6B" w14:paraId="47FA1B84" w14:textId="77777777" w:rsidTr="002A7E94">
        <w:tc>
          <w:tcPr>
            <w:tcW w:w="0" w:type="auto"/>
            <w:tcBorders>
              <w:bottom w:val="single" w:sz="4" w:space="0" w:color="auto"/>
            </w:tcBorders>
            <w:tcMar>
              <w:top w:w="0" w:type="dxa"/>
              <w:left w:w="108" w:type="dxa"/>
              <w:bottom w:w="0" w:type="dxa"/>
              <w:right w:w="108" w:type="dxa"/>
            </w:tcMar>
            <w:hideMark/>
          </w:tcPr>
          <w:p w14:paraId="47E8F05B" w14:textId="77777777" w:rsidR="00415AE0" w:rsidRPr="003E4F6B" w:rsidRDefault="00415AE0" w:rsidP="002A7E94">
            <w:pPr>
              <w:rPr>
                <w:lang w:eastAsia="es-ES"/>
              </w:rPr>
            </w:pPr>
            <w:r>
              <w:rPr>
                <w:color w:val="000000"/>
                <w:lang w:eastAsia="es-ES"/>
              </w:rPr>
              <w:t xml:space="preserve">    </w:t>
            </w:r>
            <w:r w:rsidRPr="003E4F6B">
              <w:rPr>
                <w:color w:val="000000"/>
                <w:lang w:eastAsia="es-ES"/>
              </w:rPr>
              <w:t>No</w:t>
            </w:r>
          </w:p>
        </w:tc>
        <w:tc>
          <w:tcPr>
            <w:tcW w:w="0" w:type="auto"/>
            <w:tcBorders>
              <w:bottom w:val="single" w:sz="4" w:space="0" w:color="auto"/>
            </w:tcBorders>
            <w:tcMar>
              <w:top w:w="0" w:type="dxa"/>
              <w:left w:w="108" w:type="dxa"/>
              <w:bottom w:w="0" w:type="dxa"/>
              <w:right w:w="108" w:type="dxa"/>
            </w:tcMar>
            <w:hideMark/>
          </w:tcPr>
          <w:p w14:paraId="4E599C6A" w14:textId="77777777" w:rsidR="00415AE0" w:rsidRPr="003E4F6B" w:rsidRDefault="00415AE0" w:rsidP="002A7E94">
            <w:pPr>
              <w:jc w:val="center"/>
              <w:rPr>
                <w:lang w:eastAsia="es-ES"/>
              </w:rPr>
            </w:pPr>
            <w:r w:rsidRPr="003E4F6B">
              <w:rPr>
                <w:color w:val="000000"/>
                <w:lang w:eastAsia="es-ES"/>
              </w:rPr>
              <w:t>1298</w:t>
            </w:r>
          </w:p>
        </w:tc>
        <w:tc>
          <w:tcPr>
            <w:tcW w:w="0" w:type="auto"/>
            <w:tcBorders>
              <w:bottom w:val="single" w:sz="4" w:space="0" w:color="auto"/>
            </w:tcBorders>
            <w:tcMar>
              <w:top w:w="0" w:type="dxa"/>
              <w:left w:w="108" w:type="dxa"/>
              <w:bottom w:w="0" w:type="dxa"/>
              <w:right w:w="108" w:type="dxa"/>
            </w:tcMar>
            <w:hideMark/>
          </w:tcPr>
          <w:p w14:paraId="5ED261AD" w14:textId="77777777" w:rsidR="00415AE0" w:rsidRPr="003E4F6B" w:rsidRDefault="00415AE0" w:rsidP="002A7E94">
            <w:pPr>
              <w:jc w:val="center"/>
              <w:rPr>
                <w:lang w:eastAsia="es-ES"/>
              </w:rPr>
            </w:pPr>
            <w:r w:rsidRPr="003E4F6B">
              <w:rPr>
                <w:color w:val="000000"/>
                <w:lang w:eastAsia="es-ES"/>
              </w:rPr>
              <w:t>96.6</w:t>
            </w:r>
          </w:p>
        </w:tc>
      </w:tr>
      <w:tr w:rsidR="00415AE0" w:rsidRPr="003E4F6B" w14:paraId="04B8A8BB"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0FE5F7B"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19A1EB4B"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73CC6E84" w14:textId="77777777" w:rsidR="00415AE0" w:rsidRPr="003E4F6B" w:rsidRDefault="00415AE0" w:rsidP="002A7E94">
            <w:pPr>
              <w:jc w:val="center"/>
              <w:rPr>
                <w:lang w:eastAsia="es-ES"/>
              </w:rPr>
            </w:pPr>
            <w:r w:rsidRPr="003E4F6B">
              <w:rPr>
                <w:color w:val="000000"/>
                <w:lang w:eastAsia="es-ES"/>
              </w:rPr>
              <w:t>100</w:t>
            </w:r>
          </w:p>
        </w:tc>
      </w:tr>
      <w:tr w:rsidR="00415AE0" w:rsidRPr="008A5ACB" w14:paraId="04455A07" w14:textId="77777777" w:rsidTr="002A7E94">
        <w:tc>
          <w:tcPr>
            <w:tcW w:w="0" w:type="auto"/>
            <w:tcBorders>
              <w:top w:val="single" w:sz="4" w:space="0" w:color="auto"/>
            </w:tcBorders>
            <w:tcMar>
              <w:top w:w="0" w:type="dxa"/>
              <w:left w:w="108" w:type="dxa"/>
              <w:bottom w:w="0" w:type="dxa"/>
              <w:right w:w="108" w:type="dxa"/>
            </w:tcMar>
            <w:hideMark/>
          </w:tcPr>
          <w:p w14:paraId="3B2DBB44" w14:textId="77777777" w:rsidR="00415AE0" w:rsidRPr="00415AE0" w:rsidRDefault="00415AE0" w:rsidP="002A7E94">
            <w:pPr>
              <w:rPr>
                <w:lang w:val="en-US" w:eastAsia="es-ES"/>
              </w:rPr>
            </w:pPr>
            <w:r w:rsidRPr="00415AE0">
              <w:rPr>
                <w:color w:val="000000"/>
                <w:lang w:val="en-US" w:eastAsia="es-ES"/>
              </w:rPr>
              <w:t>Cares for someone with special needs</w:t>
            </w:r>
          </w:p>
        </w:tc>
        <w:tc>
          <w:tcPr>
            <w:tcW w:w="0" w:type="auto"/>
            <w:tcBorders>
              <w:top w:val="single" w:sz="4" w:space="0" w:color="auto"/>
            </w:tcBorders>
            <w:tcMar>
              <w:top w:w="0" w:type="dxa"/>
              <w:left w:w="108" w:type="dxa"/>
              <w:bottom w:w="0" w:type="dxa"/>
              <w:right w:w="108" w:type="dxa"/>
            </w:tcMar>
            <w:hideMark/>
          </w:tcPr>
          <w:p w14:paraId="6475F56B" w14:textId="77777777" w:rsidR="00415AE0" w:rsidRPr="00415AE0"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1C550249" w14:textId="77777777" w:rsidR="00415AE0" w:rsidRPr="00415AE0" w:rsidRDefault="00415AE0" w:rsidP="002A7E94">
            <w:pPr>
              <w:rPr>
                <w:lang w:val="en-US" w:eastAsia="es-ES"/>
              </w:rPr>
            </w:pPr>
          </w:p>
        </w:tc>
      </w:tr>
      <w:tr w:rsidR="00415AE0" w:rsidRPr="003E4F6B" w14:paraId="4DDB0E53" w14:textId="77777777" w:rsidTr="002A7E94">
        <w:tc>
          <w:tcPr>
            <w:tcW w:w="0" w:type="auto"/>
            <w:tcMar>
              <w:top w:w="0" w:type="dxa"/>
              <w:left w:w="108" w:type="dxa"/>
              <w:bottom w:w="0" w:type="dxa"/>
              <w:right w:w="108" w:type="dxa"/>
            </w:tcMar>
            <w:hideMark/>
          </w:tcPr>
          <w:p w14:paraId="739B7829" w14:textId="77777777" w:rsidR="00415AE0" w:rsidRPr="003E4F6B" w:rsidRDefault="00415AE0" w:rsidP="002A7E94">
            <w:pPr>
              <w:rPr>
                <w:lang w:eastAsia="es-ES"/>
              </w:rPr>
            </w:pPr>
            <w:r w:rsidRPr="00415AE0">
              <w:rPr>
                <w:color w:val="000000"/>
                <w:lang w:val="en-US" w:eastAsia="es-ES"/>
              </w:rPr>
              <w:t xml:space="preserve">    </w:t>
            </w:r>
            <w:r w:rsidRPr="003E4F6B">
              <w:rPr>
                <w:color w:val="000000"/>
                <w:lang w:eastAsia="es-ES"/>
              </w:rPr>
              <w:t>Yes </w:t>
            </w:r>
          </w:p>
        </w:tc>
        <w:tc>
          <w:tcPr>
            <w:tcW w:w="0" w:type="auto"/>
            <w:tcMar>
              <w:top w:w="0" w:type="dxa"/>
              <w:left w:w="108" w:type="dxa"/>
              <w:bottom w:w="0" w:type="dxa"/>
              <w:right w:w="108" w:type="dxa"/>
            </w:tcMar>
            <w:hideMark/>
          </w:tcPr>
          <w:p w14:paraId="2E5DB0E3" w14:textId="77777777" w:rsidR="00415AE0" w:rsidRPr="003E4F6B" w:rsidRDefault="00415AE0" w:rsidP="002A7E94">
            <w:pPr>
              <w:jc w:val="center"/>
              <w:rPr>
                <w:lang w:eastAsia="es-ES"/>
              </w:rPr>
            </w:pPr>
            <w:r w:rsidRPr="003E4F6B">
              <w:rPr>
                <w:color w:val="000000"/>
                <w:lang w:eastAsia="es-ES"/>
              </w:rPr>
              <w:t>44</w:t>
            </w:r>
          </w:p>
        </w:tc>
        <w:tc>
          <w:tcPr>
            <w:tcW w:w="0" w:type="auto"/>
            <w:tcMar>
              <w:top w:w="0" w:type="dxa"/>
              <w:left w:w="108" w:type="dxa"/>
              <w:bottom w:w="0" w:type="dxa"/>
              <w:right w:w="108" w:type="dxa"/>
            </w:tcMar>
            <w:hideMark/>
          </w:tcPr>
          <w:p w14:paraId="5B57AED5" w14:textId="77777777" w:rsidR="00415AE0" w:rsidRPr="003E4F6B" w:rsidRDefault="00415AE0" w:rsidP="002A7E94">
            <w:pPr>
              <w:jc w:val="center"/>
              <w:rPr>
                <w:lang w:eastAsia="es-ES"/>
              </w:rPr>
            </w:pPr>
            <w:r w:rsidRPr="003E4F6B">
              <w:rPr>
                <w:color w:val="000000"/>
                <w:lang w:eastAsia="es-ES"/>
              </w:rPr>
              <w:t>3.3</w:t>
            </w:r>
          </w:p>
        </w:tc>
      </w:tr>
      <w:tr w:rsidR="00415AE0" w:rsidRPr="003E4F6B" w14:paraId="28657683" w14:textId="77777777" w:rsidTr="002A7E94">
        <w:tc>
          <w:tcPr>
            <w:tcW w:w="0" w:type="auto"/>
            <w:tcBorders>
              <w:bottom w:val="single" w:sz="4" w:space="0" w:color="auto"/>
            </w:tcBorders>
            <w:tcMar>
              <w:top w:w="0" w:type="dxa"/>
              <w:left w:w="108" w:type="dxa"/>
              <w:bottom w:w="0" w:type="dxa"/>
              <w:right w:w="108" w:type="dxa"/>
            </w:tcMar>
            <w:hideMark/>
          </w:tcPr>
          <w:p w14:paraId="67C16409" w14:textId="77777777" w:rsidR="00415AE0" w:rsidRPr="003E4F6B" w:rsidRDefault="00415AE0" w:rsidP="002A7E94">
            <w:pPr>
              <w:rPr>
                <w:lang w:eastAsia="es-ES"/>
              </w:rPr>
            </w:pPr>
            <w:r>
              <w:rPr>
                <w:color w:val="000000"/>
                <w:lang w:eastAsia="es-ES"/>
              </w:rPr>
              <w:lastRenderedPageBreak/>
              <w:t xml:space="preserve">    </w:t>
            </w:r>
            <w:r w:rsidRPr="003E4F6B">
              <w:rPr>
                <w:color w:val="000000"/>
                <w:lang w:eastAsia="es-ES"/>
              </w:rPr>
              <w:t>No</w:t>
            </w:r>
          </w:p>
        </w:tc>
        <w:tc>
          <w:tcPr>
            <w:tcW w:w="0" w:type="auto"/>
            <w:tcBorders>
              <w:bottom w:val="single" w:sz="4" w:space="0" w:color="auto"/>
            </w:tcBorders>
            <w:tcMar>
              <w:top w:w="0" w:type="dxa"/>
              <w:left w:w="108" w:type="dxa"/>
              <w:bottom w:w="0" w:type="dxa"/>
              <w:right w:w="108" w:type="dxa"/>
            </w:tcMar>
            <w:hideMark/>
          </w:tcPr>
          <w:p w14:paraId="01279DF7" w14:textId="77777777" w:rsidR="00415AE0" w:rsidRPr="003E4F6B" w:rsidRDefault="00415AE0" w:rsidP="002A7E94">
            <w:pPr>
              <w:jc w:val="center"/>
              <w:rPr>
                <w:lang w:eastAsia="es-ES"/>
              </w:rPr>
            </w:pPr>
            <w:r w:rsidRPr="003E4F6B">
              <w:rPr>
                <w:color w:val="000000"/>
                <w:lang w:eastAsia="es-ES"/>
              </w:rPr>
              <w:t>1299</w:t>
            </w:r>
          </w:p>
        </w:tc>
        <w:tc>
          <w:tcPr>
            <w:tcW w:w="0" w:type="auto"/>
            <w:tcBorders>
              <w:bottom w:val="single" w:sz="4" w:space="0" w:color="auto"/>
            </w:tcBorders>
            <w:tcMar>
              <w:top w:w="0" w:type="dxa"/>
              <w:left w:w="108" w:type="dxa"/>
              <w:bottom w:w="0" w:type="dxa"/>
              <w:right w:w="108" w:type="dxa"/>
            </w:tcMar>
            <w:hideMark/>
          </w:tcPr>
          <w:p w14:paraId="67E3C766" w14:textId="77777777" w:rsidR="00415AE0" w:rsidRPr="003E4F6B" w:rsidRDefault="00415AE0" w:rsidP="002A7E94">
            <w:pPr>
              <w:jc w:val="center"/>
              <w:rPr>
                <w:lang w:eastAsia="es-ES"/>
              </w:rPr>
            </w:pPr>
            <w:r w:rsidRPr="003E4F6B">
              <w:rPr>
                <w:color w:val="000000"/>
                <w:lang w:eastAsia="es-ES"/>
              </w:rPr>
              <w:t>96.7</w:t>
            </w:r>
          </w:p>
        </w:tc>
      </w:tr>
      <w:tr w:rsidR="00415AE0" w:rsidRPr="003E4F6B" w14:paraId="0456D81E"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57805874"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1CE4450"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111F99AA" w14:textId="77777777" w:rsidR="00415AE0" w:rsidRPr="003E4F6B" w:rsidRDefault="00415AE0" w:rsidP="002A7E94">
            <w:pPr>
              <w:jc w:val="center"/>
              <w:rPr>
                <w:lang w:eastAsia="es-ES"/>
              </w:rPr>
            </w:pPr>
            <w:r w:rsidRPr="003E4F6B">
              <w:rPr>
                <w:color w:val="000000"/>
                <w:lang w:eastAsia="es-ES"/>
              </w:rPr>
              <w:t>100</w:t>
            </w:r>
          </w:p>
        </w:tc>
      </w:tr>
      <w:tr w:rsidR="00415AE0" w:rsidRPr="008A5ACB" w14:paraId="2844AD6E" w14:textId="77777777" w:rsidTr="002A7E94">
        <w:tc>
          <w:tcPr>
            <w:tcW w:w="0" w:type="auto"/>
            <w:tcBorders>
              <w:top w:val="single" w:sz="4" w:space="0" w:color="auto"/>
            </w:tcBorders>
            <w:tcMar>
              <w:top w:w="0" w:type="dxa"/>
              <w:left w:w="108" w:type="dxa"/>
              <w:bottom w:w="0" w:type="dxa"/>
              <w:right w:w="108" w:type="dxa"/>
            </w:tcMar>
            <w:hideMark/>
          </w:tcPr>
          <w:p w14:paraId="12ADA3B5" w14:textId="77777777" w:rsidR="00415AE0" w:rsidRPr="00415AE0" w:rsidRDefault="00415AE0" w:rsidP="002A7E94">
            <w:pPr>
              <w:rPr>
                <w:lang w:val="en-US" w:eastAsia="es-ES"/>
              </w:rPr>
            </w:pPr>
            <w:r w:rsidRPr="00415AE0">
              <w:rPr>
                <w:color w:val="000000"/>
                <w:lang w:val="en-US" w:eastAsia="es-ES"/>
              </w:rPr>
              <w:t>Belong to a high-risk group (i.e.: pregnant, immunosuppressed, cancer…)</w:t>
            </w:r>
          </w:p>
        </w:tc>
        <w:tc>
          <w:tcPr>
            <w:tcW w:w="0" w:type="auto"/>
            <w:tcBorders>
              <w:top w:val="single" w:sz="4" w:space="0" w:color="auto"/>
            </w:tcBorders>
            <w:tcMar>
              <w:top w:w="0" w:type="dxa"/>
              <w:left w:w="108" w:type="dxa"/>
              <w:bottom w:w="0" w:type="dxa"/>
              <w:right w:w="108" w:type="dxa"/>
            </w:tcMar>
            <w:hideMark/>
          </w:tcPr>
          <w:p w14:paraId="2A6E220F" w14:textId="77777777" w:rsidR="00415AE0" w:rsidRPr="00415AE0" w:rsidRDefault="00415AE0" w:rsidP="002A7E94">
            <w:pPr>
              <w:rPr>
                <w:lang w:val="en-US" w:eastAsia="es-ES"/>
              </w:rPr>
            </w:pPr>
          </w:p>
        </w:tc>
        <w:tc>
          <w:tcPr>
            <w:tcW w:w="0" w:type="auto"/>
            <w:tcBorders>
              <w:top w:val="single" w:sz="4" w:space="0" w:color="auto"/>
            </w:tcBorders>
            <w:tcMar>
              <w:top w:w="0" w:type="dxa"/>
              <w:left w:w="108" w:type="dxa"/>
              <w:bottom w:w="0" w:type="dxa"/>
              <w:right w:w="108" w:type="dxa"/>
            </w:tcMar>
            <w:hideMark/>
          </w:tcPr>
          <w:p w14:paraId="5E1D61FA" w14:textId="77777777" w:rsidR="00415AE0" w:rsidRPr="00415AE0" w:rsidRDefault="00415AE0" w:rsidP="002A7E94">
            <w:pPr>
              <w:rPr>
                <w:lang w:val="en-US" w:eastAsia="es-ES"/>
              </w:rPr>
            </w:pPr>
          </w:p>
        </w:tc>
      </w:tr>
      <w:tr w:rsidR="00415AE0" w:rsidRPr="003E4F6B" w14:paraId="715288FE" w14:textId="77777777" w:rsidTr="002A7E94">
        <w:tc>
          <w:tcPr>
            <w:tcW w:w="0" w:type="auto"/>
            <w:tcMar>
              <w:top w:w="0" w:type="dxa"/>
              <w:left w:w="108" w:type="dxa"/>
              <w:bottom w:w="0" w:type="dxa"/>
              <w:right w:w="108" w:type="dxa"/>
            </w:tcMar>
            <w:hideMark/>
          </w:tcPr>
          <w:p w14:paraId="6DBE273B" w14:textId="77777777" w:rsidR="00415AE0" w:rsidRPr="003E4F6B" w:rsidRDefault="00415AE0" w:rsidP="002A7E94">
            <w:pPr>
              <w:rPr>
                <w:lang w:eastAsia="es-ES"/>
              </w:rPr>
            </w:pPr>
            <w:r w:rsidRPr="00415AE0">
              <w:rPr>
                <w:color w:val="000000"/>
                <w:lang w:val="en-US" w:eastAsia="es-ES"/>
              </w:rPr>
              <w:t xml:space="preserve">    </w:t>
            </w:r>
            <w:r w:rsidRPr="003E4F6B">
              <w:rPr>
                <w:color w:val="000000"/>
                <w:lang w:eastAsia="es-ES"/>
              </w:rPr>
              <w:t>Yes</w:t>
            </w:r>
          </w:p>
        </w:tc>
        <w:tc>
          <w:tcPr>
            <w:tcW w:w="0" w:type="auto"/>
            <w:tcMar>
              <w:top w:w="0" w:type="dxa"/>
              <w:left w:w="108" w:type="dxa"/>
              <w:bottom w:w="0" w:type="dxa"/>
              <w:right w:w="108" w:type="dxa"/>
            </w:tcMar>
            <w:hideMark/>
          </w:tcPr>
          <w:p w14:paraId="32F3ED35" w14:textId="77777777" w:rsidR="00415AE0" w:rsidRPr="003E4F6B" w:rsidRDefault="00415AE0" w:rsidP="002A7E94">
            <w:pPr>
              <w:jc w:val="center"/>
              <w:rPr>
                <w:lang w:eastAsia="es-ES"/>
              </w:rPr>
            </w:pPr>
            <w:r w:rsidRPr="003E4F6B">
              <w:rPr>
                <w:color w:val="000000"/>
                <w:lang w:eastAsia="es-ES"/>
              </w:rPr>
              <w:t>78</w:t>
            </w:r>
          </w:p>
        </w:tc>
        <w:tc>
          <w:tcPr>
            <w:tcW w:w="0" w:type="auto"/>
            <w:tcMar>
              <w:top w:w="0" w:type="dxa"/>
              <w:left w:w="108" w:type="dxa"/>
              <w:bottom w:w="0" w:type="dxa"/>
              <w:right w:w="108" w:type="dxa"/>
            </w:tcMar>
            <w:hideMark/>
          </w:tcPr>
          <w:p w14:paraId="52DFDDF3" w14:textId="77777777" w:rsidR="00415AE0" w:rsidRPr="003E4F6B" w:rsidRDefault="00415AE0" w:rsidP="002A7E94">
            <w:pPr>
              <w:jc w:val="center"/>
              <w:rPr>
                <w:lang w:eastAsia="es-ES"/>
              </w:rPr>
            </w:pPr>
            <w:r w:rsidRPr="003E4F6B">
              <w:rPr>
                <w:color w:val="000000"/>
                <w:lang w:eastAsia="es-ES"/>
              </w:rPr>
              <w:t>5.8</w:t>
            </w:r>
          </w:p>
        </w:tc>
      </w:tr>
      <w:tr w:rsidR="00415AE0" w:rsidRPr="003E4F6B" w14:paraId="5FF8BAEF" w14:textId="77777777" w:rsidTr="002A7E94">
        <w:tc>
          <w:tcPr>
            <w:tcW w:w="0" w:type="auto"/>
            <w:tcBorders>
              <w:bottom w:val="single" w:sz="4" w:space="0" w:color="auto"/>
            </w:tcBorders>
            <w:tcMar>
              <w:top w:w="0" w:type="dxa"/>
              <w:left w:w="108" w:type="dxa"/>
              <w:bottom w:w="0" w:type="dxa"/>
              <w:right w:w="108" w:type="dxa"/>
            </w:tcMar>
            <w:hideMark/>
          </w:tcPr>
          <w:p w14:paraId="065E70B0" w14:textId="77777777" w:rsidR="00415AE0" w:rsidRPr="003E4F6B" w:rsidRDefault="00415AE0" w:rsidP="002A7E94">
            <w:pPr>
              <w:rPr>
                <w:lang w:eastAsia="es-ES"/>
              </w:rPr>
            </w:pPr>
            <w:r>
              <w:rPr>
                <w:color w:val="000000"/>
                <w:lang w:eastAsia="es-ES"/>
              </w:rPr>
              <w:t xml:space="preserve">    </w:t>
            </w:r>
            <w:r w:rsidRPr="003E4F6B">
              <w:rPr>
                <w:color w:val="000000"/>
                <w:lang w:eastAsia="es-ES"/>
              </w:rPr>
              <w:t>No</w:t>
            </w:r>
          </w:p>
        </w:tc>
        <w:tc>
          <w:tcPr>
            <w:tcW w:w="0" w:type="auto"/>
            <w:tcBorders>
              <w:bottom w:val="single" w:sz="4" w:space="0" w:color="auto"/>
            </w:tcBorders>
            <w:tcMar>
              <w:top w:w="0" w:type="dxa"/>
              <w:left w:w="108" w:type="dxa"/>
              <w:bottom w:w="0" w:type="dxa"/>
              <w:right w:w="108" w:type="dxa"/>
            </w:tcMar>
            <w:hideMark/>
          </w:tcPr>
          <w:p w14:paraId="7015BF84" w14:textId="77777777" w:rsidR="00415AE0" w:rsidRPr="003E4F6B" w:rsidRDefault="00415AE0" w:rsidP="002A7E94">
            <w:pPr>
              <w:jc w:val="center"/>
              <w:rPr>
                <w:lang w:eastAsia="es-ES"/>
              </w:rPr>
            </w:pPr>
            <w:r w:rsidRPr="003E4F6B">
              <w:rPr>
                <w:color w:val="000000"/>
                <w:lang w:eastAsia="es-ES"/>
              </w:rPr>
              <w:t>1265</w:t>
            </w:r>
          </w:p>
        </w:tc>
        <w:tc>
          <w:tcPr>
            <w:tcW w:w="0" w:type="auto"/>
            <w:tcBorders>
              <w:bottom w:val="single" w:sz="4" w:space="0" w:color="auto"/>
            </w:tcBorders>
            <w:tcMar>
              <w:top w:w="0" w:type="dxa"/>
              <w:left w:w="108" w:type="dxa"/>
              <w:bottom w:w="0" w:type="dxa"/>
              <w:right w:w="108" w:type="dxa"/>
            </w:tcMar>
            <w:hideMark/>
          </w:tcPr>
          <w:p w14:paraId="0D6111E8" w14:textId="77777777" w:rsidR="00415AE0" w:rsidRPr="003E4F6B" w:rsidRDefault="00415AE0" w:rsidP="002A7E94">
            <w:pPr>
              <w:jc w:val="center"/>
              <w:rPr>
                <w:lang w:eastAsia="es-ES"/>
              </w:rPr>
            </w:pPr>
            <w:r w:rsidRPr="003E4F6B">
              <w:rPr>
                <w:color w:val="000000"/>
                <w:lang w:eastAsia="es-ES"/>
              </w:rPr>
              <w:t>94.2</w:t>
            </w:r>
          </w:p>
        </w:tc>
      </w:tr>
      <w:tr w:rsidR="00415AE0" w:rsidRPr="003E4F6B" w14:paraId="57D5E44D"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642851DE"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79D992D4"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2AE2BF69" w14:textId="77777777" w:rsidR="00415AE0" w:rsidRPr="003E4F6B" w:rsidRDefault="00415AE0" w:rsidP="002A7E94">
            <w:pPr>
              <w:jc w:val="center"/>
              <w:rPr>
                <w:lang w:eastAsia="es-ES"/>
              </w:rPr>
            </w:pPr>
            <w:r w:rsidRPr="003E4F6B">
              <w:rPr>
                <w:color w:val="000000"/>
                <w:lang w:eastAsia="es-ES"/>
              </w:rPr>
              <w:t>100</w:t>
            </w:r>
          </w:p>
        </w:tc>
      </w:tr>
      <w:tr w:rsidR="00415AE0" w:rsidRPr="003E4F6B" w14:paraId="0549C698" w14:textId="77777777" w:rsidTr="002A7E94">
        <w:tc>
          <w:tcPr>
            <w:tcW w:w="0" w:type="auto"/>
            <w:tcBorders>
              <w:top w:val="single" w:sz="4" w:space="0" w:color="auto"/>
            </w:tcBorders>
            <w:tcMar>
              <w:top w:w="0" w:type="dxa"/>
              <w:left w:w="108" w:type="dxa"/>
              <w:bottom w:w="0" w:type="dxa"/>
              <w:right w:w="108" w:type="dxa"/>
            </w:tcMar>
            <w:hideMark/>
          </w:tcPr>
          <w:p w14:paraId="43A450EA" w14:textId="77777777" w:rsidR="00415AE0" w:rsidRPr="003E4F6B" w:rsidRDefault="00415AE0" w:rsidP="002A7E94">
            <w:pPr>
              <w:rPr>
                <w:lang w:eastAsia="es-ES"/>
              </w:rPr>
            </w:pPr>
            <w:proofErr w:type="spellStart"/>
            <w:r w:rsidRPr="003E4F6B">
              <w:rPr>
                <w:color w:val="000000"/>
                <w:lang w:eastAsia="es-ES"/>
              </w:rPr>
              <w:t>Symptoms</w:t>
            </w:r>
            <w:proofErr w:type="spellEnd"/>
            <w:r w:rsidRPr="003E4F6B">
              <w:rPr>
                <w:color w:val="000000"/>
                <w:lang w:eastAsia="es-ES"/>
              </w:rPr>
              <w:t xml:space="preserve"> </w:t>
            </w:r>
            <w:proofErr w:type="spellStart"/>
            <w:r w:rsidRPr="003E4F6B">
              <w:rPr>
                <w:color w:val="000000"/>
                <w:lang w:eastAsia="es-ES"/>
              </w:rPr>
              <w:t>of</w:t>
            </w:r>
            <w:proofErr w:type="spellEnd"/>
            <w:r w:rsidRPr="003E4F6B">
              <w:rPr>
                <w:color w:val="000000"/>
                <w:lang w:eastAsia="es-ES"/>
              </w:rPr>
              <w:t xml:space="preserve"> coronavirus</w:t>
            </w:r>
          </w:p>
        </w:tc>
        <w:tc>
          <w:tcPr>
            <w:tcW w:w="0" w:type="auto"/>
            <w:tcBorders>
              <w:top w:val="single" w:sz="4" w:space="0" w:color="auto"/>
            </w:tcBorders>
            <w:tcMar>
              <w:top w:w="0" w:type="dxa"/>
              <w:left w:w="108" w:type="dxa"/>
              <w:bottom w:w="0" w:type="dxa"/>
              <w:right w:w="108" w:type="dxa"/>
            </w:tcMar>
            <w:hideMark/>
          </w:tcPr>
          <w:p w14:paraId="11C0ECEA" w14:textId="77777777" w:rsidR="00415AE0" w:rsidRPr="003E4F6B" w:rsidRDefault="00415AE0" w:rsidP="002A7E94">
            <w:pPr>
              <w:rPr>
                <w:lang w:eastAsia="es-ES"/>
              </w:rPr>
            </w:pPr>
          </w:p>
        </w:tc>
        <w:tc>
          <w:tcPr>
            <w:tcW w:w="0" w:type="auto"/>
            <w:tcBorders>
              <w:top w:val="single" w:sz="4" w:space="0" w:color="auto"/>
            </w:tcBorders>
            <w:tcMar>
              <w:top w:w="0" w:type="dxa"/>
              <w:left w:w="108" w:type="dxa"/>
              <w:bottom w:w="0" w:type="dxa"/>
              <w:right w:w="108" w:type="dxa"/>
            </w:tcMar>
            <w:hideMark/>
          </w:tcPr>
          <w:p w14:paraId="314D808F" w14:textId="77777777" w:rsidR="00415AE0" w:rsidRPr="003E4F6B" w:rsidRDefault="00415AE0" w:rsidP="002A7E94">
            <w:pPr>
              <w:rPr>
                <w:lang w:eastAsia="es-ES"/>
              </w:rPr>
            </w:pPr>
          </w:p>
        </w:tc>
      </w:tr>
      <w:tr w:rsidR="00415AE0" w:rsidRPr="003E4F6B" w14:paraId="05281A95" w14:textId="77777777" w:rsidTr="002A7E94">
        <w:tc>
          <w:tcPr>
            <w:tcW w:w="0" w:type="auto"/>
            <w:tcMar>
              <w:top w:w="0" w:type="dxa"/>
              <w:left w:w="108" w:type="dxa"/>
              <w:bottom w:w="0" w:type="dxa"/>
              <w:right w:w="108" w:type="dxa"/>
            </w:tcMar>
            <w:hideMark/>
          </w:tcPr>
          <w:p w14:paraId="7A54641F" w14:textId="77777777" w:rsidR="00415AE0" w:rsidRPr="003E4F6B" w:rsidRDefault="00415AE0" w:rsidP="002A7E94">
            <w:pPr>
              <w:rPr>
                <w:lang w:eastAsia="es-ES"/>
              </w:rPr>
            </w:pPr>
            <w:r>
              <w:rPr>
                <w:color w:val="000000"/>
                <w:lang w:eastAsia="es-ES"/>
              </w:rPr>
              <w:t xml:space="preserve">    </w:t>
            </w:r>
            <w:r w:rsidRPr="003E4F6B">
              <w:rPr>
                <w:color w:val="000000"/>
                <w:lang w:eastAsia="es-ES"/>
              </w:rPr>
              <w:t xml:space="preserve">I </w:t>
            </w:r>
            <w:proofErr w:type="spellStart"/>
            <w:r w:rsidRPr="003E4F6B">
              <w:rPr>
                <w:color w:val="000000"/>
                <w:lang w:eastAsia="es-ES"/>
              </w:rPr>
              <w:t>have</w:t>
            </w:r>
            <w:proofErr w:type="spellEnd"/>
            <w:r w:rsidRPr="003E4F6B">
              <w:rPr>
                <w:color w:val="000000"/>
                <w:lang w:eastAsia="es-ES"/>
              </w:rPr>
              <w:t xml:space="preserve"> </w:t>
            </w:r>
            <w:proofErr w:type="spellStart"/>
            <w:r w:rsidRPr="003E4F6B">
              <w:rPr>
                <w:color w:val="000000"/>
                <w:lang w:eastAsia="es-ES"/>
              </w:rPr>
              <w:t>experienced</w:t>
            </w:r>
            <w:proofErr w:type="spellEnd"/>
            <w:r w:rsidRPr="003E4F6B">
              <w:rPr>
                <w:color w:val="000000"/>
                <w:lang w:eastAsia="es-ES"/>
              </w:rPr>
              <w:t xml:space="preserve"> </w:t>
            </w:r>
            <w:proofErr w:type="spellStart"/>
            <w:r w:rsidRPr="003E4F6B">
              <w:rPr>
                <w:color w:val="000000"/>
                <w:lang w:eastAsia="es-ES"/>
              </w:rPr>
              <w:t>symptoms</w:t>
            </w:r>
            <w:proofErr w:type="spellEnd"/>
          </w:p>
        </w:tc>
        <w:tc>
          <w:tcPr>
            <w:tcW w:w="0" w:type="auto"/>
            <w:tcMar>
              <w:top w:w="0" w:type="dxa"/>
              <w:left w:w="108" w:type="dxa"/>
              <w:bottom w:w="0" w:type="dxa"/>
              <w:right w:w="108" w:type="dxa"/>
            </w:tcMar>
            <w:hideMark/>
          </w:tcPr>
          <w:p w14:paraId="1291EE3A" w14:textId="77777777" w:rsidR="00415AE0" w:rsidRPr="003E4F6B" w:rsidRDefault="00415AE0" w:rsidP="002A7E94">
            <w:pPr>
              <w:jc w:val="center"/>
              <w:rPr>
                <w:lang w:eastAsia="es-ES"/>
              </w:rPr>
            </w:pPr>
            <w:r w:rsidRPr="003E4F6B">
              <w:rPr>
                <w:color w:val="000000"/>
                <w:lang w:eastAsia="es-ES"/>
              </w:rPr>
              <w:t>91</w:t>
            </w:r>
          </w:p>
        </w:tc>
        <w:tc>
          <w:tcPr>
            <w:tcW w:w="0" w:type="auto"/>
            <w:tcMar>
              <w:top w:w="0" w:type="dxa"/>
              <w:left w:w="108" w:type="dxa"/>
              <w:bottom w:w="0" w:type="dxa"/>
              <w:right w:w="108" w:type="dxa"/>
            </w:tcMar>
            <w:hideMark/>
          </w:tcPr>
          <w:p w14:paraId="036CEF61" w14:textId="77777777" w:rsidR="00415AE0" w:rsidRPr="003E4F6B" w:rsidRDefault="00415AE0" w:rsidP="002A7E94">
            <w:pPr>
              <w:jc w:val="center"/>
              <w:rPr>
                <w:lang w:eastAsia="es-ES"/>
              </w:rPr>
            </w:pPr>
            <w:r w:rsidRPr="003E4F6B">
              <w:rPr>
                <w:color w:val="000000"/>
                <w:lang w:eastAsia="es-ES"/>
              </w:rPr>
              <w:t>6.8</w:t>
            </w:r>
          </w:p>
        </w:tc>
      </w:tr>
      <w:tr w:rsidR="00415AE0" w:rsidRPr="003E4F6B" w14:paraId="2FDB8059" w14:textId="77777777" w:rsidTr="002A7E94">
        <w:tc>
          <w:tcPr>
            <w:tcW w:w="0" w:type="auto"/>
            <w:tcMar>
              <w:top w:w="0" w:type="dxa"/>
              <w:left w:w="108" w:type="dxa"/>
              <w:bottom w:w="0" w:type="dxa"/>
              <w:right w:w="108" w:type="dxa"/>
            </w:tcMar>
            <w:hideMark/>
          </w:tcPr>
          <w:p w14:paraId="6E907E66" w14:textId="77777777" w:rsidR="00415AE0" w:rsidRPr="00415AE0" w:rsidRDefault="00415AE0" w:rsidP="002A7E94">
            <w:pPr>
              <w:rPr>
                <w:lang w:val="en-US" w:eastAsia="es-ES"/>
              </w:rPr>
            </w:pPr>
            <w:r w:rsidRPr="00415AE0">
              <w:rPr>
                <w:color w:val="000000"/>
                <w:lang w:val="en-US" w:eastAsia="es-ES"/>
              </w:rPr>
              <w:t xml:space="preserve">    The people I live with have had symptom</w:t>
            </w:r>
          </w:p>
        </w:tc>
        <w:tc>
          <w:tcPr>
            <w:tcW w:w="0" w:type="auto"/>
            <w:tcMar>
              <w:top w:w="0" w:type="dxa"/>
              <w:left w:w="108" w:type="dxa"/>
              <w:bottom w:w="0" w:type="dxa"/>
              <w:right w:w="108" w:type="dxa"/>
            </w:tcMar>
            <w:hideMark/>
          </w:tcPr>
          <w:p w14:paraId="384DF8B4" w14:textId="77777777" w:rsidR="00415AE0" w:rsidRPr="003E4F6B" w:rsidRDefault="00415AE0" w:rsidP="002A7E94">
            <w:pPr>
              <w:jc w:val="center"/>
              <w:rPr>
                <w:lang w:eastAsia="es-ES"/>
              </w:rPr>
            </w:pPr>
            <w:r w:rsidRPr="003E4F6B">
              <w:rPr>
                <w:color w:val="000000"/>
                <w:lang w:eastAsia="es-ES"/>
              </w:rPr>
              <w:t>75</w:t>
            </w:r>
          </w:p>
        </w:tc>
        <w:tc>
          <w:tcPr>
            <w:tcW w:w="0" w:type="auto"/>
            <w:tcMar>
              <w:top w:w="0" w:type="dxa"/>
              <w:left w:w="108" w:type="dxa"/>
              <w:bottom w:w="0" w:type="dxa"/>
              <w:right w:w="108" w:type="dxa"/>
            </w:tcMar>
            <w:hideMark/>
          </w:tcPr>
          <w:p w14:paraId="224AEFBA" w14:textId="77777777" w:rsidR="00415AE0" w:rsidRPr="003E4F6B" w:rsidRDefault="00415AE0" w:rsidP="002A7E94">
            <w:pPr>
              <w:jc w:val="center"/>
              <w:rPr>
                <w:lang w:eastAsia="es-ES"/>
              </w:rPr>
            </w:pPr>
            <w:r w:rsidRPr="003E4F6B">
              <w:rPr>
                <w:color w:val="000000"/>
                <w:lang w:eastAsia="es-ES"/>
              </w:rPr>
              <w:t>5.6</w:t>
            </w:r>
          </w:p>
        </w:tc>
      </w:tr>
      <w:tr w:rsidR="00415AE0" w:rsidRPr="003E4F6B" w14:paraId="7688BD16" w14:textId="77777777" w:rsidTr="002A7E94">
        <w:tc>
          <w:tcPr>
            <w:tcW w:w="0" w:type="auto"/>
            <w:tcMar>
              <w:top w:w="0" w:type="dxa"/>
              <w:left w:w="108" w:type="dxa"/>
              <w:bottom w:w="0" w:type="dxa"/>
              <w:right w:w="108" w:type="dxa"/>
            </w:tcMar>
            <w:hideMark/>
          </w:tcPr>
          <w:p w14:paraId="12D79EA4" w14:textId="77777777" w:rsidR="00415AE0" w:rsidRPr="00415AE0" w:rsidRDefault="00415AE0" w:rsidP="002A7E94">
            <w:pPr>
              <w:rPr>
                <w:lang w:val="en-US" w:eastAsia="es-ES"/>
              </w:rPr>
            </w:pPr>
            <w:r w:rsidRPr="00415AE0">
              <w:rPr>
                <w:color w:val="000000"/>
                <w:lang w:val="en-US" w:eastAsia="es-ES"/>
              </w:rPr>
              <w:t xml:space="preserve">    Both I and the people I live with have had symptoms</w:t>
            </w:r>
          </w:p>
        </w:tc>
        <w:tc>
          <w:tcPr>
            <w:tcW w:w="0" w:type="auto"/>
            <w:tcMar>
              <w:top w:w="0" w:type="dxa"/>
              <w:left w:w="108" w:type="dxa"/>
              <w:bottom w:w="0" w:type="dxa"/>
              <w:right w:w="108" w:type="dxa"/>
            </w:tcMar>
            <w:hideMark/>
          </w:tcPr>
          <w:p w14:paraId="74EDB7EA" w14:textId="77777777" w:rsidR="00415AE0" w:rsidRPr="003E4F6B" w:rsidRDefault="00415AE0" w:rsidP="002A7E94">
            <w:pPr>
              <w:jc w:val="center"/>
              <w:rPr>
                <w:lang w:eastAsia="es-ES"/>
              </w:rPr>
            </w:pPr>
            <w:r w:rsidRPr="003E4F6B">
              <w:rPr>
                <w:color w:val="000000"/>
                <w:lang w:eastAsia="es-ES"/>
              </w:rPr>
              <w:t>67</w:t>
            </w:r>
          </w:p>
        </w:tc>
        <w:tc>
          <w:tcPr>
            <w:tcW w:w="0" w:type="auto"/>
            <w:tcMar>
              <w:top w:w="0" w:type="dxa"/>
              <w:left w:w="108" w:type="dxa"/>
              <w:bottom w:w="0" w:type="dxa"/>
              <w:right w:w="108" w:type="dxa"/>
            </w:tcMar>
            <w:hideMark/>
          </w:tcPr>
          <w:p w14:paraId="5EB59101" w14:textId="77777777" w:rsidR="00415AE0" w:rsidRPr="003E4F6B" w:rsidRDefault="00415AE0" w:rsidP="002A7E94">
            <w:pPr>
              <w:jc w:val="center"/>
              <w:rPr>
                <w:lang w:eastAsia="es-ES"/>
              </w:rPr>
            </w:pPr>
            <w:r w:rsidRPr="003E4F6B">
              <w:rPr>
                <w:color w:val="000000"/>
                <w:lang w:eastAsia="es-ES"/>
              </w:rPr>
              <w:t>5.0</w:t>
            </w:r>
          </w:p>
        </w:tc>
      </w:tr>
      <w:tr w:rsidR="00415AE0" w:rsidRPr="003E4F6B" w14:paraId="5DDBB007" w14:textId="77777777" w:rsidTr="002A7E94">
        <w:tc>
          <w:tcPr>
            <w:tcW w:w="0" w:type="auto"/>
            <w:tcBorders>
              <w:bottom w:val="single" w:sz="4" w:space="0" w:color="auto"/>
            </w:tcBorders>
            <w:tcMar>
              <w:top w:w="0" w:type="dxa"/>
              <w:left w:w="108" w:type="dxa"/>
              <w:bottom w:w="0" w:type="dxa"/>
              <w:right w:w="108" w:type="dxa"/>
            </w:tcMar>
            <w:hideMark/>
          </w:tcPr>
          <w:p w14:paraId="76CADA24" w14:textId="77777777" w:rsidR="00415AE0" w:rsidRPr="00415AE0" w:rsidRDefault="00415AE0" w:rsidP="002A7E94">
            <w:pPr>
              <w:rPr>
                <w:lang w:val="en-US" w:eastAsia="es-ES"/>
              </w:rPr>
            </w:pPr>
            <w:r w:rsidRPr="00415AE0">
              <w:rPr>
                <w:color w:val="000000"/>
                <w:lang w:val="en-US" w:eastAsia="es-ES"/>
              </w:rPr>
              <w:t xml:space="preserve">    Neither I nor the people I live with have had any symptoms</w:t>
            </w:r>
          </w:p>
        </w:tc>
        <w:tc>
          <w:tcPr>
            <w:tcW w:w="0" w:type="auto"/>
            <w:tcBorders>
              <w:bottom w:val="single" w:sz="4" w:space="0" w:color="auto"/>
            </w:tcBorders>
            <w:tcMar>
              <w:top w:w="0" w:type="dxa"/>
              <w:left w:w="108" w:type="dxa"/>
              <w:bottom w:w="0" w:type="dxa"/>
              <w:right w:w="108" w:type="dxa"/>
            </w:tcMar>
            <w:hideMark/>
          </w:tcPr>
          <w:p w14:paraId="5F1F9FAC" w14:textId="77777777" w:rsidR="00415AE0" w:rsidRPr="003E4F6B" w:rsidRDefault="00415AE0" w:rsidP="002A7E94">
            <w:pPr>
              <w:jc w:val="center"/>
              <w:rPr>
                <w:lang w:eastAsia="es-ES"/>
              </w:rPr>
            </w:pPr>
            <w:r w:rsidRPr="003E4F6B">
              <w:rPr>
                <w:color w:val="000000"/>
                <w:lang w:eastAsia="es-ES"/>
              </w:rPr>
              <w:t>1110</w:t>
            </w:r>
          </w:p>
        </w:tc>
        <w:tc>
          <w:tcPr>
            <w:tcW w:w="0" w:type="auto"/>
            <w:tcBorders>
              <w:bottom w:val="single" w:sz="4" w:space="0" w:color="auto"/>
            </w:tcBorders>
            <w:tcMar>
              <w:top w:w="0" w:type="dxa"/>
              <w:left w:w="108" w:type="dxa"/>
              <w:bottom w:w="0" w:type="dxa"/>
              <w:right w:w="108" w:type="dxa"/>
            </w:tcMar>
            <w:hideMark/>
          </w:tcPr>
          <w:p w14:paraId="5B3D686B" w14:textId="77777777" w:rsidR="00415AE0" w:rsidRPr="003E4F6B" w:rsidRDefault="00415AE0" w:rsidP="002A7E94">
            <w:pPr>
              <w:jc w:val="center"/>
              <w:rPr>
                <w:lang w:eastAsia="es-ES"/>
              </w:rPr>
            </w:pPr>
            <w:r w:rsidRPr="003E4F6B">
              <w:rPr>
                <w:color w:val="000000"/>
                <w:lang w:eastAsia="es-ES"/>
              </w:rPr>
              <w:t>82.7</w:t>
            </w:r>
          </w:p>
        </w:tc>
      </w:tr>
      <w:tr w:rsidR="00415AE0" w:rsidRPr="003E4F6B" w14:paraId="3AB5A27C" w14:textId="77777777" w:rsidTr="002A7E94">
        <w:tc>
          <w:tcPr>
            <w:tcW w:w="0" w:type="auto"/>
            <w:tcBorders>
              <w:top w:val="single" w:sz="4" w:space="0" w:color="auto"/>
              <w:bottom w:val="single" w:sz="4" w:space="0" w:color="auto"/>
            </w:tcBorders>
            <w:tcMar>
              <w:top w:w="0" w:type="dxa"/>
              <w:left w:w="108" w:type="dxa"/>
              <w:bottom w:w="0" w:type="dxa"/>
              <w:right w:w="108" w:type="dxa"/>
            </w:tcMar>
            <w:hideMark/>
          </w:tcPr>
          <w:p w14:paraId="4FFCF09B" w14:textId="77777777" w:rsidR="00415AE0" w:rsidRPr="003E4F6B" w:rsidRDefault="00415AE0" w:rsidP="002A7E94">
            <w:pPr>
              <w:rPr>
                <w:lang w:eastAsia="es-ES"/>
              </w:rPr>
            </w:pPr>
            <w:r w:rsidRPr="003E4F6B">
              <w:rPr>
                <w:color w:val="000000"/>
                <w:lang w:eastAsia="es-ES"/>
              </w:rPr>
              <w:t>Total</w:t>
            </w:r>
          </w:p>
        </w:tc>
        <w:tc>
          <w:tcPr>
            <w:tcW w:w="0" w:type="auto"/>
            <w:tcBorders>
              <w:top w:val="single" w:sz="4" w:space="0" w:color="auto"/>
              <w:bottom w:val="single" w:sz="4" w:space="0" w:color="auto"/>
            </w:tcBorders>
            <w:tcMar>
              <w:top w:w="0" w:type="dxa"/>
              <w:left w:w="108" w:type="dxa"/>
              <w:bottom w:w="0" w:type="dxa"/>
              <w:right w:w="108" w:type="dxa"/>
            </w:tcMar>
            <w:hideMark/>
          </w:tcPr>
          <w:p w14:paraId="35A75203" w14:textId="77777777" w:rsidR="00415AE0" w:rsidRPr="003E4F6B" w:rsidRDefault="00415AE0" w:rsidP="002A7E94">
            <w:pPr>
              <w:jc w:val="center"/>
              <w:rPr>
                <w:lang w:eastAsia="es-ES"/>
              </w:rPr>
            </w:pPr>
            <w:r w:rsidRPr="003E4F6B">
              <w:rPr>
                <w:color w:val="000000"/>
                <w:lang w:eastAsia="es-ES"/>
              </w:rPr>
              <w:t>1343</w:t>
            </w:r>
          </w:p>
        </w:tc>
        <w:tc>
          <w:tcPr>
            <w:tcW w:w="0" w:type="auto"/>
            <w:tcBorders>
              <w:top w:val="single" w:sz="4" w:space="0" w:color="auto"/>
              <w:bottom w:val="single" w:sz="4" w:space="0" w:color="auto"/>
            </w:tcBorders>
            <w:tcMar>
              <w:top w:w="0" w:type="dxa"/>
              <w:left w:w="108" w:type="dxa"/>
              <w:bottom w:w="0" w:type="dxa"/>
              <w:right w:w="108" w:type="dxa"/>
            </w:tcMar>
            <w:hideMark/>
          </w:tcPr>
          <w:p w14:paraId="6F01FF8C" w14:textId="77777777" w:rsidR="00415AE0" w:rsidRPr="003E4F6B" w:rsidRDefault="00415AE0" w:rsidP="002A7E94">
            <w:pPr>
              <w:jc w:val="center"/>
              <w:rPr>
                <w:lang w:eastAsia="es-ES"/>
              </w:rPr>
            </w:pPr>
            <w:r w:rsidRPr="003E4F6B">
              <w:rPr>
                <w:color w:val="000000"/>
                <w:lang w:eastAsia="es-ES"/>
              </w:rPr>
              <w:t>100</w:t>
            </w:r>
          </w:p>
        </w:tc>
      </w:tr>
    </w:tbl>
    <w:p w14:paraId="7A270004" w14:textId="77777777" w:rsidR="003F4BDF" w:rsidRDefault="003F4BDF" w:rsidP="00415AE0">
      <w:pPr>
        <w:pStyle w:val="Prrafocomn"/>
        <w:ind w:firstLine="0"/>
        <w:rPr>
          <w:rFonts w:eastAsia="Calibri"/>
          <w:lang w:eastAsia="en-US"/>
        </w:rPr>
      </w:pPr>
    </w:p>
    <w:p w14:paraId="781D2CF0" w14:textId="1DFD657C" w:rsidR="00415AE0" w:rsidRDefault="00415AE0" w:rsidP="003F4BDF">
      <w:pPr>
        <w:pStyle w:val="Prrafocomn"/>
        <w:rPr>
          <w:rFonts w:eastAsia="Calibri"/>
          <w:lang w:eastAsia="en-US"/>
        </w:rPr>
      </w:pPr>
      <w:r w:rsidRPr="00415AE0">
        <w:rPr>
          <w:rFonts w:eastAsia="Calibri"/>
          <w:lang w:eastAsia="en-US"/>
        </w:rPr>
        <w:t>Prolonged confinement affected the country’s work capacity. Therefore, participants’ employment status was relevant. Half of the sample worked remotely or were involved in long distance academic activity from home (50.3%), 14.7% were temporarily unemployed or had stopped working as a result of the COVID-19 pandemic, 11% were unemployed prior to the pandemic, 18.8% of participants continued working in person and 5.2% were retired.</w:t>
      </w:r>
    </w:p>
    <w:p w14:paraId="1D2B1925" w14:textId="3FD6CBCE" w:rsidR="00415AE0" w:rsidRDefault="00415AE0" w:rsidP="003F4BDF">
      <w:pPr>
        <w:pStyle w:val="Prrafocomn"/>
        <w:rPr>
          <w:rFonts w:eastAsia="Calibri"/>
          <w:lang w:eastAsia="en-US"/>
        </w:rPr>
      </w:pPr>
      <w:r w:rsidRPr="00415AE0">
        <w:rPr>
          <w:rFonts w:eastAsia="Calibri"/>
          <w:lang w:eastAsia="en-US"/>
        </w:rPr>
        <w:t>We disseminated the questionnaire through a link with a snowball sampling procedure and several routes. We first sent an email to university students; in this email we also asked for their collaboration in spreading the questionnaire on their own personal social networks, with the same request for dissemination. Additionally, the authors themselves also used their own social networks (specifically, Facebook, Twitter, and Instagram) with the aim of reaching people within different age groups.</w:t>
      </w:r>
    </w:p>
    <w:p w14:paraId="526EC9AE" w14:textId="77777777" w:rsidR="00507B29" w:rsidRPr="00507B29" w:rsidRDefault="00507B29" w:rsidP="00507B29">
      <w:pPr>
        <w:pStyle w:val="SubtituloInterno"/>
      </w:pPr>
      <w:r w:rsidRPr="00507B29">
        <w:t>Materials</w:t>
      </w:r>
    </w:p>
    <w:p w14:paraId="1319E821" w14:textId="1D413053" w:rsidR="00E36632" w:rsidRDefault="00E36632" w:rsidP="00E36632">
      <w:pPr>
        <w:pStyle w:val="Prrafocomn"/>
        <w:rPr>
          <w:lang w:eastAsia="en-US"/>
        </w:rPr>
      </w:pPr>
      <w:r>
        <w:rPr>
          <w:lang w:eastAsia="en-US"/>
        </w:rPr>
        <w:t>In addition to sociodemographic variables, all participants answered a questionnaire that consisted of the following elements.</w:t>
      </w:r>
    </w:p>
    <w:p w14:paraId="68E7A9A8" w14:textId="2DE16A3F" w:rsidR="00567A57" w:rsidRDefault="00567A57" w:rsidP="00E36632">
      <w:pPr>
        <w:pStyle w:val="Prrafocomn"/>
        <w:rPr>
          <w:lang w:eastAsia="en-US"/>
        </w:rPr>
      </w:pPr>
      <w:r w:rsidRPr="00567A57">
        <w:rPr>
          <w:lang w:eastAsia="en-US"/>
        </w:rPr>
        <w:t xml:space="preserve">Connor-Davidson Resilience Scale (10-item CD-RISC) (Connor &amp; Davidson, 2003), adapted for its use with Spanish population by </w:t>
      </w:r>
      <w:proofErr w:type="spellStart"/>
      <w:r w:rsidRPr="00567A57">
        <w:rPr>
          <w:lang w:eastAsia="en-US"/>
        </w:rPr>
        <w:t>Notario</w:t>
      </w:r>
      <w:proofErr w:type="spellEnd"/>
      <w:r w:rsidRPr="00567A57">
        <w:rPr>
          <w:lang w:eastAsia="en-US"/>
        </w:rPr>
        <w:t xml:space="preserve">-Pacheco et al. (2011). </w:t>
      </w:r>
      <w:r w:rsidRPr="00877E1B">
        <w:rPr>
          <w:highlight w:val="yellow"/>
          <w:lang w:eastAsia="en-US"/>
        </w:rPr>
        <w:t>Psychological resilience, defined as the personal ability to cope with stressful circumstances and adversity, is a psychological process and can therefore be learned and modified in order to better adapt to lived experiences</w:t>
      </w:r>
      <w:r w:rsidRPr="00567A57">
        <w:rPr>
          <w:lang w:eastAsia="en-US"/>
        </w:rPr>
        <w:t xml:space="preserve">. The CD-RISC is a brief self-rated assessment to quantify psychological resilience, comprising 10 items grouped into a single dimension. One example of an item is: “Not easily discouraged by failure”. Items were rated from 1 (Strongly disagree) to 7 (Strongly agree). The </w:t>
      </w:r>
      <w:r w:rsidRPr="00567A57">
        <w:rPr>
          <w:lang w:eastAsia="en-US"/>
        </w:rPr>
        <w:lastRenderedPageBreak/>
        <w:t>scale presented a mean score of 5.20 (</w:t>
      </w:r>
      <w:r w:rsidRPr="00877E1B">
        <w:rPr>
          <w:i/>
          <w:iCs/>
          <w:lang w:eastAsia="en-US"/>
        </w:rPr>
        <w:t>SD</w:t>
      </w:r>
      <w:r w:rsidRPr="00567A57">
        <w:rPr>
          <w:lang w:eastAsia="en-US"/>
        </w:rPr>
        <w:t xml:space="preserve"> = .93) and Cronbach’s α of .89. </w:t>
      </w:r>
      <w:r w:rsidRPr="00877E1B">
        <w:rPr>
          <w:highlight w:val="yellow"/>
          <w:lang w:eastAsia="en-US"/>
        </w:rPr>
        <w:t xml:space="preserve">In the original study by Connor and Davidson, Cronbach’s α for the full scale was .89. </w:t>
      </w:r>
      <w:proofErr w:type="spellStart"/>
      <w:r w:rsidRPr="00877E1B">
        <w:rPr>
          <w:highlight w:val="yellow"/>
          <w:lang w:eastAsia="en-US"/>
        </w:rPr>
        <w:t>Notario</w:t>
      </w:r>
      <w:proofErr w:type="spellEnd"/>
      <w:r w:rsidRPr="00877E1B">
        <w:rPr>
          <w:highlight w:val="yellow"/>
          <w:lang w:eastAsia="en-US"/>
        </w:rPr>
        <w:t>-Pacheco et al. reported Cronbach’s α of .85 in their adaptation</w:t>
      </w:r>
      <w:r w:rsidRPr="00567A57">
        <w:rPr>
          <w:lang w:eastAsia="en-US"/>
        </w:rPr>
        <w:t>.</w:t>
      </w:r>
    </w:p>
    <w:p w14:paraId="3BB5B473" w14:textId="74451396" w:rsidR="00877E1B" w:rsidRDefault="00877E1B" w:rsidP="00E36632">
      <w:pPr>
        <w:pStyle w:val="Prrafocomn"/>
        <w:rPr>
          <w:lang w:eastAsia="en-US"/>
        </w:rPr>
      </w:pPr>
      <w:r w:rsidRPr="00877E1B">
        <w:rPr>
          <w:lang w:eastAsia="en-US"/>
        </w:rPr>
        <w:t xml:space="preserve">MLM-10 validated by Morgan and Robinson (2013), is a shortened version of the Meaningful Life Measure (Morgan &amp; </w:t>
      </w:r>
      <w:proofErr w:type="spellStart"/>
      <w:r w:rsidRPr="00877E1B">
        <w:rPr>
          <w:lang w:eastAsia="en-US"/>
        </w:rPr>
        <w:t>Farsides</w:t>
      </w:r>
      <w:proofErr w:type="spellEnd"/>
      <w:r w:rsidRPr="00877E1B">
        <w:rPr>
          <w:lang w:eastAsia="en-US"/>
        </w:rPr>
        <w:t xml:space="preserve">, 2009). </w:t>
      </w:r>
      <w:r w:rsidRPr="00877E1B">
        <w:rPr>
          <w:highlight w:val="yellow"/>
          <w:lang w:eastAsia="en-US"/>
        </w:rPr>
        <w:t>Meaningful Life is a psychological construct consisting of the attribution of coherence, order and meaning to one’s own existence, in order to achieve personally valued life goals which in turn, provide</w:t>
      </w:r>
      <w:r>
        <w:rPr>
          <w:highlight w:val="yellow"/>
          <w:lang w:eastAsia="en-US"/>
        </w:rPr>
        <w:t xml:space="preserve"> </w:t>
      </w:r>
      <w:r w:rsidRPr="00877E1B">
        <w:rPr>
          <w:highlight w:val="yellow"/>
          <w:lang w:eastAsia="en-US"/>
        </w:rPr>
        <w:t>fulfillment in life. It is a process that protects people from negative situations and experiences and promotes well-being</w:t>
      </w:r>
      <w:r w:rsidRPr="00877E1B">
        <w:rPr>
          <w:lang w:eastAsia="en-US"/>
        </w:rPr>
        <w:t xml:space="preserve">. MLM-10 measures the fulfillment of five sources of personal meaning related to a sense of purpose, excitement, accomplishment, principles, and value. </w:t>
      </w:r>
      <w:r w:rsidRPr="00877E1B">
        <w:rPr>
          <w:highlight w:val="yellow"/>
          <w:lang w:eastAsia="en-US"/>
        </w:rPr>
        <w:t xml:space="preserve">In Morgan and </w:t>
      </w:r>
      <w:proofErr w:type="spellStart"/>
      <w:r w:rsidRPr="00877E1B">
        <w:rPr>
          <w:highlight w:val="yellow"/>
          <w:lang w:eastAsia="en-US"/>
        </w:rPr>
        <w:t>Farsides</w:t>
      </w:r>
      <w:proofErr w:type="spellEnd"/>
      <w:r w:rsidRPr="00877E1B">
        <w:rPr>
          <w:highlight w:val="yellow"/>
          <w:lang w:eastAsia="en-US"/>
        </w:rPr>
        <w:t>’ study, the α coefficients for the five subscales ranged from .85 to .88, while in the study by Morgan and Robinson, Cronbach’s α coefficients ranged from .75 to .84</w:t>
      </w:r>
      <w:r w:rsidRPr="00877E1B">
        <w:rPr>
          <w:lang w:eastAsia="en-US"/>
        </w:rPr>
        <w:t>. One example of an item is: “I have a clear idea of what my future goals and aims are”. Items were rated from 1 (Strongly disagree) to 7 (Strongly agree), the scale presented a mean score of 5.54 (</w:t>
      </w:r>
      <w:r w:rsidRPr="00877E1B">
        <w:rPr>
          <w:i/>
          <w:iCs/>
          <w:lang w:eastAsia="en-US"/>
        </w:rPr>
        <w:t>SD</w:t>
      </w:r>
      <w:r w:rsidRPr="00877E1B">
        <w:rPr>
          <w:lang w:eastAsia="en-US"/>
        </w:rPr>
        <w:t xml:space="preserve"> = .90) and an alpha of .85. </w:t>
      </w:r>
      <w:r w:rsidRPr="00877E1B">
        <w:rPr>
          <w:highlight w:val="yellow"/>
          <w:lang w:eastAsia="en-US"/>
        </w:rPr>
        <w:t>For this study, the Spanish adaptation by Hernández-Hernández (2016) was used; in it, Cronbach’s α for the scale as a whole was .94.</w:t>
      </w:r>
    </w:p>
    <w:p w14:paraId="190D5C14" w14:textId="4B778CB3" w:rsidR="00877E1B" w:rsidRDefault="00877E1B" w:rsidP="00E36632">
      <w:pPr>
        <w:pStyle w:val="Prrafocomn"/>
        <w:rPr>
          <w:lang w:eastAsia="en-US"/>
        </w:rPr>
      </w:pPr>
      <w:r w:rsidRPr="00877E1B">
        <w:rPr>
          <w:lang w:eastAsia="en-US"/>
        </w:rPr>
        <w:t xml:space="preserve">Positive and Negative Affect Schedule (PANAS) (Watson et al., 1988), in its short 10 item version. </w:t>
      </w:r>
      <w:r w:rsidRPr="00877E1B">
        <w:rPr>
          <w:highlight w:val="yellow"/>
          <w:lang w:eastAsia="en-US"/>
        </w:rPr>
        <w:t>Positive and negative affect are the two main dimensions that form the basic elements of all emotional phenomena. Positive affect represents the degree to which a person feels excited, active and alert, while negative affect refers to the subjective discomfort that encompasses a variety of aversive mood states. The PANAS scale was adapted for its use with the general Spanish population by López-Gómez et al., (2015). The short 10-item version was also adapted for its use with the Argentinian population by Flores-Kanter and Medrano (2018), the authors obtained a Cronbach’s α of .84 for negative affect and .75 for positive affect</w:t>
      </w:r>
      <w:r w:rsidRPr="00877E1B">
        <w:rPr>
          <w:lang w:eastAsia="en-US"/>
        </w:rPr>
        <w:t xml:space="preserve">. PANAS measures the weekly or general frequency in which people have manifested/felt the emotional states positive and negative affect, from a list of adjectives that describe such moods. Examples of adjectives are: “Inspired” (positive affect) and “Afraid” (negative affect). For this study, instructions were adapted and participants were asked to refer to the mood “during the duration of quarantine”. Items were rated from 1 (Little or nothing) to 5 (Extremely). Positive </w:t>
      </w:r>
      <w:r w:rsidR="005B1C3F">
        <w:rPr>
          <w:lang w:eastAsia="en-US"/>
        </w:rPr>
        <w:t>a</w:t>
      </w:r>
      <w:r w:rsidRPr="00877E1B">
        <w:rPr>
          <w:lang w:eastAsia="en-US"/>
        </w:rPr>
        <w:t>ffect presented a mean score of 2.77 (</w:t>
      </w:r>
      <w:r w:rsidRPr="00877E1B">
        <w:rPr>
          <w:i/>
          <w:iCs/>
          <w:lang w:eastAsia="en-US"/>
        </w:rPr>
        <w:t>SD</w:t>
      </w:r>
      <w:r w:rsidRPr="00877E1B">
        <w:rPr>
          <w:lang w:eastAsia="en-US"/>
        </w:rPr>
        <w:t xml:space="preserve"> = .712) and Cronbach’s α of .68, and negative affect presented a mean score of 2.26 (</w:t>
      </w:r>
      <w:r w:rsidRPr="00877E1B">
        <w:rPr>
          <w:i/>
          <w:iCs/>
          <w:lang w:eastAsia="en-US"/>
        </w:rPr>
        <w:t>SD</w:t>
      </w:r>
      <w:r w:rsidRPr="00877E1B">
        <w:rPr>
          <w:lang w:eastAsia="en-US"/>
        </w:rPr>
        <w:t xml:space="preserve"> = .798) and Cronbach’s α of .83.</w:t>
      </w:r>
    </w:p>
    <w:p w14:paraId="445D9CA6" w14:textId="0D41CC24" w:rsidR="00786FA8" w:rsidRDefault="00786FA8" w:rsidP="00E36632">
      <w:pPr>
        <w:pStyle w:val="Prrafocomn"/>
        <w:rPr>
          <w:lang w:eastAsia="en-US"/>
        </w:rPr>
      </w:pPr>
      <w:r w:rsidRPr="00786FA8">
        <w:rPr>
          <w:lang w:eastAsia="en-US"/>
        </w:rPr>
        <w:lastRenderedPageBreak/>
        <w:t>Risk perception was measured by directly assessing the severity of risk regarding two dimensions: health and economic conditions. Each dimension was measured at three different levels: perceived personal risk, perceived risk to family and friends, and perceived risk to town/city neighbors and residents. Perceived severity is a basic qualitative characteristic of risk, according to the psychometric risk paradigm (e.g.</w:t>
      </w:r>
      <w:r>
        <w:rPr>
          <w:lang w:eastAsia="en-US"/>
        </w:rPr>
        <w:t>,</w:t>
      </w:r>
      <w:r w:rsidRPr="00786FA8">
        <w:rPr>
          <w:lang w:eastAsia="en-US"/>
        </w:rPr>
        <w:t xml:space="preserve"> </w:t>
      </w:r>
      <w:proofErr w:type="spellStart"/>
      <w:r w:rsidRPr="00786FA8">
        <w:rPr>
          <w:lang w:eastAsia="en-US"/>
        </w:rPr>
        <w:t>Slovic</w:t>
      </w:r>
      <w:proofErr w:type="spellEnd"/>
      <w:r w:rsidRPr="00786FA8">
        <w:rPr>
          <w:lang w:eastAsia="en-US"/>
        </w:rPr>
        <w:t xml:space="preserve"> et al., 1985). The criteria for differentiating risk severity into aspects and levels has in turn been taken from studies applying the psychometric model of risk associated with pandemics (e.g., </w:t>
      </w:r>
      <w:proofErr w:type="spellStart"/>
      <w:r w:rsidRPr="00786FA8">
        <w:rPr>
          <w:lang w:eastAsia="en-US"/>
        </w:rPr>
        <w:t>Aragones</w:t>
      </w:r>
      <w:proofErr w:type="spellEnd"/>
      <w:r w:rsidRPr="00786FA8">
        <w:rPr>
          <w:lang w:eastAsia="en-US"/>
        </w:rPr>
        <w:t xml:space="preserve"> et al., 2010; Han et al., 2014). The scale consisted of 6 items, 3 for health risk perception and 3 for economic risk perception: Coronavirus is a serious risk to my own health/financial situation (depending on the dimension measured), Coronavirus is a serious risk to the health/financial situation of my family and friends, Coronavirus is a serious risk to the health/ financial situation of the residents of my town/city. Items were rated from 1 (Strongly disagree) to 7 (Strongly agree). Health risk perception presented a mean score of 5.83 (</w:t>
      </w:r>
      <w:r w:rsidRPr="00786FA8">
        <w:rPr>
          <w:i/>
          <w:iCs/>
          <w:lang w:eastAsia="en-US"/>
        </w:rPr>
        <w:t>SD</w:t>
      </w:r>
      <w:r w:rsidRPr="00786FA8">
        <w:rPr>
          <w:lang w:eastAsia="en-US"/>
        </w:rPr>
        <w:t xml:space="preserve"> = 1.13) and Cronbach’s α of .74, and economic risk perception presented a mean score of 5.81 (</w:t>
      </w:r>
      <w:r w:rsidRPr="00786FA8">
        <w:rPr>
          <w:i/>
          <w:iCs/>
          <w:lang w:eastAsia="en-US"/>
        </w:rPr>
        <w:t>SD</w:t>
      </w:r>
      <w:r w:rsidRPr="00786FA8">
        <w:rPr>
          <w:lang w:eastAsia="en-US"/>
        </w:rPr>
        <w:t xml:space="preserve"> = 1.19) and Cronbach’s α of .76.</w:t>
      </w:r>
    </w:p>
    <w:p w14:paraId="30413501" w14:textId="23F2396D" w:rsidR="005E6679" w:rsidRDefault="005E6679" w:rsidP="00E36632">
      <w:pPr>
        <w:pStyle w:val="Prrafocomn"/>
        <w:rPr>
          <w:lang w:eastAsia="en-US"/>
        </w:rPr>
      </w:pPr>
      <w:r w:rsidRPr="005E6679">
        <w:rPr>
          <w:lang w:eastAsia="en-US"/>
        </w:rPr>
        <w:t xml:space="preserve">To measure people’s behavior during confinement, we included 13 activities recommended by public health institutions during confinement. These included activities such as physical exercise, working remotely, and caring for neighbors and dependents. These behaviors were selected from documents distributed by Spanish and international health authorities during March (Real </w:t>
      </w:r>
      <w:proofErr w:type="spellStart"/>
      <w:r w:rsidRPr="005E6679">
        <w:rPr>
          <w:lang w:eastAsia="en-US"/>
        </w:rPr>
        <w:t>Decreto</w:t>
      </w:r>
      <w:proofErr w:type="spellEnd"/>
      <w:r w:rsidRPr="005E6679">
        <w:rPr>
          <w:lang w:eastAsia="en-US"/>
        </w:rPr>
        <w:t xml:space="preserve"> 463/2020, de 14 de </w:t>
      </w:r>
      <w:proofErr w:type="spellStart"/>
      <w:r w:rsidRPr="005E6679">
        <w:rPr>
          <w:lang w:eastAsia="en-US"/>
        </w:rPr>
        <w:t>marzo</w:t>
      </w:r>
      <w:proofErr w:type="spellEnd"/>
      <w:r w:rsidRPr="005E6679">
        <w:rPr>
          <w:lang w:eastAsia="en-US"/>
        </w:rPr>
        <w:t>; WHO, 2020b). The items were rated from 1 (Never) to 5 (Every day).</w:t>
      </w:r>
    </w:p>
    <w:p w14:paraId="16439ADD" w14:textId="45CA222D" w:rsidR="00E36632" w:rsidRPr="00507B29" w:rsidRDefault="005E6679" w:rsidP="00A1012D">
      <w:pPr>
        <w:pStyle w:val="Prrafocomn"/>
        <w:rPr>
          <w:lang w:eastAsia="en-US"/>
        </w:rPr>
      </w:pPr>
      <w:r w:rsidRPr="005E6679">
        <w:rPr>
          <w:lang w:eastAsia="en-US"/>
        </w:rPr>
        <w:t>Information on housing and its occupants during confinement was collected with 6 items regarding housing characteristics (i.e., housing type, living space and availability of open-air spaces); number of people living together; people with chronic diseases or high-risk groups (e.g.</w:t>
      </w:r>
      <w:r>
        <w:rPr>
          <w:lang w:eastAsia="en-US"/>
        </w:rPr>
        <w:t>,</w:t>
      </w:r>
      <w:r w:rsidRPr="005E6679">
        <w:rPr>
          <w:lang w:eastAsia="en-US"/>
        </w:rPr>
        <w:t xml:space="preserve"> pregnancy or immunosuppression).</w:t>
      </w:r>
    </w:p>
    <w:p w14:paraId="788EC80D" w14:textId="77777777" w:rsidR="004C1FD8" w:rsidRPr="009E37BF" w:rsidRDefault="007C3C14" w:rsidP="007E3B8D">
      <w:pPr>
        <w:pStyle w:val="SubtituloInterno"/>
      </w:pPr>
      <w:r w:rsidRPr="009E37BF">
        <w:t xml:space="preserve">Procedure </w:t>
      </w:r>
    </w:p>
    <w:p w14:paraId="3FA4E0B2" w14:textId="6C037BB2" w:rsidR="00A1012D" w:rsidRDefault="00A1012D" w:rsidP="00427055">
      <w:pPr>
        <w:pStyle w:val="Prrafocomn"/>
      </w:pPr>
      <w:r w:rsidRPr="00A1012D">
        <w:t xml:space="preserve">At the beginning of the questionnaire, participants were informed about the objectives of the study, the approximate duration of participation, and the option of refusing to participate. Second, participants were informed that their personal data and any information provided during the study would be stored securely, and that it would be processed with confidentiality, in accordance with Spanish data protection regulations. Finally, they were asked for their consent to </w:t>
      </w:r>
      <w:r w:rsidRPr="00A1012D">
        <w:lastRenderedPageBreak/>
        <w:t>participate in the survey. The questionnaire was then presented using the Qualtrics data collection platform for response and was collected between the 23rd and 29th of March, during the second week under lockdown in Spain.</w:t>
      </w:r>
    </w:p>
    <w:p w14:paraId="0F4ED851" w14:textId="2D17256A" w:rsidR="007C3C14" w:rsidRPr="001542D7" w:rsidRDefault="007C3C14" w:rsidP="007C3C14">
      <w:pPr>
        <w:pStyle w:val="SubtituloInterno"/>
      </w:pPr>
      <w:r w:rsidRPr="001542D7">
        <w:t>Data analysis</w:t>
      </w:r>
    </w:p>
    <w:p w14:paraId="709DBF9B" w14:textId="12829D58" w:rsidR="001D0076" w:rsidRPr="001542D7" w:rsidRDefault="00097CAC" w:rsidP="006A538A">
      <w:pPr>
        <w:pStyle w:val="Prrafocomn"/>
      </w:pPr>
      <w:r>
        <w:rPr>
          <w:highlight w:val="yellow"/>
        </w:rPr>
        <w:t xml:space="preserve">This is a correlational and cross-sectional study. </w:t>
      </w:r>
      <w:r w:rsidR="001D0076" w:rsidRPr="001D0076">
        <w:rPr>
          <w:highlight w:val="yellow"/>
        </w:rPr>
        <w:t xml:space="preserve">Spearman’s correlations were computed between the variables studied, along with the Mann–Whitney </w:t>
      </w:r>
      <w:r w:rsidR="001D0076" w:rsidRPr="001D0076">
        <w:rPr>
          <w:i/>
          <w:iCs/>
          <w:highlight w:val="yellow"/>
        </w:rPr>
        <w:t>U</w:t>
      </w:r>
      <w:r w:rsidR="001D0076" w:rsidRPr="001D0076">
        <w:rPr>
          <w:highlight w:val="yellow"/>
        </w:rPr>
        <w:t xml:space="preserve"> test between the variables risk perception, belonging to high</w:t>
      </w:r>
      <w:r w:rsidR="001D0076">
        <w:rPr>
          <w:highlight w:val="yellow"/>
        </w:rPr>
        <w:t>-</w:t>
      </w:r>
      <w:r w:rsidR="001D0076" w:rsidRPr="001D0076">
        <w:rPr>
          <w:highlight w:val="yellow"/>
        </w:rPr>
        <w:t>risk groups, gender, meaning in life, positive and negative affect, and the specific recommended activities, as well as the Kruskal–Wallis test between the variables employment status and use of open</w:t>
      </w:r>
      <w:r w:rsidR="001D0076">
        <w:rPr>
          <w:highlight w:val="yellow"/>
        </w:rPr>
        <w:t>-</w:t>
      </w:r>
      <w:r w:rsidR="001D0076" w:rsidRPr="001D0076">
        <w:rPr>
          <w:highlight w:val="yellow"/>
        </w:rPr>
        <w:t>air spaces</w:t>
      </w:r>
      <w:r w:rsidR="001D0076" w:rsidRPr="001D0076">
        <w:t xml:space="preserve">. Given that several of the variables that were used consisted of one item, we decided to use non-parametric statistics. Furthermore, to keep consistency across analysis, including statistical assumptions, we decided to use non-parametric statistics for the whole set of data analysis. </w:t>
      </w:r>
      <w:r w:rsidR="001D0076" w:rsidRPr="00EF54AD">
        <w:rPr>
          <w:highlight w:val="yellow"/>
        </w:rPr>
        <w:t xml:space="preserve">In order to calculate the effect size, we used the formula proposed by Rosenthal (1994) for the Mann-Whitney </w:t>
      </w:r>
      <w:r w:rsidR="001D0076" w:rsidRPr="00EF54AD">
        <w:rPr>
          <w:i/>
          <w:iCs/>
          <w:highlight w:val="yellow"/>
        </w:rPr>
        <w:t>U</w:t>
      </w:r>
      <w:r w:rsidR="001D0076" w:rsidRPr="00EF54AD">
        <w:rPr>
          <w:highlight w:val="yellow"/>
        </w:rPr>
        <w:t xml:space="preserve"> statistic and epsilon squared for Kruskal</w:t>
      </w:r>
      <w:r w:rsidR="00EF54AD">
        <w:rPr>
          <w:highlight w:val="yellow"/>
        </w:rPr>
        <w:t>-</w:t>
      </w:r>
      <w:r w:rsidR="001D0076" w:rsidRPr="00EF54AD">
        <w:rPr>
          <w:highlight w:val="yellow"/>
        </w:rPr>
        <w:t xml:space="preserve">Wallis (Tomczak </w:t>
      </w:r>
      <w:r w:rsidR="00EF54AD" w:rsidRPr="00EF54AD">
        <w:rPr>
          <w:color w:val="000000"/>
          <w:highlight w:val="yellow"/>
        </w:rPr>
        <w:t>&amp;</w:t>
      </w:r>
      <w:r w:rsidR="001D0076" w:rsidRPr="00EF54AD">
        <w:rPr>
          <w:highlight w:val="yellow"/>
        </w:rPr>
        <w:t xml:space="preserve"> Tomczak, 2014).</w:t>
      </w:r>
    </w:p>
    <w:p w14:paraId="681BC02D" w14:textId="77777777" w:rsidR="004C1FD8" w:rsidRPr="00E25900" w:rsidRDefault="004C1FD8" w:rsidP="004C1FD8">
      <w:pPr>
        <w:pStyle w:val="SubtituloInterno"/>
      </w:pPr>
      <w:r>
        <w:t>E</w:t>
      </w:r>
      <w:r w:rsidRPr="00E25900">
        <w:t>thical considerations</w:t>
      </w:r>
    </w:p>
    <w:p w14:paraId="4446B624" w14:textId="2DCA4A19" w:rsidR="00EF54AD" w:rsidRDefault="00EF54AD" w:rsidP="00C53B35">
      <w:pPr>
        <w:pStyle w:val="Prrafocomn"/>
      </w:pPr>
      <w:r w:rsidRPr="00EF54AD">
        <w:t>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61754C2A" w14:textId="1E3EAA7E" w:rsidR="006F7E7E" w:rsidRDefault="005B5614" w:rsidP="00CE7D65">
      <w:pPr>
        <w:pStyle w:val="Ttulosinternos"/>
      </w:pPr>
      <w:r w:rsidRPr="00E25900">
        <w:t>Results</w:t>
      </w:r>
    </w:p>
    <w:p w14:paraId="497FEF33" w14:textId="6983F7B1" w:rsidR="00660FA1" w:rsidRDefault="00660FA1" w:rsidP="00575541">
      <w:pPr>
        <w:pStyle w:val="Prrafocomn"/>
      </w:pPr>
      <w:r w:rsidRPr="00660FA1">
        <w:t xml:space="preserve">To understand the psychological consequences of household isolation in the context of a nation-wide lockdown, we needed to assess at least (a) individuals’ risk perceptions, (b) the relation between personal profile, social and environmental characteristics of home isolation and psychological well-being, and (c) how engaging in different actions could be linked with positively coping with the situation. To avoid the statistical threat of the family-wise error rate, given that we conducted multiple tests per section, we implemented the Bonferroni correction, accepting an initial p-value of .05 that was adapted for the number of tests in each subsection of the reported </w:t>
      </w:r>
      <w:r w:rsidRPr="00660FA1">
        <w:lastRenderedPageBreak/>
        <w:t xml:space="preserve">results. </w:t>
      </w:r>
      <w:r w:rsidRPr="00660FA1">
        <w:rPr>
          <w:highlight w:val="yellow"/>
        </w:rPr>
        <w:t xml:space="preserve">To estimate the scope of our results, we calculated the effect size in each of the comparative tests, these varied between weak, moderate and relatively strong (Rea </w:t>
      </w:r>
      <w:r w:rsidRPr="00EF54AD">
        <w:rPr>
          <w:color w:val="000000"/>
          <w:highlight w:val="yellow"/>
        </w:rPr>
        <w:t>&amp;</w:t>
      </w:r>
      <w:r w:rsidRPr="00EF54AD">
        <w:rPr>
          <w:highlight w:val="yellow"/>
        </w:rPr>
        <w:t xml:space="preserve"> </w:t>
      </w:r>
      <w:r w:rsidRPr="00660FA1">
        <w:rPr>
          <w:highlight w:val="yellow"/>
        </w:rPr>
        <w:t>Parker, 1992).</w:t>
      </w:r>
    </w:p>
    <w:p w14:paraId="226CF85A" w14:textId="2B283C81" w:rsidR="00B34DB2" w:rsidRDefault="00B34DB2" w:rsidP="00B34DB2">
      <w:pPr>
        <w:pStyle w:val="SubtituloInterno"/>
      </w:pPr>
      <w:r>
        <w:t xml:space="preserve">Differences in risk perception associated with COVID-19 according to sociodemographic profile </w:t>
      </w:r>
    </w:p>
    <w:p w14:paraId="5916B760" w14:textId="34C282CD" w:rsidR="0007092B" w:rsidRDefault="0007092B" w:rsidP="00B34DB2">
      <w:pPr>
        <w:pStyle w:val="Prrafocomn"/>
      </w:pPr>
      <w:r w:rsidRPr="0007092B">
        <w:t xml:space="preserve">We decided to study two dimensions of risk perception we considered to be relevant in the context of a global pandemic: health risk perception, as lockdown originated from a public health concern, and economic risk perception, due to the massive economic impact caused by lockdown measures. A significant relation was found between both types of risk perception, </w:t>
      </w:r>
      <w:proofErr w:type="spellStart"/>
      <w:r w:rsidRPr="00C50E4E">
        <w:rPr>
          <w:i/>
          <w:iCs/>
        </w:rPr>
        <w:t>r</w:t>
      </w:r>
      <w:r w:rsidRPr="0007092B">
        <w:rPr>
          <w:i/>
          <w:iCs/>
          <w:vertAlign w:val="subscript"/>
        </w:rPr>
        <w:t>s</w:t>
      </w:r>
      <w:proofErr w:type="spellEnd"/>
      <w:r w:rsidRPr="0007092B">
        <w:t xml:space="preserve"> (1341) = .56, </w:t>
      </w:r>
      <w:r w:rsidRPr="0007092B">
        <w:rPr>
          <w:i/>
          <w:iCs/>
        </w:rPr>
        <w:t>p</w:t>
      </w:r>
      <w:r w:rsidRPr="0007092B">
        <w:t xml:space="preserve"> &lt; .001. We tested whether there were differences depending on participants’ sociodemographic profile and found that the older the participant, the higher health risk perception was </w:t>
      </w:r>
      <w:proofErr w:type="spellStart"/>
      <w:r w:rsidRPr="00C50E4E">
        <w:rPr>
          <w:i/>
          <w:iCs/>
        </w:rPr>
        <w:t>r</w:t>
      </w:r>
      <w:r w:rsidRPr="0007092B">
        <w:rPr>
          <w:i/>
          <w:iCs/>
          <w:vertAlign w:val="subscript"/>
        </w:rPr>
        <w:t>s</w:t>
      </w:r>
      <w:proofErr w:type="spellEnd"/>
      <w:r>
        <w:t xml:space="preserve"> </w:t>
      </w:r>
      <w:r w:rsidRPr="0007092B">
        <w:t xml:space="preserve">(1341) = .19, </w:t>
      </w:r>
      <w:r w:rsidRPr="0007092B">
        <w:rPr>
          <w:i/>
          <w:iCs/>
        </w:rPr>
        <w:t>p</w:t>
      </w:r>
      <w:r w:rsidRPr="0007092B">
        <w:t xml:space="preserve"> &lt; .001, but no significant correlation was found between age and economic risk perception. Participants belonging to high</w:t>
      </w:r>
      <w:r w:rsidR="00C50E4E">
        <w:t>-</w:t>
      </w:r>
      <w:r w:rsidRPr="0007092B">
        <w:t>risk groups reported a higher health risk perception (</w:t>
      </w:r>
      <w:proofErr w:type="spellStart"/>
      <w:r w:rsidRPr="00C50E4E">
        <w:rPr>
          <w:i/>
          <w:iCs/>
        </w:rPr>
        <w:t>Mdn</w:t>
      </w:r>
      <w:proofErr w:type="spellEnd"/>
      <w:r w:rsidRPr="0007092B">
        <w:t xml:space="preserve"> = 6.33; </w:t>
      </w:r>
      <w:r w:rsidRPr="00C50E4E">
        <w:rPr>
          <w:i/>
          <w:iCs/>
        </w:rPr>
        <w:t>Mean Rank</w:t>
      </w:r>
      <w:r w:rsidRPr="0007092B">
        <w:t xml:space="preserve"> = 737.18) than those not belonging to high</w:t>
      </w:r>
      <w:r w:rsidR="00C50E4E">
        <w:t>-</w:t>
      </w:r>
      <w:r w:rsidRPr="0007092B">
        <w:t>risk groups (</w:t>
      </w:r>
      <w:proofErr w:type="spellStart"/>
      <w:r w:rsidRPr="00C50E4E">
        <w:rPr>
          <w:i/>
          <w:iCs/>
        </w:rPr>
        <w:t>Mdn</w:t>
      </w:r>
      <w:proofErr w:type="spellEnd"/>
      <w:r w:rsidRPr="0007092B">
        <w:t xml:space="preserve"> = 6.0; </w:t>
      </w:r>
      <w:r w:rsidRPr="00C50E4E">
        <w:rPr>
          <w:i/>
          <w:iCs/>
        </w:rPr>
        <w:t>Mean Rank</w:t>
      </w:r>
      <w:r w:rsidRPr="0007092B">
        <w:t xml:space="preserve"> = 642.75), </w:t>
      </w:r>
      <w:r w:rsidRPr="00C50E4E">
        <w:rPr>
          <w:i/>
          <w:iCs/>
        </w:rPr>
        <w:t>U</w:t>
      </w:r>
      <w:r w:rsidRPr="0007092B">
        <w:t xml:space="preserve"> = 165699.50, </w:t>
      </w:r>
      <w:r w:rsidRPr="00C50E4E">
        <w:rPr>
          <w:i/>
          <w:iCs/>
        </w:rPr>
        <w:t>p</w:t>
      </w:r>
      <w:r w:rsidRPr="0007092B">
        <w:t xml:space="preserve"> &lt; .001, </w:t>
      </w:r>
      <w:r w:rsidRPr="00C50E4E">
        <w:rPr>
          <w:i/>
          <w:iCs/>
        </w:rPr>
        <w:t>r</w:t>
      </w:r>
      <w:r w:rsidRPr="0007092B">
        <w:t xml:space="preserve"> = .11. No difference was found in the perception of health or economic risk according to gender. However, we found that health risk perception differed depending on employment status, </w:t>
      </w:r>
      <w:r w:rsidRPr="00C50E4E">
        <w:rPr>
          <w:i/>
          <w:iCs/>
        </w:rPr>
        <w:t>χ</w:t>
      </w:r>
      <w:r w:rsidRPr="00C50E4E">
        <w:rPr>
          <w:i/>
          <w:iCs/>
          <w:vertAlign w:val="superscript"/>
        </w:rPr>
        <w:t>2</w:t>
      </w:r>
      <w:r w:rsidRPr="00C50E4E">
        <w:rPr>
          <w:vertAlign w:val="subscript"/>
        </w:rPr>
        <w:t>(3)</w:t>
      </w:r>
      <w:r w:rsidRPr="0007092B">
        <w:t xml:space="preserve"> = 21.187, </w:t>
      </w:r>
      <w:r w:rsidRPr="00C50E4E">
        <w:rPr>
          <w:i/>
          <w:iCs/>
        </w:rPr>
        <w:t>p</w:t>
      </w:r>
      <w:r w:rsidRPr="0007092B">
        <w:t xml:space="preserve"> &lt; .001, ε</w:t>
      </w:r>
      <w:r w:rsidRPr="00C50E4E">
        <w:rPr>
          <w:vertAlign w:val="superscript"/>
        </w:rPr>
        <w:t>2</w:t>
      </w:r>
      <w:r w:rsidRPr="0007092B">
        <w:t xml:space="preserve"> = .015; specifically</w:t>
      </w:r>
      <w:r w:rsidR="00C50E4E">
        <w:t>,</w:t>
      </w:r>
      <w:r w:rsidRPr="0007092B">
        <w:t xml:space="preserve"> between participants who worked from home (</w:t>
      </w:r>
      <w:proofErr w:type="spellStart"/>
      <w:r w:rsidRPr="002B4698">
        <w:rPr>
          <w:i/>
          <w:iCs/>
        </w:rPr>
        <w:t>Mdn</w:t>
      </w:r>
      <w:proofErr w:type="spellEnd"/>
      <w:r w:rsidRPr="0007092B">
        <w:t xml:space="preserve"> = 6.0; </w:t>
      </w:r>
      <w:r w:rsidRPr="002B4698">
        <w:rPr>
          <w:i/>
          <w:iCs/>
        </w:rPr>
        <w:t>Mean Rank</w:t>
      </w:r>
      <w:r w:rsidRPr="0007092B">
        <w:t xml:space="preserve"> = 596.45) versus participants who had to attend their workplace in person (</w:t>
      </w:r>
      <w:proofErr w:type="spellStart"/>
      <w:r w:rsidRPr="002B4698">
        <w:rPr>
          <w:i/>
          <w:iCs/>
        </w:rPr>
        <w:t>Mdn</w:t>
      </w:r>
      <w:proofErr w:type="spellEnd"/>
      <w:r w:rsidRPr="0007092B">
        <w:t xml:space="preserve"> = 6.0; </w:t>
      </w:r>
      <w:r w:rsidRPr="002B4698">
        <w:rPr>
          <w:i/>
          <w:iCs/>
        </w:rPr>
        <w:t>Mean Rank</w:t>
      </w:r>
      <w:r w:rsidRPr="0007092B">
        <w:t xml:space="preserve"> = 681.25) (</w:t>
      </w:r>
      <w:r w:rsidRPr="004766D9">
        <w:rPr>
          <w:i/>
          <w:iCs/>
        </w:rPr>
        <w:t>p</w:t>
      </w:r>
      <w:r w:rsidRPr="0007092B">
        <w:t xml:space="preserve"> = .01) and versus participants who were temporarily suspended due to lockdown (</w:t>
      </w:r>
      <w:proofErr w:type="spellStart"/>
      <w:r w:rsidRPr="004766D9">
        <w:rPr>
          <w:i/>
          <w:iCs/>
        </w:rPr>
        <w:t>Mdn</w:t>
      </w:r>
      <w:proofErr w:type="spellEnd"/>
      <w:r w:rsidRPr="0007092B">
        <w:t xml:space="preserve"> = 6.3; </w:t>
      </w:r>
      <w:r w:rsidRPr="004766D9">
        <w:rPr>
          <w:i/>
          <w:iCs/>
        </w:rPr>
        <w:t>Mean Rank</w:t>
      </w:r>
      <w:r w:rsidRPr="0007092B">
        <w:t xml:space="preserve"> = 714.99) (</w:t>
      </w:r>
      <w:r w:rsidRPr="004766D9">
        <w:rPr>
          <w:i/>
          <w:iCs/>
        </w:rPr>
        <w:t>p</w:t>
      </w:r>
      <w:r w:rsidRPr="0007092B">
        <w:t xml:space="preserve"> &lt; .001). No differences were found between other groups.</w:t>
      </w:r>
    </w:p>
    <w:p w14:paraId="667B732C" w14:textId="1FFD896A" w:rsidR="0007092B" w:rsidRDefault="005D13E7" w:rsidP="00B34DB2">
      <w:pPr>
        <w:pStyle w:val="Prrafocomn"/>
      </w:pPr>
      <w:r w:rsidRPr="005D13E7">
        <w:t xml:space="preserve">As expected, participants’ economic risk perception differed depending on their employment status, </w:t>
      </w:r>
      <w:r w:rsidRPr="005D13E7">
        <w:rPr>
          <w:i/>
          <w:iCs/>
        </w:rPr>
        <w:t>χ</w:t>
      </w:r>
      <w:r w:rsidRPr="005D13E7">
        <w:rPr>
          <w:i/>
          <w:iCs/>
          <w:vertAlign w:val="superscript"/>
        </w:rPr>
        <w:t>2</w:t>
      </w:r>
      <w:r w:rsidRPr="005D13E7">
        <w:rPr>
          <w:vertAlign w:val="subscript"/>
        </w:rPr>
        <w:t xml:space="preserve">(3) </w:t>
      </w:r>
      <w:r w:rsidRPr="005D13E7">
        <w:t xml:space="preserve">= 67.354, </w:t>
      </w:r>
      <w:r w:rsidRPr="005D13E7">
        <w:rPr>
          <w:i/>
          <w:iCs/>
        </w:rPr>
        <w:t>p</w:t>
      </w:r>
      <w:r w:rsidRPr="005D13E7">
        <w:t xml:space="preserve"> &lt; .001, ε</w:t>
      </w:r>
      <w:r w:rsidRPr="005D13E7">
        <w:rPr>
          <w:vertAlign w:val="superscript"/>
        </w:rPr>
        <w:t>2</w:t>
      </w:r>
      <w:r w:rsidRPr="005D13E7">
        <w:t xml:space="preserve"> = .055. Specifically, participants unemployed prior to confinement (</w:t>
      </w:r>
      <w:proofErr w:type="spellStart"/>
      <w:r w:rsidRPr="005D13E7">
        <w:rPr>
          <w:i/>
          <w:iCs/>
        </w:rPr>
        <w:t>Mdn</w:t>
      </w:r>
      <w:proofErr w:type="spellEnd"/>
      <w:r w:rsidRPr="005D13E7">
        <w:t xml:space="preserve"> = 6.0; </w:t>
      </w:r>
      <w:r w:rsidRPr="005D13E7">
        <w:rPr>
          <w:i/>
          <w:iCs/>
        </w:rPr>
        <w:t>Mean Rank</w:t>
      </w:r>
      <w:r w:rsidRPr="005D13E7">
        <w:t xml:space="preserve"> = 688.74) scored higher in economic risk perception than those still working from home (</w:t>
      </w:r>
      <w:proofErr w:type="spellStart"/>
      <w:r w:rsidRPr="005D13E7">
        <w:rPr>
          <w:i/>
          <w:iCs/>
        </w:rPr>
        <w:t>Mdn</w:t>
      </w:r>
      <w:proofErr w:type="spellEnd"/>
      <w:r w:rsidRPr="005D13E7">
        <w:t xml:space="preserve"> = 6.0; </w:t>
      </w:r>
      <w:r w:rsidRPr="005D13E7">
        <w:rPr>
          <w:i/>
          <w:iCs/>
        </w:rPr>
        <w:t>Mean Rank</w:t>
      </w:r>
      <w:r w:rsidRPr="005D13E7">
        <w:t xml:space="preserve"> = 578.62) (</w:t>
      </w:r>
      <w:r w:rsidRPr="005D13E7">
        <w:rPr>
          <w:i/>
          <w:iCs/>
        </w:rPr>
        <w:t>p</w:t>
      </w:r>
      <w:r w:rsidRPr="005D13E7">
        <w:t xml:space="preserve"> = .037). Additionally, participants temporarily suspended from their job (</w:t>
      </w:r>
      <w:proofErr w:type="spellStart"/>
      <w:r w:rsidRPr="005D13E7">
        <w:rPr>
          <w:i/>
          <w:iCs/>
        </w:rPr>
        <w:t>Mdn</w:t>
      </w:r>
      <w:proofErr w:type="spellEnd"/>
      <w:r w:rsidRPr="005D13E7">
        <w:t xml:space="preserve"> = 6.7; </w:t>
      </w:r>
      <w:r w:rsidRPr="005D13E7">
        <w:rPr>
          <w:i/>
          <w:iCs/>
        </w:rPr>
        <w:t>Mean Rank</w:t>
      </w:r>
      <w:r w:rsidRPr="005D13E7">
        <w:t xml:space="preserve"> = 817.27) scored significantly higher than those attending their workplace in person (</w:t>
      </w:r>
      <w:proofErr w:type="spellStart"/>
      <w:r w:rsidRPr="005D13E7">
        <w:rPr>
          <w:i/>
          <w:iCs/>
        </w:rPr>
        <w:t>Mdn</w:t>
      </w:r>
      <w:proofErr w:type="spellEnd"/>
      <w:r w:rsidRPr="005D13E7">
        <w:t xml:space="preserve"> = 6.0; </w:t>
      </w:r>
      <w:r w:rsidRPr="005D13E7">
        <w:rPr>
          <w:i/>
          <w:iCs/>
        </w:rPr>
        <w:t>Mean Rank</w:t>
      </w:r>
      <w:r w:rsidRPr="005D13E7">
        <w:t xml:space="preserve"> = 634.03) (</w:t>
      </w:r>
      <w:r w:rsidRPr="005D13E7">
        <w:rPr>
          <w:i/>
          <w:iCs/>
        </w:rPr>
        <w:t>p</w:t>
      </w:r>
      <w:r w:rsidRPr="005D13E7">
        <w:t xml:space="preserve"> &lt; .001) and those working from home (</w:t>
      </w:r>
      <w:proofErr w:type="spellStart"/>
      <w:r w:rsidRPr="005D13E7">
        <w:rPr>
          <w:i/>
          <w:iCs/>
        </w:rPr>
        <w:t>Mdn</w:t>
      </w:r>
      <w:proofErr w:type="spellEnd"/>
      <w:r w:rsidRPr="005D13E7">
        <w:t xml:space="preserve"> = 6.0; </w:t>
      </w:r>
      <w:r w:rsidRPr="005D13E7">
        <w:rPr>
          <w:i/>
          <w:iCs/>
        </w:rPr>
        <w:t>Mean Rank</w:t>
      </w:r>
      <w:r w:rsidRPr="005D13E7">
        <w:t xml:space="preserve"> = 488.41) (</w:t>
      </w:r>
      <w:r w:rsidRPr="005D13E7">
        <w:rPr>
          <w:i/>
          <w:iCs/>
        </w:rPr>
        <w:t>p</w:t>
      </w:r>
      <w:r w:rsidRPr="005D13E7">
        <w:t xml:space="preserve"> &lt; .001). Finally, participants who had themselves shown symptoms of infection or who lived with someone who had, reported lower levels of health risk perception (</w:t>
      </w:r>
      <w:proofErr w:type="spellStart"/>
      <w:r w:rsidRPr="005D13E7">
        <w:rPr>
          <w:i/>
          <w:iCs/>
        </w:rPr>
        <w:t>Mdn</w:t>
      </w:r>
      <w:proofErr w:type="spellEnd"/>
      <w:r w:rsidRPr="005D13E7">
        <w:t xml:space="preserve"> = 6.0; </w:t>
      </w:r>
      <w:r w:rsidRPr="005D13E7">
        <w:rPr>
          <w:i/>
          <w:iCs/>
        </w:rPr>
        <w:t>Mean Rank</w:t>
      </w:r>
      <w:r w:rsidRPr="005D13E7">
        <w:t xml:space="preserve"> = 583.53), </w:t>
      </w:r>
      <w:r w:rsidRPr="005D13E7">
        <w:rPr>
          <w:i/>
          <w:iCs/>
        </w:rPr>
        <w:t>U</w:t>
      </w:r>
      <w:r w:rsidRPr="005D13E7">
        <w:t xml:space="preserve"> = 149928.50, </w:t>
      </w:r>
      <w:r w:rsidRPr="005D13E7">
        <w:rPr>
          <w:i/>
          <w:iCs/>
        </w:rPr>
        <w:t>p</w:t>
      </w:r>
      <w:r w:rsidRPr="005D13E7">
        <w:t xml:space="preserve"> &lt; .001, </w:t>
      </w:r>
      <w:r w:rsidRPr="005D13E7">
        <w:rPr>
          <w:i/>
          <w:iCs/>
        </w:rPr>
        <w:t>r</w:t>
      </w:r>
      <w:r w:rsidRPr="005D13E7">
        <w:t xml:space="preserve"> = .10 than participants who had not experienced any symptoms (</w:t>
      </w:r>
      <w:proofErr w:type="spellStart"/>
      <w:r w:rsidRPr="005D13E7">
        <w:rPr>
          <w:i/>
          <w:iCs/>
        </w:rPr>
        <w:t>Mdn</w:t>
      </w:r>
      <w:proofErr w:type="spellEnd"/>
      <w:r w:rsidRPr="005D13E7">
        <w:t xml:space="preserve"> = 6.0; </w:t>
      </w:r>
      <w:r w:rsidRPr="005D13E7">
        <w:rPr>
          <w:i/>
          <w:iCs/>
        </w:rPr>
        <w:t>Mean Rank</w:t>
      </w:r>
      <w:r w:rsidRPr="005D13E7">
        <w:t xml:space="preserve"> = 690.57).</w:t>
      </w:r>
    </w:p>
    <w:p w14:paraId="78760B85" w14:textId="100E059A" w:rsidR="00B34DB2" w:rsidRDefault="00153AD7" w:rsidP="00B34DB2">
      <w:pPr>
        <w:pStyle w:val="SubtituloInterno"/>
      </w:pPr>
      <w:r w:rsidRPr="00153AD7">
        <w:lastRenderedPageBreak/>
        <w:t>Relation between personal profile, social, and environmental characteristics of home isolation and well-being</w:t>
      </w:r>
    </w:p>
    <w:p w14:paraId="4095B52F" w14:textId="1A1C4321" w:rsidR="00B34DB2" w:rsidRDefault="00BB233E" w:rsidP="00B34DB2">
      <w:pPr>
        <w:pStyle w:val="Prrafocomn"/>
      </w:pPr>
      <w:r w:rsidRPr="00BB233E">
        <w:t xml:space="preserve">This section examines how different personal, social and environmental conditions relate to three key indicators of well-being: negative affect, positive affect, and finding meaning in life. Results showed that negative affect tended to be lower with age, </w:t>
      </w:r>
      <w:proofErr w:type="spellStart"/>
      <w:r w:rsidRPr="00BB233E">
        <w:rPr>
          <w:i/>
          <w:iCs/>
        </w:rPr>
        <w:t>r</w:t>
      </w:r>
      <w:r w:rsidRPr="00BB233E">
        <w:rPr>
          <w:i/>
          <w:iCs/>
          <w:vertAlign w:val="subscript"/>
        </w:rPr>
        <w:t>s</w:t>
      </w:r>
      <w:proofErr w:type="spellEnd"/>
      <w:r>
        <w:t xml:space="preserve"> </w:t>
      </w:r>
      <w:r w:rsidRPr="00BB233E">
        <w:t xml:space="preserve">(1341) = -.09, </w:t>
      </w:r>
      <w:r w:rsidRPr="00BB233E">
        <w:rPr>
          <w:i/>
          <w:iCs/>
        </w:rPr>
        <w:t>p</w:t>
      </w:r>
      <w:r w:rsidRPr="00BB233E">
        <w:t xml:space="preserve"> &lt; .001, whereas positive affect, </w:t>
      </w:r>
      <w:proofErr w:type="spellStart"/>
      <w:r w:rsidRPr="00BB233E">
        <w:rPr>
          <w:i/>
          <w:iCs/>
        </w:rPr>
        <w:t>r</w:t>
      </w:r>
      <w:r w:rsidRPr="00BB233E">
        <w:rPr>
          <w:i/>
          <w:iCs/>
          <w:vertAlign w:val="subscript"/>
        </w:rPr>
        <w:t>s</w:t>
      </w:r>
      <w:proofErr w:type="spellEnd"/>
      <w:r>
        <w:t xml:space="preserve"> </w:t>
      </w:r>
      <w:r w:rsidRPr="00BB233E">
        <w:t xml:space="preserve">(1341) = .12, </w:t>
      </w:r>
      <w:r w:rsidRPr="00BB233E">
        <w:rPr>
          <w:i/>
          <w:iCs/>
        </w:rPr>
        <w:t>p</w:t>
      </w:r>
      <w:r w:rsidRPr="00BB233E">
        <w:t xml:space="preserve"> &lt; .001, and meaning in life, </w:t>
      </w:r>
      <w:proofErr w:type="spellStart"/>
      <w:r w:rsidRPr="00BB233E">
        <w:rPr>
          <w:i/>
          <w:iCs/>
        </w:rPr>
        <w:t>r</w:t>
      </w:r>
      <w:r w:rsidRPr="00BB233E">
        <w:rPr>
          <w:i/>
          <w:iCs/>
          <w:vertAlign w:val="subscript"/>
        </w:rPr>
        <w:t>s</w:t>
      </w:r>
      <w:proofErr w:type="spellEnd"/>
      <w:r>
        <w:t xml:space="preserve"> </w:t>
      </w:r>
      <w:r w:rsidRPr="00BB233E">
        <w:t>(1341)</w:t>
      </w:r>
      <w:r>
        <w:t xml:space="preserve"> </w:t>
      </w:r>
      <w:r w:rsidRPr="00BB233E">
        <w:t xml:space="preserve">= .09, </w:t>
      </w:r>
      <w:r w:rsidRPr="00BB233E">
        <w:rPr>
          <w:i/>
          <w:iCs/>
        </w:rPr>
        <w:t>p</w:t>
      </w:r>
      <w:r w:rsidRPr="00BB233E">
        <w:t xml:space="preserve"> &lt; .001, tended to be higher. Women reported higher levels of negative affect (</w:t>
      </w:r>
      <w:proofErr w:type="spellStart"/>
      <w:r w:rsidRPr="00BB233E">
        <w:rPr>
          <w:i/>
          <w:iCs/>
        </w:rPr>
        <w:t>Mdn</w:t>
      </w:r>
      <w:proofErr w:type="spellEnd"/>
      <w:r w:rsidRPr="00BB233E">
        <w:t xml:space="preserve"> = 2.20; </w:t>
      </w:r>
      <w:r w:rsidRPr="00BB233E">
        <w:rPr>
          <w:i/>
          <w:iCs/>
        </w:rPr>
        <w:t>Mean Rank</w:t>
      </w:r>
      <w:r w:rsidRPr="00BB233E">
        <w:t xml:space="preserve"> = 713.88) than men (</w:t>
      </w:r>
      <w:proofErr w:type="spellStart"/>
      <w:r w:rsidRPr="00BB233E">
        <w:rPr>
          <w:i/>
          <w:iCs/>
        </w:rPr>
        <w:t>Mdn</w:t>
      </w:r>
      <w:proofErr w:type="spellEnd"/>
      <w:r w:rsidRPr="00BB233E">
        <w:t xml:space="preserve"> = 2.0; </w:t>
      </w:r>
      <w:r w:rsidRPr="00BB233E">
        <w:rPr>
          <w:i/>
          <w:iCs/>
        </w:rPr>
        <w:t>Mean Rank</w:t>
      </w:r>
      <w:r w:rsidRPr="00BB233E">
        <w:t xml:space="preserve"> = 546.43), </w:t>
      </w:r>
      <w:r w:rsidRPr="00BB233E">
        <w:rPr>
          <w:i/>
          <w:iCs/>
        </w:rPr>
        <w:t>U</w:t>
      </w:r>
      <w:r w:rsidRPr="00BB233E">
        <w:t xml:space="preserve"> = 142065.00, </w:t>
      </w:r>
      <w:r w:rsidRPr="00BB233E">
        <w:rPr>
          <w:i/>
          <w:iCs/>
        </w:rPr>
        <w:t>p</w:t>
      </w:r>
      <w:r w:rsidRPr="00BB233E">
        <w:t xml:space="preserve"> &lt; .001, </w:t>
      </w:r>
      <w:r w:rsidRPr="00BB233E">
        <w:rPr>
          <w:i/>
          <w:iCs/>
        </w:rPr>
        <w:t>r</w:t>
      </w:r>
      <w:r w:rsidRPr="00BB233E">
        <w:t xml:space="preserve"> = .19, but no differences were found in positive affect or meaning in life based on gender.</w:t>
      </w:r>
    </w:p>
    <w:p w14:paraId="494801DC" w14:textId="52290E97" w:rsidR="00BB233E" w:rsidRDefault="00BB233E" w:rsidP="00B34DB2">
      <w:pPr>
        <w:pStyle w:val="Prrafocomn"/>
      </w:pPr>
      <w:r w:rsidRPr="00BB233E">
        <w:t xml:space="preserve">There were significant differences in finding meaning in life regarding employment status, </w:t>
      </w:r>
      <w:r w:rsidRPr="00BB233E">
        <w:rPr>
          <w:i/>
          <w:iCs/>
        </w:rPr>
        <w:t>χ</w:t>
      </w:r>
      <w:r w:rsidRPr="00BB233E">
        <w:rPr>
          <w:i/>
          <w:iCs/>
          <w:vertAlign w:val="superscript"/>
        </w:rPr>
        <w:t>2</w:t>
      </w:r>
      <w:r w:rsidRPr="00BB233E">
        <w:rPr>
          <w:vertAlign w:val="subscript"/>
        </w:rPr>
        <w:t>(3)</w:t>
      </w:r>
      <w:r w:rsidRPr="00BB233E">
        <w:t xml:space="preserve"> = 17.933, </w:t>
      </w:r>
      <w:r w:rsidRPr="000009D1">
        <w:rPr>
          <w:i/>
          <w:iCs/>
        </w:rPr>
        <w:t>p</w:t>
      </w:r>
      <w:r w:rsidRPr="00BB233E">
        <w:t xml:space="preserve"> &lt; .001, ε</w:t>
      </w:r>
      <w:r w:rsidRPr="000009D1">
        <w:rPr>
          <w:vertAlign w:val="superscript"/>
        </w:rPr>
        <w:t>2</w:t>
      </w:r>
      <w:r w:rsidRPr="00BB233E">
        <w:t xml:space="preserve"> = .051. Specifically, participants unemployed prior to confinement (</w:t>
      </w:r>
      <w:proofErr w:type="spellStart"/>
      <w:r w:rsidRPr="000009D1">
        <w:rPr>
          <w:i/>
          <w:iCs/>
        </w:rPr>
        <w:t>Mdn</w:t>
      </w:r>
      <w:proofErr w:type="spellEnd"/>
      <w:r w:rsidRPr="00BB233E">
        <w:t xml:space="preserve"> = 5.45; </w:t>
      </w:r>
      <w:r w:rsidRPr="000009D1">
        <w:rPr>
          <w:i/>
          <w:iCs/>
        </w:rPr>
        <w:t>Mean Rank</w:t>
      </w:r>
      <w:r w:rsidRPr="00BB233E">
        <w:t xml:space="preserve"> = 573.32) reported finding less meaning in life than participants working in person (</w:t>
      </w:r>
      <w:proofErr w:type="spellStart"/>
      <w:r w:rsidRPr="000009D1">
        <w:rPr>
          <w:i/>
          <w:iCs/>
        </w:rPr>
        <w:t>Mdn</w:t>
      </w:r>
      <w:proofErr w:type="spellEnd"/>
      <w:r w:rsidRPr="00BB233E">
        <w:t xml:space="preserve"> = 5.70; </w:t>
      </w:r>
      <w:r w:rsidRPr="000009D1">
        <w:rPr>
          <w:i/>
          <w:iCs/>
        </w:rPr>
        <w:t>Mean Rank</w:t>
      </w:r>
      <w:r w:rsidRPr="00BB233E">
        <w:t xml:space="preserve"> = 638.97) (</w:t>
      </w:r>
      <w:r w:rsidRPr="000009D1">
        <w:rPr>
          <w:i/>
          <w:iCs/>
        </w:rPr>
        <w:t>p</w:t>
      </w:r>
      <w:r w:rsidRPr="00BB233E">
        <w:t xml:space="preserve"> = .009), participants working from home (</w:t>
      </w:r>
      <w:proofErr w:type="spellStart"/>
      <w:r w:rsidRPr="000009D1">
        <w:rPr>
          <w:i/>
          <w:iCs/>
        </w:rPr>
        <w:t>Mdn</w:t>
      </w:r>
      <w:proofErr w:type="spellEnd"/>
      <w:r w:rsidRPr="00BB233E">
        <w:t xml:space="preserve"> = 5.75; </w:t>
      </w:r>
      <w:r w:rsidRPr="000009D1">
        <w:rPr>
          <w:i/>
          <w:iCs/>
        </w:rPr>
        <w:t>Mean Rank</w:t>
      </w:r>
      <w:r w:rsidRPr="00BB233E">
        <w:t xml:space="preserve"> = 656.63) (</w:t>
      </w:r>
      <w:r w:rsidRPr="000009D1">
        <w:rPr>
          <w:i/>
          <w:iCs/>
        </w:rPr>
        <w:t>p</w:t>
      </w:r>
      <w:r w:rsidRPr="00BB233E">
        <w:t xml:space="preserve"> &lt; .001), and participants temporarily suspended due to lockdown measures (</w:t>
      </w:r>
      <w:proofErr w:type="spellStart"/>
      <w:r w:rsidRPr="000009D1">
        <w:rPr>
          <w:i/>
          <w:iCs/>
        </w:rPr>
        <w:t>Mdn</w:t>
      </w:r>
      <w:proofErr w:type="spellEnd"/>
      <w:r w:rsidRPr="00BB233E">
        <w:t xml:space="preserve"> = 5.70; </w:t>
      </w:r>
      <w:r w:rsidRPr="000009D1">
        <w:rPr>
          <w:i/>
          <w:iCs/>
        </w:rPr>
        <w:t>Mean Rank</w:t>
      </w:r>
      <w:r w:rsidRPr="00BB233E">
        <w:t xml:space="preserve"> = 656.28) (</w:t>
      </w:r>
      <w:r w:rsidRPr="000009D1">
        <w:rPr>
          <w:i/>
          <w:iCs/>
        </w:rPr>
        <w:t>p</w:t>
      </w:r>
      <w:r w:rsidRPr="00BB233E">
        <w:t xml:space="preserve"> = .003). No differences were found in positive affect, negative affect or meaning in life based on belonging or not to high</w:t>
      </w:r>
      <w:r w:rsidR="000009D1">
        <w:t>-</w:t>
      </w:r>
      <w:r w:rsidRPr="00BB233E">
        <w:t xml:space="preserve">risk groups. An individual’s ability to cope with and recover from a negative situation could be a factor related to the variations found in participants’ emotional state. The higher the resilience of participants, the lower the observed negative affect, </w:t>
      </w:r>
      <w:proofErr w:type="spellStart"/>
      <w:r w:rsidRPr="000009D1">
        <w:rPr>
          <w:i/>
          <w:iCs/>
        </w:rPr>
        <w:t>r</w:t>
      </w:r>
      <w:r w:rsidRPr="000009D1">
        <w:rPr>
          <w:i/>
          <w:iCs/>
          <w:vertAlign w:val="subscript"/>
        </w:rPr>
        <w:t>s</w:t>
      </w:r>
      <w:proofErr w:type="spellEnd"/>
      <w:r w:rsidRPr="00BB233E">
        <w:t xml:space="preserve"> (1341) = -.27, </w:t>
      </w:r>
      <w:r w:rsidRPr="000009D1">
        <w:rPr>
          <w:i/>
          <w:iCs/>
        </w:rPr>
        <w:t>p</w:t>
      </w:r>
      <w:r w:rsidRPr="00BB233E">
        <w:t xml:space="preserve"> &lt; .001, as well as the higher the positive affect, </w:t>
      </w:r>
      <w:proofErr w:type="spellStart"/>
      <w:r w:rsidRPr="000009D1">
        <w:rPr>
          <w:i/>
          <w:iCs/>
        </w:rPr>
        <w:t>r</w:t>
      </w:r>
      <w:r w:rsidRPr="000009D1">
        <w:rPr>
          <w:i/>
          <w:iCs/>
          <w:vertAlign w:val="subscript"/>
        </w:rPr>
        <w:t>s</w:t>
      </w:r>
      <w:proofErr w:type="spellEnd"/>
      <w:r w:rsidR="000009D1">
        <w:t xml:space="preserve"> </w:t>
      </w:r>
      <w:r w:rsidRPr="00BB233E">
        <w:t xml:space="preserve">(1341) = .41, </w:t>
      </w:r>
      <w:r w:rsidRPr="000009D1">
        <w:rPr>
          <w:i/>
          <w:iCs/>
        </w:rPr>
        <w:t xml:space="preserve">p </w:t>
      </w:r>
      <w:r w:rsidRPr="00BB233E">
        <w:t xml:space="preserve">&lt; .001, and greater the finding meaning in life, </w:t>
      </w:r>
      <w:proofErr w:type="spellStart"/>
      <w:r w:rsidRPr="000009D1">
        <w:rPr>
          <w:i/>
          <w:iCs/>
        </w:rPr>
        <w:t>r</w:t>
      </w:r>
      <w:r w:rsidRPr="000009D1">
        <w:rPr>
          <w:i/>
          <w:iCs/>
          <w:vertAlign w:val="subscript"/>
        </w:rPr>
        <w:t>s</w:t>
      </w:r>
      <w:proofErr w:type="spellEnd"/>
      <w:r w:rsidR="000009D1">
        <w:t xml:space="preserve"> </w:t>
      </w:r>
      <w:r w:rsidRPr="00BB233E">
        <w:t xml:space="preserve">(1341) = .56, </w:t>
      </w:r>
      <w:r w:rsidRPr="000009D1">
        <w:rPr>
          <w:i/>
          <w:iCs/>
        </w:rPr>
        <w:t>p</w:t>
      </w:r>
      <w:r w:rsidRPr="00BB233E">
        <w:t xml:space="preserve"> &lt; .001.</w:t>
      </w:r>
    </w:p>
    <w:p w14:paraId="0C2188FB" w14:textId="48CB29B7" w:rsidR="00540743" w:rsidRDefault="00540743" w:rsidP="00B34DB2">
      <w:pPr>
        <w:pStyle w:val="Prrafocomn"/>
      </w:pPr>
      <w:r w:rsidRPr="00540743">
        <w:t>Participants who had experienced symptoms either themselves or who lived with someone who had, scored lower in positive affect (</w:t>
      </w:r>
      <w:proofErr w:type="spellStart"/>
      <w:r w:rsidRPr="00540743">
        <w:rPr>
          <w:i/>
          <w:iCs/>
        </w:rPr>
        <w:t>Mdn</w:t>
      </w:r>
      <w:proofErr w:type="spellEnd"/>
      <w:r w:rsidRPr="00540743">
        <w:t xml:space="preserve"> = 2.6; </w:t>
      </w:r>
      <w:r w:rsidRPr="00540743">
        <w:rPr>
          <w:i/>
          <w:iCs/>
        </w:rPr>
        <w:t>Mean Rank</w:t>
      </w:r>
      <w:r w:rsidRPr="00540743">
        <w:t xml:space="preserve"> = 596.74) than participants who had not experienced any symptoms (</w:t>
      </w:r>
      <w:proofErr w:type="spellStart"/>
      <w:r w:rsidRPr="00540743">
        <w:rPr>
          <w:i/>
          <w:iCs/>
        </w:rPr>
        <w:t>Mdn</w:t>
      </w:r>
      <w:proofErr w:type="spellEnd"/>
      <w:r w:rsidRPr="00540743">
        <w:t xml:space="preserve"> = 2.8; </w:t>
      </w:r>
      <w:r w:rsidRPr="00540743">
        <w:rPr>
          <w:i/>
          <w:iCs/>
        </w:rPr>
        <w:t>Mean Rank</w:t>
      </w:r>
      <w:r w:rsidRPr="00540743">
        <w:t xml:space="preserve"> = 687.80), </w:t>
      </w:r>
      <w:r w:rsidRPr="00540743">
        <w:rPr>
          <w:i/>
          <w:iCs/>
        </w:rPr>
        <w:t>U</w:t>
      </w:r>
      <w:r w:rsidRPr="00540743">
        <w:t xml:space="preserve"> = 146849.50, </w:t>
      </w:r>
      <w:r w:rsidRPr="00540743">
        <w:rPr>
          <w:i/>
          <w:iCs/>
        </w:rPr>
        <w:t>p</w:t>
      </w:r>
      <w:r w:rsidRPr="00540743">
        <w:t xml:space="preserve"> = .001, </w:t>
      </w:r>
      <w:r w:rsidRPr="00540743">
        <w:rPr>
          <w:i/>
          <w:iCs/>
        </w:rPr>
        <w:t>r</w:t>
      </w:r>
      <w:r w:rsidRPr="00540743">
        <w:t xml:space="preserve"> = .09. Additionally, they also scored lower in meaning in life (</w:t>
      </w:r>
      <w:proofErr w:type="spellStart"/>
      <w:r w:rsidRPr="00540743">
        <w:rPr>
          <w:i/>
          <w:iCs/>
        </w:rPr>
        <w:t>Mdn</w:t>
      </w:r>
      <w:proofErr w:type="spellEnd"/>
      <w:r w:rsidRPr="00540743">
        <w:t xml:space="preserve"> = 5.5; </w:t>
      </w:r>
      <w:r w:rsidRPr="00540743">
        <w:rPr>
          <w:i/>
          <w:iCs/>
        </w:rPr>
        <w:t>Mean Rank</w:t>
      </w:r>
      <w:r w:rsidRPr="00540743">
        <w:t xml:space="preserve"> = 583.37) than participants who had not experienced any symptoms or lived with someone who, also had not experienced symptoms (</w:t>
      </w:r>
      <w:proofErr w:type="spellStart"/>
      <w:r w:rsidRPr="00540743">
        <w:rPr>
          <w:i/>
          <w:iCs/>
        </w:rPr>
        <w:t>Mdn</w:t>
      </w:r>
      <w:proofErr w:type="spellEnd"/>
      <w:r w:rsidRPr="00540743">
        <w:t xml:space="preserve"> = 5.7; </w:t>
      </w:r>
      <w:r w:rsidRPr="00540743">
        <w:rPr>
          <w:i/>
          <w:iCs/>
        </w:rPr>
        <w:t>Mean Rank</w:t>
      </w:r>
      <w:r w:rsidRPr="00540743">
        <w:t xml:space="preserve"> = 690.60), </w:t>
      </w:r>
      <w:r w:rsidRPr="00540743">
        <w:rPr>
          <w:i/>
          <w:iCs/>
        </w:rPr>
        <w:t>U</w:t>
      </w:r>
      <w:r w:rsidRPr="00540743">
        <w:t xml:space="preserve"> = 149965.00, </w:t>
      </w:r>
      <w:r w:rsidRPr="00540743">
        <w:rPr>
          <w:i/>
          <w:iCs/>
        </w:rPr>
        <w:t>p</w:t>
      </w:r>
      <w:r w:rsidRPr="00540743">
        <w:t xml:space="preserve"> &lt; .001, </w:t>
      </w:r>
      <w:r w:rsidRPr="00540743">
        <w:rPr>
          <w:i/>
          <w:iCs/>
        </w:rPr>
        <w:t>r</w:t>
      </w:r>
      <w:r w:rsidRPr="00540743">
        <w:t xml:space="preserve"> = .10. No significant differences in negative affect were found between these groups.</w:t>
      </w:r>
    </w:p>
    <w:p w14:paraId="25D890E5" w14:textId="6FBE2128" w:rsidR="00BB233E" w:rsidRDefault="00540743" w:rsidP="00D92541">
      <w:pPr>
        <w:pStyle w:val="Prrafocomn"/>
      </w:pPr>
      <w:r w:rsidRPr="00540743">
        <w:t>Regarding immediate social and environmental surroundings during quarantine, people living with others reported higher negative affect (</w:t>
      </w:r>
      <w:proofErr w:type="spellStart"/>
      <w:r w:rsidRPr="00540743">
        <w:rPr>
          <w:i/>
          <w:iCs/>
        </w:rPr>
        <w:t>Mdn</w:t>
      </w:r>
      <w:proofErr w:type="spellEnd"/>
      <w:r w:rsidRPr="00540743">
        <w:t xml:space="preserve"> = 2.20; </w:t>
      </w:r>
      <w:r w:rsidRPr="00540743">
        <w:rPr>
          <w:i/>
          <w:iCs/>
        </w:rPr>
        <w:t>Mean Rank</w:t>
      </w:r>
      <w:r w:rsidRPr="00540743">
        <w:t xml:space="preserve"> = 684.37) than people living alone (</w:t>
      </w:r>
      <w:proofErr w:type="spellStart"/>
      <w:r w:rsidRPr="00540743">
        <w:rPr>
          <w:i/>
          <w:iCs/>
        </w:rPr>
        <w:t>Mdn</w:t>
      </w:r>
      <w:proofErr w:type="spellEnd"/>
      <w:r w:rsidRPr="00540743">
        <w:t xml:space="preserve"> = 1.80; </w:t>
      </w:r>
      <w:r w:rsidRPr="00540743">
        <w:rPr>
          <w:i/>
          <w:iCs/>
        </w:rPr>
        <w:t>Mean Rank</w:t>
      </w:r>
      <w:r w:rsidRPr="00540743">
        <w:t xml:space="preserve"> = 503.74), </w:t>
      </w:r>
      <w:r w:rsidRPr="00540743">
        <w:rPr>
          <w:i/>
          <w:iCs/>
        </w:rPr>
        <w:t>U</w:t>
      </w:r>
      <w:r w:rsidRPr="00540743">
        <w:t xml:space="preserve"> = 42066.50, </w:t>
      </w:r>
      <w:r w:rsidRPr="00540743">
        <w:rPr>
          <w:i/>
          <w:iCs/>
        </w:rPr>
        <w:t>p</w:t>
      </w:r>
      <w:r w:rsidRPr="00540743">
        <w:t xml:space="preserve"> &lt; .001, </w:t>
      </w:r>
      <w:r w:rsidRPr="00540743">
        <w:rPr>
          <w:i/>
          <w:iCs/>
        </w:rPr>
        <w:t>r</w:t>
      </w:r>
      <w:r w:rsidRPr="00540743">
        <w:t xml:space="preserve"> = .11. However, no </w:t>
      </w:r>
      <w:r w:rsidRPr="00540743">
        <w:lastRenderedPageBreak/>
        <w:t xml:space="preserve">differences were found in positive affect or in finding meaning in life. Additionally, no significant differences were found between people living with or without children, and the same was true for those living with or without people over the age of 65. Significant differences were found in positive affect depending on the frequency of use of open-air spaces, </w:t>
      </w:r>
      <w:r w:rsidRPr="00540743">
        <w:rPr>
          <w:i/>
          <w:iCs/>
        </w:rPr>
        <w:t>χ</w:t>
      </w:r>
      <w:r w:rsidRPr="00540743">
        <w:rPr>
          <w:i/>
          <w:iCs/>
          <w:vertAlign w:val="superscript"/>
        </w:rPr>
        <w:t>2</w:t>
      </w:r>
      <w:r w:rsidRPr="00540743">
        <w:rPr>
          <w:vertAlign w:val="subscript"/>
        </w:rPr>
        <w:t>(3)</w:t>
      </w:r>
      <w:r w:rsidRPr="00540743">
        <w:t xml:space="preserve"> = 21.126, </w:t>
      </w:r>
      <w:r w:rsidRPr="00540743">
        <w:rPr>
          <w:i/>
          <w:iCs/>
        </w:rPr>
        <w:t>p</w:t>
      </w:r>
      <w:r w:rsidRPr="00540743">
        <w:t xml:space="preserve"> &lt; .001, ε</w:t>
      </w:r>
      <w:r w:rsidRPr="00540743">
        <w:rPr>
          <w:vertAlign w:val="superscript"/>
        </w:rPr>
        <w:t>2</w:t>
      </w:r>
      <w:r w:rsidRPr="00540743">
        <w:t xml:space="preserve"> = .014. Specifically, between participants who used open spaces every day (</w:t>
      </w:r>
      <w:proofErr w:type="spellStart"/>
      <w:r w:rsidRPr="00540743">
        <w:rPr>
          <w:i/>
          <w:iCs/>
        </w:rPr>
        <w:t>Mdn</w:t>
      </w:r>
      <w:proofErr w:type="spellEnd"/>
      <w:r w:rsidRPr="00540743">
        <w:t xml:space="preserve"> = 2.8; </w:t>
      </w:r>
      <w:r w:rsidRPr="00540743">
        <w:rPr>
          <w:i/>
          <w:iCs/>
        </w:rPr>
        <w:t>Mean Rank</w:t>
      </w:r>
      <w:r w:rsidRPr="00540743">
        <w:t xml:space="preserve"> = 723.39) versus participants who never used them (</w:t>
      </w:r>
      <w:proofErr w:type="spellStart"/>
      <w:r w:rsidRPr="00540743">
        <w:rPr>
          <w:i/>
          <w:iCs/>
        </w:rPr>
        <w:t>Mdn</w:t>
      </w:r>
      <w:proofErr w:type="spellEnd"/>
      <w:r w:rsidRPr="00540743">
        <w:t xml:space="preserve"> = 2.6; </w:t>
      </w:r>
      <w:r w:rsidRPr="00540743">
        <w:rPr>
          <w:i/>
          <w:iCs/>
        </w:rPr>
        <w:t>Mean Rank</w:t>
      </w:r>
      <w:r w:rsidRPr="00540743">
        <w:t xml:space="preserve"> = 639.52) (</w:t>
      </w:r>
      <w:r w:rsidRPr="00540743">
        <w:rPr>
          <w:i/>
          <w:iCs/>
        </w:rPr>
        <w:t>p</w:t>
      </w:r>
      <w:r w:rsidRPr="00540743">
        <w:t xml:space="preserve"> = .031) or who used them occasionally (</w:t>
      </w:r>
      <w:proofErr w:type="spellStart"/>
      <w:r w:rsidRPr="00540743">
        <w:rPr>
          <w:i/>
          <w:iCs/>
        </w:rPr>
        <w:t>Mdn</w:t>
      </w:r>
      <w:proofErr w:type="spellEnd"/>
      <w:r w:rsidRPr="00540743">
        <w:t xml:space="preserve"> = 2.6; </w:t>
      </w:r>
      <w:r w:rsidRPr="00540743">
        <w:rPr>
          <w:i/>
          <w:iCs/>
        </w:rPr>
        <w:t>Mean Rank</w:t>
      </w:r>
      <w:r w:rsidRPr="00540743">
        <w:t xml:space="preserve"> = 609.83) (</w:t>
      </w:r>
      <w:r w:rsidRPr="00540743">
        <w:rPr>
          <w:i/>
          <w:iCs/>
        </w:rPr>
        <w:t>p</w:t>
      </w:r>
      <w:r w:rsidRPr="00540743">
        <w:t xml:space="preserve"> &lt; .001), as well as differences between using open-air spaces almost every day versus occasionally using them (</w:t>
      </w:r>
      <w:proofErr w:type="spellStart"/>
      <w:r w:rsidRPr="00540743">
        <w:rPr>
          <w:i/>
          <w:iCs/>
        </w:rPr>
        <w:t>Mdn</w:t>
      </w:r>
      <w:proofErr w:type="spellEnd"/>
      <w:r w:rsidRPr="00540743">
        <w:t xml:space="preserve"> = 2.8; </w:t>
      </w:r>
      <w:r w:rsidRPr="00540743">
        <w:rPr>
          <w:i/>
          <w:iCs/>
        </w:rPr>
        <w:t xml:space="preserve">Mean Rank </w:t>
      </w:r>
      <w:r w:rsidRPr="00540743">
        <w:t>= 611.20) (</w:t>
      </w:r>
      <w:r w:rsidRPr="00540743">
        <w:rPr>
          <w:i/>
          <w:iCs/>
        </w:rPr>
        <w:t>p</w:t>
      </w:r>
      <w:r w:rsidRPr="00540743">
        <w:t xml:space="preserve"> = &lt; .001).</w:t>
      </w:r>
    </w:p>
    <w:p w14:paraId="5178460B" w14:textId="371FEE81" w:rsidR="00B34DB2" w:rsidRDefault="00D92541" w:rsidP="001C0B04">
      <w:pPr>
        <w:pStyle w:val="SubtituloInterno"/>
      </w:pPr>
      <w:r w:rsidRPr="00D92541">
        <w:t>Relation between activities and behaviors performed during home isolation and well-being</w:t>
      </w:r>
    </w:p>
    <w:p w14:paraId="65842A11" w14:textId="5F0D908C" w:rsidR="001C0B04" w:rsidRDefault="001C0B04" w:rsidP="00B34DB2">
      <w:pPr>
        <w:pStyle w:val="Prrafocomn"/>
      </w:pPr>
      <w:r w:rsidRPr="001C0B04">
        <w:t>In extreme situations such as a nation-wide lockdown, it is important to know how certain behaviors, performed under home isolation, relate to well-being. First, we analyzed activities recommended by the WHO and found that participants who exercised frequently reported lower levels of negative affect than those who exercised less frequently. Furthermore, (a) keeping routines and stable schedules, (b) exercising, (c) making video calls with friends and relatives, and (d) developing creative activities at home, were linked with higher levels of positive affect and greater meaning in life. We have included all information regarding these behaviors and their different connections in Table 3.</w:t>
      </w:r>
    </w:p>
    <w:p w14:paraId="266F21DA" w14:textId="0AFF21D1" w:rsidR="001C0B04" w:rsidRDefault="001C0B04" w:rsidP="00B34DB2">
      <w:pPr>
        <w:pStyle w:val="Prrafocomn"/>
      </w:pPr>
      <w:r w:rsidRPr="001C0B04">
        <w:t>Participants who frequently engaged in community activities reported higher positive affect and higher meaning in life, compared with participants who never or almost never engaged in such activities. Similarly, people who participated in activities that involved helping others, reported higher positive affect than those who did not perform in such activities. Participants who maintained online activities, such as working from home or studying, experienced greater meaning in life. Likewise, those who participated in online creative activities such as creating art and participating in digital cultural activities, experienced more positive affect. However, we found no significant reduction in negative emotions linked to any of these activities. Additionally, it seems that the frequency in which participants bought goods online made no difference regarding their affect. Finally, no significant differences were found in positive and negative affect and in finding meaning in life for exterior activities, such as going out to buy food, medication or other basic goods, walking the dog or attending a workplace in person.</w:t>
      </w:r>
    </w:p>
    <w:tbl>
      <w:tblPr>
        <w:tblW w:w="11148" w:type="dxa"/>
        <w:tblInd w:w="-1312" w:type="dxa"/>
        <w:tblCellMar>
          <w:top w:w="15" w:type="dxa"/>
          <w:left w:w="15" w:type="dxa"/>
          <w:bottom w:w="15" w:type="dxa"/>
          <w:right w:w="15" w:type="dxa"/>
        </w:tblCellMar>
        <w:tblLook w:val="04A0" w:firstRow="1" w:lastRow="0" w:firstColumn="1" w:lastColumn="0" w:noHBand="0" w:noVBand="1"/>
      </w:tblPr>
      <w:tblGrid>
        <w:gridCol w:w="1466"/>
        <w:gridCol w:w="656"/>
        <w:gridCol w:w="656"/>
        <w:gridCol w:w="896"/>
        <w:gridCol w:w="587"/>
        <w:gridCol w:w="208"/>
        <w:gridCol w:w="208"/>
        <w:gridCol w:w="656"/>
        <w:gridCol w:w="656"/>
        <w:gridCol w:w="896"/>
        <w:gridCol w:w="587"/>
        <w:gridCol w:w="416"/>
        <w:gridCol w:w="328"/>
        <w:gridCol w:w="328"/>
        <w:gridCol w:w="656"/>
        <w:gridCol w:w="976"/>
        <w:gridCol w:w="587"/>
        <w:gridCol w:w="416"/>
        <w:gridCol w:w="36"/>
      </w:tblGrid>
      <w:tr w:rsidR="001C0B04" w:rsidRPr="00E54392" w14:paraId="373C2955" w14:textId="77777777" w:rsidTr="002A7E94">
        <w:tc>
          <w:tcPr>
            <w:tcW w:w="0" w:type="auto"/>
            <w:gridSpan w:val="19"/>
            <w:tcMar>
              <w:top w:w="0" w:type="dxa"/>
              <w:left w:w="108" w:type="dxa"/>
              <w:bottom w:w="0" w:type="dxa"/>
              <w:right w:w="108" w:type="dxa"/>
            </w:tcMar>
            <w:hideMark/>
          </w:tcPr>
          <w:p w14:paraId="1D9D5114" w14:textId="77777777" w:rsidR="001C0B04" w:rsidRPr="00E54392" w:rsidRDefault="001C0B04" w:rsidP="002A7E94">
            <w:pPr>
              <w:rPr>
                <w:b/>
                <w:bCs/>
                <w:color w:val="000000"/>
                <w:sz w:val="20"/>
                <w:szCs w:val="20"/>
                <w:lang w:eastAsia="es-ES"/>
              </w:rPr>
            </w:pPr>
            <w:r w:rsidRPr="00E54392">
              <w:rPr>
                <w:b/>
                <w:bCs/>
                <w:color w:val="000000"/>
                <w:sz w:val="20"/>
                <w:szCs w:val="20"/>
                <w:lang w:eastAsia="es-ES"/>
              </w:rPr>
              <w:lastRenderedPageBreak/>
              <w:t>Table 3</w:t>
            </w:r>
          </w:p>
        </w:tc>
      </w:tr>
      <w:tr w:rsidR="001C0B04" w:rsidRPr="008A5ACB" w14:paraId="1F6FB110" w14:textId="77777777" w:rsidTr="002A7E94">
        <w:trPr>
          <w:trHeight w:val="245"/>
        </w:trPr>
        <w:tc>
          <w:tcPr>
            <w:tcW w:w="0" w:type="auto"/>
            <w:gridSpan w:val="19"/>
            <w:tcBorders>
              <w:bottom w:val="single" w:sz="4" w:space="0" w:color="000000"/>
            </w:tcBorders>
            <w:tcMar>
              <w:top w:w="0" w:type="dxa"/>
              <w:left w:w="108" w:type="dxa"/>
              <w:bottom w:w="0" w:type="dxa"/>
              <w:right w:w="108" w:type="dxa"/>
            </w:tcMar>
            <w:hideMark/>
          </w:tcPr>
          <w:p w14:paraId="1A0A7D25" w14:textId="77777777" w:rsidR="001C0B04" w:rsidRPr="001C0B04" w:rsidRDefault="001C0B04" w:rsidP="002A7E94">
            <w:pPr>
              <w:rPr>
                <w:i/>
                <w:iCs/>
                <w:lang w:val="en-US" w:eastAsia="es-ES"/>
              </w:rPr>
            </w:pPr>
            <w:r w:rsidRPr="001C0B04">
              <w:rPr>
                <w:i/>
                <w:iCs/>
                <w:color w:val="000000"/>
                <w:sz w:val="20"/>
                <w:szCs w:val="20"/>
                <w:lang w:val="en-US" w:eastAsia="es-ES"/>
              </w:rPr>
              <w:t>Difference in affect and meaning in life depending on the frequency of coping behaviors</w:t>
            </w:r>
          </w:p>
        </w:tc>
      </w:tr>
      <w:tr w:rsidR="001C0B04" w:rsidRPr="00E54392" w14:paraId="4480E026" w14:textId="77777777" w:rsidTr="002A7E94">
        <w:tc>
          <w:tcPr>
            <w:tcW w:w="0" w:type="auto"/>
            <w:tcBorders>
              <w:top w:val="single" w:sz="4" w:space="0" w:color="000000"/>
            </w:tcBorders>
            <w:tcMar>
              <w:top w:w="0" w:type="dxa"/>
              <w:left w:w="108" w:type="dxa"/>
              <w:bottom w:w="0" w:type="dxa"/>
              <w:right w:w="108" w:type="dxa"/>
            </w:tcMar>
            <w:hideMark/>
          </w:tcPr>
          <w:p w14:paraId="1AE86445" w14:textId="77777777" w:rsidR="001C0B04" w:rsidRPr="001C0B04" w:rsidRDefault="001C0B04" w:rsidP="002A7E94">
            <w:pPr>
              <w:rPr>
                <w:i/>
                <w:iCs/>
                <w:lang w:val="en-US" w:eastAsia="es-ES"/>
              </w:rPr>
            </w:pPr>
          </w:p>
        </w:tc>
        <w:tc>
          <w:tcPr>
            <w:tcW w:w="0" w:type="auto"/>
            <w:gridSpan w:val="5"/>
            <w:tcBorders>
              <w:top w:val="single" w:sz="4" w:space="0" w:color="000000"/>
              <w:bottom w:val="single" w:sz="4" w:space="0" w:color="000000"/>
            </w:tcBorders>
            <w:tcMar>
              <w:top w:w="0" w:type="dxa"/>
              <w:left w:w="108" w:type="dxa"/>
              <w:bottom w:w="0" w:type="dxa"/>
              <w:right w:w="108" w:type="dxa"/>
            </w:tcMar>
            <w:hideMark/>
          </w:tcPr>
          <w:p w14:paraId="605B5A0B" w14:textId="77777777" w:rsidR="001C0B04" w:rsidRPr="00E54392" w:rsidRDefault="001C0B04" w:rsidP="002A7E94">
            <w:pPr>
              <w:jc w:val="center"/>
              <w:rPr>
                <w:i/>
                <w:iCs/>
                <w:lang w:eastAsia="es-ES"/>
              </w:rPr>
            </w:pPr>
            <w:proofErr w:type="spellStart"/>
            <w:r w:rsidRPr="00E54392">
              <w:rPr>
                <w:i/>
                <w:iCs/>
                <w:color w:val="000000"/>
                <w:sz w:val="20"/>
                <w:szCs w:val="20"/>
                <w:lang w:eastAsia="es-ES"/>
              </w:rPr>
              <w:t>Negative</w:t>
            </w:r>
            <w:proofErr w:type="spellEnd"/>
            <w:r w:rsidRPr="00E54392">
              <w:rPr>
                <w:i/>
                <w:iCs/>
                <w:color w:val="000000"/>
                <w:sz w:val="20"/>
                <w:szCs w:val="20"/>
                <w:lang w:eastAsia="es-ES"/>
              </w:rPr>
              <w:t xml:space="preserve"> </w:t>
            </w:r>
            <w:proofErr w:type="spellStart"/>
            <w:r w:rsidRPr="00E54392">
              <w:rPr>
                <w:i/>
                <w:iCs/>
                <w:color w:val="000000"/>
                <w:sz w:val="20"/>
                <w:szCs w:val="20"/>
                <w:lang w:eastAsia="es-ES"/>
              </w:rPr>
              <w:t>affect</w:t>
            </w:r>
            <w:proofErr w:type="spellEnd"/>
          </w:p>
        </w:tc>
        <w:tc>
          <w:tcPr>
            <w:tcW w:w="0" w:type="auto"/>
            <w:gridSpan w:val="7"/>
            <w:tcBorders>
              <w:top w:val="single" w:sz="4" w:space="0" w:color="000000"/>
              <w:bottom w:val="single" w:sz="4" w:space="0" w:color="000000"/>
            </w:tcBorders>
            <w:tcMar>
              <w:top w:w="0" w:type="dxa"/>
              <w:left w:w="108" w:type="dxa"/>
              <w:bottom w:w="0" w:type="dxa"/>
              <w:right w:w="108" w:type="dxa"/>
            </w:tcMar>
            <w:hideMark/>
          </w:tcPr>
          <w:p w14:paraId="2B9A53EE" w14:textId="77777777" w:rsidR="001C0B04" w:rsidRPr="00E54392" w:rsidRDefault="001C0B04" w:rsidP="002A7E94">
            <w:pPr>
              <w:jc w:val="center"/>
              <w:rPr>
                <w:i/>
                <w:iCs/>
                <w:lang w:eastAsia="es-ES"/>
              </w:rPr>
            </w:pPr>
            <w:r w:rsidRPr="00E54392">
              <w:rPr>
                <w:i/>
                <w:iCs/>
                <w:color w:val="000000"/>
                <w:sz w:val="20"/>
                <w:szCs w:val="20"/>
                <w:lang w:eastAsia="es-ES"/>
              </w:rPr>
              <w:t xml:space="preserve">Positive </w:t>
            </w:r>
            <w:proofErr w:type="spellStart"/>
            <w:r w:rsidRPr="00E54392">
              <w:rPr>
                <w:i/>
                <w:iCs/>
                <w:color w:val="000000"/>
                <w:sz w:val="20"/>
                <w:szCs w:val="20"/>
                <w:lang w:eastAsia="es-ES"/>
              </w:rPr>
              <w:t>affect</w:t>
            </w:r>
            <w:proofErr w:type="spellEnd"/>
          </w:p>
        </w:tc>
        <w:tc>
          <w:tcPr>
            <w:tcW w:w="0" w:type="auto"/>
            <w:gridSpan w:val="6"/>
            <w:tcBorders>
              <w:top w:val="single" w:sz="4" w:space="0" w:color="000000"/>
              <w:bottom w:val="single" w:sz="4" w:space="0" w:color="000000"/>
            </w:tcBorders>
            <w:tcMar>
              <w:top w:w="0" w:type="dxa"/>
              <w:left w:w="108" w:type="dxa"/>
              <w:bottom w:w="0" w:type="dxa"/>
              <w:right w:w="108" w:type="dxa"/>
            </w:tcMar>
            <w:hideMark/>
          </w:tcPr>
          <w:p w14:paraId="5A929592" w14:textId="77777777" w:rsidR="001C0B04" w:rsidRPr="00E54392" w:rsidRDefault="001C0B04" w:rsidP="002A7E94">
            <w:pPr>
              <w:jc w:val="center"/>
              <w:rPr>
                <w:lang w:eastAsia="es-ES"/>
              </w:rPr>
            </w:pPr>
            <w:proofErr w:type="spellStart"/>
            <w:r w:rsidRPr="00E54392">
              <w:rPr>
                <w:color w:val="000000"/>
                <w:sz w:val="20"/>
                <w:szCs w:val="20"/>
                <w:lang w:eastAsia="es-ES"/>
              </w:rPr>
              <w:t>Meaning</w:t>
            </w:r>
            <w:proofErr w:type="spellEnd"/>
            <w:r w:rsidRPr="00E54392">
              <w:rPr>
                <w:color w:val="000000"/>
                <w:sz w:val="20"/>
                <w:szCs w:val="20"/>
                <w:lang w:eastAsia="es-ES"/>
              </w:rPr>
              <w:t xml:space="preserve"> in </w:t>
            </w:r>
            <w:proofErr w:type="spellStart"/>
            <w:r w:rsidRPr="00E54392">
              <w:rPr>
                <w:color w:val="000000"/>
                <w:sz w:val="20"/>
                <w:szCs w:val="20"/>
                <w:lang w:eastAsia="es-ES"/>
              </w:rPr>
              <w:t>life</w:t>
            </w:r>
            <w:proofErr w:type="spellEnd"/>
          </w:p>
        </w:tc>
      </w:tr>
      <w:tr w:rsidR="001C0B04" w:rsidRPr="00E54392" w14:paraId="58A04196" w14:textId="77777777" w:rsidTr="002A7E94">
        <w:tc>
          <w:tcPr>
            <w:tcW w:w="0" w:type="auto"/>
            <w:tcBorders>
              <w:bottom w:val="single" w:sz="4" w:space="0" w:color="auto"/>
            </w:tcBorders>
            <w:tcMar>
              <w:top w:w="0" w:type="dxa"/>
              <w:left w:w="108" w:type="dxa"/>
              <w:bottom w:w="0" w:type="dxa"/>
              <w:right w:w="108" w:type="dxa"/>
            </w:tcMar>
            <w:hideMark/>
          </w:tcPr>
          <w:p w14:paraId="1F23F10A" w14:textId="77777777" w:rsidR="001C0B04" w:rsidRPr="00E54392" w:rsidRDefault="001C0B04" w:rsidP="002A7E94">
            <w:pPr>
              <w:rPr>
                <w:lang w:eastAsia="es-ES"/>
              </w:rPr>
            </w:pP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0E2E14D" w14:textId="77777777" w:rsidR="001C0B04" w:rsidRPr="00E54392" w:rsidRDefault="001C0B04" w:rsidP="002A7E94">
            <w:pPr>
              <w:jc w:val="center"/>
              <w:rPr>
                <w:lang w:eastAsia="es-ES"/>
              </w:rPr>
            </w:pPr>
            <w:r w:rsidRPr="00E54392">
              <w:rPr>
                <w:color w:val="000000"/>
                <w:sz w:val="20"/>
                <w:szCs w:val="20"/>
                <w:lang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AEA2A8D" w14:textId="77777777" w:rsidR="001C0B04" w:rsidRPr="00E54392" w:rsidRDefault="001C0B04" w:rsidP="002A7E94">
            <w:pPr>
              <w:jc w:val="center"/>
              <w:rPr>
                <w:lang w:eastAsia="es-ES"/>
              </w:rPr>
            </w:pPr>
            <w:r w:rsidRPr="00E54392">
              <w:rPr>
                <w:color w:val="000000"/>
                <w:sz w:val="20"/>
                <w:szCs w:val="20"/>
                <w:lang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46F4C6C" w14:textId="77777777" w:rsidR="001C0B04" w:rsidRPr="00E54392" w:rsidRDefault="001C0B04" w:rsidP="002A7E94">
            <w:pPr>
              <w:jc w:val="center"/>
              <w:rPr>
                <w:i/>
                <w:iCs/>
                <w:lang w:eastAsia="es-ES"/>
              </w:rPr>
            </w:pPr>
            <w:r w:rsidRPr="00E54392">
              <w:rPr>
                <w:i/>
                <w:iCs/>
                <w:color w:val="000000"/>
                <w:sz w:val="20"/>
                <w:szCs w:val="20"/>
                <w:lang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CD3A5FA" w14:textId="77777777" w:rsidR="001C0B04" w:rsidRPr="00E54392" w:rsidRDefault="001C0B04" w:rsidP="002A7E94">
            <w:pPr>
              <w:jc w:val="center"/>
              <w:rPr>
                <w:i/>
                <w:iCs/>
                <w:lang w:eastAsia="es-ES"/>
              </w:rPr>
            </w:pPr>
            <w:r w:rsidRPr="00E54392">
              <w:rPr>
                <w:i/>
                <w:iCs/>
                <w:color w:val="000000"/>
                <w:sz w:val="20"/>
                <w:szCs w:val="20"/>
                <w:lang w:eastAsia="es-ES"/>
              </w:rPr>
              <w:t>p</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7E931A05" w14:textId="77777777" w:rsidR="001C0B04" w:rsidRPr="00E54392" w:rsidRDefault="001C0B04" w:rsidP="002A7E94">
            <w:pPr>
              <w:jc w:val="center"/>
              <w:rPr>
                <w:i/>
                <w:iCs/>
                <w:lang w:eastAsia="es-ES"/>
              </w:rPr>
            </w:pPr>
            <w:r w:rsidRPr="00E54392">
              <w:rPr>
                <w:i/>
                <w:iCs/>
                <w:color w:val="000000"/>
                <w:sz w:val="20"/>
                <w:szCs w:val="20"/>
                <w:shd w:val="clear" w:color="auto" w:fill="FFFF00"/>
                <w:lang w:eastAsia="es-ES"/>
              </w:rPr>
              <w:t>r</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6C5A267A" w14:textId="77777777" w:rsidR="001C0B04" w:rsidRPr="00E54392" w:rsidRDefault="001C0B04" w:rsidP="002A7E94">
            <w:pPr>
              <w:jc w:val="center"/>
              <w:rPr>
                <w:lang w:eastAsia="es-ES"/>
              </w:rPr>
            </w:pPr>
            <w:r w:rsidRPr="00E54392">
              <w:rPr>
                <w:color w:val="000000"/>
                <w:sz w:val="20"/>
                <w:szCs w:val="20"/>
                <w:lang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9830F7A" w14:textId="77777777" w:rsidR="001C0B04" w:rsidRPr="00E54392" w:rsidRDefault="001C0B04" w:rsidP="002A7E94">
            <w:pPr>
              <w:jc w:val="center"/>
              <w:rPr>
                <w:lang w:eastAsia="es-ES"/>
              </w:rPr>
            </w:pPr>
            <w:r w:rsidRPr="00E54392">
              <w:rPr>
                <w:color w:val="000000"/>
                <w:sz w:val="20"/>
                <w:szCs w:val="20"/>
                <w:lang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3F5B096" w14:textId="77777777" w:rsidR="001C0B04" w:rsidRPr="00E54392" w:rsidRDefault="001C0B04" w:rsidP="002A7E94">
            <w:pPr>
              <w:jc w:val="center"/>
              <w:rPr>
                <w:i/>
                <w:iCs/>
                <w:lang w:eastAsia="es-ES"/>
              </w:rPr>
            </w:pPr>
            <w:r w:rsidRPr="00E54392">
              <w:rPr>
                <w:i/>
                <w:iCs/>
                <w:color w:val="000000"/>
                <w:sz w:val="20"/>
                <w:szCs w:val="20"/>
                <w:lang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5384283B" w14:textId="77777777" w:rsidR="001C0B04" w:rsidRPr="00E54392" w:rsidRDefault="001C0B04" w:rsidP="002A7E94">
            <w:pPr>
              <w:jc w:val="center"/>
              <w:rPr>
                <w:i/>
                <w:iCs/>
                <w:lang w:eastAsia="es-ES"/>
              </w:rPr>
            </w:pPr>
            <w:r w:rsidRPr="00E54392">
              <w:rPr>
                <w:i/>
                <w:iCs/>
                <w:color w:val="000000"/>
                <w:sz w:val="20"/>
                <w:szCs w:val="20"/>
                <w:lang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1008530D" w14:textId="77777777" w:rsidR="001C0B04" w:rsidRPr="00E54392" w:rsidRDefault="001C0B04" w:rsidP="002A7E94">
            <w:pPr>
              <w:jc w:val="center"/>
              <w:rPr>
                <w:i/>
                <w:iCs/>
                <w:lang w:eastAsia="es-ES"/>
              </w:rPr>
            </w:pPr>
            <w:r w:rsidRPr="00E54392">
              <w:rPr>
                <w:i/>
                <w:iCs/>
                <w:color w:val="000000"/>
                <w:sz w:val="20"/>
                <w:szCs w:val="20"/>
                <w:shd w:val="clear" w:color="auto" w:fill="FFFF00"/>
                <w:lang w:eastAsia="es-ES"/>
              </w:rPr>
              <w:t>r</w:t>
            </w:r>
          </w:p>
        </w:tc>
        <w:tc>
          <w:tcPr>
            <w:tcW w:w="0" w:type="auto"/>
            <w:gridSpan w:val="2"/>
            <w:tcBorders>
              <w:top w:val="single" w:sz="4" w:space="0" w:color="000000"/>
              <w:bottom w:val="single" w:sz="4" w:space="0" w:color="auto"/>
            </w:tcBorders>
            <w:tcMar>
              <w:top w:w="0" w:type="dxa"/>
              <w:left w:w="108" w:type="dxa"/>
              <w:bottom w:w="0" w:type="dxa"/>
              <w:right w:w="108" w:type="dxa"/>
            </w:tcMar>
            <w:vAlign w:val="center"/>
            <w:hideMark/>
          </w:tcPr>
          <w:p w14:paraId="2A66D79D" w14:textId="77777777" w:rsidR="001C0B04" w:rsidRPr="00E54392" w:rsidRDefault="001C0B04" w:rsidP="002A7E94">
            <w:pPr>
              <w:jc w:val="center"/>
              <w:rPr>
                <w:lang w:eastAsia="es-ES"/>
              </w:rPr>
            </w:pPr>
            <w:r w:rsidRPr="00E54392">
              <w:rPr>
                <w:color w:val="000000"/>
                <w:sz w:val="20"/>
                <w:szCs w:val="20"/>
                <w:lang w:eastAsia="es-ES"/>
              </w:rPr>
              <w:t>Low</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66A7D39" w14:textId="77777777" w:rsidR="001C0B04" w:rsidRPr="00E54392" w:rsidRDefault="001C0B04" w:rsidP="002A7E94">
            <w:pPr>
              <w:jc w:val="center"/>
              <w:rPr>
                <w:lang w:eastAsia="es-ES"/>
              </w:rPr>
            </w:pPr>
            <w:r w:rsidRPr="00E54392">
              <w:rPr>
                <w:color w:val="000000"/>
                <w:sz w:val="20"/>
                <w:szCs w:val="20"/>
                <w:lang w:eastAsia="es-ES"/>
              </w:rPr>
              <w:t>High</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7E52CFB7" w14:textId="77777777" w:rsidR="001C0B04" w:rsidRPr="00E54392" w:rsidRDefault="001C0B04" w:rsidP="002A7E94">
            <w:pPr>
              <w:jc w:val="center"/>
              <w:rPr>
                <w:i/>
                <w:iCs/>
                <w:lang w:eastAsia="es-ES"/>
              </w:rPr>
            </w:pPr>
            <w:r w:rsidRPr="00E54392">
              <w:rPr>
                <w:i/>
                <w:iCs/>
                <w:color w:val="000000"/>
                <w:sz w:val="20"/>
                <w:szCs w:val="20"/>
                <w:lang w:eastAsia="es-ES"/>
              </w:rPr>
              <w:t>U</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49F7A1C8" w14:textId="77777777" w:rsidR="001C0B04" w:rsidRPr="00E54392" w:rsidRDefault="001C0B04" w:rsidP="002A7E94">
            <w:pPr>
              <w:jc w:val="center"/>
              <w:rPr>
                <w:i/>
                <w:iCs/>
                <w:lang w:eastAsia="es-ES"/>
              </w:rPr>
            </w:pPr>
            <w:r w:rsidRPr="00E54392">
              <w:rPr>
                <w:i/>
                <w:iCs/>
                <w:color w:val="000000"/>
                <w:sz w:val="20"/>
                <w:szCs w:val="20"/>
                <w:lang w:eastAsia="es-ES"/>
              </w:rPr>
              <w:t>p</w:t>
            </w:r>
          </w:p>
        </w:tc>
        <w:tc>
          <w:tcPr>
            <w:tcW w:w="0" w:type="auto"/>
            <w:tcBorders>
              <w:top w:val="single" w:sz="4" w:space="0" w:color="000000"/>
              <w:bottom w:val="single" w:sz="4" w:space="0" w:color="auto"/>
            </w:tcBorders>
            <w:tcMar>
              <w:top w:w="0" w:type="dxa"/>
              <w:left w:w="108" w:type="dxa"/>
              <w:bottom w:w="0" w:type="dxa"/>
              <w:right w:w="108" w:type="dxa"/>
            </w:tcMar>
            <w:vAlign w:val="center"/>
            <w:hideMark/>
          </w:tcPr>
          <w:p w14:paraId="3C064AB3" w14:textId="77777777" w:rsidR="001C0B04" w:rsidRPr="00E54392" w:rsidRDefault="001C0B04" w:rsidP="002A7E94">
            <w:pPr>
              <w:jc w:val="center"/>
              <w:rPr>
                <w:i/>
                <w:iCs/>
                <w:lang w:eastAsia="es-ES"/>
              </w:rPr>
            </w:pPr>
            <w:r w:rsidRPr="00E54392">
              <w:rPr>
                <w:i/>
                <w:iCs/>
                <w:color w:val="000000"/>
                <w:sz w:val="20"/>
                <w:szCs w:val="20"/>
                <w:shd w:val="clear" w:color="auto" w:fill="FFFF00"/>
                <w:lang w:eastAsia="es-ES"/>
              </w:rPr>
              <w:t>r</w:t>
            </w:r>
          </w:p>
        </w:tc>
        <w:tc>
          <w:tcPr>
            <w:tcW w:w="0" w:type="auto"/>
            <w:vAlign w:val="center"/>
            <w:hideMark/>
          </w:tcPr>
          <w:p w14:paraId="586C9516" w14:textId="77777777" w:rsidR="001C0B04" w:rsidRPr="00E54392" w:rsidRDefault="001C0B04" w:rsidP="002A7E94">
            <w:pPr>
              <w:rPr>
                <w:sz w:val="20"/>
                <w:szCs w:val="20"/>
                <w:lang w:eastAsia="es-ES"/>
              </w:rPr>
            </w:pPr>
          </w:p>
        </w:tc>
      </w:tr>
      <w:tr w:rsidR="001C0B04" w:rsidRPr="00E54392" w14:paraId="64D2F1C3" w14:textId="77777777" w:rsidTr="002A7E94">
        <w:tc>
          <w:tcPr>
            <w:tcW w:w="0" w:type="auto"/>
            <w:tcBorders>
              <w:top w:val="single" w:sz="4" w:space="0" w:color="auto"/>
            </w:tcBorders>
            <w:tcMar>
              <w:top w:w="0" w:type="dxa"/>
              <w:left w:w="108" w:type="dxa"/>
              <w:bottom w:w="0" w:type="dxa"/>
              <w:right w:w="108" w:type="dxa"/>
            </w:tcMar>
          </w:tcPr>
          <w:p w14:paraId="1700F41B" w14:textId="77777777" w:rsidR="001C0B04" w:rsidRPr="00E54392" w:rsidRDefault="001C0B04" w:rsidP="002A7E94">
            <w:pPr>
              <w:rPr>
                <w:color w:val="000000"/>
                <w:sz w:val="18"/>
                <w:szCs w:val="18"/>
                <w:lang w:eastAsia="es-ES"/>
              </w:rPr>
            </w:pPr>
            <w:r w:rsidRPr="00E54392">
              <w:rPr>
                <w:color w:val="000000"/>
                <w:sz w:val="20"/>
                <w:szCs w:val="20"/>
                <w:lang w:eastAsia="es-ES"/>
              </w:rPr>
              <w:t>WHO</w:t>
            </w:r>
            <w:r>
              <w:rPr>
                <w:color w:val="000000"/>
                <w:sz w:val="20"/>
                <w:szCs w:val="20"/>
                <w:lang w:eastAsia="es-ES"/>
              </w:rPr>
              <w:t xml:space="preserve"> </w:t>
            </w:r>
            <w:proofErr w:type="spellStart"/>
            <w:r w:rsidRPr="00E54392">
              <w:rPr>
                <w:color w:val="000000"/>
                <w:sz w:val="20"/>
                <w:szCs w:val="20"/>
                <w:lang w:eastAsia="es-ES"/>
              </w:rPr>
              <w:t>activities</w:t>
            </w:r>
            <w:proofErr w:type="spellEnd"/>
          </w:p>
        </w:tc>
        <w:tc>
          <w:tcPr>
            <w:tcW w:w="0" w:type="auto"/>
            <w:gridSpan w:val="17"/>
            <w:tcBorders>
              <w:top w:val="single" w:sz="4" w:space="0" w:color="auto"/>
            </w:tcBorders>
            <w:tcMar>
              <w:top w:w="0" w:type="dxa"/>
              <w:left w:w="108" w:type="dxa"/>
              <w:bottom w:w="0" w:type="dxa"/>
              <w:right w:w="108" w:type="dxa"/>
            </w:tcMar>
            <w:vAlign w:val="center"/>
          </w:tcPr>
          <w:p w14:paraId="1AA176C5" w14:textId="77777777" w:rsidR="001C0B04" w:rsidRPr="00E54392" w:rsidRDefault="001C0B04" w:rsidP="002A7E94">
            <w:pPr>
              <w:jc w:val="center"/>
              <w:rPr>
                <w:color w:val="000000"/>
                <w:sz w:val="16"/>
                <w:szCs w:val="16"/>
                <w:shd w:val="clear" w:color="auto" w:fill="FFFF00"/>
                <w:lang w:eastAsia="es-ES"/>
              </w:rPr>
            </w:pPr>
            <w:r w:rsidRPr="00CB536A">
              <w:rPr>
                <w:color w:val="000000"/>
                <w:sz w:val="20"/>
                <w:szCs w:val="20"/>
                <w:lang w:eastAsia="es-ES"/>
              </w:rPr>
              <w:t>Wave 1</w:t>
            </w:r>
          </w:p>
        </w:tc>
        <w:tc>
          <w:tcPr>
            <w:tcW w:w="0" w:type="auto"/>
            <w:vAlign w:val="center"/>
          </w:tcPr>
          <w:p w14:paraId="3F561791" w14:textId="77777777" w:rsidR="001C0B04" w:rsidRPr="00E54392" w:rsidRDefault="001C0B04" w:rsidP="002A7E94">
            <w:pPr>
              <w:rPr>
                <w:sz w:val="20"/>
                <w:szCs w:val="20"/>
                <w:lang w:eastAsia="es-ES"/>
              </w:rPr>
            </w:pPr>
          </w:p>
        </w:tc>
      </w:tr>
      <w:tr w:rsidR="001C0B04" w:rsidRPr="00E54392" w14:paraId="66341E05" w14:textId="77777777" w:rsidTr="002A7E94">
        <w:tc>
          <w:tcPr>
            <w:tcW w:w="0" w:type="auto"/>
            <w:tcMar>
              <w:top w:w="0" w:type="dxa"/>
              <w:left w:w="108" w:type="dxa"/>
              <w:bottom w:w="0" w:type="dxa"/>
              <w:right w:w="108" w:type="dxa"/>
            </w:tcMar>
            <w:vAlign w:val="center"/>
            <w:hideMark/>
          </w:tcPr>
          <w:p w14:paraId="0B91A8C0" w14:textId="77777777" w:rsidR="001C0B04" w:rsidRPr="00E54392" w:rsidRDefault="001C0B04" w:rsidP="002A7E94">
            <w:pPr>
              <w:ind w:left="340"/>
              <w:rPr>
                <w:lang w:eastAsia="es-ES"/>
              </w:rPr>
            </w:pPr>
            <w:proofErr w:type="spellStart"/>
            <w:r w:rsidRPr="00E54392">
              <w:rPr>
                <w:color w:val="000000"/>
                <w:sz w:val="18"/>
                <w:szCs w:val="18"/>
                <w:lang w:eastAsia="es-ES"/>
              </w:rPr>
              <w:t>Keeping</w:t>
            </w:r>
            <w:proofErr w:type="spellEnd"/>
            <w:r w:rsidRPr="00E54392">
              <w:rPr>
                <w:color w:val="000000"/>
                <w:sz w:val="18"/>
                <w:szCs w:val="18"/>
                <w:lang w:eastAsia="es-ES"/>
              </w:rPr>
              <w:t xml:space="preserve"> </w:t>
            </w:r>
            <w:r>
              <w:rPr>
                <w:color w:val="000000"/>
                <w:sz w:val="18"/>
                <w:szCs w:val="18"/>
                <w:lang w:eastAsia="es-ES"/>
              </w:rPr>
              <w:t xml:space="preserve">  </w:t>
            </w:r>
            <w:proofErr w:type="spellStart"/>
            <w:r w:rsidRPr="00E54392">
              <w:rPr>
                <w:color w:val="000000"/>
                <w:sz w:val="18"/>
                <w:szCs w:val="18"/>
                <w:lang w:eastAsia="es-ES"/>
              </w:rPr>
              <w:t>routines</w:t>
            </w:r>
            <w:proofErr w:type="spellEnd"/>
          </w:p>
        </w:tc>
        <w:tc>
          <w:tcPr>
            <w:tcW w:w="0" w:type="auto"/>
            <w:tcMar>
              <w:top w:w="0" w:type="dxa"/>
              <w:left w:w="108" w:type="dxa"/>
              <w:bottom w:w="0" w:type="dxa"/>
              <w:right w:w="108" w:type="dxa"/>
            </w:tcMar>
            <w:vAlign w:val="center"/>
            <w:hideMark/>
          </w:tcPr>
          <w:p w14:paraId="6E03783B" w14:textId="77777777" w:rsidR="001C0B04" w:rsidRPr="00E54392" w:rsidRDefault="001C0B04" w:rsidP="002A7E94">
            <w:pPr>
              <w:jc w:val="center"/>
              <w:rPr>
                <w:lang w:eastAsia="es-ES"/>
              </w:rPr>
            </w:pPr>
            <w:r w:rsidRPr="00E54392">
              <w:rPr>
                <w:color w:val="000000"/>
                <w:sz w:val="16"/>
                <w:szCs w:val="16"/>
                <w:lang w:eastAsia="es-ES"/>
              </w:rPr>
              <w:t>557.53</w:t>
            </w:r>
          </w:p>
        </w:tc>
        <w:tc>
          <w:tcPr>
            <w:tcW w:w="0" w:type="auto"/>
            <w:tcMar>
              <w:top w:w="0" w:type="dxa"/>
              <w:left w:w="108" w:type="dxa"/>
              <w:bottom w:w="0" w:type="dxa"/>
              <w:right w:w="108" w:type="dxa"/>
            </w:tcMar>
            <w:vAlign w:val="center"/>
            <w:hideMark/>
          </w:tcPr>
          <w:p w14:paraId="16286F44" w14:textId="77777777" w:rsidR="001C0B04" w:rsidRPr="00E54392" w:rsidRDefault="001C0B04" w:rsidP="002A7E94">
            <w:pPr>
              <w:jc w:val="center"/>
              <w:rPr>
                <w:lang w:eastAsia="es-ES"/>
              </w:rPr>
            </w:pPr>
            <w:r w:rsidRPr="00E54392">
              <w:rPr>
                <w:color w:val="000000"/>
                <w:sz w:val="16"/>
                <w:szCs w:val="16"/>
                <w:lang w:eastAsia="es-ES"/>
              </w:rPr>
              <w:t>545.36</w:t>
            </w:r>
          </w:p>
        </w:tc>
        <w:tc>
          <w:tcPr>
            <w:tcW w:w="0" w:type="auto"/>
            <w:tcMar>
              <w:top w:w="0" w:type="dxa"/>
              <w:left w:w="108" w:type="dxa"/>
              <w:bottom w:w="0" w:type="dxa"/>
              <w:right w:w="108" w:type="dxa"/>
            </w:tcMar>
            <w:vAlign w:val="center"/>
            <w:hideMark/>
          </w:tcPr>
          <w:p w14:paraId="284132AF" w14:textId="77777777" w:rsidR="001C0B04" w:rsidRPr="00E54392" w:rsidRDefault="001C0B04" w:rsidP="002A7E94">
            <w:pPr>
              <w:jc w:val="center"/>
              <w:rPr>
                <w:lang w:eastAsia="es-ES"/>
              </w:rPr>
            </w:pPr>
            <w:r w:rsidRPr="00E54392">
              <w:rPr>
                <w:color w:val="000000"/>
                <w:sz w:val="16"/>
                <w:szCs w:val="16"/>
                <w:lang w:eastAsia="es-ES"/>
              </w:rPr>
              <w:t>67983.00</w:t>
            </w:r>
          </w:p>
        </w:tc>
        <w:tc>
          <w:tcPr>
            <w:tcW w:w="0" w:type="auto"/>
            <w:tcMar>
              <w:top w:w="0" w:type="dxa"/>
              <w:left w:w="108" w:type="dxa"/>
              <w:bottom w:w="0" w:type="dxa"/>
              <w:right w:w="108" w:type="dxa"/>
            </w:tcMar>
            <w:vAlign w:val="center"/>
            <w:hideMark/>
          </w:tcPr>
          <w:p w14:paraId="68423924" w14:textId="77777777" w:rsidR="001C0B04" w:rsidRPr="00E54392" w:rsidRDefault="001C0B04" w:rsidP="002A7E94">
            <w:pPr>
              <w:jc w:val="center"/>
              <w:rPr>
                <w:lang w:eastAsia="es-ES"/>
              </w:rPr>
            </w:pPr>
            <w:r w:rsidRPr="00E54392">
              <w:rPr>
                <w:color w:val="000000"/>
                <w:sz w:val="16"/>
                <w:szCs w:val="16"/>
                <w:lang w:eastAsia="es-ES"/>
              </w:rPr>
              <w:t>.663</w:t>
            </w:r>
          </w:p>
        </w:tc>
        <w:tc>
          <w:tcPr>
            <w:tcW w:w="0" w:type="auto"/>
            <w:gridSpan w:val="2"/>
            <w:tcMar>
              <w:top w:w="0" w:type="dxa"/>
              <w:left w:w="108" w:type="dxa"/>
              <w:bottom w:w="0" w:type="dxa"/>
              <w:right w:w="108" w:type="dxa"/>
            </w:tcMar>
            <w:vAlign w:val="center"/>
            <w:hideMark/>
          </w:tcPr>
          <w:p w14:paraId="4F97048D"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6F967354" w14:textId="77777777" w:rsidR="001C0B04" w:rsidRPr="00E54392" w:rsidRDefault="001C0B04" w:rsidP="002A7E94">
            <w:pPr>
              <w:jc w:val="center"/>
              <w:rPr>
                <w:lang w:eastAsia="es-ES"/>
              </w:rPr>
            </w:pPr>
            <w:r w:rsidRPr="00E54392">
              <w:rPr>
                <w:color w:val="000000"/>
                <w:sz w:val="16"/>
                <w:szCs w:val="16"/>
                <w:lang w:eastAsia="es-ES"/>
              </w:rPr>
              <w:t>380.86</w:t>
            </w:r>
          </w:p>
        </w:tc>
        <w:tc>
          <w:tcPr>
            <w:tcW w:w="0" w:type="auto"/>
            <w:tcMar>
              <w:top w:w="0" w:type="dxa"/>
              <w:left w:w="108" w:type="dxa"/>
              <w:bottom w:w="0" w:type="dxa"/>
              <w:right w:w="108" w:type="dxa"/>
            </w:tcMar>
            <w:vAlign w:val="center"/>
            <w:hideMark/>
          </w:tcPr>
          <w:p w14:paraId="79D3631C" w14:textId="77777777" w:rsidR="001C0B04" w:rsidRPr="00E54392" w:rsidRDefault="001C0B04" w:rsidP="002A7E94">
            <w:pPr>
              <w:jc w:val="center"/>
              <w:rPr>
                <w:lang w:eastAsia="es-ES"/>
              </w:rPr>
            </w:pPr>
            <w:r w:rsidRPr="00E54392">
              <w:rPr>
                <w:color w:val="000000"/>
                <w:sz w:val="16"/>
                <w:szCs w:val="16"/>
                <w:lang w:eastAsia="es-ES"/>
              </w:rPr>
              <w:t>572.82</w:t>
            </w:r>
          </w:p>
        </w:tc>
        <w:tc>
          <w:tcPr>
            <w:tcW w:w="0" w:type="auto"/>
            <w:tcMar>
              <w:top w:w="0" w:type="dxa"/>
              <w:left w:w="108" w:type="dxa"/>
              <w:bottom w:w="0" w:type="dxa"/>
              <w:right w:w="108" w:type="dxa"/>
            </w:tcMar>
            <w:vAlign w:val="center"/>
            <w:hideMark/>
          </w:tcPr>
          <w:p w14:paraId="3D8E2448" w14:textId="77777777" w:rsidR="001C0B04" w:rsidRPr="00E54392" w:rsidRDefault="001C0B04" w:rsidP="002A7E94">
            <w:pPr>
              <w:jc w:val="center"/>
              <w:rPr>
                <w:lang w:eastAsia="es-ES"/>
              </w:rPr>
            </w:pPr>
            <w:r w:rsidRPr="00E54392">
              <w:rPr>
                <w:color w:val="000000"/>
                <w:sz w:val="16"/>
                <w:szCs w:val="16"/>
                <w:lang w:eastAsia="es-ES"/>
              </w:rPr>
              <w:t>45108.50</w:t>
            </w:r>
          </w:p>
        </w:tc>
        <w:tc>
          <w:tcPr>
            <w:tcW w:w="0" w:type="auto"/>
            <w:tcMar>
              <w:top w:w="0" w:type="dxa"/>
              <w:left w:w="108" w:type="dxa"/>
              <w:bottom w:w="0" w:type="dxa"/>
              <w:right w:w="108" w:type="dxa"/>
            </w:tcMar>
            <w:vAlign w:val="center"/>
            <w:hideMark/>
          </w:tcPr>
          <w:p w14:paraId="1112A26B"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12EDA88F" w14:textId="77777777" w:rsidR="001C0B04" w:rsidRPr="00E54392" w:rsidRDefault="001C0B04" w:rsidP="002A7E94">
            <w:pPr>
              <w:jc w:val="center"/>
              <w:rPr>
                <w:lang w:eastAsia="es-ES"/>
              </w:rPr>
            </w:pPr>
            <w:r w:rsidRPr="00E54392">
              <w:rPr>
                <w:color w:val="000000"/>
                <w:sz w:val="16"/>
                <w:szCs w:val="16"/>
                <w:shd w:val="clear" w:color="auto" w:fill="FFFF00"/>
                <w:lang w:eastAsia="es-ES"/>
              </w:rPr>
              <w:t>.20</w:t>
            </w:r>
          </w:p>
        </w:tc>
        <w:tc>
          <w:tcPr>
            <w:tcW w:w="0" w:type="auto"/>
            <w:gridSpan w:val="2"/>
            <w:tcMar>
              <w:top w:w="0" w:type="dxa"/>
              <w:left w:w="108" w:type="dxa"/>
              <w:bottom w:w="0" w:type="dxa"/>
              <w:right w:w="108" w:type="dxa"/>
            </w:tcMar>
            <w:vAlign w:val="center"/>
            <w:hideMark/>
          </w:tcPr>
          <w:p w14:paraId="42682694" w14:textId="77777777" w:rsidR="001C0B04" w:rsidRPr="00E54392" w:rsidRDefault="001C0B04" w:rsidP="002A7E94">
            <w:pPr>
              <w:jc w:val="center"/>
              <w:rPr>
                <w:lang w:eastAsia="es-ES"/>
              </w:rPr>
            </w:pPr>
            <w:r w:rsidRPr="00E54392">
              <w:rPr>
                <w:color w:val="000000"/>
                <w:sz w:val="16"/>
                <w:szCs w:val="16"/>
                <w:lang w:eastAsia="es-ES"/>
              </w:rPr>
              <w:t>384.81</w:t>
            </w:r>
          </w:p>
        </w:tc>
        <w:tc>
          <w:tcPr>
            <w:tcW w:w="0" w:type="auto"/>
            <w:tcMar>
              <w:top w:w="0" w:type="dxa"/>
              <w:left w:w="108" w:type="dxa"/>
              <w:bottom w:w="0" w:type="dxa"/>
              <w:right w:w="108" w:type="dxa"/>
            </w:tcMar>
            <w:vAlign w:val="center"/>
            <w:hideMark/>
          </w:tcPr>
          <w:p w14:paraId="309CD12F" w14:textId="77777777" w:rsidR="001C0B04" w:rsidRPr="00E54392" w:rsidRDefault="001C0B04" w:rsidP="002A7E94">
            <w:pPr>
              <w:jc w:val="center"/>
              <w:rPr>
                <w:lang w:eastAsia="es-ES"/>
              </w:rPr>
            </w:pPr>
            <w:r w:rsidRPr="00E54392">
              <w:rPr>
                <w:color w:val="000000"/>
                <w:sz w:val="16"/>
                <w:szCs w:val="16"/>
                <w:lang w:eastAsia="es-ES"/>
              </w:rPr>
              <w:t>572.20</w:t>
            </w:r>
          </w:p>
        </w:tc>
        <w:tc>
          <w:tcPr>
            <w:tcW w:w="0" w:type="auto"/>
            <w:tcMar>
              <w:top w:w="0" w:type="dxa"/>
              <w:left w:w="108" w:type="dxa"/>
              <w:bottom w:w="0" w:type="dxa"/>
              <w:right w:w="108" w:type="dxa"/>
            </w:tcMar>
            <w:vAlign w:val="center"/>
            <w:hideMark/>
          </w:tcPr>
          <w:p w14:paraId="0B11D49D" w14:textId="77777777" w:rsidR="001C0B04" w:rsidRPr="00E54392" w:rsidRDefault="001C0B04" w:rsidP="002A7E94">
            <w:pPr>
              <w:jc w:val="center"/>
              <w:rPr>
                <w:lang w:eastAsia="es-ES"/>
              </w:rPr>
            </w:pPr>
            <w:r w:rsidRPr="00E54392">
              <w:rPr>
                <w:color w:val="000000"/>
                <w:sz w:val="16"/>
                <w:szCs w:val="16"/>
                <w:lang w:eastAsia="es-ES"/>
              </w:rPr>
              <w:t>45689.00</w:t>
            </w:r>
          </w:p>
        </w:tc>
        <w:tc>
          <w:tcPr>
            <w:tcW w:w="0" w:type="auto"/>
            <w:tcMar>
              <w:top w:w="0" w:type="dxa"/>
              <w:left w:w="108" w:type="dxa"/>
              <w:bottom w:w="0" w:type="dxa"/>
              <w:right w:w="108" w:type="dxa"/>
            </w:tcMar>
            <w:vAlign w:val="center"/>
            <w:hideMark/>
          </w:tcPr>
          <w:p w14:paraId="46164B06"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604903AA" w14:textId="77777777" w:rsidR="001C0B04" w:rsidRPr="00E54392" w:rsidRDefault="001C0B04" w:rsidP="002A7E94">
            <w:pPr>
              <w:jc w:val="center"/>
              <w:rPr>
                <w:lang w:eastAsia="es-ES"/>
              </w:rPr>
            </w:pPr>
            <w:r w:rsidRPr="00E54392">
              <w:rPr>
                <w:color w:val="000000"/>
                <w:sz w:val="16"/>
                <w:szCs w:val="16"/>
                <w:shd w:val="clear" w:color="auto" w:fill="FFFF00"/>
                <w:lang w:eastAsia="es-ES"/>
              </w:rPr>
              <w:t>.20</w:t>
            </w:r>
          </w:p>
        </w:tc>
        <w:tc>
          <w:tcPr>
            <w:tcW w:w="0" w:type="auto"/>
            <w:vAlign w:val="center"/>
            <w:hideMark/>
          </w:tcPr>
          <w:p w14:paraId="6C1E6C78" w14:textId="77777777" w:rsidR="001C0B04" w:rsidRPr="00E54392" w:rsidRDefault="001C0B04" w:rsidP="002A7E94">
            <w:pPr>
              <w:rPr>
                <w:sz w:val="20"/>
                <w:szCs w:val="20"/>
                <w:lang w:eastAsia="es-ES"/>
              </w:rPr>
            </w:pPr>
          </w:p>
        </w:tc>
      </w:tr>
      <w:tr w:rsidR="001C0B04" w:rsidRPr="00E54392" w14:paraId="2BB8CA53" w14:textId="77777777" w:rsidTr="002A7E94">
        <w:tc>
          <w:tcPr>
            <w:tcW w:w="0" w:type="auto"/>
            <w:tcMar>
              <w:top w:w="0" w:type="dxa"/>
              <w:left w:w="108" w:type="dxa"/>
              <w:bottom w:w="0" w:type="dxa"/>
              <w:right w:w="108" w:type="dxa"/>
            </w:tcMar>
            <w:vAlign w:val="center"/>
            <w:hideMark/>
          </w:tcPr>
          <w:p w14:paraId="78708B57" w14:textId="77777777" w:rsidR="001C0B04" w:rsidRPr="00E54392" w:rsidRDefault="001C0B04" w:rsidP="002A7E94">
            <w:pPr>
              <w:ind w:left="340"/>
              <w:rPr>
                <w:lang w:eastAsia="es-ES"/>
              </w:rPr>
            </w:pPr>
            <w:proofErr w:type="spellStart"/>
            <w:r>
              <w:rPr>
                <w:color w:val="000000"/>
                <w:sz w:val="18"/>
                <w:szCs w:val="18"/>
                <w:lang w:eastAsia="es-ES"/>
              </w:rPr>
              <w:t>E</w:t>
            </w:r>
            <w:r w:rsidRPr="00E54392">
              <w:rPr>
                <w:color w:val="000000"/>
                <w:sz w:val="18"/>
                <w:szCs w:val="18"/>
                <w:lang w:eastAsia="es-ES"/>
              </w:rPr>
              <w:t>xercising</w:t>
            </w:r>
            <w:proofErr w:type="spellEnd"/>
          </w:p>
        </w:tc>
        <w:tc>
          <w:tcPr>
            <w:tcW w:w="0" w:type="auto"/>
            <w:tcMar>
              <w:top w:w="0" w:type="dxa"/>
              <w:left w:w="108" w:type="dxa"/>
              <w:bottom w:w="0" w:type="dxa"/>
              <w:right w:w="108" w:type="dxa"/>
            </w:tcMar>
            <w:vAlign w:val="center"/>
            <w:hideMark/>
          </w:tcPr>
          <w:p w14:paraId="109E8D88" w14:textId="77777777" w:rsidR="001C0B04" w:rsidRPr="00E54392" w:rsidRDefault="001C0B04" w:rsidP="002A7E94">
            <w:pPr>
              <w:jc w:val="center"/>
              <w:rPr>
                <w:lang w:eastAsia="es-ES"/>
              </w:rPr>
            </w:pPr>
            <w:r w:rsidRPr="00E54392">
              <w:rPr>
                <w:color w:val="000000"/>
                <w:sz w:val="16"/>
                <w:szCs w:val="16"/>
                <w:lang w:eastAsia="es-ES"/>
              </w:rPr>
              <w:t>507.76</w:t>
            </w:r>
          </w:p>
        </w:tc>
        <w:tc>
          <w:tcPr>
            <w:tcW w:w="0" w:type="auto"/>
            <w:tcMar>
              <w:top w:w="0" w:type="dxa"/>
              <w:left w:w="108" w:type="dxa"/>
              <w:bottom w:w="0" w:type="dxa"/>
              <w:right w:w="108" w:type="dxa"/>
            </w:tcMar>
            <w:vAlign w:val="center"/>
            <w:hideMark/>
          </w:tcPr>
          <w:p w14:paraId="2DA856E0" w14:textId="77777777" w:rsidR="001C0B04" w:rsidRPr="00E54392" w:rsidRDefault="001C0B04" w:rsidP="002A7E94">
            <w:pPr>
              <w:jc w:val="center"/>
              <w:rPr>
                <w:lang w:eastAsia="es-ES"/>
              </w:rPr>
            </w:pPr>
            <w:r w:rsidRPr="00E54392">
              <w:rPr>
                <w:color w:val="000000"/>
                <w:sz w:val="16"/>
                <w:szCs w:val="16"/>
                <w:lang w:eastAsia="es-ES"/>
              </w:rPr>
              <w:t>435.52</w:t>
            </w:r>
          </w:p>
        </w:tc>
        <w:tc>
          <w:tcPr>
            <w:tcW w:w="0" w:type="auto"/>
            <w:tcMar>
              <w:top w:w="0" w:type="dxa"/>
              <w:left w:w="108" w:type="dxa"/>
              <w:bottom w:w="0" w:type="dxa"/>
              <w:right w:w="108" w:type="dxa"/>
            </w:tcMar>
            <w:vAlign w:val="center"/>
            <w:hideMark/>
          </w:tcPr>
          <w:p w14:paraId="2E199941" w14:textId="77777777" w:rsidR="001C0B04" w:rsidRPr="00E54392" w:rsidRDefault="001C0B04" w:rsidP="002A7E94">
            <w:pPr>
              <w:jc w:val="center"/>
              <w:rPr>
                <w:lang w:eastAsia="es-ES"/>
              </w:rPr>
            </w:pPr>
            <w:r w:rsidRPr="00E54392">
              <w:rPr>
                <w:color w:val="000000"/>
                <w:sz w:val="16"/>
                <w:szCs w:val="16"/>
                <w:lang w:eastAsia="es-ES"/>
              </w:rPr>
              <w:t>8861.00</w:t>
            </w:r>
          </w:p>
        </w:tc>
        <w:tc>
          <w:tcPr>
            <w:tcW w:w="0" w:type="auto"/>
            <w:tcMar>
              <w:top w:w="0" w:type="dxa"/>
              <w:left w:w="108" w:type="dxa"/>
              <w:bottom w:w="0" w:type="dxa"/>
              <w:right w:w="108" w:type="dxa"/>
            </w:tcMar>
            <w:vAlign w:val="center"/>
            <w:hideMark/>
          </w:tcPr>
          <w:p w14:paraId="27193033"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gridSpan w:val="2"/>
            <w:tcMar>
              <w:top w:w="0" w:type="dxa"/>
              <w:left w:w="108" w:type="dxa"/>
              <w:bottom w:w="0" w:type="dxa"/>
              <w:right w:w="108" w:type="dxa"/>
            </w:tcMar>
            <w:vAlign w:val="center"/>
            <w:hideMark/>
          </w:tcPr>
          <w:p w14:paraId="0C5AE95A" w14:textId="77777777" w:rsidR="001C0B04" w:rsidRPr="00E54392" w:rsidRDefault="001C0B04" w:rsidP="002A7E94">
            <w:pPr>
              <w:jc w:val="center"/>
              <w:rPr>
                <w:lang w:eastAsia="es-ES"/>
              </w:rPr>
            </w:pPr>
            <w:r w:rsidRPr="00E54392">
              <w:rPr>
                <w:color w:val="000000"/>
                <w:sz w:val="16"/>
                <w:szCs w:val="16"/>
                <w:shd w:val="clear" w:color="auto" w:fill="FFFF00"/>
                <w:lang w:eastAsia="es-ES"/>
              </w:rPr>
              <w:t>.13</w:t>
            </w:r>
          </w:p>
        </w:tc>
        <w:tc>
          <w:tcPr>
            <w:tcW w:w="0" w:type="auto"/>
            <w:tcMar>
              <w:top w:w="0" w:type="dxa"/>
              <w:left w:w="108" w:type="dxa"/>
              <w:bottom w:w="0" w:type="dxa"/>
              <w:right w:w="108" w:type="dxa"/>
            </w:tcMar>
            <w:vAlign w:val="center"/>
            <w:hideMark/>
          </w:tcPr>
          <w:p w14:paraId="16B6C67D" w14:textId="77777777" w:rsidR="001C0B04" w:rsidRPr="00E54392" w:rsidRDefault="001C0B04" w:rsidP="002A7E94">
            <w:pPr>
              <w:jc w:val="center"/>
              <w:rPr>
                <w:lang w:eastAsia="es-ES"/>
              </w:rPr>
            </w:pPr>
            <w:r w:rsidRPr="00E54392">
              <w:rPr>
                <w:color w:val="000000"/>
                <w:sz w:val="16"/>
                <w:szCs w:val="16"/>
                <w:lang w:eastAsia="es-ES"/>
              </w:rPr>
              <w:t>397.07</w:t>
            </w:r>
          </w:p>
        </w:tc>
        <w:tc>
          <w:tcPr>
            <w:tcW w:w="0" w:type="auto"/>
            <w:tcMar>
              <w:top w:w="0" w:type="dxa"/>
              <w:left w:w="108" w:type="dxa"/>
              <w:bottom w:w="0" w:type="dxa"/>
              <w:right w:w="108" w:type="dxa"/>
            </w:tcMar>
            <w:vAlign w:val="center"/>
            <w:hideMark/>
          </w:tcPr>
          <w:p w14:paraId="7CE96400" w14:textId="77777777" w:rsidR="001C0B04" w:rsidRPr="00E54392" w:rsidRDefault="001C0B04" w:rsidP="002A7E94">
            <w:pPr>
              <w:jc w:val="center"/>
              <w:rPr>
                <w:lang w:eastAsia="es-ES"/>
              </w:rPr>
            </w:pPr>
            <w:r w:rsidRPr="00E54392">
              <w:rPr>
                <w:color w:val="000000"/>
                <w:sz w:val="16"/>
                <w:szCs w:val="16"/>
                <w:lang w:eastAsia="es-ES"/>
              </w:rPr>
              <w:t>514.06</w:t>
            </w:r>
          </w:p>
        </w:tc>
        <w:tc>
          <w:tcPr>
            <w:tcW w:w="0" w:type="auto"/>
            <w:tcMar>
              <w:top w:w="0" w:type="dxa"/>
              <w:left w:w="108" w:type="dxa"/>
              <w:bottom w:w="0" w:type="dxa"/>
              <w:right w:w="108" w:type="dxa"/>
            </w:tcMar>
            <w:vAlign w:val="center"/>
            <w:hideMark/>
          </w:tcPr>
          <w:p w14:paraId="20AE55DA" w14:textId="77777777" w:rsidR="001C0B04" w:rsidRPr="00E54392" w:rsidRDefault="001C0B04" w:rsidP="002A7E94">
            <w:pPr>
              <w:jc w:val="center"/>
              <w:rPr>
                <w:lang w:eastAsia="es-ES"/>
              </w:rPr>
            </w:pPr>
            <w:r w:rsidRPr="00E54392">
              <w:rPr>
                <w:color w:val="000000"/>
                <w:sz w:val="16"/>
                <w:szCs w:val="16"/>
                <w:lang w:eastAsia="es-ES"/>
              </w:rPr>
              <w:t>78577.50</w:t>
            </w:r>
          </w:p>
        </w:tc>
        <w:tc>
          <w:tcPr>
            <w:tcW w:w="0" w:type="auto"/>
            <w:tcMar>
              <w:top w:w="0" w:type="dxa"/>
              <w:left w:w="108" w:type="dxa"/>
              <w:bottom w:w="0" w:type="dxa"/>
              <w:right w:w="108" w:type="dxa"/>
            </w:tcMar>
            <w:vAlign w:val="center"/>
            <w:hideMark/>
          </w:tcPr>
          <w:p w14:paraId="5B205DCA"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03BB072C" w14:textId="77777777" w:rsidR="001C0B04" w:rsidRPr="00E54392" w:rsidRDefault="001C0B04" w:rsidP="002A7E94">
            <w:pPr>
              <w:jc w:val="center"/>
              <w:rPr>
                <w:lang w:eastAsia="es-ES"/>
              </w:rPr>
            </w:pPr>
            <w:r w:rsidRPr="00E54392">
              <w:rPr>
                <w:color w:val="000000"/>
                <w:sz w:val="16"/>
                <w:szCs w:val="16"/>
                <w:shd w:val="clear" w:color="auto" w:fill="FFFF00"/>
                <w:lang w:eastAsia="es-ES"/>
              </w:rPr>
              <w:t>.21</w:t>
            </w:r>
          </w:p>
        </w:tc>
        <w:tc>
          <w:tcPr>
            <w:tcW w:w="0" w:type="auto"/>
            <w:gridSpan w:val="2"/>
            <w:tcMar>
              <w:top w:w="0" w:type="dxa"/>
              <w:left w:w="108" w:type="dxa"/>
              <w:bottom w:w="0" w:type="dxa"/>
              <w:right w:w="108" w:type="dxa"/>
            </w:tcMar>
            <w:vAlign w:val="center"/>
            <w:hideMark/>
          </w:tcPr>
          <w:p w14:paraId="390ECEF8" w14:textId="77777777" w:rsidR="001C0B04" w:rsidRPr="00E54392" w:rsidRDefault="001C0B04" w:rsidP="002A7E94">
            <w:pPr>
              <w:jc w:val="center"/>
              <w:rPr>
                <w:lang w:eastAsia="es-ES"/>
              </w:rPr>
            </w:pPr>
            <w:r w:rsidRPr="00E54392">
              <w:rPr>
                <w:color w:val="000000"/>
                <w:sz w:val="16"/>
                <w:szCs w:val="16"/>
                <w:lang w:eastAsia="es-ES"/>
              </w:rPr>
              <w:t>385.22</w:t>
            </w:r>
          </w:p>
        </w:tc>
        <w:tc>
          <w:tcPr>
            <w:tcW w:w="0" w:type="auto"/>
            <w:tcMar>
              <w:top w:w="0" w:type="dxa"/>
              <w:left w:w="108" w:type="dxa"/>
              <w:bottom w:w="0" w:type="dxa"/>
              <w:right w:w="108" w:type="dxa"/>
            </w:tcMar>
            <w:vAlign w:val="center"/>
            <w:hideMark/>
          </w:tcPr>
          <w:p w14:paraId="0826CB7A" w14:textId="77777777" w:rsidR="001C0B04" w:rsidRPr="00E54392" w:rsidRDefault="001C0B04" w:rsidP="002A7E94">
            <w:pPr>
              <w:jc w:val="center"/>
              <w:rPr>
                <w:lang w:eastAsia="es-ES"/>
              </w:rPr>
            </w:pPr>
            <w:r w:rsidRPr="00E54392">
              <w:rPr>
                <w:color w:val="000000"/>
                <w:sz w:val="16"/>
                <w:szCs w:val="16"/>
                <w:lang w:eastAsia="es-ES"/>
              </w:rPr>
              <w:t>522.46</w:t>
            </w:r>
          </w:p>
        </w:tc>
        <w:tc>
          <w:tcPr>
            <w:tcW w:w="0" w:type="auto"/>
            <w:tcMar>
              <w:top w:w="0" w:type="dxa"/>
              <w:left w:w="108" w:type="dxa"/>
              <w:bottom w:w="0" w:type="dxa"/>
              <w:right w:w="108" w:type="dxa"/>
            </w:tcMar>
            <w:vAlign w:val="center"/>
            <w:hideMark/>
          </w:tcPr>
          <w:p w14:paraId="5358B075" w14:textId="77777777" w:rsidR="001C0B04" w:rsidRPr="00E54392" w:rsidRDefault="001C0B04" w:rsidP="002A7E94">
            <w:pPr>
              <w:jc w:val="center"/>
              <w:rPr>
                <w:lang w:eastAsia="es-ES"/>
              </w:rPr>
            </w:pPr>
            <w:r w:rsidRPr="00E54392">
              <w:rPr>
                <w:color w:val="000000"/>
                <w:sz w:val="16"/>
                <w:szCs w:val="16"/>
                <w:lang w:eastAsia="es-ES"/>
              </w:rPr>
              <w:t>74005.50</w:t>
            </w:r>
          </w:p>
        </w:tc>
        <w:tc>
          <w:tcPr>
            <w:tcW w:w="0" w:type="auto"/>
            <w:tcMar>
              <w:top w:w="0" w:type="dxa"/>
              <w:left w:w="108" w:type="dxa"/>
              <w:bottom w:w="0" w:type="dxa"/>
              <w:right w:w="108" w:type="dxa"/>
            </w:tcMar>
            <w:vAlign w:val="center"/>
            <w:hideMark/>
          </w:tcPr>
          <w:p w14:paraId="0C7647A2"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30A6BE23" w14:textId="77777777" w:rsidR="001C0B04" w:rsidRPr="00E54392" w:rsidRDefault="001C0B04" w:rsidP="002A7E94">
            <w:pPr>
              <w:jc w:val="center"/>
              <w:rPr>
                <w:lang w:eastAsia="es-ES"/>
              </w:rPr>
            </w:pPr>
            <w:r w:rsidRPr="00E54392">
              <w:rPr>
                <w:color w:val="000000"/>
                <w:sz w:val="16"/>
                <w:szCs w:val="16"/>
                <w:shd w:val="clear" w:color="auto" w:fill="FFFF00"/>
                <w:lang w:eastAsia="es-ES"/>
              </w:rPr>
              <w:t>.25</w:t>
            </w:r>
          </w:p>
        </w:tc>
        <w:tc>
          <w:tcPr>
            <w:tcW w:w="0" w:type="auto"/>
            <w:vAlign w:val="center"/>
            <w:hideMark/>
          </w:tcPr>
          <w:p w14:paraId="07D9059B" w14:textId="77777777" w:rsidR="001C0B04" w:rsidRPr="00E54392" w:rsidRDefault="001C0B04" w:rsidP="002A7E94">
            <w:pPr>
              <w:rPr>
                <w:sz w:val="20"/>
                <w:szCs w:val="20"/>
                <w:lang w:eastAsia="es-ES"/>
              </w:rPr>
            </w:pPr>
          </w:p>
        </w:tc>
      </w:tr>
      <w:tr w:rsidR="001C0B04" w:rsidRPr="00E54392" w14:paraId="23C0A9B3" w14:textId="77777777" w:rsidTr="002A7E94">
        <w:tc>
          <w:tcPr>
            <w:tcW w:w="0" w:type="auto"/>
            <w:tcMar>
              <w:top w:w="0" w:type="dxa"/>
              <w:left w:w="108" w:type="dxa"/>
              <w:bottom w:w="0" w:type="dxa"/>
              <w:right w:w="108" w:type="dxa"/>
            </w:tcMar>
            <w:vAlign w:val="center"/>
            <w:hideMark/>
          </w:tcPr>
          <w:p w14:paraId="6B36A2C6" w14:textId="77777777" w:rsidR="001C0B04" w:rsidRPr="00E54392" w:rsidRDefault="001C0B04" w:rsidP="002A7E94">
            <w:pPr>
              <w:ind w:left="340"/>
              <w:rPr>
                <w:lang w:eastAsia="es-ES"/>
              </w:rPr>
            </w:pPr>
            <w:r w:rsidRPr="00E54392">
              <w:rPr>
                <w:color w:val="000000"/>
                <w:sz w:val="18"/>
                <w:szCs w:val="18"/>
                <w:lang w:eastAsia="es-ES"/>
              </w:rPr>
              <w:t xml:space="preserve">Video </w:t>
            </w:r>
            <w:proofErr w:type="spellStart"/>
            <w:r w:rsidRPr="00E54392">
              <w:rPr>
                <w:color w:val="000000"/>
                <w:sz w:val="18"/>
                <w:szCs w:val="18"/>
                <w:lang w:eastAsia="es-ES"/>
              </w:rPr>
              <w:t>calls</w:t>
            </w:r>
            <w:proofErr w:type="spellEnd"/>
          </w:p>
        </w:tc>
        <w:tc>
          <w:tcPr>
            <w:tcW w:w="0" w:type="auto"/>
            <w:tcMar>
              <w:top w:w="0" w:type="dxa"/>
              <w:left w:w="108" w:type="dxa"/>
              <w:bottom w:w="0" w:type="dxa"/>
              <w:right w:w="108" w:type="dxa"/>
            </w:tcMar>
            <w:vAlign w:val="center"/>
            <w:hideMark/>
          </w:tcPr>
          <w:p w14:paraId="2A0F70DB" w14:textId="77777777" w:rsidR="001C0B04" w:rsidRPr="00E54392" w:rsidRDefault="001C0B04" w:rsidP="002A7E94">
            <w:pPr>
              <w:jc w:val="center"/>
              <w:rPr>
                <w:lang w:eastAsia="es-ES"/>
              </w:rPr>
            </w:pPr>
            <w:r w:rsidRPr="00E54392">
              <w:rPr>
                <w:color w:val="000000"/>
                <w:sz w:val="16"/>
                <w:szCs w:val="16"/>
                <w:lang w:eastAsia="es-ES"/>
              </w:rPr>
              <w:t>422.43</w:t>
            </w:r>
          </w:p>
        </w:tc>
        <w:tc>
          <w:tcPr>
            <w:tcW w:w="0" w:type="auto"/>
            <w:tcMar>
              <w:top w:w="0" w:type="dxa"/>
              <w:left w:w="108" w:type="dxa"/>
              <w:bottom w:w="0" w:type="dxa"/>
              <w:right w:w="108" w:type="dxa"/>
            </w:tcMar>
            <w:vAlign w:val="center"/>
            <w:hideMark/>
          </w:tcPr>
          <w:p w14:paraId="2D693CD4" w14:textId="77777777" w:rsidR="001C0B04" w:rsidRPr="00E54392" w:rsidRDefault="001C0B04" w:rsidP="002A7E94">
            <w:pPr>
              <w:jc w:val="center"/>
              <w:rPr>
                <w:lang w:eastAsia="es-ES"/>
              </w:rPr>
            </w:pPr>
            <w:r w:rsidRPr="00E54392">
              <w:rPr>
                <w:color w:val="000000"/>
                <w:sz w:val="16"/>
                <w:szCs w:val="16"/>
                <w:lang w:eastAsia="es-ES"/>
              </w:rPr>
              <w:t>480.30</w:t>
            </w:r>
          </w:p>
        </w:tc>
        <w:tc>
          <w:tcPr>
            <w:tcW w:w="0" w:type="auto"/>
            <w:tcMar>
              <w:top w:w="0" w:type="dxa"/>
              <w:left w:w="108" w:type="dxa"/>
              <w:bottom w:w="0" w:type="dxa"/>
              <w:right w:w="108" w:type="dxa"/>
            </w:tcMar>
            <w:vAlign w:val="center"/>
            <w:hideMark/>
          </w:tcPr>
          <w:p w14:paraId="394F5E7E" w14:textId="77777777" w:rsidR="001C0B04" w:rsidRPr="00E54392" w:rsidRDefault="001C0B04" w:rsidP="002A7E94">
            <w:pPr>
              <w:jc w:val="center"/>
              <w:rPr>
                <w:lang w:eastAsia="es-ES"/>
              </w:rPr>
            </w:pPr>
            <w:r w:rsidRPr="00E54392">
              <w:rPr>
                <w:color w:val="000000"/>
                <w:sz w:val="16"/>
                <w:szCs w:val="16"/>
                <w:lang w:eastAsia="es-ES"/>
              </w:rPr>
              <w:t>70593.50</w:t>
            </w:r>
          </w:p>
        </w:tc>
        <w:tc>
          <w:tcPr>
            <w:tcW w:w="0" w:type="auto"/>
            <w:tcMar>
              <w:top w:w="0" w:type="dxa"/>
              <w:left w:w="108" w:type="dxa"/>
              <w:bottom w:w="0" w:type="dxa"/>
              <w:right w:w="108" w:type="dxa"/>
            </w:tcMar>
            <w:vAlign w:val="center"/>
            <w:hideMark/>
          </w:tcPr>
          <w:p w14:paraId="34E8DA92" w14:textId="77777777" w:rsidR="001C0B04" w:rsidRPr="00E54392" w:rsidRDefault="001C0B04" w:rsidP="002A7E94">
            <w:pPr>
              <w:jc w:val="center"/>
              <w:rPr>
                <w:lang w:eastAsia="es-ES"/>
              </w:rPr>
            </w:pPr>
            <w:r w:rsidRPr="00E54392">
              <w:rPr>
                <w:color w:val="000000"/>
                <w:sz w:val="16"/>
                <w:szCs w:val="16"/>
                <w:lang w:eastAsia="es-ES"/>
              </w:rPr>
              <w:t>.005</w:t>
            </w:r>
          </w:p>
        </w:tc>
        <w:tc>
          <w:tcPr>
            <w:tcW w:w="0" w:type="auto"/>
            <w:gridSpan w:val="2"/>
            <w:tcMar>
              <w:top w:w="0" w:type="dxa"/>
              <w:left w:w="108" w:type="dxa"/>
              <w:bottom w:w="0" w:type="dxa"/>
              <w:right w:w="108" w:type="dxa"/>
            </w:tcMar>
            <w:vAlign w:val="center"/>
            <w:hideMark/>
          </w:tcPr>
          <w:p w14:paraId="6415E1DD" w14:textId="77777777" w:rsidR="001C0B04" w:rsidRPr="00E54392" w:rsidRDefault="001C0B04" w:rsidP="002A7E94">
            <w:pPr>
              <w:jc w:val="center"/>
              <w:rPr>
                <w:lang w:eastAsia="es-ES"/>
              </w:rPr>
            </w:pPr>
            <w:r w:rsidRPr="00E54392">
              <w:rPr>
                <w:color w:val="000000"/>
                <w:sz w:val="16"/>
                <w:szCs w:val="16"/>
                <w:shd w:val="clear" w:color="auto" w:fill="FFFF00"/>
                <w:lang w:eastAsia="es-ES"/>
              </w:rPr>
              <w:t>.09</w:t>
            </w:r>
          </w:p>
        </w:tc>
        <w:tc>
          <w:tcPr>
            <w:tcW w:w="0" w:type="auto"/>
            <w:tcMar>
              <w:top w:w="0" w:type="dxa"/>
              <w:left w:w="108" w:type="dxa"/>
              <w:bottom w:w="0" w:type="dxa"/>
              <w:right w:w="108" w:type="dxa"/>
            </w:tcMar>
            <w:vAlign w:val="center"/>
            <w:hideMark/>
          </w:tcPr>
          <w:p w14:paraId="3686B86C" w14:textId="77777777" w:rsidR="001C0B04" w:rsidRPr="00E54392" w:rsidRDefault="001C0B04" w:rsidP="002A7E94">
            <w:pPr>
              <w:jc w:val="center"/>
              <w:rPr>
                <w:lang w:eastAsia="es-ES"/>
              </w:rPr>
            </w:pPr>
            <w:r w:rsidRPr="00E54392">
              <w:rPr>
                <w:color w:val="000000"/>
                <w:sz w:val="16"/>
                <w:szCs w:val="16"/>
                <w:lang w:eastAsia="es-ES"/>
              </w:rPr>
              <w:t>410.09</w:t>
            </w:r>
          </w:p>
        </w:tc>
        <w:tc>
          <w:tcPr>
            <w:tcW w:w="0" w:type="auto"/>
            <w:tcMar>
              <w:top w:w="0" w:type="dxa"/>
              <w:left w:w="108" w:type="dxa"/>
              <w:bottom w:w="0" w:type="dxa"/>
              <w:right w:w="108" w:type="dxa"/>
            </w:tcMar>
            <w:vAlign w:val="center"/>
            <w:hideMark/>
          </w:tcPr>
          <w:p w14:paraId="695DD89B" w14:textId="77777777" w:rsidR="001C0B04" w:rsidRPr="00E54392" w:rsidRDefault="001C0B04" w:rsidP="002A7E94">
            <w:pPr>
              <w:jc w:val="center"/>
              <w:rPr>
                <w:lang w:eastAsia="es-ES"/>
              </w:rPr>
            </w:pPr>
            <w:r w:rsidRPr="00E54392">
              <w:rPr>
                <w:color w:val="000000"/>
                <w:sz w:val="16"/>
                <w:szCs w:val="16"/>
                <w:lang w:eastAsia="es-ES"/>
              </w:rPr>
              <w:t>484.34</w:t>
            </w:r>
          </w:p>
        </w:tc>
        <w:tc>
          <w:tcPr>
            <w:tcW w:w="0" w:type="auto"/>
            <w:tcMar>
              <w:top w:w="0" w:type="dxa"/>
              <w:left w:w="108" w:type="dxa"/>
              <w:bottom w:w="0" w:type="dxa"/>
              <w:right w:w="108" w:type="dxa"/>
            </w:tcMar>
            <w:vAlign w:val="center"/>
            <w:hideMark/>
          </w:tcPr>
          <w:p w14:paraId="504B9630" w14:textId="77777777" w:rsidR="001C0B04" w:rsidRPr="00E54392" w:rsidRDefault="001C0B04" w:rsidP="002A7E94">
            <w:pPr>
              <w:jc w:val="center"/>
              <w:rPr>
                <w:lang w:eastAsia="es-ES"/>
              </w:rPr>
            </w:pPr>
            <w:r w:rsidRPr="00E54392">
              <w:rPr>
                <w:color w:val="000000"/>
                <w:sz w:val="16"/>
                <w:szCs w:val="16"/>
                <w:lang w:eastAsia="es-ES"/>
              </w:rPr>
              <w:t>67755.50</w:t>
            </w:r>
          </w:p>
        </w:tc>
        <w:tc>
          <w:tcPr>
            <w:tcW w:w="0" w:type="auto"/>
            <w:tcMar>
              <w:top w:w="0" w:type="dxa"/>
              <w:left w:w="108" w:type="dxa"/>
              <w:bottom w:w="0" w:type="dxa"/>
              <w:right w:w="108" w:type="dxa"/>
            </w:tcMar>
            <w:vAlign w:val="center"/>
            <w:hideMark/>
          </w:tcPr>
          <w:p w14:paraId="7ECD8E25"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2ED3120F" w14:textId="77777777" w:rsidR="001C0B04" w:rsidRPr="00E54392" w:rsidRDefault="001C0B04" w:rsidP="002A7E94">
            <w:pPr>
              <w:jc w:val="center"/>
              <w:rPr>
                <w:lang w:eastAsia="es-ES"/>
              </w:rPr>
            </w:pPr>
            <w:r w:rsidRPr="00E54392">
              <w:rPr>
                <w:color w:val="000000"/>
                <w:sz w:val="16"/>
                <w:szCs w:val="16"/>
                <w:shd w:val="clear" w:color="auto" w:fill="FFFF00"/>
                <w:lang w:eastAsia="es-ES"/>
              </w:rPr>
              <w:t>.11</w:t>
            </w:r>
          </w:p>
        </w:tc>
        <w:tc>
          <w:tcPr>
            <w:tcW w:w="0" w:type="auto"/>
            <w:gridSpan w:val="2"/>
            <w:tcMar>
              <w:top w:w="0" w:type="dxa"/>
              <w:left w:w="108" w:type="dxa"/>
              <w:bottom w:w="0" w:type="dxa"/>
              <w:right w:w="108" w:type="dxa"/>
            </w:tcMar>
            <w:vAlign w:val="center"/>
            <w:hideMark/>
          </w:tcPr>
          <w:p w14:paraId="7268A396" w14:textId="77777777" w:rsidR="001C0B04" w:rsidRPr="00E54392" w:rsidRDefault="001C0B04" w:rsidP="002A7E94">
            <w:pPr>
              <w:jc w:val="center"/>
              <w:rPr>
                <w:lang w:eastAsia="es-ES"/>
              </w:rPr>
            </w:pPr>
            <w:r w:rsidRPr="00E54392">
              <w:rPr>
                <w:color w:val="000000"/>
                <w:sz w:val="16"/>
                <w:szCs w:val="16"/>
                <w:lang w:eastAsia="es-ES"/>
              </w:rPr>
              <w:t>383.06</w:t>
            </w:r>
          </w:p>
        </w:tc>
        <w:tc>
          <w:tcPr>
            <w:tcW w:w="0" w:type="auto"/>
            <w:tcMar>
              <w:top w:w="0" w:type="dxa"/>
              <w:left w:w="108" w:type="dxa"/>
              <w:bottom w:w="0" w:type="dxa"/>
              <w:right w:w="108" w:type="dxa"/>
            </w:tcMar>
            <w:vAlign w:val="center"/>
            <w:hideMark/>
          </w:tcPr>
          <w:p w14:paraId="33589F0A" w14:textId="77777777" w:rsidR="001C0B04" w:rsidRPr="00E54392" w:rsidRDefault="001C0B04" w:rsidP="002A7E94">
            <w:pPr>
              <w:jc w:val="center"/>
              <w:rPr>
                <w:lang w:eastAsia="es-ES"/>
              </w:rPr>
            </w:pPr>
            <w:r w:rsidRPr="00E54392">
              <w:rPr>
                <w:color w:val="000000"/>
                <w:sz w:val="16"/>
                <w:szCs w:val="16"/>
                <w:lang w:eastAsia="es-ES"/>
              </w:rPr>
              <w:t>493.21</w:t>
            </w:r>
          </w:p>
        </w:tc>
        <w:tc>
          <w:tcPr>
            <w:tcW w:w="0" w:type="auto"/>
            <w:tcMar>
              <w:top w:w="0" w:type="dxa"/>
              <w:left w:w="108" w:type="dxa"/>
              <w:bottom w:w="0" w:type="dxa"/>
              <w:right w:w="108" w:type="dxa"/>
            </w:tcMar>
            <w:vAlign w:val="center"/>
            <w:hideMark/>
          </w:tcPr>
          <w:p w14:paraId="69DA0BB0" w14:textId="77777777" w:rsidR="001C0B04" w:rsidRPr="00E54392" w:rsidRDefault="001C0B04" w:rsidP="002A7E94">
            <w:pPr>
              <w:jc w:val="center"/>
              <w:rPr>
                <w:lang w:eastAsia="es-ES"/>
              </w:rPr>
            </w:pPr>
            <w:r w:rsidRPr="00E54392">
              <w:rPr>
                <w:color w:val="000000"/>
                <w:sz w:val="16"/>
                <w:szCs w:val="16"/>
                <w:lang w:eastAsia="es-ES"/>
              </w:rPr>
              <w:t>61538.50</w:t>
            </w:r>
          </w:p>
        </w:tc>
        <w:tc>
          <w:tcPr>
            <w:tcW w:w="0" w:type="auto"/>
            <w:tcMar>
              <w:top w:w="0" w:type="dxa"/>
              <w:left w:w="108" w:type="dxa"/>
              <w:bottom w:w="0" w:type="dxa"/>
              <w:right w:w="108" w:type="dxa"/>
            </w:tcMar>
            <w:vAlign w:val="center"/>
            <w:hideMark/>
          </w:tcPr>
          <w:p w14:paraId="6CFF3C98"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16C4955F" w14:textId="77777777" w:rsidR="001C0B04" w:rsidRPr="00E54392" w:rsidRDefault="001C0B04" w:rsidP="002A7E94">
            <w:pPr>
              <w:jc w:val="center"/>
              <w:rPr>
                <w:lang w:eastAsia="es-ES"/>
              </w:rPr>
            </w:pPr>
            <w:r w:rsidRPr="00E54392">
              <w:rPr>
                <w:color w:val="000000"/>
                <w:sz w:val="16"/>
                <w:szCs w:val="16"/>
                <w:shd w:val="clear" w:color="auto" w:fill="FFFF00"/>
                <w:lang w:eastAsia="es-ES"/>
              </w:rPr>
              <w:t>.17</w:t>
            </w:r>
          </w:p>
        </w:tc>
        <w:tc>
          <w:tcPr>
            <w:tcW w:w="0" w:type="auto"/>
            <w:vAlign w:val="center"/>
            <w:hideMark/>
          </w:tcPr>
          <w:p w14:paraId="0EA3249F" w14:textId="77777777" w:rsidR="001C0B04" w:rsidRPr="00E54392" w:rsidRDefault="001C0B04" w:rsidP="002A7E94">
            <w:pPr>
              <w:rPr>
                <w:sz w:val="20"/>
                <w:szCs w:val="20"/>
                <w:lang w:eastAsia="es-ES"/>
              </w:rPr>
            </w:pPr>
          </w:p>
        </w:tc>
      </w:tr>
      <w:tr w:rsidR="001C0B04" w:rsidRPr="00E54392" w14:paraId="6358A882" w14:textId="77777777" w:rsidTr="002A7E94">
        <w:tc>
          <w:tcPr>
            <w:tcW w:w="0" w:type="auto"/>
            <w:tcMar>
              <w:top w:w="0" w:type="dxa"/>
              <w:left w:w="108" w:type="dxa"/>
              <w:bottom w:w="0" w:type="dxa"/>
              <w:right w:w="108" w:type="dxa"/>
            </w:tcMar>
            <w:vAlign w:val="center"/>
            <w:hideMark/>
          </w:tcPr>
          <w:p w14:paraId="313B0BE0" w14:textId="77777777" w:rsidR="001C0B04" w:rsidRPr="00E54392" w:rsidRDefault="001C0B04" w:rsidP="002A7E94">
            <w:pPr>
              <w:ind w:left="340"/>
              <w:rPr>
                <w:lang w:eastAsia="es-ES"/>
              </w:rPr>
            </w:pPr>
            <w:r w:rsidRPr="00E54392">
              <w:rPr>
                <w:color w:val="000000"/>
                <w:sz w:val="18"/>
                <w:szCs w:val="18"/>
                <w:lang w:eastAsia="es-ES"/>
              </w:rPr>
              <w:t xml:space="preserve">Online </w:t>
            </w:r>
            <w:proofErr w:type="spellStart"/>
            <w:r w:rsidRPr="00E54392">
              <w:rPr>
                <w:color w:val="000000"/>
                <w:sz w:val="18"/>
                <w:szCs w:val="18"/>
                <w:lang w:eastAsia="es-ES"/>
              </w:rPr>
              <w:t>creative</w:t>
            </w:r>
            <w:proofErr w:type="spellEnd"/>
            <w:r w:rsidRPr="00E54392">
              <w:rPr>
                <w:color w:val="000000"/>
                <w:sz w:val="18"/>
                <w:szCs w:val="18"/>
                <w:lang w:eastAsia="es-ES"/>
              </w:rPr>
              <w:t xml:space="preserve"> </w:t>
            </w:r>
            <w:proofErr w:type="spellStart"/>
            <w:r w:rsidRPr="00E54392">
              <w:rPr>
                <w:color w:val="000000"/>
                <w:sz w:val="18"/>
                <w:szCs w:val="18"/>
                <w:lang w:eastAsia="es-ES"/>
              </w:rPr>
              <w:t>activities</w:t>
            </w:r>
            <w:proofErr w:type="spellEnd"/>
          </w:p>
        </w:tc>
        <w:tc>
          <w:tcPr>
            <w:tcW w:w="0" w:type="auto"/>
            <w:tcMar>
              <w:top w:w="0" w:type="dxa"/>
              <w:left w:w="108" w:type="dxa"/>
              <w:bottom w:w="0" w:type="dxa"/>
              <w:right w:w="108" w:type="dxa"/>
            </w:tcMar>
            <w:vAlign w:val="center"/>
            <w:hideMark/>
          </w:tcPr>
          <w:p w14:paraId="41434DAB" w14:textId="77777777" w:rsidR="001C0B04" w:rsidRPr="00E54392" w:rsidRDefault="001C0B04" w:rsidP="002A7E94">
            <w:pPr>
              <w:jc w:val="center"/>
              <w:rPr>
                <w:lang w:eastAsia="es-ES"/>
              </w:rPr>
            </w:pPr>
            <w:r w:rsidRPr="00E54392">
              <w:rPr>
                <w:color w:val="000000"/>
                <w:sz w:val="16"/>
                <w:szCs w:val="16"/>
                <w:lang w:eastAsia="es-ES"/>
              </w:rPr>
              <w:t>519.73</w:t>
            </w:r>
          </w:p>
        </w:tc>
        <w:tc>
          <w:tcPr>
            <w:tcW w:w="0" w:type="auto"/>
            <w:tcMar>
              <w:top w:w="0" w:type="dxa"/>
              <w:left w:w="108" w:type="dxa"/>
              <w:bottom w:w="0" w:type="dxa"/>
              <w:right w:w="108" w:type="dxa"/>
            </w:tcMar>
            <w:vAlign w:val="center"/>
            <w:hideMark/>
          </w:tcPr>
          <w:p w14:paraId="4E0762ED" w14:textId="77777777" w:rsidR="001C0B04" w:rsidRPr="00E54392" w:rsidRDefault="001C0B04" w:rsidP="002A7E94">
            <w:pPr>
              <w:jc w:val="center"/>
              <w:rPr>
                <w:lang w:eastAsia="es-ES"/>
              </w:rPr>
            </w:pPr>
            <w:r w:rsidRPr="00E54392">
              <w:rPr>
                <w:color w:val="000000"/>
                <w:sz w:val="16"/>
                <w:szCs w:val="16"/>
                <w:lang w:eastAsia="es-ES"/>
              </w:rPr>
              <w:t>480.54</w:t>
            </w:r>
          </w:p>
        </w:tc>
        <w:tc>
          <w:tcPr>
            <w:tcW w:w="0" w:type="auto"/>
            <w:tcMar>
              <w:top w:w="0" w:type="dxa"/>
              <w:left w:w="108" w:type="dxa"/>
              <w:bottom w:w="0" w:type="dxa"/>
              <w:right w:w="108" w:type="dxa"/>
            </w:tcMar>
            <w:vAlign w:val="center"/>
            <w:hideMark/>
          </w:tcPr>
          <w:p w14:paraId="0C6AF4B8" w14:textId="77777777" w:rsidR="001C0B04" w:rsidRPr="00E54392" w:rsidRDefault="001C0B04" w:rsidP="002A7E94">
            <w:pPr>
              <w:jc w:val="center"/>
              <w:rPr>
                <w:lang w:eastAsia="es-ES"/>
              </w:rPr>
            </w:pPr>
            <w:r w:rsidRPr="00E54392">
              <w:rPr>
                <w:color w:val="000000"/>
                <w:sz w:val="16"/>
                <w:szCs w:val="16"/>
                <w:lang w:eastAsia="es-ES"/>
              </w:rPr>
              <w:t>83731.00</w:t>
            </w:r>
          </w:p>
        </w:tc>
        <w:tc>
          <w:tcPr>
            <w:tcW w:w="0" w:type="auto"/>
            <w:tcMar>
              <w:top w:w="0" w:type="dxa"/>
              <w:left w:w="108" w:type="dxa"/>
              <w:bottom w:w="0" w:type="dxa"/>
              <w:right w:w="108" w:type="dxa"/>
            </w:tcMar>
            <w:vAlign w:val="center"/>
            <w:hideMark/>
          </w:tcPr>
          <w:p w14:paraId="7E3AE96B" w14:textId="77777777" w:rsidR="001C0B04" w:rsidRPr="00E54392" w:rsidRDefault="001C0B04" w:rsidP="002A7E94">
            <w:pPr>
              <w:jc w:val="center"/>
              <w:rPr>
                <w:lang w:eastAsia="es-ES"/>
              </w:rPr>
            </w:pPr>
            <w:r w:rsidRPr="00E54392">
              <w:rPr>
                <w:color w:val="000000"/>
                <w:sz w:val="16"/>
                <w:szCs w:val="16"/>
                <w:lang w:eastAsia="es-ES"/>
              </w:rPr>
              <w:t>.058</w:t>
            </w:r>
          </w:p>
        </w:tc>
        <w:tc>
          <w:tcPr>
            <w:tcW w:w="0" w:type="auto"/>
            <w:gridSpan w:val="2"/>
            <w:tcMar>
              <w:top w:w="0" w:type="dxa"/>
              <w:left w:w="108" w:type="dxa"/>
              <w:bottom w:w="0" w:type="dxa"/>
              <w:right w:w="108" w:type="dxa"/>
            </w:tcMar>
            <w:vAlign w:val="center"/>
            <w:hideMark/>
          </w:tcPr>
          <w:p w14:paraId="35199F04" w14:textId="77777777" w:rsidR="001C0B04" w:rsidRPr="00E54392" w:rsidRDefault="001C0B04" w:rsidP="002A7E94">
            <w:pPr>
              <w:jc w:val="center"/>
              <w:rPr>
                <w:lang w:eastAsia="es-ES"/>
              </w:rPr>
            </w:pPr>
            <w:r w:rsidRPr="00E54392">
              <w:rPr>
                <w:color w:val="000000"/>
                <w:sz w:val="16"/>
                <w:szCs w:val="16"/>
                <w:shd w:val="clear" w:color="auto" w:fill="FFFF00"/>
                <w:lang w:eastAsia="es-ES"/>
              </w:rPr>
              <w:t>.06</w:t>
            </w:r>
          </w:p>
        </w:tc>
        <w:tc>
          <w:tcPr>
            <w:tcW w:w="0" w:type="auto"/>
            <w:tcMar>
              <w:top w:w="0" w:type="dxa"/>
              <w:left w:w="108" w:type="dxa"/>
              <w:bottom w:w="0" w:type="dxa"/>
              <w:right w:w="108" w:type="dxa"/>
            </w:tcMar>
            <w:vAlign w:val="center"/>
            <w:hideMark/>
          </w:tcPr>
          <w:p w14:paraId="32F61AB8" w14:textId="77777777" w:rsidR="001C0B04" w:rsidRPr="00E54392" w:rsidRDefault="001C0B04" w:rsidP="002A7E94">
            <w:pPr>
              <w:jc w:val="center"/>
              <w:rPr>
                <w:lang w:eastAsia="es-ES"/>
              </w:rPr>
            </w:pPr>
            <w:r w:rsidRPr="00E54392">
              <w:rPr>
                <w:color w:val="000000"/>
                <w:sz w:val="16"/>
                <w:szCs w:val="16"/>
                <w:lang w:eastAsia="es-ES"/>
              </w:rPr>
              <w:t>360.10</w:t>
            </w:r>
          </w:p>
        </w:tc>
        <w:tc>
          <w:tcPr>
            <w:tcW w:w="0" w:type="auto"/>
            <w:tcMar>
              <w:top w:w="0" w:type="dxa"/>
              <w:left w:w="108" w:type="dxa"/>
              <w:bottom w:w="0" w:type="dxa"/>
              <w:right w:w="108" w:type="dxa"/>
            </w:tcMar>
            <w:vAlign w:val="center"/>
            <w:hideMark/>
          </w:tcPr>
          <w:p w14:paraId="266BDC83" w14:textId="77777777" w:rsidR="001C0B04" w:rsidRPr="00E54392" w:rsidRDefault="001C0B04" w:rsidP="002A7E94">
            <w:pPr>
              <w:jc w:val="center"/>
              <w:rPr>
                <w:lang w:eastAsia="es-ES"/>
              </w:rPr>
            </w:pPr>
            <w:r w:rsidRPr="00E54392">
              <w:rPr>
                <w:color w:val="000000"/>
                <w:sz w:val="16"/>
                <w:szCs w:val="16"/>
                <w:lang w:eastAsia="es-ES"/>
              </w:rPr>
              <w:t>534.92</w:t>
            </w:r>
          </w:p>
        </w:tc>
        <w:tc>
          <w:tcPr>
            <w:tcW w:w="0" w:type="auto"/>
            <w:tcMar>
              <w:top w:w="0" w:type="dxa"/>
              <w:left w:w="108" w:type="dxa"/>
              <w:bottom w:w="0" w:type="dxa"/>
              <w:right w:w="108" w:type="dxa"/>
            </w:tcMar>
            <w:vAlign w:val="center"/>
            <w:hideMark/>
          </w:tcPr>
          <w:p w14:paraId="12F75500" w14:textId="77777777" w:rsidR="001C0B04" w:rsidRPr="00E54392" w:rsidRDefault="001C0B04" w:rsidP="002A7E94">
            <w:pPr>
              <w:jc w:val="center"/>
              <w:rPr>
                <w:lang w:eastAsia="es-ES"/>
              </w:rPr>
            </w:pPr>
            <w:r w:rsidRPr="00E54392">
              <w:rPr>
                <w:color w:val="000000"/>
                <w:sz w:val="16"/>
                <w:szCs w:val="16"/>
                <w:lang w:eastAsia="es-ES"/>
              </w:rPr>
              <w:t>58541.00</w:t>
            </w:r>
          </w:p>
        </w:tc>
        <w:tc>
          <w:tcPr>
            <w:tcW w:w="0" w:type="auto"/>
            <w:tcMar>
              <w:top w:w="0" w:type="dxa"/>
              <w:left w:w="108" w:type="dxa"/>
              <w:bottom w:w="0" w:type="dxa"/>
              <w:right w:w="108" w:type="dxa"/>
            </w:tcMar>
            <w:vAlign w:val="center"/>
            <w:hideMark/>
          </w:tcPr>
          <w:p w14:paraId="35849873"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3AD93723" w14:textId="77777777" w:rsidR="001C0B04" w:rsidRPr="00E54392" w:rsidRDefault="001C0B04" w:rsidP="002A7E94">
            <w:pPr>
              <w:jc w:val="center"/>
              <w:rPr>
                <w:lang w:eastAsia="es-ES"/>
              </w:rPr>
            </w:pPr>
            <w:r w:rsidRPr="00E54392">
              <w:rPr>
                <w:color w:val="000000"/>
                <w:sz w:val="16"/>
                <w:szCs w:val="16"/>
                <w:shd w:val="clear" w:color="auto" w:fill="FFFF00"/>
                <w:lang w:eastAsia="es-ES"/>
              </w:rPr>
              <w:t>.27</w:t>
            </w:r>
          </w:p>
        </w:tc>
        <w:tc>
          <w:tcPr>
            <w:tcW w:w="0" w:type="auto"/>
            <w:gridSpan w:val="2"/>
            <w:tcMar>
              <w:top w:w="0" w:type="dxa"/>
              <w:left w:w="108" w:type="dxa"/>
              <w:bottom w:w="0" w:type="dxa"/>
              <w:right w:w="108" w:type="dxa"/>
            </w:tcMar>
            <w:vAlign w:val="center"/>
            <w:hideMark/>
          </w:tcPr>
          <w:p w14:paraId="3A251EDE" w14:textId="77777777" w:rsidR="001C0B04" w:rsidRPr="00E54392" w:rsidRDefault="001C0B04" w:rsidP="002A7E94">
            <w:pPr>
              <w:jc w:val="center"/>
              <w:rPr>
                <w:lang w:eastAsia="es-ES"/>
              </w:rPr>
            </w:pPr>
            <w:r w:rsidRPr="00E54392">
              <w:rPr>
                <w:color w:val="000000"/>
                <w:sz w:val="16"/>
                <w:szCs w:val="16"/>
                <w:lang w:eastAsia="es-ES"/>
              </w:rPr>
              <w:t>396.75</w:t>
            </w:r>
          </w:p>
        </w:tc>
        <w:tc>
          <w:tcPr>
            <w:tcW w:w="0" w:type="auto"/>
            <w:tcMar>
              <w:top w:w="0" w:type="dxa"/>
              <w:left w:w="108" w:type="dxa"/>
              <w:bottom w:w="0" w:type="dxa"/>
              <w:right w:w="108" w:type="dxa"/>
            </w:tcMar>
            <w:vAlign w:val="center"/>
            <w:hideMark/>
          </w:tcPr>
          <w:p w14:paraId="3D1E0CBB" w14:textId="77777777" w:rsidR="001C0B04" w:rsidRPr="00E54392" w:rsidRDefault="001C0B04" w:rsidP="002A7E94">
            <w:pPr>
              <w:jc w:val="center"/>
              <w:rPr>
                <w:lang w:eastAsia="es-ES"/>
              </w:rPr>
            </w:pPr>
            <w:r w:rsidRPr="00E54392">
              <w:rPr>
                <w:color w:val="000000"/>
                <w:sz w:val="16"/>
                <w:szCs w:val="16"/>
                <w:lang w:eastAsia="es-ES"/>
              </w:rPr>
              <w:t>522.43</w:t>
            </w:r>
          </w:p>
        </w:tc>
        <w:tc>
          <w:tcPr>
            <w:tcW w:w="0" w:type="auto"/>
            <w:tcMar>
              <w:top w:w="0" w:type="dxa"/>
              <w:left w:w="108" w:type="dxa"/>
              <w:bottom w:w="0" w:type="dxa"/>
              <w:right w:w="108" w:type="dxa"/>
            </w:tcMar>
            <w:vAlign w:val="center"/>
            <w:hideMark/>
          </w:tcPr>
          <w:p w14:paraId="44DB32DB" w14:textId="77777777" w:rsidR="001C0B04" w:rsidRPr="00E54392" w:rsidRDefault="001C0B04" w:rsidP="002A7E94">
            <w:pPr>
              <w:jc w:val="center"/>
              <w:rPr>
                <w:lang w:eastAsia="es-ES"/>
              </w:rPr>
            </w:pPr>
            <w:r w:rsidRPr="00E54392">
              <w:rPr>
                <w:color w:val="000000"/>
                <w:sz w:val="16"/>
                <w:szCs w:val="16"/>
                <w:lang w:eastAsia="es-ES"/>
              </w:rPr>
              <w:t>67666.00</w:t>
            </w:r>
          </w:p>
        </w:tc>
        <w:tc>
          <w:tcPr>
            <w:tcW w:w="0" w:type="auto"/>
            <w:tcMar>
              <w:top w:w="0" w:type="dxa"/>
              <w:left w:w="108" w:type="dxa"/>
              <w:bottom w:w="0" w:type="dxa"/>
              <w:right w:w="108" w:type="dxa"/>
            </w:tcMar>
            <w:vAlign w:val="center"/>
            <w:hideMark/>
          </w:tcPr>
          <w:p w14:paraId="283ADBFE"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75167058" w14:textId="77777777" w:rsidR="001C0B04" w:rsidRPr="00E54392" w:rsidRDefault="001C0B04" w:rsidP="002A7E94">
            <w:pPr>
              <w:rPr>
                <w:lang w:eastAsia="es-ES"/>
              </w:rPr>
            </w:pPr>
            <w:r w:rsidRPr="00E54392">
              <w:rPr>
                <w:color w:val="000000"/>
                <w:sz w:val="16"/>
                <w:szCs w:val="16"/>
                <w:shd w:val="clear" w:color="auto" w:fill="FFFF00"/>
                <w:lang w:eastAsia="es-ES"/>
              </w:rPr>
              <w:t>.19</w:t>
            </w:r>
          </w:p>
        </w:tc>
        <w:tc>
          <w:tcPr>
            <w:tcW w:w="0" w:type="auto"/>
            <w:vAlign w:val="center"/>
            <w:hideMark/>
          </w:tcPr>
          <w:p w14:paraId="78E0CE56" w14:textId="77777777" w:rsidR="001C0B04" w:rsidRPr="00E54392" w:rsidRDefault="001C0B04" w:rsidP="002A7E94">
            <w:pPr>
              <w:rPr>
                <w:sz w:val="20"/>
                <w:szCs w:val="20"/>
                <w:lang w:eastAsia="es-ES"/>
              </w:rPr>
            </w:pPr>
          </w:p>
        </w:tc>
      </w:tr>
      <w:tr w:rsidR="001C0B04" w:rsidRPr="00E54392" w14:paraId="2EEEC194" w14:textId="77777777" w:rsidTr="002A7E94">
        <w:tc>
          <w:tcPr>
            <w:tcW w:w="0" w:type="auto"/>
            <w:tcMar>
              <w:top w:w="0" w:type="dxa"/>
              <w:left w:w="108" w:type="dxa"/>
              <w:bottom w:w="0" w:type="dxa"/>
              <w:right w:w="108" w:type="dxa"/>
            </w:tcMar>
            <w:hideMark/>
          </w:tcPr>
          <w:p w14:paraId="5B457963" w14:textId="77777777" w:rsidR="001C0B04" w:rsidRPr="00E54392" w:rsidRDefault="001C0B04" w:rsidP="002A7E94">
            <w:pPr>
              <w:rPr>
                <w:lang w:eastAsia="es-ES"/>
              </w:rPr>
            </w:pPr>
            <w:proofErr w:type="spellStart"/>
            <w:r w:rsidRPr="00E54392">
              <w:rPr>
                <w:color w:val="000000"/>
                <w:sz w:val="20"/>
                <w:szCs w:val="20"/>
                <w:lang w:eastAsia="es-ES"/>
              </w:rPr>
              <w:t>Community</w:t>
            </w:r>
            <w:proofErr w:type="spellEnd"/>
            <w:r w:rsidRPr="00E54392">
              <w:rPr>
                <w:color w:val="000000"/>
                <w:sz w:val="20"/>
                <w:szCs w:val="20"/>
                <w:lang w:eastAsia="es-ES"/>
              </w:rPr>
              <w:t xml:space="preserve"> </w:t>
            </w:r>
            <w:proofErr w:type="spellStart"/>
            <w:r w:rsidRPr="00E54392">
              <w:rPr>
                <w:color w:val="000000"/>
                <w:sz w:val="20"/>
                <w:szCs w:val="20"/>
                <w:lang w:eastAsia="es-ES"/>
              </w:rPr>
              <w:t>actions</w:t>
            </w:r>
            <w:proofErr w:type="spellEnd"/>
          </w:p>
        </w:tc>
        <w:tc>
          <w:tcPr>
            <w:tcW w:w="0" w:type="auto"/>
            <w:gridSpan w:val="17"/>
            <w:tcMar>
              <w:top w:w="0" w:type="dxa"/>
              <w:left w:w="108" w:type="dxa"/>
              <w:bottom w:w="0" w:type="dxa"/>
              <w:right w:w="108" w:type="dxa"/>
            </w:tcMar>
            <w:vAlign w:val="center"/>
            <w:hideMark/>
          </w:tcPr>
          <w:p w14:paraId="134EB5F7" w14:textId="77777777" w:rsidR="001C0B04" w:rsidRPr="00E54392" w:rsidRDefault="001C0B04" w:rsidP="002A7E94">
            <w:pPr>
              <w:jc w:val="center"/>
              <w:rPr>
                <w:lang w:eastAsia="es-ES"/>
              </w:rPr>
            </w:pPr>
            <w:r w:rsidRPr="00186210">
              <w:rPr>
                <w:color w:val="000000"/>
                <w:sz w:val="20"/>
                <w:szCs w:val="20"/>
                <w:lang w:eastAsia="es-ES"/>
              </w:rPr>
              <w:t>Wave 2</w:t>
            </w:r>
          </w:p>
        </w:tc>
        <w:tc>
          <w:tcPr>
            <w:tcW w:w="0" w:type="auto"/>
            <w:vAlign w:val="center"/>
            <w:hideMark/>
          </w:tcPr>
          <w:p w14:paraId="4DA786E4" w14:textId="77777777" w:rsidR="001C0B04" w:rsidRPr="00E54392" w:rsidRDefault="001C0B04" w:rsidP="002A7E94">
            <w:pPr>
              <w:rPr>
                <w:sz w:val="20"/>
                <w:szCs w:val="20"/>
                <w:lang w:eastAsia="es-ES"/>
              </w:rPr>
            </w:pPr>
          </w:p>
        </w:tc>
      </w:tr>
      <w:tr w:rsidR="001C0B04" w:rsidRPr="00E54392" w14:paraId="0B0E9697" w14:textId="77777777" w:rsidTr="002A7E94">
        <w:tc>
          <w:tcPr>
            <w:tcW w:w="0" w:type="auto"/>
            <w:tcMar>
              <w:top w:w="0" w:type="dxa"/>
              <w:left w:w="108" w:type="dxa"/>
              <w:bottom w:w="0" w:type="dxa"/>
              <w:right w:w="108" w:type="dxa"/>
            </w:tcMar>
            <w:hideMark/>
          </w:tcPr>
          <w:p w14:paraId="1885220F" w14:textId="77777777" w:rsidR="001C0B04" w:rsidRPr="00E54392" w:rsidRDefault="001C0B04" w:rsidP="002A7E94">
            <w:pPr>
              <w:ind w:left="340"/>
              <w:rPr>
                <w:lang w:eastAsia="es-ES"/>
              </w:rPr>
            </w:pPr>
            <w:proofErr w:type="spellStart"/>
            <w:r w:rsidRPr="00E54392">
              <w:rPr>
                <w:color w:val="000000"/>
                <w:sz w:val="18"/>
                <w:szCs w:val="18"/>
                <w:lang w:eastAsia="es-ES"/>
              </w:rPr>
              <w:t>Community</w:t>
            </w:r>
            <w:proofErr w:type="spellEnd"/>
            <w:r w:rsidRPr="00E54392">
              <w:rPr>
                <w:color w:val="000000"/>
                <w:sz w:val="18"/>
                <w:szCs w:val="18"/>
                <w:lang w:eastAsia="es-ES"/>
              </w:rPr>
              <w:t xml:space="preserve"> </w:t>
            </w:r>
            <w:proofErr w:type="spellStart"/>
            <w:r w:rsidRPr="00E54392">
              <w:rPr>
                <w:color w:val="000000"/>
                <w:sz w:val="18"/>
                <w:szCs w:val="18"/>
                <w:lang w:eastAsia="es-ES"/>
              </w:rPr>
              <w:t>participation</w:t>
            </w:r>
            <w:proofErr w:type="spellEnd"/>
          </w:p>
        </w:tc>
        <w:tc>
          <w:tcPr>
            <w:tcW w:w="0" w:type="auto"/>
            <w:tcMar>
              <w:top w:w="0" w:type="dxa"/>
              <w:left w:w="108" w:type="dxa"/>
              <w:bottom w:w="0" w:type="dxa"/>
              <w:right w:w="108" w:type="dxa"/>
            </w:tcMar>
            <w:vAlign w:val="center"/>
            <w:hideMark/>
          </w:tcPr>
          <w:p w14:paraId="46786461" w14:textId="77777777" w:rsidR="001C0B04" w:rsidRPr="00E54392" w:rsidRDefault="001C0B04" w:rsidP="002A7E94">
            <w:pPr>
              <w:jc w:val="center"/>
              <w:rPr>
                <w:lang w:eastAsia="es-ES"/>
              </w:rPr>
            </w:pPr>
            <w:r w:rsidRPr="00E54392">
              <w:rPr>
                <w:color w:val="000000"/>
                <w:sz w:val="16"/>
                <w:szCs w:val="16"/>
                <w:lang w:eastAsia="es-ES"/>
              </w:rPr>
              <w:t>523.65</w:t>
            </w:r>
          </w:p>
        </w:tc>
        <w:tc>
          <w:tcPr>
            <w:tcW w:w="0" w:type="auto"/>
            <w:tcMar>
              <w:top w:w="0" w:type="dxa"/>
              <w:left w:w="108" w:type="dxa"/>
              <w:bottom w:w="0" w:type="dxa"/>
              <w:right w:w="108" w:type="dxa"/>
            </w:tcMar>
            <w:vAlign w:val="center"/>
            <w:hideMark/>
          </w:tcPr>
          <w:p w14:paraId="13AFA94B" w14:textId="77777777" w:rsidR="001C0B04" w:rsidRPr="00E54392" w:rsidRDefault="001C0B04" w:rsidP="002A7E94">
            <w:pPr>
              <w:jc w:val="center"/>
              <w:rPr>
                <w:lang w:eastAsia="es-ES"/>
              </w:rPr>
            </w:pPr>
            <w:r w:rsidRPr="00E54392">
              <w:rPr>
                <w:color w:val="000000"/>
                <w:sz w:val="16"/>
                <w:szCs w:val="16"/>
                <w:lang w:eastAsia="es-ES"/>
              </w:rPr>
              <w:t>583.93</w:t>
            </w:r>
          </w:p>
        </w:tc>
        <w:tc>
          <w:tcPr>
            <w:tcW w:w="0" w:type="auto"/>
            <w:tcMar>
              <w:top w:w="0" w:type="dxa"/>
              <w:left w:w="108" w:type="dxa"/>
              <w:bottom w:w="0" w:type="dxa"/>
              <w:right w:w="108" w:type="dxa"/>
            </w:tcMar>
            <w:vAlign w:val="center"/>
            <w:hideMark/>
          </w:tcPr>
          <w:p w14:paraId="54FE63BC" w14:textId="77777777" w:rsidR="001C0B04" w:rsidRPr="00E54392" w:rsidRDefault="001C0B04" w:rsidP="002A7E94">
            <w:pPr>
              <w:jc w:val="center"/>
              <w:rPr>
                <w:lang w:eastAsia="es-ES"/>
              </w:rPr>
            </w:pPr>
            <w:r w:rsidRPr="00E54392">
              <w:rPr>
                <w:color w:val="000000"/>
                <w:sz w:val="16"/>
                <w:szCs w:val="16"/>
                <w:lang w:eastAsia="es-ES"/>
              </w:rPr>
              <w:t>133071.50</w:t>
            </w:r>
          </w:p>
        </w:tc>
        <w:tc>
          <w:tcPr>
            <w:tcW w:w="0" w:type="auto"/>
            <w:tcMar>
              <w:top w:w="0" w:type="dxa"/>
              <w:left w:w="108" w:type="dxa"/>
              <w:bottom w:w="0" w:type="dxa"/>
              <w:right w:w="108" w:type="dxa"/>
            </w:tcMar>
            <w:vAlign w:val="center"/>
            <w:hideMark/>
          </w:tcPr>
          <w:p w14:paraId="3E44F3B2" w14:textId="77777777" w:rsidR="001C0B04" w:rsidRPr="00E54392" w:rsidRDefault="001C0B04" w:rsidP="002A7E94">
            <w:pPr>
              <w:jc w:val="center"/>
              <w:rPr>
                <w:lang w:eastAsia="es-ES"/>
              </w:rPr>
            </w:pPr>
            <w:r w:rsidRPr="00E54392">
              <w:rPr>
                <w:color w:val="000000"/>
                <w:sz w:val="16"/>
                <w:szCs w:val="16"/>
                <w:lang w:eastAsia="es-ES"/>
              </w:rPr>
              <w:t>.002</w:t>
            </w:r>
          </w:p>
        </w:tc>
        <w:tc>
          <w:tcPr>
            <w:tcW w:w="0" w:type="auto"/>
            <w:gridSpan w:val="2"/>
            <w:tcMar>
              <w:top w:w="0" w:type="dxa"/>
              <w:left w:w="108" w:type="dxa"/>
              <w:bottom w:w="0" w:type="dxa"/>
              <w:right w:w="108" w:type="dxa"/>
            </w:tcMar>
            <w:vAlign w:val="center"/>
            <w:hideMark/>
          </w:tcPr>
          <w:p w14:paraId="7645C9AE" w14:textId="77777777" w:rsidR="001C0B04" w:rsidRPr="00E54392" w:rsidRDefault="001C0B04" w:rsidP="002A7E94">
            <w:pPr>
              <w:jc w:val="center"/>
              <w:rPr>
                <w:lang w:eastAsia="es-ES"/>
              </w:rPr>
            </w:pPr>
            <w:r w:rsidRPr="00E54392">
              <w:rPr>
                <w:color w:val="000000"/>
                <w:sz w:val="16"/>
                <w:szCs w:val="16"/>
                <w:shd w:val="clear" w:color="auto" w:fill="FFFF00"/>
                <w:lang w:eastAsia="es-ES"/>
              </w:rPr>
              <w:t>.09</w:t>
            </w:r>
          </w:p>
        </w:tc>
        <w:tc>
          <w:tcPr>
            <w:tcW w:w="0" w:type="auto"/>
            <w:tcMar>
              <w:top w:w="0" w:type="dxa"/>
              <w:left w:w="108" w:type="dxa"/>
              <w:bottom w:w="0" w:type="dxa"/>
              <w:right w:w="108" w:type="dxa"/>
            </w:tcMar>
            <w:vAlign w:val="center"/>
            <w:hideMark/>
          </w:tcPr>
          <w:p w14:paraId="6E570621" w14:textId="77777777" w:rsidR="001C0B04" w:rsidRPr="00E54392" w:rsidRDefault="001C0B04" w:rsidP="002A7E94">
            <w:pPr>
              <w:jc w:val="center"/>
              <w:rPr>
                <w:lang w:eastAsia="es-ES"/>
              </w:rPr>
            </w:pPr>
            <w:r w:rsidRPr="00E54392">
              <w:rPr>
                <w:color w:val="000000"/>
                <w:sz w:val="16"/>
                <w:szCs w:val="16"/>
                <w:lang w:eastAsia="es-ES"/>
              </w:rPr>
              <w:t>507.24</w:t>
            </w:r>
          </w:p>
        </w:tc>
        <w:tc>
          <w:tcPr>
            <w:tcW w:w="0" w:type="auto"/>
            <w:tcMar>
              <w:top w:w="0" w:type="dxa"/>
              <w:left w:w="108" w:type="dxa"/>
              <w:bottom w:w="0" w:type="dxa"/>
              <w:right w:w="108" w:type="dxa"/>
            </w:tcMar>
            <w:vAlign w:val="center"/>
            <w:hideMark/>
          </w:tcPr>
          <w:p w14:paraId="1B930BD0" w14:textId="77777777" w:rsidR="001C0B04" w:rsidRPr="00E54392" w:rsidRDefault="001C0B04" w:rsidP="002A7E94">
            <w:pPr>
              <w:jc w:val="center"/>
              <w:rPr>
                <w:lang w:eastAsia="es-ES"/>
              </w:rPr>
            </w:pPr>
            <w:r w:rsidRPr="00E54392">
              <w:rPr>
                <w:color w:val="000000"/>
                <w:sz w:val="16"/>
                <w:szCs w:val="16"/>
                <w:lang w:eastAsia="es-ES"/>
              </w:rPr>
              <w:t>604.35</w:t>
            </w:r>
          </w:p>
        </w:tc>
        <w:tc>
          <w:tcPr>
            <w:tcW w:w="0" w:type="auto"/>
            <w:tcMar>
              <w:top w:w="0" w:type="dxa"/>
              <w:left w:w="108" w:type="dxa"/>
              <w:bottom w:w="0" w:type="dxa"/>
              <w:right w:w="108" w:type="dxa"/>
            </w:tcMar>
            <w:vAlign w:val="center"/>
            <w:hideMark/>
          </w:tcPr>
          <w:p w14:paraId="7338ECB9" w14:textId="77777777" w:rsidR="001C0B04" w:rsidRPr="00E54392" w:rsidRDefault="001C0B04" w:rsidP="002A7E94">
            <w:pPr>
              <w:jc w:val="center"/>
              <w:rPr>
                <w:lang w:eastAsia="es-ES"/>
              </w:rPr>
            </w:pPr>
            <w:r w:rsidRPr="00E54392">
              <w:rPr>
                <w:color w:val="000000"/>
                <w:sz w:val="16"/>
                <w:szCs w:val="16"/>
                <w:lang w:eastAsia="es-ES"/>
              </w:rPr>
              <w:t>123063.00</w:t>
            </w:r>
          </w:p>
        </w:tc>
        <w:tc>
          <w:tcPr>
            <w:tcW w:w="0" w:type="auto"/>
            <w:tcMar>
              <w:top w:w="0" w:type="dxa"/>
              <w:left w:w="108" w:type="dxa"/>
              <w:bottom w:w="0" w:type="dxa"/>
              <w:right w:w="108" w:type="dxa"/>
            </w:tcMar>
            <w:vAlign w:val="center"/>
            <w:hideMark/>
          </w:tcPr>
          <w:p w14:paraId="69DE5DF4"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12C75773" w14:textId="77777777" w:rsidR="001C0B04" w:rsidRPr="00E54392" w:rsidRDefault="001C0B04" w:rsidP="002A7E94">
            <w:pPr>
              <w:jc w:val="center"/>
              <w:rPr>
                <w:lang w:eastAsia="es-ES"/>
              </w:rPr>
            </w:pPr>
            <w:r w:rsidRPr="00E54392">
              <w:rPr>
                <w:color w:val="000000"/>
                <w:sz w:val="16"/>
                <w:szCs w:val="16"/>
                <w:shd w:val="clear" w:color="auto" w:fill="FFFF00"/>
                <w:lang w:eastAsia="es-ES"/>
              </w:rPr>
              <w:t>.15</w:t>
            </w:r>
          </w:p>
        </w:tc>
        <w:tc>
          <w:tcPr>
            <w:tcW w:w="0" w:type="auto"/>
            <w:gridSpan w:val="2"/>
            <w:tcMar>
              <w:top w:w="0" w:type="dxa"/>
              <w:left w:w="108" w:type="dxa"/>
              <w:bottom w:w="0" w:type="dxa"/>
              <w:right w:w="108" w:type="dxa"/>
            </w:tcMar>
            <w:vAlign w:val="center"/>
            <w:hideMark/>
          </w:tcPr>
          <w:p w14:paraId="04728948" w14:textId="77777777" w:rsidR="001C0B04" w:rsidRPr="00E54392" w:rsidRDefault="001C0B04" w:rsidP="002A7E94">
            <w:pPr>
              <w:jc w:val="center"/>
              <w:rPr>
                <w:lang w:eastAsia="es-ES"/>
              </w:rPr>
            </w:pPr>
            <w:r w:rsidRPr="00E54392">
              <w:rPr>
                <w:color w:val="000000"/>
                <w:sz w:val="16"/>
                <w:szCs w:val="16"/>
                <w:lang w:eastAsia="es-ES"/>
              </w:rPr>
              <w:t>507.08</w:t>
            </w:r>
          </w:p>
        </w:tc>
        <w:tc>
          <w:tcPr>
            <w:tcW w:w="0" w:type="auto"/>
            <w:tcMar>
              <w:top w:w="0" w:type="dxa"/>
              <w:left w:w="108" w:type="dxa"/>
              <w:bottom w:w="0" w:type="dxa"/>
              <w:right w:w="108" w:type="dxa"/>
            </w:tcMar>
            <w:vAlign w:val="center"/>
            <w:hideMark/>
          </w:tcPr>
          <w:p w14:paraId="390952F8" w14:textId="77777777" w:rsidR="001C0B04" w:rsidRPr="00E54392" w:rsidRDefault="001C0B04" w:rsidP="002A7E94">
            <w:pPr>
              <w:jc w:val="center"/>
              <w:rPr>
                <w:lang w:eastAsia="es-ES"/>
              </w:rPr>
            </w:pPr>
            <w:r w:rsidRPr="00E54392">
              <w:rPr>
                <w:color w:val="000000"/>
                <w:sz w:val="16"/>
                <w:szCs w:val="16"/>
                <w:lang w:eastAsia="es-ES"/>
              </w:rPr>
              <w:t>604.55</w:t>
            </w:r>
          </w:p>
        </w:tc>
        <w:tc>
          <w:tcPr>
            <w:tcW w:w="0" w:type="auto"/>
            <w:tcMar>
              <w:top w:w="0" w:type="dxa"/>
              <w:left w:w="108" w:type="dxa"/>
              <w:bottom w:w="0" w:type="dxa"/>
              <w:right w:w="108" w:type="dxa"/>
            </w:tcMar>
            <w:vAlign w:val="center"/>
            <w:hideMark/>
          </w:tcPr>
          <w:p w14:paraId="35C0B655" w14:textId="77777777" w:rsidR="001C0B04" w:rsidRPr="00E54392" w:rsidRDefault="001C0B04" w:rsidP="002A7E94">
            <w:pPr>
              <w:jc w:val="center"/>
              <w:rPr>
                <w:lang w:eastAsia="es-ES"/>
              </w:rPr>
            </w:pPr>
            <w:r w:rsidRPr="00E54392">
              <w:rPr>
                <w:color w:val="000000"/>
                <w:sz w:val="16"/>
                <w:szCs w:val="16"/>
                <w:lang w:eastAsia="es-ES"/>
              </w:rPr>
              <w:t>122966.500</w:t>
            </w:r>
          </w:p>
        </w:tc>
        <w:tc>
          <w:tcPr>
            <w:tcW w:w="0" w:type="auto"/>
            <w:tcMar>
              <w:top w:w="0" w:type="dxa"/>
              <w:left w:w="108" w:type="dxa"/>
              <w:bottom w:w="0" w:type="dxa"/>
              <w:right w:w="108" w:type="dxa"/>
            </w:tcMar>
            <w:vAlign w:val="center"/>
            <w:hideMark/>
          </w:tcPr>
          <w:p w14:paraId="3D1FA43C"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01EC64F9" w14:textId="77777777" w:rsidR="001C0B04" w:rsidRPr="00E54392" w:rsidRDefault="001C0B04" w:rsidP="002A7E94">
            <w:pPr>
              <w:jc w:val="center"/>
              <w:rPr>
                <w:lang w:eastAsia="es-ES"/>
              </w:rPr>
            </w:pPr>
            <w:r w:rsidRPr="00E54392">
              <w:rPr>
                <w:color w:val="000000"/>
                <w:sz w:val="16"/>
                <w:szCs w:val="16"/>
                <w:shd w:val="clear" w:color="auto" w:fill="FFFF00"/>
                <w:lang w:eastAsia="es-ES"/>
              </w:rPr>
              <w:t>.02</w:t>
            </w:r>
          </w:p>
        </w:tc>
        <w:tc>
          <w:tcPr>
            <w:tcW w:w="0" w:type="auto"/>
            <w:vAlign w:val="center"/>
            <w:hideMark/>
          </w:tcPr>
          <w:p w14:paraId="64EA4965" w14:textId="77777777" w:rsidR="001C0B04" w:rsidRPr="00E54392" w:rsidRDefault="001C0B04" w:rsidP="002A7E94">
            <w:pPr>
              <w:rPr>
                <w:sz w:val="20"/>
                <w:szCs w:val="20"/>
                <w:lang w:eastAsia="es-ES"/>
              </w:rPr>
            </w:pPr>
          </w:p>
        </w:tc>
      </w:tr>
      <w:tr w:rsidR="001C0B04" w:rsidRPr="00E54392" w14:paraId="7FF55A9D" w14:textId="77777777" w:rsidTr="002A7E94">
        <w:tc>
          <w:tcPr>
            <w:tcW w:w="0" w:type="auto"/>
            <w:tcMar>
              <w:top w:w="0" w:type="dxa"/>
              <w:left w:w="108" w:type="dxa"/>
              <w:bottom w:w="0" w:type="dxa"/>
              <w:right w:w="108" w:type="dxa"/>
            </w:tcMar>
            <w:hideMark/>
          </w:tcPr>
          <w:p w14:paraId="49B3E2BE" w14:textId="77777777" w:rsidR="001C0B04" w:rsidRPr="00E54392" w:rsidRDefault="001C0B04" w:rsidP="002A7E94">
            <w:pPr>
              <w:ind w:left="340"/>
              <w:rPr>
                <w:lang w:eastAsia="es-ES"/>
              </w:rPr>
            </w:pPr>
            <w:proofErr w:type="spellStart"/>
            <w:r w:rsidRPr="00E54392">
              <w:rPr>
                <w:color w:val="000000"/>
                <w:sz w:val="18"/>
                <w:szCs w:val="18"/>
                <w:lang w:eastAsia="es-ES"/>
              </w:rPr>
              <w:t>Helping</w:t>
            </w:r>
            <w:proofErr w:type="spellEnd"/>
            <w:r w:rsidRPr="00E54392">
              <w:rPr>
                <w:color w:val="000000"/>
                <w:sz w:val="18"/>
                <w:szCs w:val="18"/>
                <w:lang w:eastAsia="es-ES"/>
              </w:rPr>
              <w:t xml:space="preserve"> </w:t>
            </w:r>
            <w:proofErr w:type="spellStart"/>
            <w:r w:rsidRPr="00E54392">
              <w:rPr>
                <w:color w:val="000000"/>
                <w:sz w:val="18"/>
                <w:szCs w:val="18"/>
                <w:lang w:eastAsia="es-ES"/>
              </w:rPr>
              <w:t>others</w:t>
            </w:r>
            <w:proofErr w:type="spellEnd"/>
          </w:p>
        </w:tc>
        <w:tc>
          <w:tcPr>
            <w:tcW w:w="0" w:type="auto"/>
            <w:tcMar>
              <w:top w:w="0" w:type="dxa"/>
              <w:left w:w="108" w:type="dxa"/>
              <w:bottom w:w="0" w:type="dxa"/>
              <w:right w:w="108" w:type="dxa"/>
            </w:tcMar>
            <w:vAlign w:val="center"/>
            <w:hideMark/>
          </w:tcPr>
          <w:p w14:paraId="150E5C3B" w14:textId="77777777" w:rsidR="001C0B04" w:rsidRPr="00E54392" w:rsidRDefault="001C0B04" w:rsidP="002A7E94">
            <w:pPr>
              <w:jc w:val="center"/>
              <w:rPr>
                <w:lang w:eastAsia="es-ES"/>
              </w:rPr>
            </w:pPr>
            <w:r w:rsidRPr="00E54392">
              <w:rPr>
                <w:color w:val="000000"/>
                <w:sz w:val="16"/>
                <w:szCs w:val="16"/>
                <w:lang w:eastAsia="es-ES"/>
              </w:rPr>
              <w:t>553.10</w:t>
            </w:r>
          </w:p>
        </w:tc>
        <w:tc>
          <w:tcPr>
            <w:tcW w:w="0" w:type="auto"/>
            <w:tcMar>
              <w:top w:w="0" w:type="dxa"/>
              <w:left w:w="108" w:type="dxa"/>
              <w:bottom w:w="0" w:type="dxa"/>
              <w:right w:w="108" w:type="dxa"/>
            </w:tcMar>
            <w:vAlign w:val="center"/>
            <w:hideMark/>
          </w:tcPr>
          <w:p w14:paraId="62F508AA" w14:textId="77777777" w:rsidR="001C0B04" w:rsidRPr="00E54392" w:rsidRDefault="001C0B04" w:rsidP="002A7E94">
            <w:pPr>
              <w:jc w:val="center"/>
              <w:rPr>
                <w:lang w:eastAsia="es-ES"/>
              </w:rPr>
            </w:pPr>
            <w:r w:rsidRPr="00E54392">
              <w:rPr>
                <w:color w:val="000000"/>
                <w:sz w:val="16"/>
                <w:szCs w:val="16"/>
                <w:lang w:eastAsia="es-ES"/>
              </w:rPr>
              <w:t>546.53</w:t>
            </w:r>
          </w:p>
        </w:tc>
        <w:tc>
          <w:tcPr>
            <w:tcW w:w="0" w:type="auto"/>
            <w:tcMar>
              <w:top w:w="0" w:type="dxa"/>
              <w:left w:w="108" w:type="dxa"/>
              <w:bottom w:w="0" w:type="dxa"/>
              <w:right w:w="108" w:type="dxa"/>
            </w:tcMar>
            <w:vAlign w:val="center"/>
            <w:hideMark/>
          </w:tcPr>
          <w:p w14:paraId="6D5A5BAA" w14:textId="77777777" w:rsidR="001C0B04" w:rsidRPr="00E54392" w:rsidRDefault="001C0B04" w:rsidP="002A7E94">
            <w:pPr>
              <w:jc w:val="center"/>
              <w:rPr>
                <w:lang w:eastAsia="es-ES"/>
              </w:rPr>
            </w:pPr>
            <w:r w:rsidRPr="00E54392">
              <w:rPr>
                <w:color w:val="000000"/>
                <w:sz w:val="16"/>
                <w:szCs w:val="16"/>
                <w:lang w:eastAsia="es-ES"/>
              </w:rPr>
              <w:t>50048.50</w:t>
            </w:r>
          </w:p>
        </w:tc>
        <w:tc>
          <w:tcPr>
            <w:tcW w:w="0" w:type="auto"/>
            <w:tcMar>
              <w:top w:w="0" w:type="dxa"/>
              <w:left w:w="108" w:type="dxa"/>
              <w:bottom w:w="0" w:type="dxa"/>
              <w:right w:w="108" w:type="dxa"/>
            </w:tcMar>
            <w:vAlign w:val="center"/>
            <w:hideMark/>
          </w:tcPr>
          <w:p w14:paraId="3E7B76E7" w14:textId="77777777" w:rsidR="001C0B04" w:rsidRPr="00E54392" w:rsidRDefault="001C0B04" w:rsidP="002A7E94">
            <w:pPr>
              <w:jc w:val="center"/>
              <w:rPr>
                <w:lang w:eastAsia="es-ES"/>
              </w:rPr>
            </w:pPr>
            <w:r w:rsidRPr="00E54392">
              <w:rPr>
                <w:color w:val="000000"/>
                <w:sz w:val="16"/>
                <w:szCs w:val="16"/>
                <w:lang w:eastAsia="es-ES"/>
              </w:rPr>
              <w:t>.043</w:t>
            </w:r>
          </w:p>
        </w:tc>
        <w:tc>
          <w:tcPr>
            <w:tcW w:w="0" w:type="auto"/>
            <w:gridSpan w:val="2"/>
            <w:tcMar>
              <w:top w:w="0" w:type="dxa"/>
              <w:left w:w="108" w:type="dxa"/>
              <w:bottom w:w="0" w:type="dxa"/>
              <w:right w:w="108" w:type="dxa"/>
            </w:tcMar>
            <w:vAlign w:val="center"/>
            <w:hideMark/>
          </w:tcPr>
          <w:p w14:paraId="218D565C"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4636C41D" w14:textId="77777777" w:rsidR="001C0B04" w:rsidRPr="00E54392" w:rsidRDefault="001C0B04" w:rsidP="002A7E94">
            <w:pPr>
              <w:jc w:val="center"/>
              <w:rPr>
                <w:lang w:eastAsia="es-ES"/>
              </w:rPr>
            </w:pPr>
            <w:r w:rsidRPr="00E54392">
              <w:rPr>
                <w:color w:val="000000"/>
                <w:sz w:val="16"/>
                <w:szCs w:val="16"/>
                <w:lang w:eastAsia="es-ES"/>
              </w:rPr>
              <w:t>541.61</w:t>
            </w:r>
          </w:p>
        </w:tc>
        <w:tc>
          <w:tcPr>
            <w:tcW w:w="0" w:type="auto"/>
            <w:tcMar>
              <w:top w:w="0" w:type="dxa"/>
              <w:left w:w="108" w:type="dxa"/>
              <w:bottom w:w="0" w:type="dxa"/>
              <w:right w:w="108" w:type="dxa"/>
            </w:tcMar>
            <w:vAlign w:val="center"/>
            <w:hideMark/>
          </w:tcPr>
          <w:p w14:paraId="3E0E6B52" w14:textId="77777777" w:rsidR="001C0B04" w:rsidRPr="00E54392" w:rsidRDefault="001C0B04" w:rsidP="002A7E94">
            <w:pPr>
              <w:jc w:val="center"/>
              <w:rPr>
                <w:lang w:eastAsia="es-ES"/>
              </w:rPr>
            </w:pPr>
            <w:r w:rsidRPr="00E54392">
              <w:rPr>
                <w:color w:val="000000"/>
                <w:sz w:val="16"/>
                <w:szCs w:val="16"/>
                <w:lang w:eastAsia="es-ES"/>
              </w:rPr>
              <w:t>660.69</w:t>
            </w:r>
          </w:p>
        </w:tc>
        <w:tc>
          <w:tcPr>
            <w:tcW w:w="0" w:type="auto"/>
            <w:tcMar>
              <w:top w:w="0" w:type="dxa"/>
              <w:left w:w="108" w:type="dxa"/>
              <w:bottom w:w="0" w:type="dxa"/>
              <w:right w:w="108" w:type="dxa"/>
            </w:tcMar>
            <w:vAlign w:val="center"/>
            <w:hideMark/>
          </w:tcPr>
          <w:p w14:paraId="4A37FA03" w14:textId="77777777" w:rsidR="001C0B04" w:rsidRPr="00E54392" w:rsidRDefault="001C0B04" w:rsidP="002A7E94">
            <w:pPr>
              <w:jc w:val="center"/>
              <w:rPr>
                <w:lang w:eastAsia="es-ES"/>
              </w:rPr>
            </w:pPr>
            <w:r w:rsidRPr="00E54392">
              <w:rPr>
                <w:color w:val="000000"/>
                <w:sz w:val="16"/>
                <w:szCs w:val="16"/>
                <w:lang w:eastAsia="es-ES"/>
              </w:rPr>
              <w:t>39724.50</w:t>
            </w:r>
          </w:p>
        </w:tc>
        <w:tc>
          <w:tcPr>
            <w:tcW w:w="0" w:type="auto"/>
            <w:tcMar>
              <w:top w:w="0" w:type="dxa"/>
              <w:left w:w="108" w:type="dxa"/>
              <w:bottom w:w="0" w:type="dxa"/>
              <w:right w:w="108" w:type="dxa"/>
            </w:tcMar>
            <w:vAlign w:val="center"/>
            <w:hideMark/>
          </w:tcPr>
          <w:p w14:paraId="607F1B08"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073CE8DD" w14:textId="77777777" w:rsidR="001C0B04" w:rsidRPr="00E54392" w:rsidRDefault="001C0B04" w:rsidP="002A7E94">
            <w:pPr>
              <w:jc w:val="center"/>
              <w:rPr>
                <w:lang w:eastAsia="es-ES"/>
              </w:rPr>
            </w:pPr>
            <w:r w:rsidRPr="00E54392">
              <w:rPr>
                <w:color w:val="000000"/>
                <w:sz w:val="16"/>
                <w:szCs w:val="16"/>
                <w:shd w:val="clear" w:color="auto" w:fill="FFFF00"/>
                <w:lang w:eastAsia="es-ES"/>
              </w:rPr>
              <w:t>.10</w:t>
            </w:r>
          </w:p>
        </w:tc>
        <w:tc>
          <w:tcPr>
            <w:tcW w:w="0" w:type="auto"/>
            <w:gridSpan w:val="2"/>
            <w:tcMar>
              <w:top w:w="0" w:type="dxa"/>
              <w:left w:w="108" w:type="dxa"/>
              <w:bottom w:w="0" w:type="dxa"/>
              <w:right w:w="108" w:type="dxa"/>
            </w:tcMar>
            <w:vAlign w:val="center"/>
            <w:hideMark/>
          </w:tcPr>
          <w:p w14:paraId="46BE096D" w14:textId="77777777" w:rsidR="001C0B04" w:rsidRPr="00E54392" w:rsidRDefault="001C0B04" w:rsidP="002A7E94">
            <w:pPr>
              <w:jc w:val="center"/>
              <w:rPr>
                <w:lang w:eastAsia="es-ES"/>
              </w:rPr>
            </w:pPr>
            <w:r w:rsidRPr="00E54392">
              <w:rPr>
                <w:color w:val="000000"/>
                <w:sz w:val="16"/>
                <w:szCs w:val="16"/>
                <w:lang w:eastAsia="es-ES"/>
              </w:rPr>
              <w:t>543.73</w:t>
            </w:r>
          </w:p>
        </w:tc>
        <w:tc>
          <w:tcPr>
            <w:tcW w:w="0" w:type="auto"/>
            <w:tcMar>
              <w:top w:w="0" w:type="dxa"/>
              <w:left w:w="108" w:type="dxa"/>
              <w:bottom w:w="0" w:type="dxa"/>
              <w:right w:w="108" w:type="dxa"/>
            </w:tcMar>
            <w:vAlign w:val="center"/>
            <w:hideMark/>
          </w:tcPr>
          <w:p w14:paraId="037C7BB5" w14:textId="77777777" w:rsidR="001C0B04" w:rsidRPr="00E54392" w:rsidRDefault="001C0B04" w:rsidP="002A7E94">
            <w:pPr>
              <w:jc w:val="center"/>
              <w:rPr>
                <w:lang w:eastAsia="es-ES"/>
              </w:rPr>
            </w:pPr>
            <w:r w:rsidRPr="00E54392">
              <w:rPr>
                <w:color w:val="000000"/>
                <w:sz w:val="16"/>
                <w:szCs w:val="16"/>
                <w:lang w:eastAsia="es-ES"/>
              </w:rPr>
              <w:t>639.59</w:t>
            </w:r>
          </w:p>
        </w:tc>
        <w:tc>
          <w:tcPr>
            <w:tcW w:w="0" w:type="auto"/>
            <w:tcMar>
              <w:top w:w="0" w:type="dxa"/>
              <w:left w:w="108" w:type="dxa"/>
              <w:bottom w:w="0" w:type="dxa"/>
              <w:right w:w="108" w:type="dxa"/>
            </w:tcMar>
            <w:vAlign w:val="center"/>
            <w:hideMark/>
          </w:tcPr>
          <w:p w14:paraId="59A291D0" w14:textId="77777777" w:rsidR="001C0B04" w:rsidRPr="00E54392" w:rsidRDefault="001C0B04" w:rsidP="002A7E94">
            <w:pPr>
              <w:jc w:val="center"/>
              <w:rPr>
                <w:lang w:eastAsia="es-ES"/>
              </w:rPr>
            </w:pPr>
            <w:r w:rsidRPr="00E54392">
              <w:rPr>
                <w:color w:val="000000"/>
                <w:sz w:val="16"/>
                <w:szCs w:val="16"/>
                <w:lang w:eastAsia="es-ES"/>
              </w:rPr>
              <w:t>41855.50</w:t>
            </w:r>
          </w:p>
        </w:tc>
        <w:tc>
          <w:tcPr>
            <w:tcW w:w="0" w:type="auto"/>
            <w:tcMar>
              <w:top w:w="0" w:type="dxa"/>
              <w:left w:w="108" w:type="dxa"/>
              <w:bottom w:w="0" w:type="dxa"/>
              <w:right w:w="108" w:type="dxa"/>
            </w:tcMar>
            <w:vAlign w:val="center"/>
            <w:hideMark/>
          </w:tcPr>
          <w:p w14:paraId="4CC0C835" w14:textId="77777777" w:rsidR="001C0B04" w:rsidRPr="00E54392" w:rsidRDefault="001C0B04" w:rsidP="002A7E94">
            <w:pPr>
              <w:jc w:val="center"/>
              <w:rPr>
                <w:lang w:eastAsia="es-ES"/>
              </w:rPr>
            </w:pPr>
            <w:r w:rsidRPr="00E54392">
              <w:rPr>
                <w:color w:val="000000"/>
                <w:sz w:val="16"/>
                <w:szCs w:val="16"/>
                <w:lang w:eastAsia="es-ES"/>
              </w:rPr>
              <w:t>.004</w:t>
            </w:r>
          </w:p>
        </w:tc>
        <w:tc>
          <w:tcPr>
            <w:tcW w:w="0" w:type="auto"/>
            <w:tcMar>
              <w:top w:w="0" w:type="dxa"/>
              <w:left w:w="108" w:type="dxa"/>
              <w:bottom w:w="0" w:type="dxa"/>
              <w:right w:w="108" w:type="dxa"/>
            </w:tcMar>
            <w:vAlign w:val="center"/>
            <w:hideMark/>
          </w:tcPr>
          <w:p w14:paraId="1ACD6575" w14:textId="77777777" w:rsidR="001C0B04" w:rsidRPr="00E54392" w:rsidRDefault="001C0B04" w:rsidP="002A7E94">
            <w:pPr>
              <w:jc w:val="center"/>
              <w:rPr>
                <w:lang w:eastAsia="es-ES"/>
              </w:rPr>
            </w:pPr>
            <w:r w:rsidRPr="00E54392">
              <w:rPr>
                <w:color w:val="000000"/>
                <w:sz w:val="16"/>
                <w:szCs w:val="16"/>
                <w:shd w:val="clear" w:color="auto" w:fill="FFFF00"/>
                <w:lang w:eastAsia="es-ES"/>
              </w:rPr>
              <w:t>.15</w:t>
            </w:r>
          </w:p>
        </w:tc>
        <w:tc>
          <w:tcPr>
            <w:tcW w:w="0" w:type="auto"/>
            <w:vAlign w:val="center"/>
            <w:hideMark/>
          </w:tcPr>
          <w:p w14:paraId="54BA08ED" w14:textId="77777777" w:rsidR="001C0B04" w:rsidRPr="00E54392" w:rsidRDefault="001C0B04" w:rsidP="002A7E94">
            <w:pPr>
              <w:rPr>
                <w:sz w:val="20"/>
                <w:szCs w:val="20"/>
                <w:lang w:eastAsia="es-ES"/>
              </w:rPr>
            </w:pPr>
          </w:p>
        </w:tc>
      </w:tr>
      <w:tr w:rsidR="001C0B04" w:rsidRPr="00E54392" w14:paraId="7612AC2D" w14:textId="77777777" w:rsidTr="002A7E94">
        <w:tc>
          <w:tcPr>
            <w:tcW w:w="0" w:type="auto"/>
            <w:tcMar>
              <w:top w:w="0" w:type="dxa"/>
              <w:left w:w="108" w:type="dxa"/>
              <w:bottom w:w="0" w:type="dxa"/>
              <w:right w:w="108" w:type="dxa"/>
            </w:tcMar>
            <w:hideMark/>
          </w:tcPr>
          <w:p w14:paraId="02A2362B" w14:textId="77777777" w:rsidR="001C0B04" w:rsidRPr="00E54392" w:rsidRDefault="001C0B04" w:rsidP="002A7E94">
            <w:pPr>
              <w:ind w:left="340"/>
              <w:rPr>
                <w:lang w:eastAsia="es-ES"/>
              </w:rPr>
            </w:pPr>
            <w:proofErr w:type="spellStart"/>
            <w:r w:rsidRPr="00E54392">
              <w:rPr>
                <w:color w:val="000000"/>
                <w:sz w:val="18"/>
                <w:szCs w:val="18"/>
                <w:lang w:eastAsia="es-ES"/>
              </w:rPr>
              <w:t>Donating</w:t>
            </w:r>
            <w:proofErr w:type="spellEnd"/>
            <w:r w:rsidRPr="00E54392">
              <w:rPr>
                <w:color w:val="000000"/>
                <w:sz w:val="18"/>
                <w:szCs w:val="18"/>
                <w:lang w:eastAsia="es-ES"/>
              </w:rPr>
              <w:t xml:space="preserve"> </w:t>
            </w:r>
            <w:proofErr w:type="spellStart"/>
            <w:r w:rsidRPr="00E54392">
              <w:rPr>
                <w:color w:val="000000"/>
                <w:sz w:val="18"/>
                <w:szCs w:val="18"/>
                <w:lang w:eastAsia="es-ES"/>
              </w:rPr>
              <w:t>money</w:t>
            </w:r>
            <w:proofErr w:type="spellEnd"/>
          </w:p>
        </w:tc>
        <w:tc>
          <w:tcPr>
            <w:tcW w:w="0" w:type="auto"/>
            <w:tcMar>
              <w:top w:w="0" w:type="dxa"/>
              <w:left w:w="108" w:type="dxa"/>
              <w:bottom w:w="0" w:type="dxa"/>
              <w:right w:w="108" w:type="dxa"/>
            </w:tcMar>
            <w:vAlign w:val="center"/>
            <w:hideMark/>
          </w:tcPr>
          <w:p w14:paraId="2404D049" w14:textId="77777777" w:rsidR="001C0B04" w:rsidRPr="00E54392" w:rsidRDefault="001C0B04" w:rsidP="002A7E94">
            <w:pPr>
              <w:jc w:val="center"/>
              <w:rPr>
                <w:lang w:eastAsia="es-ES"/>
              </w:rPr>
            </w:pPr>
            <w:r w:rsidRPr="00E54392">
              <w:rPr>
                <w:color w:val="000000"/>
                <w:sz w:val="16"/>
                <w:szCs w:val="16"/>
                <w:lang w:eastAsia="es-ES"/>
              </w:rPr>
              <w:t>533.76</w:t>
            </w:r>
          </w:p>
        </w:tc>
        <w:tc>
          <w:tcPr>
            <w:tcW w:w="0" w:type="auto"/>
            <w:tcMar>
              <w:top w:w="0" w:type="dxa"/>
              <w:left w:w="108" w:type="dxa"/>
              <w:bottom w:w="0" w:type="dxa"/>
              <w:right w:w="108" w:type="dxa"/>
            </w:tcMar>
            <w:vAlign w:val="center"/>
            <w:hideMark/>
          </w:tcPr>
          <w:p w14:paraId="67B750FE" w14:textId="77777777" w:rsidR="001C0B04" w:rsidRPr="00E54392" w:rsidRDefault="001C0B04" w:rsidP="002A7E94">
            <w:pPr>
              <w:jc w:val="center"/>
              <w:rPr>
                <w:lang w:eastAsia="es-ES"/>
              </w:rPr>
            </w:pPr>
            <w:r w:rsidRPr="00E54392">
              <w:rPr>
                <w:color w:val="000000"/>
                <w:sz w:val="16"/>
                <w:szCs w:val="16"/>
                <w:lang w:eastAsia="es-ES"/>
              </w:rPr>
              <w:t>479.94</w:t>
            </w:r>
          </w:p>
        </w:tc>
        <w:tc>
          <w:tcPr>
            <w:tcW w:w="0" w:type="auto"/>
            <w:tcMar>
              <w:top w:w="0" w:type="dxa"/>
              <w:left w:w="108" w:type="dxa"/>
              <w:bottom w:w="0" w:type="dxa"/>
              <w:right w:w="108" w:type="dxa"/>
            </w:tcMar>
            <w:vAlign w:val="center"/>
            <w:hideMark/>
          </w:tcPr>
          <w:p w14:paraId="7EAB1442" w14:textId="77777777" w:rsidR="001C0B04" w:rsidRPr="00E54392" w:rsidRDefault="001C0B04" w:rsidP="002A7E94">
            <w:pPr>
              <w:jc w:val="center"/>
              <w:rPr>
                <w:lang w:eastAsia="es-ES"/>
              </w:rPr>
            </w:pPr>
            <w:r w:rsidRPr="00E54392">
              <w:rPr>
                <w:color w:val="000000"/>
                <w:sz w:val="16"/>
                <w:szCs w:val="16"/>
                <w:lang w:eastAsia="es-ES"/>
              </w:rPr>
              <w:t>11673.50</w:t>
            </w:r>
          </w:p>
        </w:tc>
        <w:tc>
          <w:tcPr>
            <w:tcW w:w="0" w:type="auto"/>
            <w:tcMar>
              <w:top w:w="0" w:type="dxa"/>
              <w:left w:w="108" w:type="dxa"/>
              <w:bottom w:w="0" w:type="dxa"/>
              <w:right w:w="108" w:type="dxa"/>
            </w:tcMar>
            <w:vAlign w:val="center"/>
            <w:hideMark/>
          </w:tcPr>
          <w:p w14:paraId="04352F14" w14:textId="77777777" w:rsidR="001C0B04" w:rsidRPr="00E54392" w:rsidRDefault="001C0B04" w:rsidP="002A7E94">
            <w:pPr>
              <w:jc w:val="center"/>
              <w:rPr>
                <w:lang w:eastAsia="es-ES"/>
              </w:rPr>
            </w:pPr>
            <w:r w:rsidRPr="00E54392">
              <w:rPr>
                <w:color w:val="000000"/>
                <w:sz w:val="16"/>
                <w:szCs w:val="16"/>
                <w:lang w:eastAsia="es-ES"/>
              </w:rPr>
              <w:t>.385</w:t>
            </w:r>
          </w:p>
        </w:tc>
        <w:tc>
          <w:tcPr>
            <w:tcW w:w="0" w:type="auto"/>
            <w:gridSpan w:val="2"/>
            <w:tcMar>
              <w:top w:w="0" w:type="dxa"/>
              <w:left w:w="108" w:type="dxa"/>
              <w:bottom w:w="0" w:type="dxa"/>
              <w:right w:w="108" w:type="dxa"/>
            </w:tcMar>
            <w:vAlign w:val="center"/>
            <w:hideMark/>
          </w:tcPr>
          <w:p w14:paraId="075BB290"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63DDFCCD" w14:textId="77777777" w:rsidR="001C0B04" w:rsidRPr="00E54392" w:rsidRDefault="001C0B04" w:rsidP="002A7E94">
            <w:pPr>
              <w:jc w:val="center"/>
              <w:rPr>
                <w:lang w:eastAsia="es-ES"/>
              </w:rPr>
            </w:pPr>
            <w:r w:rsidRPr="00E54392">
              <w:rPr>
                <w:color w:val="000000"/>
                <w:sz w:val="16"/>
                <w:szCs w:val="16"/>
                <w:lang w:eastAsia="es-ES"/>
              </w:rPr>
              <w:t>530.37</w:t>
            </w:r>
          </w:p>
        </w:tc>
        <w:tc>
          <w:tcPr>
            <w:tcW w:w="0" w:type="auto"/>
            <w:tcMar>
              <w:top w:w="0" w:type="dxa"/>
              <w:left w:w="108" w:type="dxa"/>
              <w:bottom w:w="0" w:type="dxa"/>
              <w:right w:w="108" w:type="dxa"/>
            </w:tcMar>
            <w:vAlign w:val="center"/>
            <w:hideMark/>
          </w:tcPr>
          <w:p w14:paraId="5638310B" w14:textId="77777777" w:rsidR="001C0B04" w:rsidRPr="00E54392" w:rsidRDefault="001C0B04" w:rsidP="002A7E94">
            <w:pPr>
              <w:jc w:val="center"/>
              <w:rPr>
                <w:lang w:eastAsia="es-ES"/>
              </w:rPr>
            </w:pPr>
            <w:r w:rsidRPr="00E54392">
              <w:rPr>
                <w:color w:val="000000"/>
                <w:sz w:val="16"/>
                <w:szCs w:val="16"/>
                <w:lang w:eastAsia="es-ES"/>
              </w:rPr>
              <w:t>620.90</w:t>
            </w:r>
          </w:p>
        </w:tc>
        <w:tc>
          <w:tcPr>
            <w:tcW w:w="0" w:type="auto"/>
            <w:tcMar>
              <w:top w:w="0" w:type="dxa"/>
              <w:left w:w="108" w:type="dxa"/>
              <w:bottom w:w="0" w:type="dxa"/>
              <w:right w:w="108" w:type="dxa"/>
            </w:tcMar>
            <w:vAlign w:val="center"/>
            <w:hideMark/>
          </w:tcPr>
          <w:p w14:paraId="44BE5467" w14:textId="77777777" w:rsidR="001C0B04" w:rsidRPr="00E54392" w:rsidRDefault="001C0B04" w:rsidP="002A7E94">
            <w:pPr>
              <w:jc w:val="center"/>
              <w:rPr>
                <w:lang w:eastAsia="es-ES"/>
              </w:rPr>
            </w:pPr>
            <w:r w:rsidRPr="00E54392">
              <w:rPr>
                <w:color w:val="000000"/>
                <w:sz w:val="16"/>
                <w:szCs w:val="16"/>
                <w:lang w:eastAsia="es-ES"/>
              </w:rPr>
              <w:t>10777.50</w:t>
            </w:r>
          </w:p>
        </w:tc>
        <w:tc>
          <w:tcPr>
            <w:tcW w:w="0" w:type="auto"/>
            <w:tcMar>
              <w:top w:w="0" w:type="dxa"/>
              <w:left w:w="108" w:type="dxa"/>
              <w:bottom w:w="0" w:type="dxa"/>
              <w:right w:w="108" w:type="dxa"/>
            </w:tcMar>
            <w:vAlign w:val="center"/>
            <w:hideMark/>
          </w:tcPr>
          <w:p w14:paraId="54B8D25A" w14:textId="77777777" w:rsidR="001C0B04" w:rsidRPr="00E54392" w:rsidRDefault="001C0B04" w:rsidP="002A7E94">
            <w:pPr>
              <w:jc w:val="center"/>
              <w:rPr>
                <w:lang w:eastAsia="es-ES"/>
              </w:rPr>
            </w:pPr>
            <w:r w:rsidRPr="00E54392">
              <w:rPr>
                <w:color w:val="000000"/>
                <w:sz w:val="16"/>
                <w:szCs w:val="16"/>
                <w:lang w:eastAsia="es-ES"/>
              </w:rPr>
              <w:t>.144</w:t>
            </w:r>
          </w:p>
        </w:tc>
        <w:tc>
          <w:tcPr>
            <w:tcW w:w="0" w:type="auto"/>
            <w:tcMar>
              <w:top w:w="0" w:type="dxa"/>
              <w:left w:w="108" w:type="dxa"/>
              <w:bottom w:w="0" w:type="dxa"/>
              <w:right w:w="108" w:type="dxa"/>
            </w:tcMar>
            <w:vAlign w:val="center"/>
            <w:hideMark/>
          </w:tcPr>
          <w:p w14:paraId="516AA5DA" w14:textId="77777777" w:rsidR="001C0B04" w:rsidRPr="00E54392" w:rsidRDefault="001C0B04" w:rsidP="002A7E94">
            <w:pPr>
              <w:jc w:val="center"/>
              <w:rPr>
                <w:lang w:eastAsia="es-ES"/>
              </w:rPr>
            </w:pPr>
            <w:r w:rsidRPr="00E54392">
              <w:rPr>
                <w:color w:val="000000"/>
                <w:sz w:val="16"/>
                <w:szCs w:val="16"/>
                <w:shd w:val="clear" w:color="auto" w:fill="FFFF00"/>
                <w:lang w:eastAsia="es-ES"/>
              </w:rPr>
              <w:t>.04</w:t>
            </w:r>
          </w:p>
        </w:tc>
        <w:tc>
          <w:tcPr>
            <w:tcW w:w="0" w:type="auto"/>
            <w:gridSpan w:val="2"/>
            <w:tcMar>
              <w:top w:w="0" w:type="dxa"/>
              <w:left w:w="108" w:type="dxa"/>
              <w:bottom w:w="0" w:type="dxa"/>
              <w:right w:w="108" w:type="dxa"/>
            </w:tcMar>
            <w:vAlign w:val="center"/>
            <w:hideMark/>
          </w:tcPr>
          <w:p w14:paraId="03699043" w14:textId="77777777" w:rsidR="001C0B04" w:rsidRPr="00E54392" w:rsidRDefault="001C0B04" w:rsidP="002A7E94">
            <w:pPr>
              <w:jc w:val="center"/>
              <w:rPr>
                <w:lang w:eastAsia="es-ES"/>
              </w:rPr>
            </w:pPr>
            <w:r w:rsidRPr="00E54392">
              <w:rPr>
                <w:color w:val="000000"/>
                <w:sz w:val="16"/>
                <w:szCs w:val="16"/>
                <w:lang w:eastAsia="es-ES"/>
              </w:rPr>
              <w:t>530.70</w:t>
            </w:r>
          </w:p>
        </w:tc>
        <w:tc>
          <w:tcPr>
            <w:tcW w:w="0" w:type="auto"/>
            <w:tcMar>
              <w:top w:w="0" w:type="dxa"/>
              <w:left w:w="108" w:type="dxa"/>
              <w:bottom w:w="0" w:type="dxa"/>
              <w:right w:w="108" w:type="dxa"/>
            </w:tcMar>
            <w:vAlign w:val="center"/>
            <w:hideMark/>
          </w:tcPr>
          <w:p w14:paraId="03D01BAE" w14:textId="77777777" w:rsidR="001C0B04" w:rsidRPr="00E54392" w:rsidRDefault="001C0B04" w:rsidP="002A7E94">
            <w:pPr>
              <w:jc w:val="center"/>
              <w:rPr>
                <w:lang w:eastAsia="es-ES"/>
              </w:rPr>
            </w:pPr>
            <w:r w:rsidRPr="00E54392">
              <w:rPr>
                <w:color w:val="000000"/>
                <w:sz w:val="16"/>
                <w:szCs w:val="16"/>
                <w:lang w:eastAsia="es-ES"/>
              </w:rPr>
              <w:t>607.20</w:t>
            </w:r>
          </w:p>
        </w:tc>
        <w:tc>
          <w:tcPr>
            <w:tcW w:w="0" w:type="auto"/>
            <w:tcMar>
              <w:top w:w="0" w:type="dxa"/>
              <w:left w:w="108" w:type="dxa"/>
              <w:bottom w:w="0" w:type="dxa"/>
              <w:right w:w="108" w:type="dxa"/>
            </w:tcMar>
            <w:vAlign w:val="center"/>
            <w:hideMark/>
          </w:tcPr>
          <w:p w14:paraId="61C2A4AC" w14:textId="77777777" w:rsidR="001C0B04" w:rsidRPr="00E54392" w:rsidRDefault="001C0B04" w:rsidP="002A7E94">
            <w:pPr>
              <w:jc w:val="center"/>
              <w:rPr>
                <w:lang w:eastAsia="es-ES"/>
              </w:rPr>
            </w:pPr>
            <w:r w:rsidRPr="00E54392">
              <w:rPr>
                <w:color w:val="000000"/>
                <w:sz w:val="16"/>
                <w:szCs w:val="16"/>
                <w:lang w:eastAsia="es-ES"/>
              </w:rPr>
              <w:t>11120.00</w:t>
            </w:r>
          </w:p>
        </w:tc>
        <w:tc>
          <w:tcPr>
            <w:tcW w:w="0" w:type="auto"/>
            <w:tcMar>
              <w:top w:w="0" w:type="dxa"/>
              <w:left w:w="108" w:type="dxa"/>
              <w:bottom w:w="0" w:type="dxa"/>
              <w:right w:w="108" w:type="dxa"/>
            </w:tcMar>
            <w:vAlign w:val="center"/>
            <w:hideMark/>
          </w:tcPr>
          <w:p w14:paraId="033438C0" w14:textId="77777777" w:rsidR="001C0B04" w:rsidRPr="00E54392" w:rsidRDefault="001C0B04" w:rsidP="002A7E94">
            <w:pPr>
              <w:jc w:val="center"/>
              <w:rPr>
                <w:lang w:eastAsia="es-ES"/>
              </w:rPr>
            </w:pPr>
            <w:r w:rsidRPr="00E54392">
              <w:rPr>
                <w:color w:val="000000"/>
                <w:sz w:val="16"/>
                <w:szCs w:val="16"/>
                <w:lang w:eastAsia="es-ES"/>
              </w:rPr>
              <w:t>.218</w:t>
            </w:r>
          </w:p>
        </w:tc>
        <w:tc>
          <w:tcPr>
            <w:tcW w:w="0" w:type="auto"/>
            <w:tcMar>
              <w:top w:w="0" w:type="dxa"/>
              <w:left w:w="108" w:type="dxa"/>
              <w:bottom w:w="0" w:type="dxa"/>
              <w:right w:w="108" w:type="dxa"/>
            </w:tcMar>
            <w:vAlign w:val="center"/>
            <w:hideMark/>
          </w:tcPr>
          <w:p w14:paraId="0571BE33"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vAlign w:val="center"/>
            <w:hideMark/>
          </w:tcPr>
          <w:p w14:paraId="779A5097" w14:textId="77777777" w:rsidR="001C0B04" w:rsidRPr="00E54392" w:rsidRDefault="001C0B04" w:rsidP="002A7E94">
            <w:pPr>
              <w:rPr>
                <w:sz w:val="20"/>
                <w:szCs w:val="20"/>
                <w:lang w:eastAsia="es-ES"/>
              </w:rPr>
            </w:pPr>
          </w:p>
        </w:tc>
      </w:tr>
      <w:tr w:rsidR="001C0B04" w:rsidRPr="00E54392" w14:paraId="102B8743" w14:textId="77777777" w:rsidTr="002A7E94">
        <w:tc>
          <w:tcPr>
            <w:tcW w:w="0" w:type="auto"/>
            <w:tcMar>
              <w:top w:w="0" w:type="dxa"/>
              <w:left w:w="108" w:type="dxa"/>
              <w:bottom w:w="0" w:type="dxa"/>
              <w:right w:w="108" w:type="dxa"/>
            </w:tcMar>
            <w:hideMark/>
          </w:tcPr>
          <w:p w14:paraId="45642AAA" w14:textId="77777777" w:rsidR="001C0B04" w:rsidRPr="00E54392" w:rsidRDefault="001C0B04" w:rsidP="002A7E94">
            <w:pPr>
              <w:rPr>
                <w:lang w:eastAsia="es-ES"/>
              </w:rPr>
            </w:pPr>
            <w:r w:rsidRPr="00E54392">
              <w:rPr>
                <w:color w:val="000000"/>
                <w:sz w:val="20"/>
                <w:szCs w:val="20"/>
                <w:lang w:eastAsia="es-ES"/>
              </w:rPr>
              <w:t xml:space="preserve">Online </w:t>
            </w:r>
            <w:proofErr w:type="spellStart"/>
            <w:r w:rsidRPr="00E54392">
              <w:rPr>
                <w:color w:val="000000"/>
                <w:sz w:val="20"/>
                <w:szCs w:val="20"/>
                <w:lang w:eastAsia="es-ES"/>
              </w:rPr>
              <w:t>actions</w:t>
            </w:r>
            <w:proofErr w:type="spellEnd"/>
          </w:p>
        </w:tc>
        <w:tc>
          <w:tcPr>
            <w:tcW w:w="0" w:type="auto"/>
            <w:gridSpan w:val="17"/>
            <w:tcMar>
              <w:top w:w="0" w:type="dxa"/>
              <w:left w:w="108" w:type="dxa"/>
              <w:bottom w:w="0" w:type="dxa"/>
              <w:right w:w="108" w:type="dxa"/>
            </w:tcMar>
            <w:vAlign w:val="center"/>
            <w:hideMark/>
          </w:tcPr>
          <w:p w14:paraId="2EC5A063" w14:textId="77777777" w:rsidR="001C0B04" w:rsidRPr="00E54392" w:rsidRDefault="001C0B04" w:rsidP="002A7E94">
            <w:pPr>
              <w:jc w:val="center"/>
              <w:rPr>
                <w:lang w:eastAsia="es-ES"/>
              </w:rPr>
            </w:pPr>
            <w:r w:rsidRPr="00CB536A">
              <w:rPr>
                <w:color w:val="000000"/>
                <w:sz w:val="20"/>
                <w:szCs w:val="20"/>
                <w:lang w:eastAsia="es-ES"/>
              </w:rPr>
              <w:t>Wave 3</w:t>
            </w:r>
          </w:p>
        </w:tc>
        <w:tc>
          <w:tcPr>
            <w:tcW w:w="0" w:type="auto"/>
            <w:vAlign w:val="center"/>
            <w:hideMark/>
          </w:tcPr>
          <w:p w14:paraId="6EA6CDA1" w14:textId="77777777" w:rsidR="001C0B04" w:rsidRPr="00E54392" w:rsidRDefault="001C0B04" w:rsidP="002A7E94">
            <w:pPr>
              <w:rPr>
                <w:sz w:val="20"/>
                <w:szCs w:val="20"/>
                <w:lang w:eastAsia="es-ES"/>
              </w:rPr>
            </w:pPr>
          </w:p>
        </w:tc>
      </w:tr>
      <w:tr w:rsidR="001C0B04" w:rsidRPr="00E54392" w14:paraId="36839DEE" w14:textId="77777777" w:rsidTr="002A7E94">
        <w:tc>
          <w:tcPr>
            <w:tcW w:w="0" w:type="auto"/>
            <w:tcMar>
              <w:top w:w="0" w:type="dxa"/>
              <w:left w:w="108" w:type="dxa"/>
              <w:bottom w:w="0" w:type="dxa"/>
              <w:right w:w="108" w:type="dxa"/>
            </w:tcMar>
            <w:hideMark/>
          </w:tcPr>
          <w:p w14:paraId="70F0CCDC" w14:textId="77777777" w:rsidR="001C0B04" w:rsidRPr="00E54392" w:rsidRDefault="001C0B04" w:rsidP="002A7E94">
            <w:pPr>
              <w:ind w:left="340"/>
              <w:rPr>
                <w:lang w:eastAsia="es-ES"/>
              </w:rPr>
            </w:pPr>
            <w:r w:rsidRPr="00E54392">
              <w:rPr>
                <w:color w:val="000000"/>
                <w:sz w:val="18"/>
                <w:szCs w:val="18"/>
                <w:lang w:eastAsia="es-ES"/>
              </w:rPr>
              <w:t xml:space="preserve">Online </w:t>
            </w:r>
            <w:proofErr w:type="spellStart"/>
            <w:r w:rsidRPr="00E54392">
              <w:rPr>
                <w:color w:val="000000"/>
                <w:sz w:val="18"/>
                <w:szCs w:val="18"/>
                <w:lang w:eastAsia="es-ES"/>
              </w:rPr>
              <w:t>working</w:t>
            </w:r>
            <w:proofErr w:type="spellEnd"/>
            <w:r w:rsidRPr="00E54392">
              <w:rPr>
                <w:color w:val="000000"/>
                <w:sz w:val="18"/>
                <w:szCs w:val="18"/>
                <w:lang w:eastAsia="es-ES"/>
              </w:rPr>
              <w:t xml:space="preserve"> </w:t>
            </w:r>
            <w:proofErr w:type="spellStart"/>
            <w:r w:rsidRPr="00E54392">
              <w:rPr>
                <w:color w:val="000000"/>
                <w:sz w:val="18"/>
                <w:szCs w:val="18"/>
                <w:lang w:eastAsia="es-ES"/>
              </w:rPr>
              <w:t>or</w:t>
            </w:r>
            <w:proofErr w:type="spellEnd"/>
            <w:r w:rsidRPr="00E54392">
              <w:rPr>
                <w:color w:val="000000"/>
                <w:sz w:val="18"/>
                <w:szCs w:val="18"/>
                <w:lang w:eastAsia="es-ES"/>
              </w:rPr>
              <w:t xml:space="preserve"> </w:t>
            </w:r>
            <w:proofErr w:type="spellStart"/>
            <w:r w:rsidRPr="00E54392">
              <w:rPr>
                <w:color w:val="000000"/>
                <w:sz w:val="18"/>
                <w:szCs w:val="18"/>
                <w:lang w:eastAsia="es-ES"/>
              </w:rPr>
              <w:t>studying</w:t>
            </w:r>
            <w:proofErr w:type="spellEnd"/>
          </w:p>
        </w:tc>
        <w:tc>
          <w:tcPr>
            <w:tcW w:w="0" w:type="auto"/>
            <w:tcMar>
              <w:top w:w="0" w:type="dxa"/>
              <w:left w:w="108" w:type="dxa"/>
              <w:bottom w:w="0" w:type="dxa"/>
              <w:right w:w="108" w:type="dxa"/>
            </w:tcMar>
            <w:vAlign w:val="center"/>
            <w:hideMark/>
          </w:tcPr>
          <w:p w14:paraId="60F0049D" w14:textId="77777777" w:rsidR="001C0B04" w:rsidRPr="00E54392" w:rsidRDefault="001C0B04" w:rsidP="002A7E94">
            <w:pPr>
              <w:jc w:val="center"/>
              <w:rPr>
                <w:lang w:eastAsia="es-ES"/>
              </w:rPr>
            </w:pPr>
            <w:r w:rsidRPr="00E54392">
              <w:rPr>
                <w:color w:val="000000"/>
                <w:sz w:val="16"/>
                <w:szCs w:val="16"/>
                <w:lang w:eastAsia="es-ES"/>
              </w:rPr>
              <w:t>587.01</w:t>
            </w:r>
          </w:p>
        </w:tc>
        <w:tc>
          <w:tcPr>
            <w:tcW w:w="0" w:type="auto"/>
            <w:tcMar>
              <w:top w:w="0" w:type="dxa"/>
              <w:left w:w="108" w:type="dxa"/>
              <w:bottom w:w="0" w:type="dxa"/>
              <w:right w:w="108" w:type="dxa"/>
            </w:tcMar>
            <w:vAlign w:val="center"/>
            <w:hideMark/>
          </w:tcPr>
          <w:p w14:paraId="72EDDC11" w14:textId="77777777" w:rsidR="001C0B04" w:rsidRPr="00E54392" w:rsidRDefault="001C0B04" w:rsidP="002A7E94">
            <w:pPr>
              <w:jc w:val="center"/>
              <w:rPr>
                <w:lang w:eastAsia="es-ES"/>
              </w:rPr>
            </w:pPr>
            <w:r w:rsidRPr="00E54392">
              <w:rPr>
                <w:color w:val="000000"/>
                <w:sz w:val="16"/>
                <w:szCs w:val="16"/>
                <w:lang w:eastAsia="es-ES"/>
              </w:rPr>
              <w:t>593.79</w:t>
            </w:r>
          </w:p>
        </w:tc>
        <w:tc>
          <w:tcPr>
            <w:tcW w:w="0" w:type="auto"/>
            <w:tcMar>
              <w:top w:w="0" w:type="dxa"/>
              <w:left w:w="108" w:type="dxa"/>
              <w:bottom w:w="0" w:type="dxa"/>
              <w:right w:w="108" w:type="dxa"/>
            </w:tcMar>
            <w:vAlign w:val="center"/>
            <w:hideMark/>
          </w:tcPr>
          <w:p w14:paraId="2A205AA2" w14:textId="77777777" w:rsidR="001C0B04" w:rsidRPr="00E54392" w:rsidRDefault="001C0B04" w:rsidP="002A7E94">
            <w:pPr>
              <w:jc w:val="center"/>
              <w:rPr>
                <w:lang w:eastAsia="es-ES"/>
              </w:rPr>
            </w:pPr>
            <w:r w:rsidRPr="00E54392">
              <w:rPr>
                <w:color w:val="000000"/>
                <w:sz w:val="16"/>
                <w:szCs w:val="16"/>
                <w:lang w:eastAsia="es-ES"/>
              </w:rPr>
              <w:t>154418.50</w:t>
            </w:r>
          </w:p>
        </w:tc>
        <w:tc>
          <w:tcPr>
            <w:tcW w:w="0" w:type="auto"/>
            <w:tcMar>
              <w:top w:w="0" w:type="dxa"/>
              <w:left w:w="108" w:type="dxa"/>
              <w:bottom w:w="0" w:type="dxa"/>
              <w:right w:w="108" w:type="dxa"/>
            </w:tcMar>
            <w:vAlign w:val="center"/>
            <w:hideMark/>
          </w:tcPr>
          <w:p w14:paraId="3641C667" w14:textId="77777777" w:rsidR="001C0B04" w:rsidRPr="00E54392" w:rsidRDefault="001C0B04" w:rsidP="002A7E94">
            <w:pPr>
              <w:jc w:val="center"/>
              <w:rPr>
                <w:lang w:eastAsia="es-ES"/>
              </w:rPr>
            </w:pPr>
            <w:r w:rsidRPr="00E54392">
              <w:rPr>
                <w:color w:val="000000"/>
                <w:sz w:val="16"/>
                <w:szCs w:val="16"/>
                <w:lang w:eastAsia="es-ES"/>
              </w:rPr>
              <w:t>.746</w:t>
            </w:r>
          </w:p>
        </w:tc>
        <w:tc>
          <w:tcPr>
            <w:tcW w:w="0" w:type="auto"/>
            <w:gridSpan w:val="2"/>
            <w:tcMar>
              <w:top w:w="0" w:type="dxa"/>
              <w:left w:w="108" w:type="dxa"/>
              <w:bottom w:w="0" w:type="dxa"/>
              <w:right w:w="108" w:type="dxa"/>
            </w:tcMar>
            <w:vAlign w:val="center"/>
            <w:hideMark/>
          </w:tcPr>
          <w:p w14:paraId="1465372F"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0A02D0C8" w14:textId="77777777" w:rsidR="001C0B04" w:rsidRPr="00E54392" w:rsidRDefault="001C0B04" w:rsidP="002A7E94">
            <w:pPr>
              <w:jc w:val="center"/>
              <w:rPr>
                <w:lang w:eastAsia="es-ES"/>
              </w:rPr>
            </w:pPr>
            <w:r w:rsidRPr="00E54392">
              <w:rPr>
                <w:color w:val="000000"/>
                <w:sz w:val="16"/>
                <w:szCs w:val="16"/>
                <w:lang w:eastAsia="es-ES"/>
              </w:rPr>
              <w:t>550.77</w:t>
            </w:r>
          </w:p>
        </w:tc>
        <w:tc>
          <w:tcPr>
            <w:tcW w:w="0" w:type="auto"/>
            <w:tcMar>
              <w:top w:w="0" w:type="dxa"/>
              <w:left w:w="108" w:type="dxa"/>
              <w:bottom w:w="0" w:type="dxa"/>
              <w:right w:w="108" w:type="dxa"/>
            </w:tcMar>
            <w:vAlign w:val="center"/>
            <w:hideMark/>
          </w:tcPr>
          <w:p w14:paraId="29103FCE" w14:textId="77777777" w:rsidR="001C0B04" w:rsidRPr="00E54392" w:rsidRDefault="001C0B04" w:rsidP="002A7E94">
            <w:pPr>
              <w:jc w:val="center"/>
              <w:rPr>
                <w:lang w:eastAsia="es-ES"/>
              </w:rPr>
            </w:pPr>
            <w:r w:rsidRPr="00E54392">
              <w:rPr>
                <w:color w:val="000000"/>
                <w:sz w:val="16"/>
                <w:szCs w:val="16"/>
                <w:lang w:eastAsia="es-ES"/>
              </w:rPr>
              <w:t>612.25</w:t>
            </w:r>
          </w:p>
        </w:tc>
        <w:tc>
          <w:tcPr>
            <w:tcW w:w="0" w:type="auto"/>
            <w:tcMar>
              <w:top w:w="0" w:type="dxa"/>
              <w:left w:w="108" w:type="dxa"/>
              <w:bottom w:w="0" w:type="dxa"/>
              <w:right w:w="108" w:type="dxa"/>
            </w:tcMar>
            <w:vAlign w:val="center"/>
            <w:hideMark/>
          </w:tcPr>
          <w:p w14:paraId="6F6C8FAF" w14:textId="77777777" w:rsidR="001C0B04" w:rsidRPr="00E54392" w:rsidRDefault="001C0B04" w:rsidP="002A7E94">
            <w:pPr>
              <w:jc w:val="center"/>
              <w:rPr>
                <w:lang w:eastAsia="es-ES"/>
              </w:rPr>
            </w:pPr>
            <w:r w:rsidRPr="00E54392">
              <w:rPr>
                <w:color w:val="000000"/>
                <w:sz w:val="16"/>
                <w:szCs w:val="16"/>
                <w:lang w:eastAsia="es-ES"/>
              </w:rPr>
              <w:t>139957.50</w:t>
            </w:r>
          </w:p>
        </w:tc>
        <w:tc>
          <w:tcPr>
            <w:tcW w:w="0" w:type="auto"/>
            <w:tcMar>
              <w:top w:w="0" w:type="dxa"/>
              <w:left w:w="108" w:type="dxa"/>
              <w:bottom w:w="0" w:type="dxa"/>
              <w:right w:w="108" w:type="dxa"/>
            </w:tcMar>
            <w:vAlign w:val="center"/>
            <w:hideMark/>
          </w:tcPr>
          <w:p w14:paraId="32D12236" w14:textId="77777777" w:rsidR="001C0B04" w:rsidRPr="00E54392" w:rsidRDefault="001C0B04" w:rsidP="002A7E94">
            <w:pPr>
              <w:jc w:val="center"/>
              <w:rPr>
                <w:lang w:eastAsia="es-ES"/>
              </w:rPr>
            </w:pPr>
            <w:r w:rsidRPr="00E54392">
              <w:rPr>
                <w:color w:val="000000"/>
                <w:sz w:val="16"/>
                <w:szCs w:val="16"/>
                <w:lang w:eastAsia="es-ES"/>
              </w:rPr>
              <w:t>.003</w:t>
            </w:r>
          </w:p>
        </w:tc>
        <w:tc>
          <w:tcPr>
            <w:tcW w:w="0" w:type="auto"/>
            <w:tcMar>
              <w:top w:w="0" w:type="dxa"/>
              <w:left w:w="108" w:type="dxa"/>
              <w:bottom w:w="0" w:type="dxa"/>
              <w:right w:w="108" w:type="dxa"/>
            </w:tcMar>
            <w:vAlign w:val="center"/>
            <w:hideMark/>
          </w:tcPr>
          <w:p w14:paraId="1C1A525A" w14:textId="77777777" w:rsidR="001C0B04" w:rsidRPr="00E54392" w:rsidRDefault="001C0B04" w:rsidP="002A7E94">
            <w:pPr>
              <w:jc w:val="center"/>
              <w:rPr>
                <w:lang w:eastAsia="es-ES"/>
              </w:rPr>
            </w:pPr>
            <w:r w:rsidRPr="00E54392">
              <w:rPr>
                <w:color w:val="000000"/>
                <w:sz w:val="16"/>
                <w:szCs w:val="16"/>
                <w:shd w:val="clear" w:color="auto" w:fill="FFFF00"/>
                <w:lang w:eastAsia="es-ES"/>
              </w:rPr>
              <w:t>.08</w:t>
            </w:r>
          </w:p>
        </w:tc>
        <w:tc>
          <w:tcPr>
            <w:tcW w:w="0" w:type="auto"/>
            <w:gridSpan w:val="2"/>
            <w:tcMar>
              <w:top w:w="0" w:type="dxa"/>
              <w:left w:w="108" w:type="dxa"/>
              <w:bottom w:w="0" w:type="dxa"/>
              <w:right w:w="108" w:type="dxa"/>
            </w:tcMar>
            <w:vAlign w:val="center"/>
            <w:hideMark/>
          </w:tcPr>
          <w:p w14:paraId="38D60D47" w14:textId="77777777" w:rsidR="001C0B04" w:rsidRPr="00E54392" w:rsidRDefault="001C0B04" w:rsidP="002A7E94">
            <w:pPr>
              <w:jc w:val="center"/>
              <w:rPr>
                <w:lang w:eastAsia="es-ES"/>
              </w:rPr>
            </w:pPr>
            <w:r w:rsidRPr="00E54392">
              <w:rPr>
                <w:color w:val="000000"/>
                <w:sz w:val="16"/>
                <w:szCs w:val="16"/>
                <w:lang w:eastAsia="es-ES"/>
              </w:rPr>
              <w:t>533.53</w:t>
            </w:r>
          </w:p>
        </w:tc>
        <w:tc>
          <w:tcPr>
            <w:tcW w:w="0" w:type="auto"/>
            <w:tcMar>
              <w:top w:w="0" w:type="dxa"/>
              <w:left w:w="108" w:type="dxa"/>
              <w:bottom w:w="0" w:type="dxa"/>
              <w:right w:w="108" w:type="dxa"/>
            </w:tcMar>
            <w:vAlign w:val="center"/>
            <w:hideMark/>
          </w:tcPr>
          <w:p w14:paraId="06C83AAF" w14:textId="77777777" w:rsidR="001C0B04" w:rsidRPr="00E54392" w:rsidRDefault="001C0B04" w:rsidP="002A7E94">
            <w:pPr>
              <w:jc w:val="center"/>
              <w:rPr>
                <w:lang w:eastAsia="es-ES"/>
              </w:rPr>
            </w:pPr>
            <w:r w:rsidRPr="00E54392">
              <w:rPr>
                <w:color w:val="000000"/>
                <w:sz w:val="16"/>
                <w:szCs w:val="16"/>
                <w:lang w:eastAsia="es-ES"/>
              </w:rPr>
              <w:t>621.04</w:t>
            </w:r>
          </w:p>
        </w:tc>
        <w:tc>
          <w:tcPr>
            <w:tcW w:w="0" w:type="auto"/>
            <w:tcMar>
              <w:top w:w="0" w:type="dxa"/>
              <w:left w:w="108" w:type="dxa"/>
              <w:bottom w:w="0" w:type="dxa"/>
              <w:right w:w="108" w:type="dxa"/>
            </w:tcMar>
            <w:vAlign w:val="center"/>
            <w:hideMark/>
          </w:tcPr>
          <w:p w14:paraId="4A7FEF8A" w14:textId="77777777" w:rsidR="001C0B04" w:rsidRPr="00E54392" w:rsidRDefault="001C0B04" w:rsidP="002A7E94">
            <w:pPr>
              <w:jc w:val="center"/>
              <w:rPr>
                <w:lang w:eastAsia="es-ES"/>
              </w:rPr>
            </w:pPr>
            <w:r w:rsidRPr="00E54392">
              <w:rPr>
                <w:color w:val="000000"/>
                <w:sz w:val="16"/>
                <w:szCs w:val="16"/>
                <w:lang w:eastAsia="es-ES"/>
              </w:rPr>
              <w:t>133079.50</w:t>
            </w:r>
          </w:p>
        </w:tc>
        <w:tc>
          <w:tcPr>
            <w:tcW w:w="0" w:type="auto"/>
            <w:tcMar>
              <w:top w:w="0" w:type="dxa"/>
              <w:left w:w="108" w:type="dxa"/>
              <w:bottom w:w="0" w:type="dxa"/>
              <w:right w:w="108" w:type="dxa"/>
            </w:tcMar>
            <w:vAlign w:val="center"/>
            <w:hideMark/>
          </w:tcPr>
          <w:p w14:paraId="2915622B"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3463C7B7" w14:textId="77777777" w:rsidR="001C0B04" w:rsidRPr="00E54392" w:rsidRDefault="001C0B04" w:rsidP="002A7E94">
            <w:pPr>
              <w:jc w:val="center"/>
              <w:rPr>
                <w:lang w:eastAsia="es-ES"/>
              </w:rPr>
            </w:pPr>
            <w:r w:rsidRPr="00E54392">
              <w:rPr>
                <w:color w:val="000000"/>
                <w:sz w:val="16"/>
                <w:szCs w:val="16"/>
                <w:shd w:val="clear" w:color="auto" w:fill="FFFF00"/>
                <w:lang w:eastAsia="es-ES"/>
              </w:rPr>
              <w:t>.12</w:t>
            </w:r>
          </w:p>
        </w:tc>
        <w:tc>
          <w:tcPr>
            <w:tcW w:w="0" w:type="auto"/>
            <w:vAlign w:val="center"/>
            <w:hideMark/>
          </w:tcPr>
          <w:p w14:paraId="72F184E1" w14:textId="77777777" w:rsidR="001C0B04" w:rsidRPr="00E54392" w:rsidRDefault="001C0B04" w:rsidP="002A7E94">
            <w:pPr>
              <w:jc w:val="center"/>
              <w:rPr>
                <w:sz w:val="20"/>
                <w:szCs w:val="20"/>
                <w:lang w:eastAsia="es-ES"/>
              </w:rPr>
            </w:pPr>
          </w:p>
        </w:tc>
      </w:tr>
      <w:tr w:rsidR="001C0B04" w:rsidRPr="00E54392" w14:paraId="6A1025E8" w14:textId="77777777" w:rsidTr="002A7E94">
        <w:tc>
          <w:tcPr>
            <w:tcW w:w="0" w:type="auto"/>
            <w:tcMar>
              <w:top w:w="0" w:type="dxa"/>
              <w:left w:w="108" w:type="dxa"/>
              <w:bottom w:w="0" w:type="dxa"/>
              <w:right w:w="108" w:type="dxa"/>
            </w:tcMar>
            <w:hideMark/>
          </w:tcPr>
          <w:p w14:paraId="724E8667" w14:textId="77777777" w:rsidR="001C0B04" w:rsidRPr="001C0B04" w:rsidRDefault="001C0B04" w:rsidP="002A7E94">
            <w:pPr>
              <w:ind w:left="340"/>
              <w:rPr>
                <w:lang w:val="en-US" w:eastAsia="es-ES"/>
              </w:rPr>
            </w:pPr>
            <w:r w:rsidRPr="001C0B04">
              <w:rPr>
                <w:color w:val="000000"/>
                <w:sz w:val="18"/>
                <w:szCs w:val="18"/>
                <w:lang w:val="en-US" w:eastAsia="es-ES"/>
              </w:rPr>
              <w:t>Art and cultural online activities</w:t>
            </w:r>
          </w:p>
        </w:tc>
        <w:tc>
          <w:tcPr>
            <w:tcW w:w="0" w:type="auto"/>
            <w:tcMar>
              <w:top w:w="0" w:type="dxa"/>
              <w:left w:w="108" w:type="dxa"/>
              <w:bottom w:w="0" w:type="dxa"/>
              <w:right w:w="108" w:type="dxa"/>
            </w:tcMar>
            <w:vAlign w:val="center"/>
            <w:hideMark/>
          </w:tcPr>
          <w:p w14:paraId="4987208B" w14:textId="77777777" w:rsidR="001C0B04" w:rsidRPr="00E54392" w:rsidRDefault="001C0B04" w:rsidP="002A7E94">
            <w:pPr>
              <w:jc w:val="center"/>
              <w:rPr>
                <w:lang w:eastAsia="es-ES"/>
              </w:rPr>
            </w:pPr>
            <w:r w:rsidRPr="00E54392">
              <w:rPr>
                <w:color w:val="000000"/>
                <w:sz w:val="16"/>
                <w:szCs w:val="16"/>
                <w:lang w:eastAsia="es-ES"/>
              </w:rPr>
              <w:t>577.04</w:t>
            </w:r>
          </w:p>
        </w:tc>
        <w:tc>
          <w:tcPr>
            <w:tcW w:w="0" w:type="auto"/>
            <w:tcMar>
              <w:top w:w="0" w:type="dxa"/>
              <w:left w:w="108" w:type="dxa"/>
              <w:bottom w:w="0" w:type="dxa"/>
              <w:right w:w="108" w:type="dxa"/>
            </w:tcMar>
            <w:vAlign w:val="center"/>
            <w:hideMark/>
          </w:tcPr>
          <w:p w14:paraId="5FF8498A" w14:textId="77777777" w:rsidR="001C0B04" w:rsidRPr="00E54392" w:rsidRDefault="001C0B04" w:rsidP="002A7E94">
            <w:pPr>
              <w:jc w:val="center"/>
              <w:rPr>
                <w:lang w:eastAsia="es-ES"/>
              </w:rPr>
            </w:pPr>
            <w:r w:rsidRPr="00E54392">
              <w:rPr>
                <w:color w:val="000000"/>
                <w:sz w:val="16"/>
                <w:szCs w:val="16"/>
                <w:lang w:eastAsia="es-ES"/>
              </w:rPr>
              <w:t>595.09</w:t>
            </w:r>
          </w:p>
        </w:tc>
        <w:tc>
          <w:tcPr>
            <w:tcW w:w="0" w:type="auto"/>
            <w:tcMar>
              <w:top w:w="0" w:type="dxa"/>
              <w:left w:w="108" w:type="dxa"/>
              <w:bottom w:w="0" w:type="dxa"/>
              <w:right w:w="108" w:type="dxa"/>
            </w:tcMar>
            <w:vAlign w:val="center"/>
            <w:hideMark/>
          </w:tcPr>
          <w:p w14:paraId="532A1331" w14:textId="77777777" w:rsidR="001C0B04" w:rsidRPr="00E54392" w:rsidRDefault="001C0B04" w:rsidP="002A7E94">
            <w:pPr>
              <w:jc w:val="center"/>
              <w:rPr>
                <w:lang w:eastAsia="es-ES"/>
              </w:rPr>
            </w:pPr>
            <w:r w:rsidRPr="00E54392">
              <w:rPr>
                <w:color w:val="000000"/>
                <w:sz w:val="16"/>
                <w:szCs w:val="16"/>
                <w:lang w:eastAsia="es-ES"/>
              </w:rPr>
              <w:t>76537.00</w:t>
            </w:r>
          </w:p>
        </w:tc>
        <w:tc>
          <w:tcPr>
            <w:tcW w:w="0" w:type="auto"/>
            <w:tcMar>
              <w:top w:w="0" w:type="dxa"/>
              <w:left w:w="108" w:type="dxa"/>
              <w:bottom w:w="0" w:type="dxa"/>
              <w:right w:w="108" w:type="dxa"/>
            </w:tcMar>
            <w:vAlign w:val="center"/>
            <w:hideMark/>
          </w:tcPr>
          <w:p w14:paraId="102F1366" w14:textId="77777777" w:rsidR="001C0B04" w:rsidRPr="00E54392" w:rsidRDefault="001C0B04" w:rsidP="002A7E94">
            <w:pPr>
              <w:jc w:val="center"/>
              <w:rPr>
                <w:lang w:eastAsia="es-ES"/>
              </w:rPr>
            </w:pPr>
            <w:r w:rsidRPr="00E54392">
              <w:rPr>
                <w:color w:val="000000"/>
                <w:sz w:val="16"/>
                <w:szCs w:val="16"/>
                <w:lang w:eastAsia="es-ES"/>
              </w:rPr>
              <w:t>.527</w:t>
            </w:r>
          </w:p>
        </w:tc>
        <w:tc>
          <w:tcPr>
            <w:tcW w:w="0" w:type="auto"/>
            <w:gridSpan w:val="2"/>
            <w:tcMar>
              <w:top w:w="0" w:type="dxa"/>
              <w:left w:w="108" w:type="dxa"/>
              <w:bottom w:w="0" w:type="dxa"/>
              <w:right w:w="108" w:type="dxa"/>
            </w:tcMar>
            <w:vAlign w:val="center"/>
            <w:hideMark/>
          </w:tcPr>
          <w:p w14:paraId="7907E64D"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3F1B054B" w14:textId="77777777" w:rsidR="001C0B04" w:rsidRPr="00E54392" w:rsidRDefault="001C0B04" w:rsidP="002A7E94">
            <w:pPr>
              <w:jc w:val="center"/>
              <w:rPr>
                <w:lang w:eastAsia="es-ES"/>
              </w:rPr>
            </w:pPr>
            <w:r w:rsidRPr="00E54392">
              <w:rPr>
                <w:color w:val="000000"/>
                <w:sz w:val="16"/>
                <w:szCs w:val="16"/>
                <w:lang w:eastAsia="es-ES"/>
              </w:rPr>
              <w:t>560.07</w:t>
            </w:r>
          </w:p>
        </w:tc>
        <w:tc>
          <w:tcPr>
            <w:tcW w:w="0" w:type="auto"/>
            <w:tcMar>
              <w:top w:w="0" w:type="dxa"/>
              <w:left w:w="108" w:type="dxa"/>
              <w:bottom w:w="0" w:type="dxa"/>
              <w:right w:w="108" w:type="dxa"/>
            </w:tcMar>
            <w:vAlign w:val="center"/>
            <w:hideMark/>
          </w:tcPr>
          <w:p w14:paraId="0AA6E8B0" w14:textId="77777777" w:rsidR="001C0B04" w:rsidRPr="00E54392" w:rsidRDefault="001C0B04" w:rsidP="002A7E94">
            <w:pPr>
              <w:jc w:val="center"/>
              <w:rPr>
                <w:lang w:eastAsia="es-ES"/>
              </w:rPr>
            </w:pPr>
            <w:r w:rsidRPr="00E54392">
              <w:rPr>
                <w:color w:val="000000"/>
                <w:sz w:val="16"/>
                <w:szCs w:val="16"/>
                <w:lang w:eastAsia="es-ES"/>
              </w:rPr>
              <w:t>702.45</w:t>
            </w:r>
          </w:p>
        </w:tc>
        <w:tc>
          <w:tcPr>
            <w:tcW w:w="0" w:type="auto"/>
            <w:tcMar>
              <w:top w:w="0" w:type="dxa"/>
              <w:left w:w="108" w:type="dxa"/>
              <w:bottom w:w="0" w:type="dxa"/>
              <w:right w:w="108" w:type="dxa"/>
            </w:tcMar>
            <w:vAlign w:val="center"/>
            <w:hideMark/>
          </w:tcPr>
          <w:p w14:paraId="403964A1" w14:textId="77777777" w:rsidR="001C0B04" w:rsidRPr="00E54392" w:rsidRDefault="001C0B04" w:rsidP="002A7E94">
            <w:pPr>
              <w:jc w:val="center"/>
              <w:rPr>
                <w:lang w:eastAsia="es-ES"/>
              </w:rPr>
            </w:pPr>
            <w:r w:rsidRPr="00E54392">
              <w:rPr>
                <w:color w:val="000000"/>
                <w:sz w:val="16"/>
                <w:szCs w:val="16"/>
                <w:lang w:eastAsia="es-ES"/>
              </w:rPr>
              <w:t>59573.50</w:t>
            </w:r>
          </w:p>
        </w:tc>
        <w:tc>
          <w:tcPr>
            <w:tcW w:w="0" w:type="auto"/>
            <w:tcMar>
              <w:top w:w="0" w:type="dxa"/>
              <w:left w:w="108" w:type="dxa"/>
              <w:bottom w:w="0" w:type="dxa"/>
              <w:right w:w="108" w:type="dxa"/>
            </w:tcMar>
            <w:vAlign w:val="center"/>
            <w:hideMark/>
          </w:tcPr>
          <w:p w14:paraId="74D65345" w14:textId="77777777" w:rsidR="001C0B04" w:rsidRPr="00E54392" w:rsidRDefault="001C0B04" w:rsidP="002A7E94">
            <w:pPr>
              <w:jc w:val="center"/>
              <w:rPr>
                <w:lang w:eastAsia="es-ES"/>
              </w:rPr>
            </w:pPr>
            <w:r w:rsidRPr="00E54392">
              <w:rPr>
                <w:color w:val="000000"/>
                <w:sz w:val="16"/>
                <w:szCs w:val="16"/>
                <w:lang w:eastAsia="es-ES"/>
              </w:rPr>
              <w:t>&lt;.001</w:t>
            </w:r>
          </w:p>
        </w:tc>
        <w:tc>
          <w:tcPr>
            <w:tcW w:w="0" w:type="auto"/>
            <w:tcMar>
              <w:top w:w="0" w:type="dxa"/>
              <w:left w:w="108" w:type="dxa"/>
              <w:bottom w:w="0" w:type="dxa"/>
              <w:right w:w="108" w:type="dxa"/>
            </w:tcMar>
            <w:vAlign w:val="center"/>
            <w:hideMark/>
          </w:tcPr>
          <w:p w14:paraId="5D4575A7" w14:textId="77777777" w:rsidR="001C0B04" w:rsidRPr="00E54392" w:rsidRDefault="001C0B04" w:rsidP="002A7E94">
            <w:pPr>
              <w:jc w:val="center"/>
              <w:rPr>
                <w:lang w:eastAsia="es-ES"/>
              </w:rPr>
            </w:pPr>
            <w:r w:rsidRPr="00E54392">
              <w:rPr>
                <w:color w:val="000000"/>
                <w:sz w:val="16"/>
                <w:szCs w:val="16"/>
                <w:shd w:val="clear" w:color="auto" w:fill="FFFF00"/>
                <w:lang w:eastAsia="es-ES"/>
              </w:rPr>
              <w:t>.14</w:t>
            </w:r>
          </w:p>
        </w:tc>
        <w:tc>
          <w:tcPr>
            <w:tcW w:w="0" w:type="auto"/>
            <w:gridSpan w:val="2"/>
            <w:tcMar>
              <w:top w:w="0" w:type="dxa"/>
              <w:left w:w="108" w:type="dxa"/>
              <w:bottom w:w="0" w:type="dxa"/>
              <w:right w:w="108" w:type="dxa"/>
            </w:tcMar>
            <w:vAlign w:val="center"/>
            <w:hideMark/>
          </w:tcPr>
          <w:p w14:paraId="4CBF5D9C" w14:textId="77777777" w:rsidR="001C0B04" w:rsidRPr="00E54392" w:rsidRDefault="001C0B04" w:rsidP="002A7E94">
            <w:pPr>
              <w:jc w:val="center"/>
              <w:rPr>
                <w:lang w:eastAsia="es-ES"/>
              </w:rPr>
            </w:pPr>
            <w:r w:rsidRPr="00E54392">
              <w:rPr>
                <w:color w:val="000000"/>
                <w:sz w:val="16"/>
                <w:szCs w:val="16"/>
                <w:lang w:eastAsia="es-ES"/>
              </w:rPr>
              <w:t>570.78</w:t>
            </w:r>
          </w:p>
        </w:tc>
        <w:tc>
          <w:tcPr>
            <w:tcW w:w="0" w:type="auto"/>
            <w:tcMar>
              <w:top w:w="0" w:type="dxa"/>
              <w:left w:w="108" w:type="dxa"/>
              <w:bottom w:w="0" w:type="dxa"/>
              <w:right w:w="108" w:type="dxa"/>
            </w:tcMar>
            <w:vAlign w:val="center"/>
            <w:hideMark/>
          </w:tcPr>
          <w:p w14:paraId="6477109F" w14:textId="77777777" w:rsidR="001C0B04" w:rsidRPr="00E54392" w:rsidRDefault="001C0B04" w:rsidP="002A7E94">
            <w:pPr>
              <w:jc w:val="center"/>
              <w:rPr>
                <w:lang w:eastAsia="es-ES"/>
              </w:rPr>
            </w:pPr>
            <w:r w:rsidRPr="00E54392">
              <w:rPr>
                <w:color w:val="000000"/>
                <w:sz w:val="16"/>
                <w:szCs w:val="16"/>
                <w:lang w:eastAsia="es-ES"/>
              </w:rPr>
              <w:t>634.66</w:t>
            </w:r>
          </w:p>
        </w:tc>
        <w:tc>
          <w:tcPr>
            <w:tcW w:w="0" w:type="auto"/>
            <w:tcMar>
              <w:top w:w="0" w:type="dxa"/>
              <w:left w:w="108" w:type="dxa"/>
              <w:bottom w:w="0" w:type="dxa"/>
              <w:right w:w="108" w:type="dxa"/>
            </w:tcMar>
            <w:vAlign w:val="center"/>
            <w:hideMark/>
          </w:tcPr>
          <w:p w14:paraId="46C593A1" w14:textId="77777777" w:rsidR="001C0B04" w:rsidRPr="00E54392" w:rsidRDefault="001C0B04" w:rsidP="002A7E94">
            <w:pPr>
              <w:jc w:val="center"/>
              <w:rPr>
                <w:lang w:eastAsia="es-ES"/>
              </w:rPr>
            </w:pPr>
            <w:r w:rsidRPr="00E54392">
              <w:rPr>
                <w:color w:val="000000"/>
                <w:sz w:val="16"/>
                <w:szCs w:val="16"/>
                <w:lang w:eastAsia="es-ES"/>
              </w:rPr>
              <w:t>70284.50</w:t>
            </w:r>
          </w:p>
        </w:tc>
        <w:tc>
          <w:tcPr>
            <w:tcW w:w="0" w:type="auto"/>
            <w:tcMar>
              <w:top w:w="0" w:type="dxa"/>
              <w:left w:w="108" w:type="dxa"/>
              <w:bottom w:w="0" w:type="dxa"/>
              <w:right w:w="108" w:type="dxa"/>
            </w:tcMar>
            <w:vAlign w:val="center"/>
            <w:hideMark/>
          </w:tcPr>
          <w:p w14:paraId="24BD6899" w14:textId="77777777" w:rsidR="001C0B04" w:rsidRPr="00E54392" w:rsidRDefault="001C0B04" w:rsidP="002A7E94">
            <w:pPr>
              <w:jc w:val="center"/>
              <w:rPr>
                <w:lang w:eastAsia="es-ES"/>
              </w:rPr>
            </w:pPr>
            <w:r w:rsidRPr="00E54392">
              <w:rPr>
                <w:color w:val="000000"/>
                <w:sz w:val="16"/>
                <w:szCs w:val="16"/>
                <w:lang w:eastAsia="es-ES"/>
              </w:rPr>
              <w:t>.026</w:t>
            </w:r>
          </w:p>
        </w:tc>
        <w:tc>
          <w:tcPr>
            <w:tcW w:w="0" w:type="auto"/>
            <w:tcMar>
              <w:top w:w="0" w:type="dxa"/>
              <w:left w:w="108" w:type="dxa"/>
              <w:bottom w:w="0" w:type="dxa"/>
              <w:right w:w="108" w:type="dxa"/>
            </w:tcMar>
            <w:vAlign w:val="center"/>
            <w:hideMark/>
          </w:tcPr>
          <w:p w14:paraId="116278A5" w14:textId="77777777" w:rsidR="001C0B04" w:rsidRPr="00E54392" w:rsidRDefault="001C0B04" w:rsidP="002A7E94">
            <w:pPr>
              <w:jc w:val="center"/>
              <w:rPr>
                <w:lang w:eastAsia="es-ES"/>
              </w:rPr>
            </w:pPr>
            <w:r w:rsidRPr="00E54392">
              <w:rPr>
                <w:color w:val="000000"/>
                <w:sz w:val="16"/>
                <w:szCs w:val="16"/>
                <w:shd w:val="clear" w:color="auto" w:fill="FFFF00"/>
                <w:lang w:eastAsia="es-ES"/>
              </w:rPr>
              <w:t>.06</w:t>
            </w:r>
          </w:p>
        </w:tc>
        <w:tc>
          <w:tcPr>
            <w:tcW w:w="0" w:type="auto"/>
            <w:vAlign w:val="center"/>
            <w:hideMark/>
          </w:tcPr>
          <w:p w14:paraId="09BB1B3A" w14:textId="77777777" w:rsidR="001C0B04" w:rsidRPr="00E54392" w:rsidRDefault="001C0B04" w:rsidP="002A7E94">
            <w:pPr>
              <w:jc w:val="center"/>
              <w:rPr>
                <w:sz w:val="20"/>
                <w:szCs w:val="20"/>
                <w:lang w:eastAsia="es-ES"/>
              </w:rPr>
            </w:pPr>
          </w:p>
        </w:tc>
      </w:tr>
      <w:tr w:rsidR="001C0B04" w:rsidRPr="00E54392" w14:paraId="4366BAC3" w14:textId="77777777" w:rsidTr="002A7E94">
        <w:tc>
          <w:tcPr>
            <w:tcW w:w="0" w:type="auto"/>
            <w:tcMar>
              <w:top w:w="0" w:type="dxa"/>
              <w:left w:w="108" w:type="dxa"/>
              <w:bottom w:w="0" w:type="dxa"/>
              <w:right w:w="108" w:type="dxa"/>
            </w:tcMar>
            <w:hideMark/>
          </w:tcPr>
          <w:p w14:paraId="088B2B12" w14:textId="77777777" w:rsidR="001C0B04" w:rsidRPr="00E54392" w:rsidRDefault="001C0B04" w:rsidP="002A7E94">
            <w:pPr>
              <w:ind w:left="340"/>
              <w:rPr>
                <w:lang w:eastAsia="es-ES"/>
              </w:rPr>
            </w:pPr>
            <w:proofErr w:type="spellStart"/>
            <w:r w:rsidRPr="00E54392">
              <w:rPr>
                <w:color w:val="000000"/>
                <w:sz w:val="18"/>
                <w:szCs w:val="18"/>
                <w:lang w:eastAsia="es-ES"/>
              </w:rPr>
              <w:t>Buying</w:t>
            </w:r>
            <w:proofErr w:type="spellEnd"/>
            <w:r w:rsidRPr="00E54392">
              <w:rPr>
                <w:color w:val="000000"/>
                <w:sz w:val="18"/>
                <w:szCs w:val="18"/>
                <w:lang w:eastAsia="es-ES"/>
              </w:rPr>
              <w:t xml:space="preserve"> online</w:t>
            </w:r>
          </w:p>
        </w:tc>
        <w:tc>
          <w:tcPr>
            <w:tcW w:w="0" w:type="auto"/>
            <w:tcMar>
              <w:top w:w="0" w:type="dxa"/>
              <w:left w:w="108" w:type="dxa"/>
              <w:bottom w:w="0" w:type="dxa"/>
              <w:right w:w="108" w:type="dxa"/>
            </w:tcMar>
            <w:vAlign w:val="center"/>
            <w:hideMark/>
          </w:tcPr>
          <w:p w14:paraId="5E0019B2" w14:textId="77777777" w:rsidR="001C0B04" w:rsidRPr="00E54392" w:rsidRDefault="001C0B04" w:rsidP="002A7E94">
            <w:pPr>
              <w:jc w:val="center"/>
              <w:rPr>
                <w:lang w:eastAsia="es-ES"/>
              </w:rPr>
            </w:pPr>
            <w:r w:rsidRPr="00E54392">
              <w:rPr>
                <w:color w:val="000000"/>
                <w:sz w:val="16"/>
                <w:szCs w:val="16"/>
                <w:lang w:eastAsia="es-ES"/>
              </w:rPr>
              <w:t>580.17</w:t>
            </w:r>
          </w:p>
        </w:tc>
        <w:tc>
          <w:tcPr>
            <w:tcW w:w="0" w:type="auto"/>
            <w:tcMar>
              <w:top w:w="0" w:type="dxa"/>
              <w:left w:w="108" w:type="dxa"/>
              <w:bottom w:w="0" w:type="dxa"/>
              <w:right w:w="108" w:type="dxa"/>
            </w:tcMar>
            <w:vAlign w:val="center"/>
            <w:hideMark/>
          </w:tcPr>
          <w:p w14:paraId="44E6986E" w14:textId="77777777" w:rsidR="001C0B04" w:rsidRPr="00E54392" w:rsidRDefault="001C0B04" w:rsidP="002A7E94">
            <w:pPr>
              <w:jc w:val="center"/>
              <w:rPr>
                <w:lang w:eastAsia="es-ES"/>
              </w:rPr>
            </w:pPr>
            <w:r w:rsidRPr="00E54392">
              <w:rPr>
                <w:color w:val="000000"/>
                <w:sz w:val="16"/>
                <w:szCs w:val="16"/>
                <w:lang w:eastAsia="es-ES"/>
              </w:rPr>
              <w:t>505.03</w:t>
            </w:r>
          </w:p>
        </w:tc>
        <w:tc>
          <w:tcPr>
            <w:tcW w:w="0" w:type="auto"/>
            <w:tcMar>
              <w:top w:w="0" w:type="dxa"/>
              <w:left w:w="108" w:type="dxa"/>
              <w:bottom w:w="0" w:type="dxa"/>
              <w:right w:w="108" w:type="dxa"/>
            </w:tcMar>
            <w:vAlign w:val="center"/>
            <w:hideMark/>
          </w:tcPr>
          <w:p w14:paraId="5D729AD6" w14:textId="77777777" w:rsidR="001C0B04" w:rsidRPr="00E54392" w:rsidRDefault="001C0B04" w:rsidP="002A7E94">
            <w:pPr>
              <w:jc w:val="center"/>
              <w:rPr>
                <w:lang w:eastAsia="es-ES"/>
              </w:rPr>
            </w:pPr>
            <w:r w:rsidRPr="00E54392">
              <w:rPr>
                <w:color w:val="000000"/>
                <w:sz w:val="16"/>
                <w:szCs w:val="16"/>
                <w:lang w:eastAsia="es-ES"/>
              </w:rPr>
              <w:t>8919.50</w:t>
            </w:r>
          </w:p>
        </w:tc>
        <w:tc>
          <w:tcPr>
            <w:tcW w:w="0" w:type="auto"/>
            <w:tcMar>
              <w:top w:w="0" w:type="dxa"/>
              <w:left w:w="108" w:type="dxa"/>
              <w:bottom w:w="0" w:type="dxa"/>
              <w:right w:w="108" w:type="dxa"/>
            </w:tcMar>
            <w:vAlign w:val="center"/>
            <w:hideMark/>
          </w:tcPr>
          <w:p w14:paraId="10AAECA5" w14:textId="77777777" w:rsidR="001C0B04" w:rsidRPr="00E54392" w:rsidRDefault="001C0B04" w:rsidP="002A7E94">
            <w:pPr>
              <w:jc w:val="center"/>
              <w:rPr>
                <w:lang w:eastAsia="es-ES"/>
              </w:rPr>
            </w:pPr>
            <w:r w:rsidRPr="00E54392">
              <w:rPr>
                <w:color w:val="000000"/>
                <w:sz w:val="16"/>
                <w:szCs w:val="16"/>
                <w:lang w:eastAsia="es-ES"/>
              </w:rPr>
              <w:t>.342</w:t>
            </w:r>
          </w:p>
        </w:tc>
        <w:tc>
          <w:tcPr>
            <w:tcW w:w="0" w:type="auto"/>
            <w:gridSpan w:val="2"/>
            <w:tcMar>
              <w:top w:w="0" w:type="dxa"/>
              <w:left w:w="108" w:type="dxa"/>
              <w:bottom w:w="0" w:type="dxa"/>
              <w:right w:w="108" w:type="dxa"/>
            </w:tcMar>
            <w:vAlign w:val="center"/>
            <w:hideMark/>
          </w:tcPr>
          <w:p w14:paraId="084534CF"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6207ABE2" w14:textId="77777777" w:rsidR="001C0B04" w:rsidRPr="00E54392" w:rsidRDefault="001C0B04" w:rsidP="002A7E94">
            <w:pPr>
              <w:jc w:val="center"/>
              <w:rPr>
                <w:lang w:eastAsia="es-ES"/>
              </w:rPr>
            </w:pPr>
            <w:r w:rsidRPr="00E54392">
              <w:rPr>
                <w:color w:val="000000"/>
                <w:sz w:val="16"/>
                <w:szCs w:val="16"/>
                <w:lang w:eastAsia="es-ES"/>
              </w:rPr>
              <w:t>578.13</w:t>
            </w:r>
          </w:p>
        </w:tc>
        <w:tc>
          <w:tcPr>
            <w:tcW w:w="0" w:type="auto"/>
            <w:tcMar>
              <w:top w:w="0" w:type="dxa"/>
              <w:left w:w="108" w:type="dxa"/>
              <w:bottom w:w="0" w:type="dxa"/>
              <w:right w:w="108" w:type="dxa"/>
            </w:tcMar>
            <w:vAlign w:val="center"/>
            <w:hideMark/>
          </w:tcPr>
          <w:p w14:paraId="5B59F044" w14:textId="77777777" w:rsidR="001C0B04" w:rsidRPr="00E54392" w:rsidRDefault="001C0B04" w:rsidP="002A7E94">
            <w:pPr>
              <w:jc w:val="center"/>
              <w:rPr>
                <w:lang w:eastAsia="es-ES"/>
              </w:rPr>
            </w:pPr>
            <w:r w:rsidRPr="00E54392">
              <w:rPr>
                <w:color w:val="000000"/>
                <w:sz w:val="16"/>
                <w:szCs w:val="16"/>
                <w:lang w:eastAsia="es-ES"/>
              </w:rPr>
              <w:t>634.22</w:t>
            </w:r>
          </w:p>
        </w:tc>
        <w:tc>
          <w:tcPr>
            <w:tcW w:w="0" w:type="auto"/>
            <w:tcMar>
              <w:top w:w="0" w:type="dxa"/>
              <w:left w:w="108" w:type="dxa"/>
              <w:bottom w:w="0" w:type="dxa"/>
              <w:right w:w="108" w:type="dxa"/>
            </w:tcMar>
            <w:vAlign w:val="center"/>
            <w:hideMark/>
          </w:tcPr>
          <w:p w14:paraId="24634183" w14:textId="77777777" w:rsidR="001C0B04" w:rsidRPr="00E54392" w:rsidRDefault="001C0B04" w:rsidP="002A7E94">
            <w:pPr>
              <w:jc w:val="center"/>
              <w:rPr>
                <w:lang w:eastAsia="es-ES"/>
              </w:rPr>
            </w:pPr>
            <w:r w:rsidRPr="00E54392">
              <w:rPr>
                <w:color w:val="000000"/>
                <w:sz w:val="16"/>
                <w:szCs w:val="16"/>
                <w:lang w:eastAsia="es-ES"/>
              </w:rPr>
              <w:t>9257.00</w:t>
            </w:r>
          </w:p>
        </w:tc>
        <w:tc>
          <w:tcPr>
            <w:tcW w:w="0" w:type="auto"/>
            <w:tcMar>
              <w:top w:w="0" w:type="dxa"/>
              <w:left w:w="108" w:type="dxa"/>
              <w:bottom w:w="0" w:type="dxa"/>
              <w:right w:w="108" w:type="dxa"/>
            </w:tcMar>
            <w:vAlign w:val="center"/>
            <w:hideMark/>
          </w:tcPr>
          <w:p w14:paraId="0ED50C25" w14:textId="77777777" w:rsidR="001C0B04" w:rsidRPr="00E54392" w:rsidRDefault="001C0B04" w:rsidP="002A7E94">
            <w:pPr>
              <w:jc w:val="center"/>
              <w:rPr>
                <w:lang w:eastAsia="es-ES"/>
              </w:rPr>
            </w:pPr>
            <w:r w:rsidRPr="00E54392">
              <w:rPr>
                <w:color w:val="000000"/>
                <w:sz w:val="16"/>
                <w:szCs w:val="16"/>
                <w:lang w:eastAsia="es-ES"/>
              </w:rPr>
              <w:t>.478</w:t>
            </w:r>
          </w:p>
        </w:tc>
        <w:tc>
          <w:tcPr>
            <w:tcW w:w="0" w:type="auto"/>
            <w:tcMar>
              <w:top w:w="0" w:type="dxa"/>
              <w:left w:w="108" w:type="dxa"/>
              <w:bottom w:w="0" w:type="dxa"/>
              <w:right w:w="108" w:type="dxa"/>
            </w:tcMar>
            <w:vAlign w:val="center"/>
            <w:hideMark/>
          </w:tcPr>
          <w:p w14:paraId="1E3F9AD8"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gridSpan w:val="2"/>
            <w:tcMar>
              <w:top w:w="0" w:type="dxa"/>
              <w:left w:w="108" w:type="dxa"/>
              <w:bottom w:w="0" w:type="dxa"/>
              <w:right w:w="108" w:type="dxa"/>
            </w:tcMar>
            <w:vAlign w:val="center"/>
            <w:hideMark/>
          </w:tcPr>
          <w:p w14:paraId="09241B2D" w14:textId="77777777" w:rsidR="001C0B04" w:rsidRPr="00E54392" w:rsidRDefault="001C0B04" w:rsidP="002A7E94">
            <w:pPr>
              <w:jc w:val="center"/>
              <w:rPr>
                <w:lang w:eastAsia="es-ES"/>
              </w:rPr>
            </w:pPr>
            <w:r w:rsidRPr="00E54392">
              <w:rPr>
                <w:color w:val="000000"/>
                <w:sz w:val="16"/>
                <w:szCs w:val="16"/>
                <w:lang w:eastAsia="es-ES"/>
              </w:rPr>
              <w:t>577.47</w:t>
            </w:r>
          </w:p>
        </w:tc>
        <w:tc>
          <w:tcPr>
            <w:tcW w:w="0" w:type="auto"/>
            <w:tcMar>
              <w:top w:w="0" w:type="dxa"/>
              <w:left w:w="108" w:type="dxa"/>
              <w:bottom w:w="0" w:type="dxa"/>
              <w:right w:w="108" w:type="dxa"/>
            </w:tcMar>
            <w:vAlign w:val="center"/>
            <w:hideMark/>
          </w:tcPr>
          <w:p w14:paraId="4933447F" w14:textId="77777777" w:rsidR="001C0B04" w:rsidRPr="00E54392" w:rsidRDefault="001C0B04" w:rsidP="002A7E94">
            <w:pPr>
              <w:jc w:val="center"/>
              <w:rPr>
                <w:lang w:eastAsia="es-ES"/>
              </w:rPr>
            </w:pPr>
            <w:r w:rsidRPr="00E54392">
              <w:rPr>
                <w:color w:val="000000"/>
                <w:sz w:val="16"/>
                <w:szCs w:val="16"/>
                <w:lang w:eastAsia="es-ES"/>
              </w:rPr>
              <w:t>675.64</w:t>
            </w:r>
          </w:p>
        </w:tc>
        <w:tc>
          <w:tcPr>
            <w:tcW w:w="0" w:type="auto"/>
            <w:tcMar>
              <w:top w:w="0" w:type="dxa"/>
              <w:left w:w="108" w:type="dxa"/>
              <w:bottom w:w="0" w:type="dxa"/>
              <w:right w:w="108" w:type="dxa"/>
            </w:tcMar>
            <w:vAlign w:val="center"/>
            <w:hideMark/>
          </w:tcPr>
          <w:p w14:paraId="4ED789FD" w14:textId="77777777" w:rsidR="001C0B04" w:rsidRPr="00E54392" w:rsidRDefault="001C0B04" w:rsidP="002A7E94">
            <w:pPr>
              <w:jc w:val="center"/>
              <w:rPr>
                <w:lang w:eastAsia="es-ES"/>
              </w:rPr>
            </w:pPr>
            <w:r w:rsidRPr="00E54392">
              <w:rPr>
                <w:color w:val="000000"/>
                <w:sz w:val="16"/>
                <w:szCs w:val="16"/>
                <w:lang w:eastAsia="es-ES"/>
              </w:rPr>
              <w:t>8511.50</w:t>
            </w:r>
          </w:p>
        </w:tc>
        <w:tc>
          <w:tcPr>
            <w:tcW w:w="0" w:type="auto"/>
            <w:tcMar>
              <w:top w:w="0" w:type="dxa"/>
              <w:left w:w="108" w:type="dxa"/>
              <w:bottom w:w="0" w:type="dxa"/>
              <w:right w:w="108" w:type="dxa"/>
            </w:tcMar>
            <w:vAlign w:val="center"/>
            <w:hideMark/>
          </w:tcPr>
          <w:p w14:paraId="3DD57E2F" w14:textId="77777777" w:rsidR="001C0B04" w:rsidRPr="00E54392" w:rsidRDefault="001C0B04" w:rsidP="002A7E94">
            <w:pPr>
              <w:jc w:val="center"/>
              <w:rPr>
                <w:lang w:eastAsia="es-ES"/>
              </w:rPr>
            </w:pPr>
            <w:r w:rsidRPr="00E54392">
              <w:rPr>
                <w:color w:val="000000"/>
                <w:sz w:val="16"/>
                <w:szCs w:val="16"/>
                <w:lang w:eastAsia="es-ES"/>
              </w:rPr>
              <w:t>.216</w:t>
            </w:r>
          </w:p>
        </w:tc>
        <w:tc>
          <w:tcPr>
            <w:tcW w:w="0" w:type="auto"/>
            <w:tcMar>
              <w:top w:w="0" w:type="dxa"/>
              <w:left w:w="108" w:type="dxa"/>
              <w:bottom w:w="0" w:type="dxa"/>
              <w:right w:w="108" w:type="dxa"/>
            </w:tcMar>
            <w:vAlign w:val="center"/>
            <w:hideMark/>
          </w:tcPr>
          <w:p w14:paraId="4256B1A8"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vAlign w:val="center"/>
            <w:hideMark/>
          </w:tcPr>
          <w:p w14:paraId="12EA590B" w14:textId="77777777" w:rsidR="001C0B04" w:rsidRPr="00E54392" w:rsidRDefault="001C0B04" w:rsidP="002A7E94">
            <w:pPr>
              <w:jc w:val="center"/>
              <w:rPr>
                <w:sz w:val="20"/>
                <w:szCs w:val="20"/>
                <w:lang w:eastAsia="es-ES"/>
              </w:rPr>
            </w:pPr>
          </w:p>
        </w:tc>
      </w:tr>
      <w:tr w:rsidR="001C0B04" w:rsidRPr="00E54392" w14:paraId="5C4D33C1" w14:textId="77777777" w:rsidTr="002A7E94">
        <w:tc>
          <w:tcPr>
            <w:tcW w:w="0" w:type="auto"/>
            <w:tcMar>
              <w:top w:w="0" w:type="dxa"/>
              <w:left w:w="108" w:type="dxa"/>
              <w:bottom w:w="0" w:type="dxa"/>
              <w:right w:w="108" w:type="dxa"/>
            </w:tcMar>
            <w:hideMark/>
          </w:tcPr>
          <w:p w14:paraId="5717946B" w14:textId="77777777" w:rsidR="001C0B04" w:rsidRPr="00E54392" w:rsidRDefault="001C0B04" w:rsidP="002A7E94">
            <w:pPr>
              <w:rPr>
                <w:lang w:eastAsia="es-ES"/>
              </w:rPr>
            </w:pPr>
            <w:r w:rsidRPr="00E54392">
              <w:rPr>
                <w:color w:val="000000"/>
                <w:sz w:val="20"/>
                <w:szCs w:val="20"/>
                <w:lang w:eastAsia="es-ES"/>
              </w:rPr>
              <w:t xml:space="preserve">Exterior </w:t>
            </w:r>
            <w:proofErr w:type="spellStart"/>
            <w:r w:rsidRPr="00E54392">
              <w:rPr>
                <w:color w:val="000000"/>
                <w:sz w:val="20"/>
                <w:szCs w:val="20"/>
                <w:lang w:eastAsia="es-ES"/>
              </w:rPr>
              <w:t>actions</w:t>
            </w:r>
            <w:proofErr w:type="spellEnd"/>
          </w:p>
        </w:tc>
        <w:tc>
          <w:tcPr>
            <w:tcW w:w="0" w:type="auto"/>
            <w:gridSpan w:val="17"/>
            <w:tcMar>
              <w:top w:w="0" w:type="dxa"/>
              <w:left w:w="108" w:type="dxa"/>
              <w:bottom w:w="0" w:type="dxa"/>
              <w:right w:w="108" w:type="dxa"/>
            </w:tcMar>
            <w:vAlign w:val="center"/>
            <w:hideMark/>
          </w:tcPr>
          <w:p w14:paraId="3EA5B4F2" w14:textId="77777777" w:rsidR="001C0B04" w:rsidRPr="00CB536A" w:rsidRDefault="001C0B04" w:rsidP="002A7E94">
            <w:pPr>
              <w:jc w:val="center"/>
              <w:rPr>
                <w:lang w:eastAsia="es-ES"/>
              </w:rPr>
            </w:pPr>
            <w:r w:rsidRPr="00CB536A">
              <w:rPr>
                <w:color w:val="000000"/>
                <w:sz w:val="20"/>
                <w:szCs w:val="20"/>
                <w:lang w:eastAsia="es-ES"/>
              </w:rPr>
              <w:t xml:space="preserve">Wave </w:t>
            </w:r>
            <w:r>
              <w:rPr>
                <w:color w:val="000000"/>
                <w:sz w:val="20"/>
                <w:szCs w:val="20"/>
                <w:lang w:eastAsia="es-ES"/>
              </w:rPr>
              <w:t>4</w:t>
            </w:r>
          </w:p>
          <w:p w14:paraId="761B8D37" w14:textId="77777777" w:rsidR="001C0B04" w:rsidRPr="00E54392" w:rsidRDefault="001C0B04" w:rsidP="002A7E94">
            <w:pPr>
              <w:jc w:val="center"/>
              <w:rPr>
                <w:lang w:eastAsia="es-ES"/>
              </w:rPr>
            </w:pPr>
          </w:p>
        </w:tc>
        <w:tc>
          <w:tcPr>
            <w:tcW w:w="0" w:type="auto"/>
            <w:vAlign w:val="center"/>
            <w:hideMark/>
          </w:tcPr>
          <w:p w14:paraId="1A056700" w14:textId="77777777" w:rsidR="001C0B04" w:rsidRPr="00E54392" w:rsidRDefault="001C0B04" w:rsidP="002A7E94">
            <w:pPr>
              <w:rPr>
                <w:sz w:val="20"/>
                <w:szCs w:val="20"/>
                <w:lang w:eastAsia="es-ES"/>
              </w:rPr>
            </w:pPr>
          </w:p>
        </w:tc>
      </w:tr>
      <w:tr w:rsidR="001C0B04" w:rsidRPr="00E54392" w14:paraId="275B2335" w14:textId="77777777" w:rsidTr="002A7E94">
        <w:tc>
          <w:tcPr>
            <w:tcW w:w="0" w:type="auto"/>
            <w:tcMar>
              <w:top w:w="0" w:type="dxa"/>
              <w:left w:w="108" w:type="dxa"/>
              <w:bottom w:w="0" w:type="dxa"/>
              <w:right w:w="108" w:type="dxa"/>
            </w:tcMar>
            <w:hideMark/>
          </w:tcPr>
          <w:p w14:paraId="18C75B44" w14:textId="77777777" w:rsidR="001C0B04" w:rsidRPr="001C0B04" w:rsidRDefault="001C0B04" w:rsidP="002A7E94">
            <w:pPr>
              <w:ind w:left="340"/>
              <w:rPr>
                <w:lang w:val="en-US" w:eastAsia="es-ES"/>
              </w:rPr>
            </w:pPr>
            <w:r w:rsidRPr="001C0B04">
              <w:rPr>
                <w:color w:val="000000"/>
                <w:sz w:val="18"/>
                <w:szCs w:val="18"/>
                <w:lang w:val="en-US" w:eastAsia="es-ES"/>
              </w:rPr>
              <w:t>Buying outside products for basic needs</w:t>
            </w:r>
          </w:p>
        </w:tc>
        <w:tc>
          <w:tcPr>
            <w:tcW w:w="0" w:type="auto"/>
            <w:tcMar>
              <w:top w:w="0" w:type="dxa"/>
              <w:left w:w="108" w:type="dxa"/>
              <w:bottom w:w="0" w:type="dxa"/>
              <w:right w:w="108" w:type="dxa"/>
            </w:tcMar>
            <w:vAlign w:val="center"/>
            <w:hideMark/>
          </w:tcPr>
          <w:p w14:paraId="3305059D" w14:textId="77777777" w:rsidR="001C0B04" w:rsidRPr="00E54392" w:rsidRDefault="001C0B04" w:rsidP="002A7E94">
            <w:pPr>
              <w:jc w:val="center"/>
              <w:rPr>
                <w:lang w:eastAsia="es-ES"/>
              </w:rPr>
            </w:pPr>
            <w:r w:rsidRPr="00E54392">
              <w:rPr>
                <w:color w:val="000000"/>
                <w:sz w:val="16"/>
                <w:szCs w:val="16"/>
                <w:lang w:eastAsia="es-ES"/>
              </w:rPr>
              <w:t>323.21</w:t>
            </w:r>
          </w:p>
        </w:tc>
        <w:tc>
          <w:tcPr>
            <w:tcW w:w="0" w:type="auto"/>
            <w:tcMar>
              <w:top w:w="0" w:type="dxa"/>
              <w:left w:w="108" w:type="dxa"/>
              <w:bottom w:w="0" w:type="dxa"/>
              <w:right w:w="108" w:type="dxa"/>
            </w:tcMar>
            <w:vAlign w:val="center"/>
            <w:hideMark/>
          </w:tcPr>
          <w:p w14:paraId="62B51D91" w14:textId="77777777" w:rsidR="001C0B04" w:rsidRPr="00E54392" w:rsidRDefault="001C0B04" w:rsidP="002A7E94">
            <w:pPr>
              <w:jc w:val="center"/>
              <w:rPr>
                <w:lang w:eastAsia="es-ES"/>
              </w:rPr>
            </w:pPr>
            <w:r w:rsidRPr="00E54392">
              <w:rPr>
                <w:color w:val="000000"/>
                <w:sz w:val="16"/>
                <w:szCs w:val="16"/>
                <w:lang w:eastAsia="es-ES"/>
              </w:rPr>
              <w:t>287.00</w:t>
            </w:r>
          </w:p>
        </w:tc>
        <w:tc>
          <w:tcPr>
            <w:tcW w:w="0" w:type="auto"/>
            <w:tcMar>
              <w:top w:w="0" w:type="dxa"/>
              <w:left w:w="108" w:type="dxa"/>
              <w:bottom w:w="0" w:type="dxa"/>
              <w:right w:w="108" w:type="dxa"/>
            </w:tcMar>
            <w:vAlign w:val="center"/>
            <w:hideMark/>
          </w:tcPr>
          <w:p w14:paraId="593C3318" w14:textId="77777777" w:rsidR="001C0B04" w:rsidRPr="00E54392" w:rsidRDefault="001C0B04" w:rsidP="002A7E94">
            <w:pPr>
              <w:jc w:val="center"/>
              <w:rPr>
                <w:lang w:eastAsia="es-ES"/>
              </w:rPr>
            </w:pPr>
            <w:r w:rsidRPr="00E54392">
              <w:rPr>
                <w:color w:val="000000"/>
                <w:sz w:val="16"/>
                <w:szCs w:val="16"/>
                <w:lang w:eastAsia="es-ES"/>
              </w:rPr>
              <w:t>31860.50</w:t>
            </w:r>
          </w:p>
        </w:tc>
        <w:tc>
          <w:tcPr>
            <w:tcW w:w="0" w:type="auto"/>
            <w:tcMar>
              <w:top w:w="0" w:type="dxa"/>
              <w:left w:w="108" w:type="dxa"/>
              <w:bottom w:w="0" w:type="dxa"/>
              <w:right w:w="108" w:type="dxa"/>
            </w:tcMar>
            <w:vAlign w:val="center"/>
            <w:hideMark/>
          </w:tcPr>
          <w:p w14:paraId="7580FD60" w14:textId="77777777" w:rsidR="001C0B04" w:rsidRPr="00E54392" w:rsidRDefault="001C0B04" w:rsidP="002A7E94">
            <w:pPr>
              <w:jc w:val="center"/>
              <w:rPr>
                <w:lang w:eastAsia="es-ES"/>
              </w:rPr>
            </w:pPr>
            <w:r w:rsidRPr="00E54392">
              <w:rPr>
                <w:color w:val="000000"/>
                <w:sz w:val="16"/>
                <w:szCs w:val="16"/>
                <w:lang w:eastAsia="es-ES"/>
              </w:rPr>
              <w:t>.032</w:t>
            </w:r>
          </w:p>
        </w:tc>
        <w:tc>
          <w:tcPr>
            <w:tcW w:w="0" w:type="auto"/>
            <w:gridSpan w:val="2"/>
            <w:tcMar>
              <w:top w:w="0" w:type="dxa"/>
              <w:left w:w="108" w:type="dxa"/>
              <w:bottom w:w="0" w:type="dxa"/>
              <w:right w:w="108" w:type="dxa"/>
            </w:tcMar>
            <w:vAlign w:val="center"/>
            <w:hideMark/>
          </w:tcPr>
          <w:p w14:paraId="70854E06" w14:textId="77777777" w:rsidR="001C0B04" w:rsidRPr="00E54392" w:rsidRDefault="001C0B04" w:rsidP="002A7E94">
            <w:pPr>
              <w:jc w:val="center"/>
              <w:rPr>
                <w:lang w:eastAsia="es-ES"/>
              </w:rPr>
            </w:pPr>
            <w:r w:rsidRPr="00E54392">
              <w:rPr>
                <w:color w:val="000000"/>
                <w:sz w:val="16"/>
                <w:szCs w:val="16"/>
                <w:shd w:val="clear" w:color="auto" w:fill="FFFF00"/>
                <w:lang w:eastAsia="es-ES"/>
              </w:rPr>
              <w:t>.08</w:t>
            </w:r>
          </w:p>
        </w:tc>
        <w:tc>
          <w:tcPr>
            <w:tcW w:w="0" w:type="auto"/>
            <w:tcMar>
              <w:top w:w="0" w:type="dxa"/>
              <w:left w:w="108" w:type="dxa"/>
              <w:bottom w:w="0" w:type="dxa"/>
              <w:right w:w="108" w:type="dxa"/>
            </w:tcMar>
            <w:vAlign w:val="center"/>
            <w:hideMark/>
          </w:tcPr>
          <w:p w14:paraId="450F29A6" w14:textId="77777777" w:rsidR="001C0B04" w:rsidRPr="00E54392" w:rsidRDefault="001C0B04" w:rsidP="002A7E94">
            <w:pPr>
              <w:jc w:val="center"/>
              <w:rPr>
                <w:lang w:eastAsia="es-ES"/>
              </w:rPr>
            </w:pPr>
            <w:r w:rsidRPr="00E54392">
              <w:rPr>
                <w:color w:val="000000"/>
                <w:sz w:val="16"/>
                <w:szCs w:val="16"/>
                <w:lang w:eastAsia="es-ES"/>
              </w:rPr>
              <w:t>303.08</w:t>
            </w:r>
          </w:p>
        </w:tc>
        <w:tc>
          <w:tcPr>
            <w:tcW w:w="0" w:type="auto"/>
            <w:tcMar>
              <w:top w:w="0" w:type="dxa"/>
              <w:left w:w="108" w:type="dxa"/>
              <w:bottom w:w="0" w:type="dxa"/>
              <w:right w:w="108" w:type="dxa"/>
            </w:tcMar>
            <w:vAlign w:val="center"/>
            <w:hideMark/>
          </w:tcPr>
          <w:p w14:paraId="71BDADAD" w14:textId="77777777" w:rsidR="001C0B04" w:rsidRPr="00E54392" w:rsidRDefault="001C0B04" w:rsidP="002A7E94">
            <w:pPr>
              <w:jc w:val="center"/>
              <w:rPr>
                <w:lang w:eastAsia="es-ES"/>
              </w:rPr>
            </w:pPr>
            <w:r w:rsidRPr="00E54392">
              <w:rPr>
                <w:color w:val="000000"/>
                <w:sz w:val="16"/>
                <w:szCs w:val="16"/>
                <w:lang w:eastAsia="es-ES"/>
              </w:rPr>
              <w:t>350.59</w:t>
            </w:r>
          </w:p>
        </w:tc>
        <w:tc>
          <w:tcPr>
            <w:tcW w:w="0" w:type="auto"/>
            <w:tcMar>
              <w:top w:w="0" w:type="dxa"/>
              <w:left w:w="108" w:type="dxa"/>
              <w:bottom w:w="0" w:type="dxa"/>
              <w:right w:w="108" w:type="dxa"/>
            </w:tcMar>
            <w:vAlign w:val="center"/>
            <w:hideMark/>
          </w:tcPr>
          <w:p w14:paraId="14BCC707" w14:textId="77777777" w:rsidR="001C0B04" w:rsidRPr="00E54392" w:rsidRDefault="001C0B04" w:rsidP="002A7E94">
            <w:pPr>
              <w:jc w:val="center"/>
              <w:rPr>
                <w:lang w:eastAsia="es-ES"/>
              </w:rPr>
            </w:pPr>
            <w:r w:rsidRPr="00E54392">
              <w:rPr>
                <w:color w:val="000000"/>
                <w:sz w:val="16"/>
                <w:szCs w:val="16"/>
                <w:lang w:eastAsia="es-ES"/>
              </w:rPr>
              <w:t>30564.00</w:t>
            </w:r>
          </w:p>
        </w:tc>
        <w:tc>
          <w:tcPr>
            <w:tcW w:w="0" w:type="auto"/>
            <w:tcMar>
              <w:top w:w="0" w:type="dxa"/>
              <w:left w:w="108" w:type="dxa"/>
              <w:bottom w:w="0" w:type="dxa"/>
              <w:right w:w="108" w:type="dxa"/>
            </w:tcMar>
            <w:vAlign w:val="center"/>
            <w:hideMark/>
          </w:tcPr>
          <w:p w14:paraId="292C10B7" w14:textId="77777777" w:rsidR="001C0B04" w:rsidRPr="00E54392" w:rsidRDefault="001C0B04" w:rsidP="002A7E94">
            <w:pPr>
              <w:jc w:val="center"/>
              <w:rPr>
                <w:lang w:eastAsia="es-ES"/>
              </w:rPr>
            </w:pPr>
            <w:r w:rsidRPr="00E54392">
              <w:rPr>
                <w:color w:val="000000"/>
                <w:sz w:val="16"/>
                <w:szCs w:val="16"/>
                <w:lang w:eastAsia="es-ES"/>
              </w:rPr>
              <w:t>.005</w:t>
            </w:r>
          </w:p>
        </w:tc>
        <w:tc>
          <w:tcPr>
            <w:tcW w:w="0" w:type="auto"/>
            <w:tcMar>
              <w:top w:w="0" w:type="dxa"/>
              <w:left w:w="108" w:type="dxa"/>
              <w:bottom w:w="0" w:type="dxa"/>
              <w:right w:w="108" w:type="dxa"/>
            </w:tcMar>
            <w:vAlign w:val="center"/>
            <w:hideMark/>
          </w:tcPr>
          <w:p w14:paraId="1A8A06A9"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gridSpan w:val="2"/>
            <w:tcMar>
              <w:top w:w="0" w:type="dxa"/>
              <w:left w:w="108" w:type="dxa"/>
              <w:bottom w:w="0" w:type="dxa"/>
              <w:right w:w="108" w:type="dxa"/>
            </w:tcMar>
            <w:vAlign w:val="center"/>
            <w:hideMark/>
          </w:tcPr>
          <w:p w14:paraId="3C2E547E" w14:textId="77777777" w:rsidR="001C0B04" w:rsidRPr="00E54392" w:rsidRDefault="001C0B04" w:rsidP="002A7E94">
            <w:pPr>
              <w:jc w:val="center"/>
              <w:rPr>
                <w:lang w:eastAsia="es-ES"/>
              </w:rPr>
            </w:pPr>
            <w:r w:rsidRPr="00E54392">
              <w:rPr>
                <w:color w:val="000000"/>
                <w:sz w:val="16"/>
                <w:szCs w:val="16"/>
                <w:lang w:eastAsia="es-ES"/>
              </w:rPr>
              <w:t>309.29</w:t>
            </w:r>
          </w:p>
        </w:tc>
        <w:tc>
          <w:tcPr>
            <w:tcW w:w="0" w:type="auto"/>
            <w:tcMar>
              <w:top w:w="0" w:type="dxa"/>
              <w:left w:w="108" w:type="dxa"/>
              <w:bottom w:w="0" w:type="dxa"/>
              <w:right w:w="108" w:type="dxa"/>
            </w:tcMar>
            <w:vAlign w:val="center"/>
            <w:hideMark/>
          </w:tcPr>
          <w:p w14:paraId="586C2A1B" w14:textId="77777777" w:rsidR="001C0B04" w:rsidRPr="00E54392" w:rsidRDefault="001C0B04" w:rsidP="002A7E94">
            <w:pPr>
              <w:jc w:val="center"/>
              <w:rPr>
                <w:lang w:eastAsia="es-ES"/>
              </w:rPr>
            </w:pPr>
            <w:r w:rsidRPr="00E54392">
              <w:rPr>
                <w:color w:val="000000"/>
                <w:sz w:val="16"/>
                <w:szCs w:val="16"/>
                <w:lang w:eastAsia="es-ES"/>
              </w:rPr>
              <w:t>330.95</w:t>
            </w:r>
          </w:p>
        </w:tc>
        <w:tc>
          <w:tcPr>
            <w:tcW w:w="0" w:type="auto"/>
            <w:tcMar>
              <w:top w:w="0" w:type="dxa"/>
              <w:left w:w="108" w:type="dxa"/>
              <w:bottom w:w="0" w:type="dxa"/>
              <w:right w:w="108" w:type="dxa"/>
            </w:tcMar>
            <w:vAlign w:val="center"/>
            <w:hideMark/>
          </w:tcPr>
          <w:p w14:paraId="489840D3" w14:textId="77777777" w:rsidR="001C0B04" w:rsidRPr="00E54392" w:rsidRDefault="001C0B04" w:rsidP="002A7E94">
            <w:pPr>
              <w:jc w:val="center"/>
              <w:rPr>
                <w:lang w:eastAsia="es-ES"/>
              </w:rPr>
            </w:pPr>
            <w:r w:rsidRPr="00E54392">
              <w:rPr>
                <w:color w:val="000000"/>
                <w:sz w:val="16"/>
                <w:szCs w:val="16"/>
                <w:lang w:eastAsia="es-ES"/>
              </w:rPr>
              <w:t>33529.00</w:t>
            </w:r>
          </w:p>
        </w:tc>
        <w:tc>
          <w:tcPr>
            <w:tcW w:w="0" w:type="auto"/>
            <w:tcMar>
              <w:top w:w="0" w:type="dxa"/>
              <w:left w:w="108" w:type="dxa"/>
              <w:bottom w:w="0" w:type="dxa"/>
              <w:right w:w="108" w:type="dxa"/>
            </w:tcMar>
            <w:vAlign w:val="center"/>
            <w:hideMark/>
          </w:tcPr>
          <w:p w14:paraId="13FBB187" w14:textId="77777777" w:rsidR="001C0B04" w:rsidRPr="00E54392" w:rsidRDefault="001C0B04" w:rsidP="002A7E94">
            <w:pPr>
              <w:jc w:val="center"/>
              <w:rPr>
                <w:lang w:eastAsia="es-ES"/>
              </w:rPr>
            </w:pPr>
            <w:r w:rsidRPr="00E54392">
              <w:rPr>
                <w:color w:val="000000"/>
                <w:sz w:val="16"/>
                <w:szCs w:val="16"/>
                <w:lang w:eastAsia="es-ES"/>
              </w:rPr>
              <w:t>.201</w:t>
            </w:r>
          </w:p>
        </w:tc>
        <w:tc>
          <w:tcPr>
            <w:tcW w:w="0" w:type="auto"/>
            <w:tcMar>
              <w:top w:w="0" w:type="dxa"/>
              <w:left w:w="108" w:type="dxa"/>
              <w:bottom w:w="0" w:type="dxa"/>
              <w:right w:w="108" w:type="dxa"/>
            </w:tcMar>
            <w:vAlign w:val="center"/>
            <w:hideMark/>
          </w:tcPr>
          <w:p w14:paraId="39D63779" w14:textId="77777777" w:rsidR="001C0B04" w:rsidRPr="00E54392" w:rsidRDefault="001C0B04" w:rsidP="002A7E94">
            <w:pPr>
              <w:jc w:val="center"/>
              <w:rPr>
                <w:lang w:eastAsia="es-ES"/>
              </w:rPr>
            </w:pPr>
            <w:r w:rsidRPr="00E54392">
              <w:rPr>
                <w:color w:val="000000"/>
                <w:sz w:val="16"/>
                <w:szCs w:val="16"/>
                <w:shd w:val="clear" w:color="auto" w:fill="FFFF00"/>
                <w:lang w:eastAsia="es-ES"/>
              </w:rPr>
              <w:t>.05</w:t>
            </w:r>
          </w:p>
        </w:tc>
        <w:tc>
          <w:tcPr>
            <w:tcW w:w="0" w:type="auto"/>
            <w:vAlign w:val="center"/>
            <w:hideMark/>
          </w:tcPr>
          <w:p w14:paraId="6A1AF5F8" w14:textId="77777777" w:rsidR="001C0B04" w:rsidRPr="00E54392" w:rsidRDefault="001C0B04" w:rsidP="002A7E94">
            <w:pPr>
              <w:rPr>
                <w:sz w:val="20"/>
                <w:szCs w:val="20"/>
                <w:lang w:eastAsia="es-ES"/>
              </w:rPr>
            </w:pPr>
          </w:p>
        </w:tc>
      </w:tr>
      <w:tr w:rsidR="001C0B04" w:rsidRPr="00E54392" w14:paraId="0C71D13A" w14:textId="77777777" w:rsidTr="002A7E94">
        <w:tc>
          <w:tcPr>
            <w:tcW w:w="0" w:type="auto"/>
            <w:tcMar>
              <w:top w:w="0" w:type="dxa"/>
              <w:left w:w="108" w:type="dxa"/>
              <w:bottom w:w="0" w:type="dxa"/>
              <w:right w:w="108" w:type="dxa"/>
            </w:tcMar>
            <w:hideMark/>
          </w:tcPr>
          <w:p w14:paraId="6E62623F" w14:textId="77777777" w:rsidR="001C0B04" w:rsidRPr="00E54392" w:rsidRDefault="001C0B04" w:rsidP="002A7E94">
            <w:pPr>
              <w:ind w:left="340"/>
              <w:rPr>
                <w:lang w:eastAsia="es-ES"/>
              </w:rPr>
            </w:pPr>
            <w:proofErr w:type="spellStart"/>
            <w:r w:rsidRPr="00E54392">
              <w:rPr>
                <w:color w:val="000000"/>
                <w:sz w:val="18"/>
                <w:szCs w:val="18"/>
                <w:lang w:eastAsia="es-ES"/>
              </w:rPr>
              <w:t>Walking</w:t>
            </w:r>
            <w:proofErr w:type="spellEnd"/>
            <w:r w:rsidRPr="00E54392">
              <w:rPr>
                <w:color w:val="000000"/>
                <w:sz w:val="18"/>
                <w:szCs w:val="18"/>
                <w:lang w:eastAsia="es-ES"/>
              </w:rPr>
              <w:t xml:space="preserve"> </w:t>
            </w:r>
            <w:proofErr w:type="spellStart"/>
            <w:r w:rsidRPr="00E54392">
              <w:rPr>
                <w:color w:val="000000"/>
                <w:sz w:val="18"/>
                <w:szCs w:val="18"/>
                <w:lang w:eastAsia="es-ES"/>
              </w:rPr>
              <w:t>dogs</w:t>
            </w:r>
            <w:proofErr w:type="spellEnd"/>
          </w:p>
        </w:tc>
        <w:tc>
          <w:tcPr>
            <w:tcW w:w="0" w:type="auto"/>
            <w:tcMar>
              <w:top w:w="0" w:type="dxa"/>
              <w:left w:w="108" w:type="dxa"/>
              <w:bottom w:w="0" w:type="dxa"/>
              <w:right w:w="108" w:type="dxa"/>
            </w:tcMar>
            <w:vAlign w:val="center"/>
            <w:hideMark/>
          </w:tcPr>
          <w:p w14:paraId="4F5FFB5A" w14:textId="77777777" w:rsidR="001C0B04" w:rsidRPr="00E54392" w:rsidRDefault="001C0B04" w:rsidP="002A7E94">
            <w:pPr>
              <w:jc w:val="center"/>
              <w:rPr>
                <w:lang w:eastAsia="es-ES"/>
              </w:rPr>
            </w:pPr>
            <w:r w:rsidRPr="00E54392">
              <w:rPr>
                <w:color w:val="000000"/>
                <w:sz w:val="16"/>
                <w:szCs w:val="16"/>
                <w:lang w:eastAsia="es-ES"/>
              </w:rPr>
              <w:t>633.52</w:t>
            </w:r>
          </w:p>
        </w:tc>
        <w:tc>
          <w:tcPr>
            <w:tcW w:w="0" w:type="auto"/>
            <w:tcMar>
              <w:top w:w="0" w:type="dxa"/>
              <w:left w:w="108" w:type="dxa"/>
              <w:bottom w:w="0" w:type="dxa"/>
              <w:right w:w="108" w:type="dxa"/>
            </w:tcMar>
            <w:vAlign w:val="center"/>
            <w:hideMark/>
          </w:tcPr>
          <w:p w14:paraId="303A9E43" w14:textId="77777777" w:rsidR="001C0B04" w:rsidRPr="00E54392" w:rsidRDefault="001C0B04" w:rsidP="002A7E94">
            <w:pPr>
              <w:jc w:val="center"/>
              <w:rPr>
                <w:lang w:eastAsia="es-ES"/>
              </w:rPr>
            </w:pPr>
            <w:r w:rsidRPr="00E54392">
              <w:rPr>
                <w:color w:val="000000"/>
                <w:sz w:val="16"/>
                <w:szCs w:val="16"/>
                <w:lang w:eastAsia="es-ES"/>
              </w:rPr>
              <w:t>613.02</w:t>
            </w:r>
          </w:p>
        </w:tc>
        <w:tc>
          <w:tcPr>
            <w:tcW w:w="0" w:type="auto"/>
            <w:tcMar>
              <w:top w:w="0" w:type="dxa"/>
              <w:left w:w="108" w:type="dxa"/>
              <w:bottom w:w="0" w:type="dxa"/>
              <w:right w:w="108" w:type="dxa"/>
            </w:tcMar>
            <w:vAlign w:val="center"/>
            <w:hideMark/>
          </w:tcPr>
          <w:p w14:paraId="53D63FC3" w14:textId="77777777" w:rsidR="001C0B04" w:rsidRPr="00E54392" w:rsidRDefault="001C0B04" w:rsidP="002A7E94">
            <w:pPr>
              <w:jc w:val="center"/>
              <w:rPr>
                <w:lang w:eastAsia="es-ES"/>
              </w:rPr>
            </w:pPr>
            <w:r w:rsidRPr="00E54392">
              <w:rPr>
                <w:color w:val="000000"/>
                <w:sz w:val="16"/>
                <w:szCs w:val="16"/>
                <w:lang w:eastAsia="es-ES"/>
              </w:rPr>
              <w:t>108975.50</w:t>
            </w:r>
          </w:p>
        </w:tc>
        <w:tc>
          <w:tcPr>
            <w:tcW w:w="0" w:type="auto"/>
            <w:tcMar>
              <w:top w:w="0" w:type="dxa"/>
              <w:left w:w="108" w:type="dxa"/>
              <w:bottom w:w="0" w:type="dxa"/>
              <w:right w:w="108" w:type="dxa"/>
            </w:tcMar>
            <w:vAlign w:val="center"/>
            <w:hideMark/>
          </w:tcPr>
          <w:p w14:paraId="5D590A5C" w14:textId="77777777" w:rsidR="001C0B04" w:rsidRPr="00E54392" w:rsidRDefault="001C0B04" w:rsidP="002A7E94">
            <w:pPr>
              <w:jc w:val="center"/>
              <w:rPr>
                <w:lang w:eastAsia="es-ES"/>
              </w:rPr>
            </w:pPr>
            <w:r w:rsidRPr="00E54392">
              <w:rPr>
                <w:color w:val="000000"/>
                <w:sz w:val="16"/>
                <w:szCs w:val="16"/>
                <w:lang w:eastAsia="es-ES"/>
              </w:rPr>
              <w:t>.449</w:t>
            </w:r>
          </w:p>
        </w:tc>
        <w:tc>
          <w:tcPr>
            <w:tcW w:w="0" w:type="auto"/>
            <w:gridSpan w:val="2"/>
            <w:tcMar>
              <w:top w:w="0" w:type="dxa"/>
              <w:left w:w="108" w:type="dxa"/>
              <w:bottom w:w="0" w:type="dxa"/>
              <w:right w:w="108" w:type="dxa"/>
            </w:tcMar>
            <w:vAlign w:val="center"/>
            <w:hideMark/>
          </w:tcPr>
          <w:p w14:paraId="3BEF4230"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tcMar>
              <w:top w:w="0" w:type="dxa"/>
              <w:left w:w="108" w:type="dxa"/>
              <w:bottom w:w="0" w:type="dxa"/>
              <w:right w:w="108" w:type="dxa"/>
            </w:tcMar>
            <w:vAlign w:val="center"/>
            <w:hideMark/>
          </w:tcPr>
          <w:p w14:paraId="64CB1250" w14:textId="77777777" w:rsidR="001C0B04" w:rsidRPr="00E54392" w:rsidRDefault="001C0B04" w:rsidP="002A7E94">
            <w:pPr>
              <w:jc w:val="center"/>
              <w:rPr>
                <w:lang w:eastAsia="es-ES"/>
              </w:rPr>
            </w:pPr>
            <w:r w:rsidRPr="00E54392">
              <w:rPr>
                <w:color w:val="000000"/>
                <w:sz w:val="16"/>
                <w:szCs w:val="16"/>
                <w:lang w:eastAsia="es-ES"/>
              </w:rPr>
              <w:t>637.20</w:t>
            </w:r>
          </w:p>
        </w:tc>
        <w:tc>
          <w:tcPr>
            <w:tcW w:w="0" w:type="auto"/>
            <w:tcMar>
              <w:top w:w="0" w:type="dxa"/>
              <w:left w:w="108" w:type="dxa"/>
              <w:bottom w:w="0" w:type="dxa"/>
              <w:right w:w="108" w:type="dxa"/>
            </w:tcMar>
            <w:vAlign w:val="center"/>
            <w:hideMark/>
          </w:tcPr>
          <w:p w14:paraId="5D8A6FF6" w14:textId="77777777" w:rsidR="001C0B04" w:rsidRPr="00E54392" w:rsidRDefault="001C0B04" w:rsidP="002A7E94">
            <w:pPr>
              <w:jc w:val="center"/>
              <w:rPr>
                <w:lang w:eastAsia="es-ES"/>
              </w:rPr>
            </w:pPr>
            <w:r w:rsidRPr="00E54392">
              <w:rPr>
                <w:color w:val="000000"/>
                <w:sz w:val="16"/>
                <w:szCs w:val="16"/>
                <w:lang w:eastAsia="es-ES"/>
              </w:rPr>
              <w:t>595.24</w:t>
            </w:r>
          </w:p>
        </w:tc>
        <w:tc>
          <w:tcPr>
            <w:tcW w:w="0" w:type="auto"/>
            <w:tcMar>
              <w:top w:w="0" w:type="dxa"/>
              <w:left w:w="108" w:type="dxa"/>
              <w:bottom w:w="0" w:type="dxa"/>
              <w:right w:w="108" w:type="dxa"/>
            </w:tcMar>
            <w:vAlign w:val="center"/>
            <w:hideMark/>
          </w:tcPr>
          <w:p w14:paraId="22F61599" w14:textId="77777777" w:rsidR="001C0B04" w:rsidRPr="00E54392" w:rsidRDefault="001C0B04" w:rsidP="002A7E94">
            <w:pPr>
              <w:jc w:val="center"/>
              <w:rPr>
                <w:lang w:eastAsia="es-ES"/>
              </w:rPr>
            </w:pPr>
            <w:r w:rsidRPr="00E54392">
              <w:rPr>
                <w:color w:val="000000"/>
                <w:sz w:val="16"/>
                <w:szCs w:val="16"/>
                <w:lang w:eastAsia="es-ES"/>
              </w:rPr>
              <w:t>105135.50</w:t>
            </w:r>
          </w:p>
        </w:tc>
        <w:tc>
          <w:tcPr>
            <w:tcW w:w="0" w:type="auto"/>
            <w:tcMar>
              <w:top w:w="0" w:type="dxa"/>
              <w:left w:w="108" w:type="dxa"/>
              <w:bottom w:w="0" w:type="dxa"/>
              <w:right w:w="108" w:type="dxa"/>
            </w:tcMar>
            <w:vAlign w:val="center"/>
            <w:hideMark/>
          </w:tcPr>
          <w:p w14:paraId="55A75144" w14:textId="77777777" w:rsidR="001C0B04" w:rsidRPr="00E54392" w:rsidRDefault="001C0B04" w:rsidP="002A7E94">
            <w:pPr>
              <w:jc w:val="center"/>
              <w:rPr>
                <w:lang w:eastAsia="es-ES"/>
              </w:rPr>
            </w:pPr>
            <w:r w:rsidRPr="00E54392">
              <w:rPr>
                <w:color w:val="000000"/>
                <w:sz w:val="16"/>
                <w:szCs w:val="16"/>
                <w:lang w:eastAsia="es-ES"/>
              </w:rPr>
              <w:t>.121</w:t>
            </w:r>
          </w:p>
        </w:tc>
        <w:tc>
          <w:tcPr>
            <w:tcW w:w="0" w:type="auto"/>
            <w:tcMar>
              <w:top w:w="0" w:type="dxa"/>
              <w:left w:w="108" w:type="dxa"/>
              <w:bottom w:w="0" w:type="dxa"/>
              <w:right w:w="108" w:type="dxa"/>
            </w:tcMar>
            <w:vAlign w:val="center"/>
            <w:hideMark/>
          </w:tcPr>
          <w:p w14:paraId="0EE590DF" w14:textId="77777777" w:rsidR="001C0B04" w:rsidRPr="00E54392" w:rsidRDefault="001C0B04" w:rsidP="002A7E94">
            <w:pPr>
              <w:jc w:val="center"/>
              <w:rPr>
                <w:lang w:eastAsia="es-ES"/>
              </w:rPr>
            </w:pPr>
            <w:r w:rsidRPr="00E54392">
              <w:rPr>
                <w:color w:val="000000"/>
                <w:sz w:val="16"/>
                <w:szCs w:val="16"/>
                <w:shd w:val="clear" w:color="auto" w:fill="FFFF00"/>
                <w:lang w:eastAsia="es-ES"/>
              </w:rPr>
              <w:t>.04</w:t>
            </w:r>
          </w:p>
        </w:tc>
        <w:tc>
          <w:tcPr>
            <w:tcW w:w="0" w:type="auto"/>
            <w:gridSpan w:val="2"/>
            <w:tcMar>
              <w:top w:w="0" w:type="dxa"/>
              <w:left w:w="108" w:type="dxa"/>
              <w:bottom w:w="0" w:type="dxa"/>
              <w:right w:w="108" w:type="dxa"/>
            </w:tcMar>
            <w:vAlign w:val="center"/>
            <w:hideMark/>
          </w:tcPr>
          <w:p w14:paraId="17F37575" w14:textId="77777777" w:rsidR="001C0B04" w:rsidRPr="00E54392" w:rsidRDefault="001C0B04" w:rsidP="002A7E94">
            <w:pPr>
              <w:jc w:val="center"/>
              <w:rPr>
                <w:lang w:eastAsia="es-ES"/>
              </w:rPr>
            </w:pPr>
            <w:r w:rsidRPr="00E54392">
              <w:rPr>
                <w:color w:val="000000"/>
                <w:sz w:val="16"/>
                <w:szCs w:val="16"/>
                <w:lang w:eastAsia="es-ES"/>
              </w:rPr>
              <w:t>627.74</w:t>
            </w:r>
          </w:p>
        </w:tc>
        <w:tc>
          <w:tcPr>
            <w:tcW w:w="0" w:type="auto"/>
            <w:tcMar>
              <w:top w:w="0" w:type="dxa"/>
              <w:left w:w="108" w:type="dxa"/>
              <w:bottom w:w="0" w:type="dxa"/>
              <w:right w:w="108" w:type="dxa"/>
            </w:tcMar>
            <w:vAlign w:val="center"/>
            <w:hideMark/>
          </w:tcPr>
          <w:p w14:paraId="71EDD70D" w14:textId="77777777" w:rsidR="001C0B04" w:rsidRPr="00E54392" w:rsidRDefault="001C0B04" w:rsidP="002A7E94">
            <w:pPr>
              <w:jc w:val="center"/>
              <w:rPr>
                <w:lang w:eastAsia="es-ES"/>
              </w:rPr>
            </w:pPr>
            <w:r w:rsidRPr="00E54392">
              <w:rPr>
                <w:color w:val="000000"/>
                <w:sz w:val="16"/>
                <w:szCs w:val="16"/>
                <w:lang w:eastAsia="es-ES"/>
              </w:rPr>
              <w:t>640.90</w:t>
            </w:r>
          </w:p>
        </w:tc>
        <w:tc>
          <w:tcPr>
            <w:tcW w:w="0" w:type="auto"/>
            <w:tcMar>
              <w:top w:w="0" w:type="dxa"/>
              <w:left w:w="108" w:type="dxa"/>
              <w:bottom w:w="0" w:type="dxa"/>
              <w:right w:w="108" w:type="dxa"/>
            </w:tcMar>
            <w:vAlign w:val="center"/>
            <w:hideMark/>
          </w:tcPr>
          <w:p w14:paraId="4C600DDA" w14:textId="77777777" w:rsidR="001C0B04" w:rsidRPr="00E54392" w:rsidRDefault="001C0B04" w:rsidP="002A7E94">
            <w:pPr>
              <w:jc w:val="center"/>
              <w:rPr>
                <w:lang w:eastAsia="es-ES"/>
              </w:rPr>
            </w:pPr>
            <w:r w:rsidRPr="00E54392">
              <w:rPr>
                <w:color w:val="000000"/>
                <w:sz w:val="16"/>
                <w:szCs w:val="16"/>
                <w:lang w:eastAsia="es-ES"/>
              </w:rPr>
              <w:t>110290.00</w:t>
            </w:r>
          </w:p>
        </w:tc>
        <w:tc>
          <w:tcPr>
            <w:tcW w:w="0" w:type="auto"/>
            <w:tcMar>
              <w:top w:w="0" w:type="dxa"/>
              <w:left w:w="108" w:type="dxa"/>
              <w:bottom w:w="0" w:type="dxa"/>
              <w:right w:w="108" w:type="dxa"/>
            </w:tcMar>
            <w:vAlign w:val="center"/>
            <w:hideMark/>
          </w:tcPr>
          <w:p w14:paraId="1C002F0D" w14:textId="77777777" w:rsidR="001C0B04" w:rsidRPr="00E54392" w:rsidRDefault="001C0B04" w:rsidP="002A7E94">
            <w:pPr>
              <w:jc w:val="center"/>
              <w:rPr>
                <w:lang w:eastAsia="es-ES"/>
              </w:rPr>
            </w:pPr>
            <w:r w:rsidRPr="00E54392">
              <w:rPr>
                <w:color w:val="000000"/>
                <w:sz w:val="16"/>
                <w:szCs w:val="16"/>
                <w:lang w:eastAsia="es-ES"/>
              </w:rPr>
              <w:t>.628</w:t>
            </w:r>
          </w:p>
        </w:tc>
        <w:tc>
          <w:tcPr>
            <w:tcW w:w="0" w:type="auto"/>
            <w:tcMar>
              <w:top w:w="0" w:type="dxa"/>
              <w:left w:w="108" w:type="dxa"/>
              <w:bottom w:w="0" w:type="dxa"/>
              <w:right w:w="108" w:type="dxa"/>
            </w:tcMar>
            <w:vAlign w:val="center"/>
            <w:hideMark/>
          </w:tcPr>
          <w:p w14:paraId="4E19CACE"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vAlign w:val="center"/>
            <w:hideMark/>
          </w:tcPr>
          <w:p w14:paraId="4E862CCF" w14:textId="77777777" w:rsidR="001C0B04" w:rsidRPr="00E54392" w:rsidRDefault="001C0B04" w:rsidP="002A7E94">
            <w:pPr>
              <w:rPr>
                <w:sz w:val="20"/>
                <w:szCs w:val="20"/>
                <w:lang w:eastAsia="es-ES"/>
              </w:rPr>
            </w:pPr>
          </w:p>
        </w:tc>
      </w:tr>
      <w:tr w:rsidR="001C0B04" w:rsidRPr="00E54392" w14:paraId="299D971F" w14:textId="77777777" w:rsidTr="002A7E94">
        <w:tc>
          <w:tcPr>
            <w:tcW w:w="0" w:type="auto"/>
            <w:tcBorders>
              <w:bottom w:val="single" w:sz="4" w:space="0" w:color="000000"/>
            </w:tcBorders>
            <w:tcMar>
              <w:top w:w="0" w:type="dxa"/>
              <w:left w:w="108" w:type="dxa"/>
              <w:bottom w:w="0" w:type="dxa"/>
              <w:right w:w="108" w:type="dxa"/>
            </w:tcMar>
            <w:hideMark/>
          </w:tcPr>
          <w:p w14:paraId="05745140" w14:textId="77777777" w:rsidR="001C0B04" w:rsidRPr="00E54392" w:rsidRDefault="001C0B04" w:rsidP="002A7E94">
            <w:pPr>
              <w:ind w:left="340"/>
              <w:rPr>
                <w:lang w:eastAsia="es-ES"/>
              </w:rPr>
            </w:pPr>
            <w:proofErr w:type="spellStart"/>
            <w:r w:rsidRPr="00E54392">
              <w:rPr>
                <w:color w:val="000000"/>
                <w:sz w:val="18"/>
                <w:szCs w:val="18"/>
                <w:lang w:eastAsia="es-ES"/>
              </w:rPr>
              <w:t>Working</w:t>
            </w:r>
            <w:proofErr w:type="spellEnd"/>
            <w:r w:rsidRPr="00E54392">
              <w:rPr>
                <w:color w:val="000000"/>
                <w:sz w:val="18"/>
                <w:szCs w:val="18"/>
                <w:lang w:eastAsia="es-ES"/>
              </w:rPr>
              <w:t xml:space="preserve"> </w:t>
            </w:r>
            <w:proofErr w:type="spellStart"/>
            <w:r w:rsidRPr="00E54392">
              <w:rPr>
                <w:color w:val="000000"/>
                <w:sz w:val="18"/>
                <w:szCs w:val="18"/>
                <w:lang w:eastAsia="es-ES"/>
              </w:rPr>
              <w:t>outside</w:t>
            </w:r>
            <w:proofErr w:type="spellEnd"/>
            <w:r w:rsidRPr="00E54392">
              <w:rPr>
                <w:color w:val="000000"/>
                <w:sz w:val="18"/>
                <w:szCs w:val="18"/>
                <w:lang w:eastAsia="es-ES"/>
              </w:rPr>
              <w:t xml:space="preserve"> home</w:t>
            </w:r>
          </w:p>
        </w:tc>
        <w:tc>
          <w:tcPr>
            <w:tcW w:w="0" w:type="auto"/>
            <w:tcBorders>
              <w:bottom w:val="single" w:sz="4" w:space="0" w:color="000000"/>
            </w:tcBorders>
            <w:tcMar>
              <w:top w:w="0" w:type="dxa"/>
              <w:left w:w="108" w:type="dxa"/>
              <w:bottom w:w="0" w:type="dxa"/>
              <w:right w:w="108" w:type="dxa"/>
            </w:tcMar>
            <w:vAlign w:val="center"/>
            <w:hideMark/>
          </w:tcPr>
          <w:p w14:paraId="5A5DBA0C" w14:textId="77777777" w:rsidR="001C0B04" w:rsidRPr="00E54392" w:rsidRDefault="001C0B04" w:rsidP="002A7E94">
            <w:pPr>
              <w:jc w:val="center"/>
              <w:rPr>
                <w:lang w:eastAsia="es-ES"/>
              </w:rPr>
            </w:pPr>
            <w:r w:rsidRPr="00E54392">
              <w:rPr>
                <w:color w:val="000000"/>
                <w:sz w:val="16"/>
                <w:szCs w:val="16"/>
                <w:lang w:eastAsia="es-ES"/>
              </w:rPr>
              <w:t>630.73</w:t>
            </w:r>
          </w:p>
        </w:tc>
        <w:tc>
          <w:tcPr>
            <w:tcW w:w="0" w:type="auto"/>
            <w:tcBorders>
              <w:bottom w:val="single" w:sz="4" w:space="0" w:color="000000"/>
            </w:tcBorders>
            <w:tcMar>
              <w:top w:w="0" w:type="dxa"/>
              <w:left w:w="108" w:type="dxa"/>
              <w:bottom w:w="0" w:type="dxa"/>
              <w:right w:w="108" w:type="dxa"/>
            </w:tcMar>
            <w:vAlign w:val="center"/>
            <w:hideMark/>
          </w:tcPr>
          <w:p w14:paraId="58B7483B" w14:textId="77777777" w:rsidR="001C0B04" w:rsidRPr="00E54392" w:rsidRDefault="001C0B04" w:rsidP="002A7E94">
            <w:pPr>
              <w:jc w:val="center"/>
              <w:rPr>
                <w:lang w:eastAsia="es-ES"/>
              </w:rPr>
            </w:pPr>
            <w:r w:rsidRPr="00E54392">
              <w:rPr>
                <w:color w:val="000000"/>
                <w:sz w:val="16"/>
                <w:szCs w:val="16"/>
                <w:lang w:eastAsia="es-ES"/>
              </w:rPr>
              <w:t>586.32</w:t>
            </w:r>
          </w:p>
        </w:tc>
        <w:tc>
          <w:tcPr>
            <w:tcW w:w="0" w:type="auto"/>
            <w:tcBorders>
              <w:bottom w:val="single" w:sz="4" w:space="0" w:color="000000"/>
            </w:tcBorders>
            <w:tcMar>
              <w:top w:w="0" w:type="dxa"/>
              <w:left w:w="108" w:type="dxa"/>
              <w:bottom w:w="0" w:type="dxa"/>
              <w:right w:w="108" w:type="dxa"/>
            </w:tcMar>
            <w:vAlign w:val="center"/>
            <w:hideMark/>
          </w:tcPr>
          <w:p w14:paraId="0A5AF287" w14:textId="77777777" w:rsidR="001C0B04" w:rsidRPr="00E54392" w:rsidRDefault="001C0B04" w:rsidP="002A7E94">
            <w:pPr>
              <w:jc w:val="center"/>
              <w:rPr>
                <w:lang w:eastAsia="es-ES"/>
              </w:rPr>
            </w:pPr>
            <w:r w:rsidRPr="00E54392">
              <w:rPr>
                <w:color w:val="000000"/>
                <w:sz w:val="16"/>
                <w:szCs w:val="16"/>
                <w:lang w:eastAsia="es-ES"/>
              </w:rPr>
              <w:t>87205.50</w:t>
            </w:r>
          </w:p>
        </w:tc>
        <w:tc>
          <w:tcPr>
            <w:tcW w:w="0" w:type="auto"/>
            <w:tcBorders>
              <w:bottom w:val="single" w:sz="4" w:space="0" w:color="000000"/>
            </w:tcBorders>
            <w:tcMar>
              <w:top w:w="0" w:type="dxa"/>
              <w:left w:w="108" w:type="dxa"/>
              <w:bottom w:w="0" w:type="dxa"/>
              <w:right w:w="108" w:type="dxa"/>
            </w:tcMar>
            <w:vAlign w:val="center"/>
            <w:hideMark/>
          </w:tcPr>
          <w:p w14:paraId="5E16D884" w14:textId="77777777" w:rsidR="001C0B04" w:rsidRPr="00E54392" w:rsidRDefault="001C0B04" w:rsidP="002A7E94">
            <w:pPr>
              <w:jc w:val="center"/>
              <w:rPr>
                <w:lang w:eastAsia="es-ES"/>
              </w:rPr>
            </w:pPr>
            <w:r w:rsidRPr="00E54392">
              <w:rPr>
                <w:color w:val="000000"/>
                <w:sz w:val="16"/>
                <w:szCs w:val="16"/>
                <w:lang w:eastAsia="es-ES"/>
              </w:rPr>
              <w:t>.130</w:t>
            </w:r>
          </w:p>
        </w:tc>
        <w:tc>
          <w:tcPr>
            <w:tcW w:w="0" w:type="auto"/>
            <w:gridSpan w:val="2"/>
            <w:tcBorders>
              <w:bottom w:val="single" w:sz="4" w:space="0" w:color="000000"/>
            </w:tcBorders>
            <w:tcMar>
              <w:top w:w="0" w:type="dxa"/>
              <w:left w:w="108" w:type="dxa"/>
              <w:bottom w:w="0" w:type="dxa"/>
              <w:right w:w="108" w:type="dxa"/>
            </w:tcMar>
            <w:vAlign w:val="center"/>
            <w:hideMark/>
          </w:tcPr>
          <w:p w14:paraId="2D7D37FD" w14:textId="77777777" w:rsidR="001C0B04" w:rsidRPr="00E54392" w:rsidRDefault="001C0B04" w:rsidP="002A7E94">
            <w:pPr>
              <w:jc w:val="center"/>
              <w:rPr>
                <w:lang w:eastAsia="es-ES"/>
              </w:rPr>
            </w:pPr>
            <w:r w:rsidRPr="00E54392">
              <w:rPr>
                <w:color w:val="000000"/>
                <w:sz w:val="16"/>
                <w:szCs w:val="16"/>
                <w:shd w:val="clear" w:color="auto" w:fill="FFFF00"/>
                <w:lang w:eastAsia="es-ES"/>
              </w:rPr>
              <w:t>.04</w:t>
            </w:r>
          </w:p>
        </w:tc>
        <w:tc>
          <w:tcPr>
            <w:tcW w:w="0" w:type="auto"/>
            <w:tcBorders>
              <w:bottom w:val="single" w:sz="4" w:space="0" w:color="000000"/>
            </w:tcBorders>
            <w:tcMar>
              <w:top w:w="0" w:type="dxa"/>
              <w:left w:w="108" w:type="dxa"/>
              <w:bottom w:w="0" w:type="dxa"/>
              <w:right w:w="108" w:type="dxa"/>
            </w:tcMar>
            <w:vAlign w:val="center"/>
            <w:hideMark/>
          </w:tcPr>
          <w:p w14:paraId="37D9BE4D" w14:textId="77777777" w:rsidR="001C0B04" w:rsidRPr="00E54392" w:rsidRDefault="001C0B04" w:rsidP="002A7E94">
            <w:pPr>
              <w:jc w:val="center"/>
              <w:rPr>
                <w:lang w:eastAsia="es-ES"/>
              </w:rPr>
            </w:pPr>
            <w:r w:rsidRPr="00E54392">
              <w:rPr>
                <w:color w:val="000000"/>
                <w:sz w:val="16"/>
                <w:szCs w:val="16"/>
                <w:lang w:eastAsia="es-ES"/>
              </w:rPr>
              <w:t>624.71</w:t>
            </w:r>
          </w:p>
        </w:tc>
        <w:tc>
          <w:tcPr>
            <w:tcW w:w="0" w:type="auto"/>
            <w:tcBorders>
              <w:bottom w:val="single" w:sz="4" w:space="0" w:color="000000"/>
            </w:tcBorders>
            <w:tcMar>
              <w:top w:w="0" w:type="dxa"/>
              <w:left w:w="108" w:type="dxa"/>
              <w:bottom w:w="0" w:type="dxa"/>
              <w:right w:w="108" w:type="dxa"/>
            </w:tcMar>
            <w:vAlign w:val="center"/>
            <w:hideMark/>
          </w:tcPr>
          <w:p w14:paraId="37665E33" w14:textId="77777777" w:rsidR="001C0B04" w:rsidRPr="00E54392" w:rsidRDefault="001C0B04" w:rsidP="002A7E94">
            <w:pPr>
              <w:jc w:val="center"/>
              <w:rPr>
                <w:lang w:eastAsia="es-ES"/>
              </w:rPr>
            </w:pPr>
            <w:r w:rsidRPr="00E54392">
              <w:rPr>
                <w:color w:val="000000"/>
                <w:sz w:val="16"/>
                <w:szCs w:val="16"/>
                <w:lang w:eastAsia="es-ES"/>
              </w:rPr>
              <w:t>623.19</w:t>
            </w:r>
          </w:p>
        </w:tc>
        <w:tc>
          <w:tcPr>
            <w:tcW w:w="0" w:type="auto"/>
            <w:tcBorders>
              <w:bottom w:val="single" w:sz="4" w:space="0" w:color="000000"/>
            </w:tcBorders>
            <w:tcMar>
              <w:top w:w="0" w:type="dxa"/>
              <w:left w:w="108" w:type="dxa"/>
              <w:bottom w:w="0" w:type="dxa"/>
              <w:right w:w="108" w:type="dxa"/>
            </w:tcMar>
            <w:vAlign w:val="center"/>
            <w:hideMark/>
          </w:tcPr>
          <w:p w14:paraId="6D389647" w14:textId="77777777" w:rsidR="001C0B04" w:rsidRPr="00E54392" w:rsidRDefault="001C0B04" w:rsidP="002A7E94">
            <w:pPr>
              <w:jc w:val="center"/>
              <w:rPr>
                <w:lang w:eastAsia="es-ES"/>
              </w:rPr>
            </w:pPr>
            <w:r w:rsidRPr="00E54392">
              <w:rPr>
                <w:color w:val="000000"/>
                <w:sz w:val="16"/>
                <w:szCs w:val="16"/>
                <w:lang w:eastAsia="es-ES"/>
              </w:rPr>
              <w:t>93657.50</w:t>
            </w:r>
          </w:p>
        </w:tc>
        <w:tc>
          <w:tcPr>
            <w:tcW w:w="0" w:type="auto"/>
            <w:tcBorders>
              <w:bottom w:val="single" w:sz="4" w:space="0" w:color="000000"/>
            </w:tcBorders>
            <w:tcMar>
              <w:top w:w="0" w:type="dxa"/>
              <w:left w:w="108" w:type="dxa"/>
              <w:bottom w:w="0" w:type="dxa"/>
              <w:right w:w="108" w:type="dxa"/>
            </w:tcMar>
            <w:vAlign w:val="center"/>
            <w:hideMark/>
          </w:tcPr>
          <w:p w14:paraId="2EEA1423" w14:textId="77777777" w:rsidR="001C0B04" w:rsidRPr="00E54392" w:rsidRDefault="001C0B04" w:rsidP="002A7E94">
            <w:pPr>
              <w:jc w:val="center"/>
              <w:rPr>
                <w:lang w:eastAsia="es-ES"/>
              </w:rPr>
            </w:pPr>
            <w:r w:rsidRPr="00E54392">
              <w:rPr>
                <w:color w:val="000000"/>
                <w:sz w:val="16"/>
                <w:szCs w:val="16"/>
                <w:lang w:eastAsia="es-ES"/>
              </w:rPr>
              <w:t>.958</w:t>
            </w:r>
          </w:p>
        </w:tc>
        <w:tc>
          <w:tcPr>
            <w:tcW w:w="0" w:type="auto"/>
            <w:tcBorders>
              <w:bottom w:val="single" w:sz="4" w:space="0" w:color="000000"/>
            </w:tcBorders>
            <w:tcMar>
              <w:top w:w="0" w:type="dxa"/>
              <w:left w:w="108" w:type="dxa"/>
              <w:bottom w:w="0" w:type="dxa"/>
              <w:right w:w="108" w:type="dxa"/>
            </w:tcMar>
            <w:vAlign w:val="center"/>
            <w:hideMark/>
          </w:tcPr>
          <w:p w14:paraId="65133D62"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gridSpan w:val="2"/>
            <w:tcBorders>
              <w:bottom w:val="single" w:sz="4" w:space="0" w:color="000000"/>
            </w:tcBorders>
            <w:tcMar>
              <w:top w:w="0" w:type="dxa"/>
              <w:left w:w="108" w:type="dxa"/>
              <w:bottom w:w="0" w:type="dxa"/>
              <w:right w:w="108" w:type="dxa"/>
            </w:tcMar>
            <w:vAlign w:val="center"/>
            <w:hideMark/>
          </w:tcPr>
          <w:p w14:paraId="2E26BB0F" w14:textId="77777777" w:rsidR="001C0B04" w:rsidRPr="00E54392" w:rsidRDefault="001C0B04" w:rsidP="002A7E94">
            <w:pPr>
              <w:jc w:val="center"/>
              <w:rPr>
                <w:lang w:eastAsia="es-ES"/>
              </w:rPr>
            </w:pPr>
            <w:r w:rsidRPr="00E54392">
              <w:rPr>
                <w:color w:val="000000"/>
                <w:sz w:val="16"/>
                <w:szCs w:val="16"/>
                <w:lang w:eastAsia="es-ES"/>
              </w:rPr>
              <w:t>627.33</w:t>
            </w:r>
          </w:p>
        </w:tc>
        <w:tc>
          <w:tcPr>
            <w:tcW w:w="0" w:type="auto"/>
            <w:tcBorders>
              <w:bottom w:val="single" w:sz="4" w:space="0" w:color="000000"/>
            </w:tcBorders>
            <w:tcMar>
              <w:top w:w="0" w:type="dxa"/>
              <w:left w:w="108" w:type="dxa"/>
              <w:bottom w:w="0" w:type="dxa"/>
              <w:right w:w="108" w:type="dxa"/>
            </w:tcMar>
            <w:vAlign w:val="center"/>
            <w:hideMark/>
          </w:tcPr>
          <w:p w14:paraId="1EE2FBDA" w14:textId="77777777" w:rsidR="001C0B04" w:rsidRPr="00E54392" w:rsidRDefault="001C0B04" w:rsidP="002A7E94">
            <w:pPr>
              <w:jc w:val="center"/>
              <w:rPr>
                <w:lang w:eastAsia="es-ES"/>
              </w:rPr>
            </w:pPr>
            <w:r w:rsidRPr="00E54392">
              <w:rPr>
                <w:color w:val="000000"/>
                <w:sz w:val="16"/>
                <w:szCs w:val="16"/>
                <w:lang w:eastAsia="es-ES"/>
              </w:rPr>
              <w:t>607.15</w:t>
            </w:r>
          </w:p>
        </w:tc>
        <w:tc>
          <w:tcPr>
            <w:tcW w:w="0" w:type="auto"/>
            <w:tcBorders>
              <w:bottom w:val="single" w:sz="4" w:space="0" w:color="000000"/>
            </w:tcBorders>
            <w:tcMar>
              <w:top w:w="0" w:type="dxa"/>
              <w:left w:w="108" w:type="dxa"/>
              <w:bottom w:w="0" w:type="dxa"/>
              <w:right w:w="108" w:type="dxa"/>
            </w:tcMar>
            <w:vAlign w:val="center"/>
            <w:hideMark/>
          </w:tcPr>
          <w:p w14:paraId="04E4A607" w14:textId="77777777" w:rsidR="001C0B04" w:rsidRPr="00E54392" w:rsidRDefault="001C0B04" w:rsidP="002A7E94">
            <w:pPr>
              <w:jc w:val="center"/>
              <w:rPr>
                <w:lang w:eastAsia="es-ES"/>
              </w:rPr>
            </w:pPr>
            <w:r w:rsidRPr="00E54392">
              <w:rPr>
                <w:color w:val="000000"/>
                <w:sz w:val="16"/>
                <w:szCs w:val="16"/>
                <w:lang w:eastAsia="es-ES"/>
              </w:rPr>
              <w:t>90851.50</w:t>
            </w:r>
          </w:p>
        </w:tc>
        <w:tc>
          <w:tcPr>
            <w:tcW w:w="0" w:type="auto"/>
            <w:tcBorders>
              <w:bottom w:val="single" w:sz="4" w:space="0" w:color="000000"/>
            </w:tcBorders>
            <w:tcMar>
              <w:top w:w="0" w:type="dxa"/>
              <w:left w:w="108" w:type="dxa"/>
              <w:bottom w:w="0" w:type="dxa"/>
              <w:right w:w="108" w:type="dxa"/>
            </w:tcMar>
            <w:vAlign w:val="center"/>
            <w:hideMark/>
          </w:tcPr>
          <w:p w14:paraId="52C20720" w14:textId="77777777" w:rsidR="001C0B04" w:rsidRPr="00E54392" w:rsidRDefault="001C0B04" w:rsidP="002A7E94">
            <w:pPr>
              <w:jc w:val="center"/>
              <w:rPr>
                <w:lang w:eastAsia="es-ES"/>
              </w:rPr>
            </w:pPr>
            <w:r w:rsidRPr="00E54392">
              <w:rPr>
                <w:color w:val="000000"/>
                <w:sz w:val="16"/>
                <w:szCs w:val="16"/>
                <w:lang w:eastAsia="es-ES"/>
              </w:rPr>
              <w:t>.492</w:t>
            </w:r>
          </w:p>
        </w:tc>
        <w:tc>
          <w:tcPr>
            <w:tcW w:w="0" w:type="auto"/>
            <w:tcBorders>
              <w:bottom w:val="single" w:sz="4" w:space="0" w:color="000000"/>
            </w:tcBorders>
            <w:tcMar>
              <w:top w:w="0" w:type="dxa"/>
              <w:left w:w="108" w:type="dxa"/>
              <w:bottom w:w="0" w:type="dxa"/>
              <w:right w:w="108" w:type="dxa"/>
            </w:tcMar>
            <w:vAlign w:val="center"/>
            <w:hideMark/>
          </w:tcPr>
          <w:p w14:paraId="78983362" w14:textId="77777777" w:rsidR="001C0B04" w:rsidRPr="00E54392" w:rsidRDefault="001C0B04" w:rsidP="002A7E94">
            <w:pPr>
              <w:jc w:val="center"/>
              <w:rPr>
                <w:lang w:eastAsia="es-ES"/>
              </w:rPr>
            </w:pPr>
            <w:r w:rsidRPr="00E54392">
              <w:rPr>
                <w:color w:val="000000"/>
                <w:sz w:val="16"/>
                <w:szCs w:val="16"/>
                <w:shd w:val="clear" w:color="auto" w:fill="FFFF00"/>
                <w:lang w:eastAsia="es-ES"/>
              </w:rPr>
              <w:t>.01</w:t>
            </w:r>
          </w:p>
        </w:tc>
        <w:tc>
          <w:tcPr>
            <w:tcW w:w="0" w:type="auto"/>
            <w:vAlign w:val="center"/>
            <w:hideMark/>
          </w:tcPr>
          <w:p w14:paraId="01F831DD" w14:textId="77777777" w:rsidR="001C0B04" w:rsidRPr="00E54392" w:rsidRDefault="001C0B04" w:rsidP="002A7E94">
            <w:pPr>
              <w:rPr>
                <w:sz w:val="20"/>
                <w:szCs w:val="20"/>
                <w:lang w:eastAsia="es-ES"/>
              </w:rPr>
            </w:pPr>
          </w:p>
        </w:tc>
      </w:tr>
      <w:tr w:rsidR="001C0B04" w:rsidRPr="008A5ACB" w14:paraId="7C0D3105" w14:textId="77777777" w:rsidTr="002A7E94">
        <w:tc>
          <w:tcPr>
            <w:tcW w:w="0" w:type="auto"/>
            <w:gridSpan w:val="19"/>
            <w:tcBorders>
              <w:top w:val="single" w:sz="4" w:space="0" w:color="000000"/>
            </w:tcBorders>
            <w:tcMar>
              <w:top w:w="0" w:type="dxa"/>
              <w:left w:w="108" w:type="dxa"/>
              <w:bottom w:w="0" w:type="dxa"/>
              <w:right w:w="108" w:type="dxa"/>
            </w:tcMar>
            <w:hideMark/>
          </w:tcPr>
          <w:p w14:paraId="1DBB3DB5" w14:textId="77777777" w:rsidR="001C0B04" w:rsidRPr="001C0B04" w:rsidRDefault="001C0B04" w:rsidP="002A7E94">
            <w:pPr>
              <w:rPr>
                <w:lang w:val="en-US" w:eastAsia="es-ES"/>
              </w:rPr>
            </w:pPr>
            <w:r w:rsidRPr="001C0B04">
              <w:rPr>
                <w:color w:val="000000"/>
                <w:lang w:val="en-US" w:eastAsia="es-ES"/>
              </w:rPr>
              <w:t>Note. After the Bonferroni correction, the p value to be considered significant was .001.</w:t>
            </w:r>
          </w:p>
          <w:p w14:paraId="333B1123" w14:textId="77777777" w:rsidR="001C0B04" w:rsidRPr="001C0B04" w:rsidRDefault="001C0B04" w:rsidP="002A7E94">
            <w:pPr>
              <w:rPr>
                <w:lang w:val="en-US" w:eastAsia="es-ES"/>
              </w:rPr>
            </w:pPr>
          </w:p>
        </w:tc>
      </w:tr>
    </w:tbl>
    <w:p w14:paraId="0B69D366" w14:textId="672AE4ED" w:rsidR="00A93146" w:rsidRPr="00E25900" w:rsidRDefault="00A93146" w:rsidP="00A93146">
      <w:pPr>
        <w:pStyle w:val="Prrafocomn"/>
        <w:ind w:firstLine="0"/>
      </w:pPr>
    </w:p>
    <w:p w14:paraId="220C813D" w14:textId="0773D7D8" w:rsidR="00CE7D65" w:rsidRPr="00E25900" w:rsidRDefault="00CE7D65" w:rsidP="00CE7D65">
      <w:pPr>
        <w:pStyle w:val="Ttulosinternos"/>
      </w:pPr>
      <w:r w:rsidRPr="00E25900">
        <w:t>Discussion</w:t>
      </w:r>
    </w:p>
    <w:p w14:paraId="01E237C7" w14:textId="6ED807C7" w:rsidR="004075A2" w:rsidRDefault="004075A2" w:rsidP="008976DA">
      <w:pPr>
        <w:pStyle w:val="Prrafocomn"/>
      </w:pPr>
      <w:r w:rsidRPr="004075A2">
        <w:t xml:space="preserve">The results obtained showed that the COVID-19 pandemic was perceived as both a health and an economic risk by individuals under confinement. However, this dual dimension of the risk perceived by participants differed based on their demographic profile. As was expected, people who belonged to high-risk groups due to health conditions, reported a higher perceived health risk </w:t>
      </w:r>
      <w:r w:rsidRPr="004075A2">
        <w:lastRenderedPageBreak/>
        <w:t xml:space="preserve">than those belonging to the general population. Similarly, employment status also appeared to be related to the perception of risk regarding health. People who worked remotely from home perceived less health risk than workers who had to attend their workplace in person and those who were temporarily suspended due to quarantine. As having to go outside to work could be associated with a higher probability of exposure to the virus, an increase in the perception of health risk was expected. </w:t>
      </w:r>
      <w:r w:rsidRPr="004075A2">
        <w:rPr>
          <w:highlight w:val="yellow"/>
        </w:rPr>
        <w:t>These results are consistent with studies conducted internationally. Over all, people working from home during the COVID-19 lockdown, reported more positive experiences than negative ones regarding their work-life balance, improved work efficiency and reported greater work control (Ipsen et al., 2021).</w:t>
      </w:r>
      <w:r w:rsidRPr="004075A2">
        <w:t xml:space="preserve"> Similarly, perceived economic risk was linked to employment status. People unemployed prior to the pandemic, or temporarily suspended due to lockdown measures, perceived higher economic risk than participants working from home or working in person during lockdown. Therefore, economic and employment vulnerability are highlighted as having an important role in perceiving the financial risks associated with COVID-19. Health and economic vulnerability were also related to well-being indicators during quarantine, but it was not possible to identify a stable pattern of response associated with well-being.</w:t>
      </w:r>
    </w:p>
    <w:p w14:paraId="70AF412B" w14:textId="20B5E48E" w:rsidR="004075A2" w:rsidRDefault="004075A2" w:rsidP="008976DA">
      <w:pPr>
        <w:pStyle w:val="Prrafocomn"/>
      </w:pPr>
      <w:r w:rsidRPr="004075A2">
        <w:t xml:space="preserve">There were two personal characteristics of participants that were particularly relevant for their apparent relation with indicators of well-being. First, having suffered symptoms of COVID-19 or living with symptomatic people was, as a whole, related to greater negative impact during quarantine, as it was linked to lower positive affect and meaning in life. These results are consistent with current international studies on the impact of COVID-19 on stress and mental health (e.g., Bo et al., 2020; Cao et al., 2020). Second, and in contrast, psychological resilience was the personal characteristic related with the greatest positive impact, as it was linked with higher positive affect and meaning in life, and lower negative affect. Therefore, psychological resilience could act as a safeguard against the psychological impact of pandemic lockdown measures, as it already does with other negative life events. </w:t>
      </w:r>
      <w:r w:rsidRPr="004075A2">
        <w:rPr>
          <w:highlight w:val="yellow"/>
        </w:rPr>
        <w:t xml:space="preserve">This protective effect by resilience is notably also reported in other studies involving the COVID-19 pandemic (e.g., </w:t>
      </w:r>
      <w:proofErr w:type="spellStart"/>
      <w:r w:rsidRPr="004075A2">
        <w:rPr>
          <w:highlight w:val="yellow"/>
        </w:rPr>
        <w:t>Barzilay</w:t>
      </w:r>
      <w:proofErr w:type="spellEnd"/>
      <w:r w:rsidRPr="004075A2">
        <w:rPr>
          <w:highlight w:val="yellow"/>
        </w:rPr>
        <w:t xml:space="preserve"> et al., 2020; </w:t>
      </w:r>
      <w:proofErr w:type="spellStart"/>
      <w:r w:rsidRPr="004075A2">
        <w:rPr>
          <w:highlight w:val="yellow"/>
        </w:rPr>
        <w:t>Killgore</w:t>
      </w:r>
      <w:proofErr w:type="spellEnd"/>
      <w:r w:rsidRPr="004075A2">
        <w:rPr>
          <w:highlight w:val="yellow"/>
        </w:rPr>
        <w:t xml:space="preserve"> et al., 2020).</w:t>
      </w:r>
    </w:p>
    <w:p w14:paraId="7D0DEADB" w14:textId="2758D9BA" w:rsidR="0074339F" w:rsidRDefault="0074339F" w:rsidP="008976DA">
      <w:pPr>
        <w:pStyle w:val="Prrafocomn"/>
      </w:pPr>
      <w:r w:rsidRPr="0074339F">
        <w:t xml:space="preserve">Results obtained seem to indicate that the psychological consequences of quarantine were associated not only with a person’s individual characteristics, but also with their immediate social and environmental household surroundings. People who quarantined with family members did not report higher positive affect or meaning in life, they instead reported higher negative affect than individuals who quarantined by themselves. This could be due to a variety of causes, for example, </w:t>
      </w:r>
      <w:r w:rsidRPr="0074339F">
        <w:lastRenderedPageBreak/>
        <w:t>being confined with others for a prolonged period of time could be acting to some extent as a trigger for negative emotions. The availability and frequency of use of open spaces (</w:t>
      </w:r>
      <w:proofErr w:type="gramStart"/>
      <w:r w:rsidRPr="0074339F">
        <w:t>e.g.</w:t>
      </w:r>
      <w:proofErr w:type="gramEnd"/>
      <w:r w:rsidRPr="0074339F">
        <w:t xml:space="preserve"> balconies or backyards), also seemed to act as a positive environmental affordance for psychological restoration, this is consistent with findings in previous studies (e.g., </w:t>
      </w:r>
      <w:proofErr w:type="spellStart"/>
      <w:r w:rsidRPr="0074339F">
        <w:t>Menatti</w:t>
      </w:r>
      <w:proofErr w:type="spellEnd"/>
      <w:r w:rsidRPr="0074339F">
        <w:t xml:space="preserve"> &amp; Casado da Rocha, 2016). </w:t>
      </w:r>
      <w:r w:rsidRPr="0074339F">
        <w:rPr>
          <w:highlight w:val="yellow"/>
        </w:rPr>
        <w:t xml:space="preserve">These aspects of participants’ social and environmental surroundings could be interacting with other personal characteristics not explored in our study. For example, housing conditions, number of residents in a home and family ties, could be related to a person’s immigration status. </w:t>
      </w:r>
      <w:r w:rsidRPr="0074339F">
        <w:t>However, these conclusions should be interpreted with a certain degree of caution, as more research on the matter is necessary.</w:t>
      </w:r>
    </w:p>
    <w:p w14:paraId="16A574A3" w14:textId="07108123" w:rsidR="0074339F" w:rsidRDefault="0074339F" w:rsidP="008976DA">
      <w:pPr>
        <w:pStyle w:val="Prrafocomn"/>
      </w:pPr>
      <w:r w:rsidRPr="0074339F">
        <w:t>Other than the physical and social conditions under which lockdown occurred, another important factor to understand is how the different actions and activities performed by individuals were related to coping with home isolation. We found that most recommended activities were linked with the positive emotional state and well-being (i.e., meaning in life and positive affect) of participants, but were not related to a reduction of negative affect. This was the case, for example, with participating in creative activities or maintaining daily routines. Such activities were recommended to the general population by governments and international institutions, and in our study, seemed to be related with positive affect, but were not related to a reduction of negative affect. A similar effect was found with other behaviors, essentially those involving seeking social contact (e.g., video calls with family and friends or community bonding actions). These behaviors were also linked with positive emotional responses but were not related with negative ones.</w:t>
      </w:r>
    </w:p>
    <w:p w14:paraId="1F36DE67" w14:textId="50333740" w:rsidR="0074339F" w:rsidRDefault="0074339F" w:rsidP="008976DA">
      <w:pPr>
        <w:pStyle w:val="Prrafocomn"/>
      </w:pPr>
      <w:r w:rsidRPr="0074339F">
        <w:t xml:space="preserve">In our study, only one of the behaviors analyzed, exercising, seemed to have a significantly positive overall relation with well-being. Exercising was associated with greater positive affect and finding meaning in life, as well as with lower negative affect. In short, caregiving behaviors, whether caring for oneself, by exercising, or caring for others, by altruistically helping them, seems to be at the heart of actions that result in coping with a lockdown in a more constructive manner. There is prior evidence (e.g., </w:t>
      </w:r>
      <w:proofErr w:type="spellStart"/>
      <w:r w:rsidRPr="0074339F">
        <w:t>Prati</w:t>
      </w:r>
      <w:proofErr w:type="spellEnd"/>
      <w:r w:rsidRPr="0074339F">
        <w:t xml:space="preserve"> et al., 2011) of a strong link between affective and individual behavioral responses to the threat of pandemic disease.</w:t>
      </w:r>
    </w:p>
    <w:p w14:paraId="57DB70BC" w14:textId="01C389D1" w:rsidR="0074339F" w:rsidRDefault="0074339F" w:rsidP="008976DA">
      <w:pPr>
        <w:pStyle w:val="Prrafocomn"/>
      </w:pPr>
      <w:r w:rsidRPr="0074339F">
        <w:t xml:space="preserve">Our findings on the connection between positive and protective behaviors and well-being is consistent with previous evidence on the determinant effect of prosocial support practices, and the mediating role of positive meaningful life experiences and psychological resilience on well-being and mental health (e.g., </w:t>
      </w:r>
      <w:proofErr w:type="spellStart"/>
      <w:r w:rsidRPr="0074339F">
        <w:t>Alkozei</w:t>
      </w:r>
      <w:proofErr w:type="spellEnd"/>
      <w:r w:rsidRPr="0074339F">
        <w:t xml:space="preserve"> et al., 2018; Lee, 2019). </w:t>
      </w:r>
      <w:r w:rsidRPr="0074339F">
        <w:rPr>
          <w:highlight w:val="yellow"/>
        </w:rPr>
        <w:t xml:space="preserve">The positive emotions experienced </w:t>
      </w:r>
      <w:r w:rsidRPr="0074339F">
        <w:rPr>
          <w:highlight w:val="yellow"/>
        </w:rPr>
        <w:lastRenderedPageBreak/>
        <w:t xml:space="preserve">when performing these types of behaviors might strengthen certain personal psychological resources and improve the level of general well-being, even if done within the context of a strongly negative event, such as being under confinement. This notion could find some support in the conceptualization and empirical evidence provided by the goal focused positive psychotherapy model (e.g., </w:t>
      </w:r>
      <w:proofErr w:type="spellStart"/>
      <w:r w:rsidRPr="0074339F">
        <w:rPr>
          <w:highlight w:val="yellow"/>
        </w:rPr>
        <w:t>Conoley</w:t>
      </w:r>
      <w:proofErr w:type="spellEnd"/>
      <w:r w:rsidRPr="0074339F">
        <w:rPr>
          <w:highlight w:val="yellow"/>
        </w:rPr>
        <w:t xml:space="preserve"> &amp; Scheel, 2018; Winter Plumb et al., 2019).</w:t>
      </w:r>
      <w:r w:rsidRPr="0074339F">
        <w:t xml:space="preserve"> In any case, it is necessary to consider that behaviors that are positive, beneficial to the health of the individual and are focused on personal and social care, relate to positive affect, but do not seem to influence negative affect. </w:t>
      </w:r>
      <w:r w:rsidRPr="0074339F">
        <w:rPr>
          <w:highlight w:val="yellow"/>
        </w:rPr>
        <w:t>It should be noted that our research sought to describe participants’ psychosocial characteristics in a relevant situation. However, as no specific mental health or coping model was used as a starting point, our research only reflects an exploratory approach. Nonetheless, the results obtained are partially consistent with the evidence provided by research that has tested specific models. This is the case, for example, when applying the model of positive environments to explain precautionary behaviors in response to COVID-19 infection (Corral-Verdugo et al., 2021).</w:t>
      </w:r>
    </w:p>
    <w:p w14:paraId="458AC229" w14:textId="3963BFE1" w:rsidR="0074339F" w:rsidRDefault="0074339F" w:rsidP="008976DA">
      <w:pPr>
        <w:pStyle w:val="Prrafocomn"/>
      </w:pPr>
      <w:r w:rsidRPr="0074339F">
        <w:t xml:space="preserve">Our research presents a series of limitations that need to be expressed. First, data collection did not follow the criteria of representativeness of any specific population, </w:t>
      </w:r>
      <w:r w:rsidRPr="0074339F">
        <w:rPr>
          <w:highlight w:val="yellow"/>
        </w:rPr>
        <w:t>nor did it take into account specific criteria related to cultural diversity</w:t>
      </w:r>
      <w:r w:rsidRPr="0074339F">
        <w:t xml:space="preserve">. Therefore, despite having a large sample size, the results obtained should be interpreted with necessary caution from the perspective of public health interventions. Second, data collection was carried out during the second week of lockdown, when the impact associated with the initial surprise of lockdown might have been decreasing and yet the population was still unaware of the total duration of home isolation. </w:t>
      </w:r>
      <w:r w:rsidRPr="0074339F">
        <w:rPr>
          <w:highlight w:val="yellow"/>
        </w:rPr>
        <w:t>Thus, the salience of the health and socioeconomic risks associated with prolonged lockdown might not have been properly identified. This could have also influenced the reduced effect size we observed in our analyses</w:t>
      </w:r>
      <w:r w:rsidRPr="0074339F">
        <w:t xml:space="preserve">. It would be of interest to have longitudinal measures to study how the psychological impact developed along with the evolution of the pandemic in Spain and along the duration of lockdown. Third, our research does not identify the most serious psychological impacts of home isolation, as it does not include, for example, specific measures of anxiety or post-traumatic stress. In this regard, it is not possible to provide evidence on the long-term psychological effects that may be relevant to the future quality of life of the isolated population. Fourth, one of the aspects of this study was to analyze to what extent having suffered or currently suffering the disease, either by the individual or a family member, could have a strong psychological impact. Although we were able to identify significant differences regarding both negative and positive affect, it must be </w:t>
      </w:r>
      <w:r w:rsidRPr="0074339F">
        <w:lastRenderedPageBreak/>
        <w:t>noted that we were only able to access information about the presence of the disease among isolated participants in a limited, indirect, and self-reported manner. Fifth, the procedure developed for data collection may have made it difficult for people with COVID-19 to respond to our instrument. Furthermore, fear of being stigmatized for having COVID-19 may have limited reporting of the disease, despite ensuring the necessary confidentiality of data treatment at all times.</w:t>
      </w:r>
    </w:p>
    <w:p w14:paraId="41D675E1" w14:textId="7A07178D" w:rsidR="0074339F" w:rsidRDefault="0074339F" w:rsidP="0074339F">
      <w:pPr>
        <w:pStyle w:val="Prrafocomn"/>
        <w:spacing w:after="240"/>
      </w:pPr>
      <w:r w:rsidRPr="0074339F">
        <w:t xml:space="preserve">In summary, with a focus on policy guidelines for future lockdowns, the main evidence provided by this study relates to the relationship between positive home isolation coping activities and indicators of personal well-being. Thus, initiatives to mitigate the negative psychological impact associated with perceived risk, as well as initiatives that specifically seek to promote the psychological and social strengths of affected individuals, should be developed. An alternative course of action would be to systematically promote positive and proactive behaviors, based, among other aspects, on self-care and helping others. </w:t>
      </w:r>
      <w:r w:rsidRPr="0074339F">
        <w:rPr>
          <w:highlight w:val="yellow"/>
        </w:rPr>
        <w:t xml:space="preserve">Although our study did not seek to answer specific questions concerning policy guidelines or intervention initiatives, in light of the results we obtained, it seems reasonable to consider that, whether clinical or socio-community based, the design and implementation of interventions oriented from a positive perspective could prove to be instrumental in controlling the psychological impact of confinement. For example, the influence that behaviors performed during home isolation have on emotional and personal well-being, could be increased with specific interventions based on the well-being factors identified in Flourish’s model (Seligman, 2011). Also, in order to increase the protective influence of these activities and behaviors during lockdowns, positive emotion regulation strategies could prove to be useful (e.g., </w:t>
      </w:r>
      <w:proofErr w:type="spellStart"/>
      <w:r w:rsidRPr="0074339F">
        <w:rPr>
          <w:highlight w:val="yellow"/>
        </w:rPr>
        <w:t>Quoidbach</w:t>
      </w:r>
      <w:proofErr w:type="spellEnd"/>
      <w:r w:rsidRPr="0074339F">
        <w:rPr>
          <w:highlight w:val="yellow"/>
        </w:rPr>
        <w:t xml:space="preserve"> et al., 2015)</w:t>
      </w:r>
      <w:r w:rsidRPr="0074339F">
        <w:t>. Furthermore, ensuring that people under quarantine have access to environments and activities that provide opportunities for psychological restoration is important. In any case, such initiatives must respond distinctively to the needs of different groups of people, specially, people belonging to health risk groups, women or those economically vulnerable.</w:t>
      </w:r>
    </w:p>
    <w:p w14:paraId="7D1F809E" w14:textId="77777777" w:rsidR="0074339F" w:rsidRDefault="0074339F" w:rsidP="0074339F">
      <w:pPr>
        <w:pStyle w:val="Prrafocomn"/>
        <w:spacing w:after="240"/>
        <w:ind w:firstLine="0"/>
      </w:pPr>
    </w:p>
    <w:p w14:paraId="125CCA31" w14:textId="75F8C39F" w:rsidR="0074339F" w:rsidRDefault="0074339F" w:rsidP="0074339F">
      <w:pPr>
        <w:pStyle w:val="Prrafocomn"/>
        <w:spacing w:before="240" w:after="240"/>
        <w:ind w:firstLine="0"/>
      </w:pPr>
      <w:r w:rsidRPr="0074339F">
        <w:rPr>
          <w:b/>
          <w:bCs/>
          <w:highlight w:val="yellow"/>
        </w:rPr>
        <w:t>Ethical statement</w:t>
      </w:r>
      <w:r w:rsidRPr="0074339F">
        <w:rPr>
          <w:highlight w:val="yellow"/>
        </w:rPr>
        <w:t>: Ethical review and approval was not required for this study. This research complied with the principles of the Helsinki Declaration for research with human beings. Informed consent was obtained from all participants and all data collected was processed with confidentiality, in accordance with Spanish data protection regulations.</w:t>
      </w:r>
    </w:p>
    <w:p w14:paraId="212D4C3E" w14:textId="77777777" w:rsidR="004075A2" w:rsidRDefault="004075A2" w:rsidP="008976DA">
      <w:pPr>
        <w:pStyle w:val="Prrafocomn"/>
      </w:pPr>
    </w:p>
    <w:p w14:paraId="13FA8237" w14:textId="40D6CF91" w:rsidR="007E3B8D" w:rsidRPr="002C3A8D" w:rsidRDefault="007E3B8D" w:rsidP="0031021D">
      <w:pPr>
        <w:pStyle w:val="Prrafocomn"/>
        <w:ind w:firstLine="0"/>
      </w:pPr>
    </w:p>
    <w:p w14:paraId="6CD8B4A8" w14:textId="34F0BCF8" w:rsidR="006F7E7E" w:rsidRPr="00E25900" w:rsidRDefault="00CE7D65" w:rsidP="007A7CDC">
      <w:pPr>
        <w:pStyle w:val="Ttulosinternos"/>
      </w:pPr>
      <w:r w:rsidRPr="00E25900">
        <w:t>References</w:t>
      </w:r>
    </w:p>
    <w:p w14:paraId="39CF4DF3" w14:textId="77777777" w:rsidR="00FE136F" w:rsidRDefault="00FE136F" w:rsidP="006D3896">
      <w:pPr>
        <w:ind w:left="720" w:hanging="720"/>
        <w:jc w:val="both"/>
        <w:rPr>
          <w:lang w:val="en-US"/>
        </w:rPr>
      </w:pPr>
      <w:proofErr w:type="spellStart"/>
      <w:r w:rsidRPr="006D3896">
        <w:rPr>
          <w:lang w:val="en-US"/>
        </w:rPr>
        <w:t>Alkozei</w:t>
      </w:r>
      <w:proofErr w:type="spellEnd"/>
      <w:r w:rsidRPr="006D3896">
        <w:rPr>
          <w:lang w:val="en-US"/>
        </w:rPr>
        <w:t xml:space="preserve">, A., Smith, R., &amp; </w:t>
      </w:r>
      <w:proofErr w:type="spellStart"/>
      <w:r w:rsidRPr="006D3896">
        <w:rPr>
          <w:lang w:val="en-US"/>
        </w:rPr>
        <w:t>Killgore</w:t>
      </w:r>
      <w:proofErr w:type="spellEnd"/>
      <w:r w:rsidRPr="006D3896">
        <w:rPr>
          <w:lang w:val="en-US"/>
        </w:rPr>
        <w:t xml:space="preserve">, W. D. (2018). Gratitude and subjective wellbeing: A proposal of two causal frameworks. </w:t>
      </w:r>
      <w:r w:rsidRPr="0087703E">
        <w:rPr>
          <w:i/>
          <w:iCs/>
          <w:lang w:val="en-US"/>
        </w:rPr>
        <w:t>Journal of Happiness Studies</w:t>
      </w:r>
      <w:r w:rsidRPr="006D3896">
        <w:rPr>
          <w:lang w:val="en-US"/>
        </w:rPr>
        <w:t xml:space="preserve">, 19(5), 1519-1542. </w:t>
      </w:r>
      <w:hyperlink r:id="rId11" w:history="1">
        <w:r w:rsidRPr="006102D3">
          <w:rPr>
            <w:rStyle w:val="Hipervnculo"/>
            <w:lang w:val="en-US"/>
          </w:rPr>
          <w:t>https://doi.org/10.1007/s10902-017-9870-1</w:t>
        </w:r>
      </w:hyperlink>
    </w:p>
    <w:p w14:paraId="60EE37CB" w14:textId="77777777" w:rsidR="00FE136F" w:rsidRDefault="00FE136F" w:rsidP="006D3896">
      <w:pPr>
        <w:ind w:left="720" w:hanging="720"/>
        <w:jc w:val="both"/>
        <w:rPr>
          <w:lang w:val="en-US"/>
        </w:rPr>
      </w:pPr>
      <w:proofErr w:type="spellStart"/>
      <w:r w:rsidRPr="006D3896">
        <w:rPr>
          <w:lang w:val="en-US"/>
        </w:rPr>
        <w:t>Aragones</w:t>
      </w:r>
      <w:proofErr w:type="spellEnd"/>
      <w:r w:rsidRPr="006D3896">
        <w:rPr>
          <w:lang w:val="en-US"/>
        </w:rPr>
        <w:t xml:space="preserve">, J. I., </w:t>
      </w:r>
      <w:proofErr w:type="spellStart"/>
      <w:r w:rsidRPr="006D3896">
        <w:rPr>
          <w:lang w:val="en-US"/>
        </w:rPr>
        <w:t>Talayero</w:t>
      </w:r>
      <w:proofErr w:type="spellEnd"/>
      <w:r w:rsidRPr="006D3896">
        <w:rPr>
          <w:lang w:val="en-US"/>
        </w:rPr>
        <w:t xml:space="preserve">, F., &amp; </w:t>
      </w:r>
      <w:proofErr w:type="spellStart"/>
      <w:r w:rsidRPr="006D3896">
        <w:rPr>
          <w:lang w:val="en-US"/>
        </w:rPr>
        <w:t>Olivos</w:t>
      </w:r>
      <w:proofErr w:type="spellEnd"/>
      <w:r w:rsidRPr="006D3896">
        <w:rPr>
          <w:lang w:val="en-US"/>
        </w:rPr>
        <w:t xml:space="preserve">, P. (2010). Influenza A (H1N1) risk perception from” psychometric paradigm”. </w:t>
      </w:r>
      <w:proofErr w:type="spellStart"/>
      <w:r w:rsidRPr="0087703E">
        <w:rPr>
          <w:i/>
          <w:iCs/>
          <w:lang w:val="en-US"/>
        </w:rPr>
        <w:t>Revista</w:t>
      </w:r>
      <w:proofErr w:type="spellEnd"/>
      <w:r w:rsidRPr="0087703E">
        <w:rPr>
          <w:i/>
          <w:iCs/>
          <w:lang w:val="en-US"/>
        </w:rPr>
        <w:t xml:space="preserve"> de </w:t>
      </w:r>
      <w:proofErr w:type="spellStart"/>
      <w:r w:rsidRPr="0087703E">
        <w:rPr>
          <w:i/>
          <w:iCs/>
          <w:lang w:val="en-US"/>
        </w:rPr>
        <w:t>Psicología</w:t>
      </w:r>
      <w:proofErr w:type="spellEnd"/>
      <w:r w:rsidRPr="0087703E">
        <w:rPr>
          <w:i/>
          <w:iCs/>
          <w:lang w:val="en-US"/>
        </w:rPr>
        <w:t xml:space="preserve"> Social</w:t>
      </w:r>
      <w:r w:rsidRPr="006D3896">
        <w:rPr>
          <w:lang w:val="en-US"/>
        </w:rPr>
        <w:t xml:space="preserve">, 25(3), 271-282. </w:t>
      </w:r>
      <w:hyperlink r:id="rId12" w:history="1">
        <w:r w:rsidRPr="006102D3">
          <w:rPr>
            <w:rStyle w:val="Hipervnculo"/>
            <w:lang w:val="en-US"/>
          </w:rPr>
          <w:t>https://doi.org/10.1174/021347410792675633</w:t>
        </w:r>
      </w:hyperlink>
    </w:p>
    <w:p w14:paraId="2DDF62C1" w14:textId="77777777" w:rsidR="00FE136F" w:rsidRDefault="00FE136F" w:rsidP="006D3896">
      <w:pPr>
        <w:ind w:left="720" w:hanging="720"/>
        <w:jc w:val="both"/>
        <w:rPr>
          <w:lang w:val="en-US"/>
        </w:rPr>
      </w:pPr>
      <w:proofErr w:type="spellStart"/>
      <w:r w:rsidRPr="006D3896">
        <w:rPr>
          <w:lang w:val="en-US"/>
        </w:rPr>
        <w:t>Barzilay</w:t>
      </w:r>
      <w:proofErr w:type="spellEnd"/>
      <w:r w:rsidRPr="006D3896">
        <w:rPr>
          <w:lang w:val="en-US"/>
        </w:rPr>
        <w:t xml:space="preserve">, R., Moore, T. M., Greenberg, D. M., DiDomenico, G. E., Brown, L. A., White, L. K., Gur, R.C., &amp; Gur, R. E. (2020). Resilience, COVID-19-related stress, anxiety and depression during the pandemic in a large population enriched for healthcare providers. </w:t>
      </w:r>
      <w:r w:rsidRPr="0087703E">
        <w:rPr>
          <w:i/>
          <w:iCs/>
          <w:lang w:val="en-US"/>
        </w:rPr>
        <w:t>Translational psychiatry</w:t>
      </w:r>
      <w:r w:rsidRPr="006D3896">
        <w:rPr>
          <w:lang w:val="en-US"/>
        </w:rPr>
        <w:t xml:space="preserve">, 10: 291. </w:t>
      </w:r>
      <w:hyperlink r:id="rId13" w:history="1">
        <w:r w:rsidRPr="006102D3">
          <w:rPr>
            <w:rStyle w:val="Hipervnculo"/>
            <w:lang w:val="en-US"/>
          </w:rPr>
          <w:t>https://doi.org/10.1038/s41398-020-00982-4</w:t>
        </w:r>
      </w:hyperlink>
    </w:p>
    <w:p w14:paraId="6DDC5130" w14:textId="77777777" w:rsidR="00FE136F" w:rsidRDefault="00FE136F" w:rsidP="006D3896">
      <w:pPr>
        <w:ind w:left="720" w:hanging="720"/>
        <w:jc w:val="both"/>
        <w:rPr>
          <w:lang w:val="en-US"/>
        </w:rPr>
      </w:pPr>
      <w:r w:rsidRPr="006D3896">
        <w:rPr>
          <w:lang w:val="en-US"/>
        </w:rPr>
        <w:t xml:space="preserve">Bo, H.-X., Li, W., Yang, Y., Wang, Y., Zhang, Q., Cheung, T., Wu, X., &amp; Xiang, Y.-T. (2020). Posttraumatic stress symptoms and attitude toward crisis mental health services among clinically stable patients with COVID-19 in China. </w:t>
      </w:r>
      <w:r w:rsidRPr="0087703E">
        <w:rPr>
          <w:i/>
          <w:iCs/>
          <w:lang w:val="en-US"/>
        </w:rPr>
        <w:t>Psychological Medicine</w:t>
      </w:r>
      <w:r w:rsidRPr="006D3896">
        <w:rPr>
          <w:lang w:val="en-US"/>
        </w:rPr>
        <w:t xml:space="preserve">, 1-2. </w:t>
      </w:r>
      <w:hyperlink r:id="rId14" w:history="1">
        <w:r w:rsidRPr="006102D3">
          <w:rPr>
            <w:rStyle w:val="Hipervnculo"/>
            <w:lang w:val="en-US"/>
          </w:rPr>
          <w:t>https://doi.org/10.1017/S0033291720000999</w:t>
        </w:r>
      </w:hyperlink>
    </w:p>
    <w:p w14:paraId="38239ECA" w14:textId="77777777" w:rsidR="00FE136F" w:rsidRDefault="00FE136F" w:rsidP="006D3896">
      <w:pPr>
        <w:ind w:left="720" w:hanging="720"/>
        <w:jc w:val="both"/>
        <w:rPr>
          <w:lang w:val="en-US"/>
        </w:rPr>
      </w:pPr>
      <w:r w:rsidRPr="006D3896">
        <w:rPr>
          <w:lang w:val="en-US"/>
        </w:rPr>
        <w:t xml:space="preserve">Brooks, S. K., Webster, R. K., Smith, L. E., Woodland, L., </w:t>
      </w:r>
      <w:proofErr w:type="spellStart"/>
      <w:r w:rsidRPr="006D3896">
        <w:rPr>
          <w:lang w:val="en-US"/>
        </w:rPr>
        <w:t>Wessely</w:t>
      </w:r>
      <w:proofErr w:type="spellEnd"/>
      <w:r w:rsidRPr="006D3896">
        <w:rPr>
          <w:lang w:val="en-US"/>
        </w:rPr>
        <w:t xml:space="preserve">, S., Greenberg, N., &amp; Rubin, G. J. (2020). The psychological impact of quarantine and how to reduce it: Rapid review of the evidence. </w:t>
      </w:r>
      <w:r w:rsidRPr="0087703E">
        <w:rPr>
          <w:i/>
          <w:iCs/>
          <w:lang w:val="en-US"/>
        </w:rPr>
        <w:t>The Lancet</w:t>
      </w:r>
      <w:r w:rsidRPr="006D3896">
        <w:rPr>
          <w:lang w:val="en-US"/>
        </w:rPr>
        <w:t xml:space="preserve">, 395(10227), 912-920. </w:t>
      </w:r>
      <w:hyperlink r:id="rId15" w:history="1">
        <w:r w:rsidRPr="006102D3">
          <w:rPr>
            <w:rStyle w:val="Hipervnculo"/>
            <w:lang w:val="en-US"/>
          </w:rPr>
          <w:t>https://doi.org/10.1016/S0140-6736(20)30460-8</w:t>
        </w:r>
      </w:hyperlink>
    </w:p>
    <w:p w14:paraId="498F8B11" w14:textId="77777777" w:rsidR="00FE136F" w:rsidRDefault="00FE136F" w:rsidP="006D3896">
      <w:pPr>
        <w:ind w:left="720" w:hanging="720"/>
        <w:jc w:val="both"/>
        <w:rPr>
          <w:lang w:val="en-US"/>
        </w:rPr>
      </w:pPr>
      <w:r w:rsidRPr="006D3896">
        <w:rPr>
          <w:lang w:val="en-US"/>
        </w:rPr>
        <w:t xml:space="preserve">Cao, W., Fang, Z., Hou, G., Han, M., Xu, X., Dong, J., &amp; Zheng, J. (2020). The psychological impact of the COVID-19 epidemic on college students in China. </w:t>
      </w:r>
      <w:r w:rsidRPr="0087703E">
        <w:rPr>
          <w:i/>
          <w:iCs/>
          <w:lang w:val="en-US"/>
        </w:rPr>
        <w:t>Psychiatry Research</w:t>
      </w:r>
      <w:r w:rsidRPr="006D3896">
        <w:rPr>
          <w:lang w:val="en-US"/>
        </w:rPr>
        <w:t xml:space="preserve">, 287, 112934. </w:t>
      </w:r>
      <w:hyperlink r:id="rId16" w:history="1">
        <w:r w:rsidRPr="006102D3">
          <w:rPr>
            <w:rStyle w:val="Hipervnculo"/>
            <w:lang w:val="en-US"/>
          </w:rPr>
          <w:t>https://doi.org/10.1016/j.psychres.2020.112934</w:t>
        </w:r>
      </w:hyperlink>
    </w:p>
    <w:p w14:paraId="22D6E34B" w14:textId="77777777" w:rsidR="00FE136F" w:rsidRDefault="00FE136F" w:rsidP="006D3896">
      <w:pPr>
        <w:ind w:left="720" w:hanging="720"/>
        <w:jc w:val="both"/>
        <w:rPr>
          <w:lang w:val="en-US"/>
        </w:rPr>
      </w:pPr>
      <w:r w:rsidRPr="006D3896">
        <w:rPr>
          <w:lang w:val="en-US"/>
        </w:rPr>
        <w:t xml:space="preserve">Connor, K. M., &amp; Davidson, J. R. (2003). Development of a new resilience scale: The Connor‐Davidson resilience scale (CD‐RISC). </w:t>
      </w:r>
      <w:r w:rsidRPr="0087703E">
        <w:rPr>
          <w:i/>
          <w:iCs/>
          <w:lang w:val="en-US"/>
        </w:rPr>
        <w:t>Depression and Anxiety</w:t>
      </w:r>
      <w:r w:rsidRPr="006D3896">
        <w:rPr>
          <w:lang w:val="en-US"/>
        </w:rPr>
        <w:t xml:space="preserve">, 18(2), 76-82. </w:t>
      </w:r>
      <w:hyperlink r:id="rId17" w:history="1">
        <w:r w:rsidRPr="006102D3">
          <w:rPr>
            <w:rStyle w:val="Hipervnculo"/>
            <w:lang w:val="en-US"/>
          </w:rPr>
          <w:t>https://doi.org/10.1002/da.10113</w:t>
        </w:r>
      </w:hyperlink>
    </w:p>
    <w:p w14:paraId="28DA7F1A" w14:textId="77777777" w:rsidR="00FE136F" w:rsidRDefault="00FE136F" w:rsidP="006D3896">
      <w:pPr>
        <w:ind w:left="720" w:hanging="720"/>
        <w:jc w:val="both"/>
        <w:rPr>
          <w:lang w:val="es-ES"/>
        </w:rPr>
      </w:pPr>
      <w:proofErr w:type="spellStart"/>
      <w:r w:rsidRPr="006D3896">
        <w:rPr>
          <w:lang w:val="en-US"/>
        </w:rPr>
        <w:t>Conoley</w:t>
      </w:r>
      <w:proofErr w:type="spellEnd"/>
      <w:r w:rsidRPr="006D3896">
        <w:rPr>
          <w:lang w:val="en-US"/>
        </w:rPr>
        <w:t xml:space="preserve">, C. W., &amp; Scheel, M. J. (2018). </w:t>
      </w:r>
      <w:r w:rsidRPr="0087703E">
        <w:rPr>
          <w:i/>
          <w:iCs/>
          <w:lang w:val="en-US"/>
        </w:rPr>
        <w:t>Goal focused positive psychotherapy: A strengths-based approach</w:t>
      </w:r>
      <w:r w:rsidRPr="006D3896">
        <w:rPr>
          <w:lang w:val="en-US"/>
        </w:rPr>
        <w:t xml:space="preserve">. </w:t>
      </w:r>
      <w:proofErr w:type="spellStart"/>
      <w:r w:rsidRPr="006D3896">
        <w:rPr>
          <w:lang w:val="es-ES"/>
        </w:rPr>
        <w:t>University</w:t>
      </w:r>
      <w:proofErr w:type="spellEnd"/>
      <w:r w:rsidRPr="006D3896">
        <w:rPr>
          <w:lang w:val="es-ES"/>
        </w:rPr>
        <w:t xml:space="preserve"> </w:t>
      </w:r>
      <w:proofErr w:type="spellStart"/>
      <w:r w:rsidRPr="006D3896">
        <w:rPr>
          <w:lang w:val="es-ES"/>
        </w:rPr>
        <w:t>Press</w:t>
      </w:r>
      <w:proofErr w:type="spellEnd"/>
      <w:r w:rsidRPr="006D3896">
        <w:rPr>
          <w:lang w:val="es-ES"/>
        </w:rPr>
        <w:t xml:space="preserve">. </w:t>
      </w:r>
      <w:hyperlink r:id="rId18" w:history="1">
        <w:r w:rsidRPr="006102D3">
          <w:rPr>
            <w:rStyle w:val="Hipervnculo"/>
            <w:lang w:val="es-ES"/>
          </w:rPr>
          <w:t>https://doi:10.1093/med-psych/9780190681722.001.0001</w:t>
        </w:r>
      </w:hyperlink>
      <w:r w:rsidRPr="006D3896">
        <w:rPr>
          <w:lang w:val="es-ES"/>
        </w:rPr>
        <w:t>.</w:t>
      </w:r>
    </w:p>
    <w:p w14:paraId="614ACD87" w14:textId="77777777" w:rsidR="00FE136F" w:rsidRDefault="00FE136F" w:rsidP="0087703E">
      <w:pPr>
        <w:ind w:left="720" w:hanging="720"/>
        <w:jc w:val="both"/>
        <w:rPr>
          <w:lang w:val="en-US"/>
        </w:rPr>
      </w:pPr>
      <w:r w:rsidRPr="006D3896">
        <w:rPr>
          <w:lang w:val="es-ES"/>
        </w:rPr>
        <w:t xml:space="preserve">Corral-Verdugo V., Corral-Frías, N.S., Frías-Armenta, M., Lucas, M.Y. &amp; Peña-Torres, E.F. (2021). </w:t>
      </w:r>
      <w:r w:rsidRPr="006D3896">
        <w:rPr>
          <w:lang w:val="en-US"/>
        </w:rPr>
        <w:t xml:space="preserve">Positive Environments and Precautionary Behaviors During the COVID-19 Outbreak. </w:t>
      </w:r>
      <w:r w:rsidRPr="0087703E">
        <w:rPr>
          <w:i/>
          <w:iCs/>
          <w:lang w:val="en-US"/>
        </w:rPr>
        <w:t>Frontiers in Psychology</w:t>
      </w:r>
      <w:r w:rsidRPr="006D3896">
        <w:rPr>
          <w:lang w:val="en-US"/>
        </w:rPr>
        <w:t>, 12:624155.</w:t>
      </w:r>
      <w:r>
        <w:rPr>
          <w:lang w:val="en-US"/>
        </w:rPr>
        <w:t xml:space="preserve"> </w:t>
      </w:r>
      <w:hyperlink r:id="rId19" w:history="1">
        <w:r w:rsidRPr="006102D3">
          <w:rPr>
            <w:rStyle w:val="Hipervnculo"/>
            <w:lang w:val="en-US"/>
          </w:rPr>
          <w:t>https://doi.org/10.3389/fpsyg.2021.624155</w:t>
        </w:r>
      </w:hyperlink>
    </w:p>
    <w:p w14:paraId="0DBBA005" w14:textId="77777777" w:rsidR="00FE136F" w:rsidRDefault="00FE136F" w:rsidP="006D3896">
      <w:pPr>
        <w:ind w:left="720" w:hanging="720"/>
        <w:jc w:val="both"/>
        <w:rPr>
          <w:lang w:val="en-US"/>
        </w:rPr>
      </w:pPr>
      <w:r w:rsidRPr="006D3896">
        <w:rPr>
          <w:lang w:val="en-US"/>
        </w:rPr>
        <w:t xml:space="preserve">Cowling, B. J., Ng, D. M., Ip, D. K., Liao, Q., Lam, W. W., Wu, J. T., Lau, J. T., Griffiths, S. M., &amp; Fielding, R. (2010). Community psychological and behavioral responses through the first wave of the 2009 influenza A (H1N1) pandemic in Hong Kong. </w:t>
      </w:r>
      <w:r w:rsidRPr="008414D0">
        <w:rPr>
          <w:i/>
          <w:iCs/>
          <w:lang w:val="en-US"/>
        </w:rPr>
        <w:t>The Journal of Infectious Diseases</w:t>
      </w:r>
      <w:r w:rsidRPr="006D3896">
        <w:rPr>
          <w:lang w:val="en-US"/>
        </w:rPr>
        <w:t xml:space="preserve">, 202(6), 867-876.  </w:t>
      </w:r>
      <w:hyperlink r:id="rId20" w:history="1">
        <w:r w:rsidRPr="006102D3">
          <w:rPr>
            <w:rStyle w:val="Hipervnculo"/>
            <w:lang w:val="en-US"/>
          </w:rPr>
          <w:t>https://doi.org/10.1086/655811</w:t>
        </w:r>
      </w:hyperlink>
    </w:p>
    <w:p w14:paraId="71F68979" w14:textId="77777777" w:rsidR="00FE136F" w:rsidRDefault="00FE136F" w:rsidP="006D3896">
      <w:pPr>
        <w:ind w:left="720" w:hanging="720"/>
        <w:jc w:val="both"/>
        <w:rPr>
          <w:lang w:val="en-US"/>
        </w:rPr>
      </w:pPr>
      <w:r w:rsidRPr="006D3896">
        <w:rPr>
          <w:lang w:val="en-US"/>
        </w:rPr>
        <w:t xml:space="preserve">Ferreira, R. J., </w:t>
      </w:r>
      <w:proofErr w:type="spellStart"/>
      <w:r w:rsidRPr="006D3896">
        <w:rPr>
          <w:lang w:val="en-US"/>
        </w:rPr>
        <w:t>Buttell</w:t>
      </w:r>
      <w:proofErr w:type="spellEnd"/>
      <w:r w:rsidRPr="006D3896">
        <w:rPr>
          <w:lang w:val="en-US"/>
        </w:rPr>
        <w:t xml:space="preserve">, F., &amp; Cannon, C. (2020). COVID-19: Immediate predictors of individual resilience. </w:t>
      </w:r>
      <w:r w:rsidRPr="008414D0">
        <w:rPr>
          <w:i/>
          <w:iCs/>
          <w:lang w:val="en-US"/>
        </w:rPr>
        <w:t>Sustainability</w:t>
      </w:r>
      <w:r w:rsidRPr="006D3896">
        <w:rPr>
          <w:lang w:val="en-US"/>
        </w:rPr>
        <w:t xml:space="preserve">, 12(16), 6495. </w:t>
      </w:r>
      <w:hyperlink r:id="rId21" w:history="1">
        <w:r w:rsidRPr="006102D3">
          <w:rPr>
            <w:rStyle w:val="Hipervnculo"/>
            <w:lang w:val="en-US"/>
          </w:rPr>
          <w:t>https://doi.org/10.3390/su12166495</w:t>
        </w:r>
      </w:hyperlink>
      <w:r w:rsidRPr="006D3896">
        <w:rPr>
          <w:lang w:val="en-US"/>
        </w:rPr>
        <w:t>.</w:t>
      </w:r>
    </w:p>
    <w:p w14:paraId="1A04E6DD" w14:textId="77777777" w:rsidR="00FE136F" w:rsidRDefault="00FE136F" w:rsidP="006D3896">
      <w:pPr>
        <w:ind w:left="720" w:hanging="720"/>
        <w:jc w:val="both"/>
        <w:rPr>
          <w:lang w:val="es-ES"/>
        </w:rPr>
      </w:pPr>
      <w:proofErr w:type="spellStart"/>
      <w:r w:rsidRPr="006D3896">
        <w:rPr>
          <w:lang w:val="en-US"/>
        </w:rPr>
        <w:t>Fiorillo</w:t>
      </w:r>
      <w:proofErr w:type="spellEnd"/>
      <w:r w:rsidRPr="006D3896">
        <w:rPr>
          <w:lang w:val="en-US"/>
        </w:rPr>
        <w:t xml:space="preserve">, A., &amp; </w:t>
      </w:r>
      <w:proofErr w:type="spellStart"/>
      <w:r w:rsidRPr="006D3896">
        <w:rPr>
          <w:lang w:val="en-US"/>
        </w:rPr>
        <w:t>Gorwood</w:t>
      </w:r>
      <w:proofErr w:type="spellEnd"/>
      <w:r w:rsidRPr="006D3896">
        <w:rPr>
          <w:lang w:val="en-US"/>
        </w:rPr>
        <w:t xml:space="preserve">, P. (2020). The consequences of the COVID-19 pandemic on mental health and implications for clinical practice. </w:t>
      </w:r>
      <w:proofErr w:type="spellStart"/>
      <w:r w:rsidRPr="008414D0">
        <w:rPr>
          <w:i/>
          <w:iCs/>
          <w:lang w:val="es-ES"/>
        </w:rPr>
        <w:t>European</w:t>
      </w:r>
      <w:proofErr w:type="spellEnd"/>
      <w:r w:rsidRPr="008414D0">
        <w:rPr>
          <w:i/>
          <w:iCs/>
          <w:lang w:val="es-ES"/>
        </w:rPr>
        <w:t xml:space="preserve"> </w:t>
      </w:r>
      <w:proofErr w:type="spellStart"/>
      <w:r w:rsidRPr="008414D0">
        <w:rPr>
          <w:i/>
          <w:iCs/>
          <w:lang w:val="es-ES"/>
        </w:rPr>
        <w:t>Psychiatry</w:t>
      </w:r>
      <w:proofErr w:type="spellEnd"/>
      <w:r w:rsidRPr="006D3896">
        <w:rPr>
          <w:lang w:val="es-ES"/>
        </w:rPr>
        <w:t xml:space="preserve">, 63(1), e32, 1-2. </w:t>
      </w:r>
      <w:hyperlink r:id="rId22" w:history="1">
        <w:r w:rsidRPr="006102D3">
          <w:rPr>
            <w:rStyle w:val="Hipervnculo"/>
            <w:lang w:val="es-ES"/>
          </w:rPr>
          <w:t>https://doi.org/10.1192/j.eurpsy.2020.35</w:t>
        </w:r>
      </w:hyperlink>
    </w:p>
    <w:p w14:paraId="49196229" w14:textId="77777777" w:rsidR="00FE136F" w:rsidRDefault="00FE136F" w:rsidP="006D3896">
      <w:pPr>
        <w:ind w:left="720" w:hanging="720"/>
        <w:jc w:val="both"/>
        <w:rPr>
          <w:lang w:val="en-US"/>
        </w:rPr>
      </w:pPr>
      <w:r w:rsidRPr="006D3896">
        <w:rPr>
          <w:lang w:val="es-ES"/>
        </w:rPr>
        <w:t xml:space="preserve">Flores-Kanter, P. E., &amp; Medrano, L. A. (2018). Comparación de dos versiones reducidas de la Escala PANAS: Análisis factoriales en una muestra argentina. </w:t>
      </w:r>
      <w:proofErr w:type="spellStart"/>
      <w:r w:rsidRPr="008414D0">
        <w:rPr>
          <w:i/>
          <w:iCs/>
          <w:lang w:val="en-US"/>
        </w:rPr>
        <w:t>Revista</w:t>
      </w:r>
      <w:proofErr w:type="spellEnd"/>
      <w:r w:rsidRPr="008414D0">
        <w:rPr>
          <w:i/>
          <w:iCs/>
          <w:lang w:val="en-US"/>
        </w:rPr>
        <w:t xml:space="preserve"> </w:t>
      </w:r>
      <w:proofErr w:type="spellStart"/>
      <w:r w:rsidRPr="008414D0">
        <w:rPr>
          <w:i/>
          <w:iCs/>
          <w:lang w:val="en-US"/>
        </w:rPr>
        <w:t>Iberoamericana</w:t>
      </w:r>
      <w:proofErr w:type="spellEnd"/>
      <w:r w:rsidRPr="008414D0">
        <w:rPr>
          <w:i/>
          <w:iCs/>
          <w:lang w:val="en-US"/>
        </w:rPr>
        <w:t xml:space="preserve"> de </w:t>
      </w:r>
      <w:proofErr w:type="spellStart"/>
      <w:r w:rsidRPr="008414D0">
        <w:rPr>
          <w:i/>
          <w:iCs/>
          <w:lang w:val="en-US"/>
        </w:rPr>
        <w:lastRenderedPageBreak/>
        <w:t>Diagnóstico</w:t>
      </w:r>
      <w:proofErr w:type="spellEnd"/>
      <w:r w:rsidRPr="008414D0">
        <w:rPr>
          <w:i/>
          <w:iCs/>
          <w:lang w:val="en-US"/>
        </w:rPr>
        <w:t xml:space="preserve"> y </w:t>
      </w:r>
      <w:proofErr w:type="spellStart"/>
      <w:r w:rsidRPr="008414D0">
        <w:rPr>
          <w:i/>
          <w:iCs/>
          <w:lang w:val="en-US"/>
        </w:rPr>
        <w:t>Evaluación</w:t>
      </w:r>
      <w:proofErr w:type="spellEnd"/>
      <w:r w:rsidRPr="008414D0">
        <w:rPr>
          <w:i/>
          <w:iCs/>
          <w:lang w:val="en-US"/>
        </w:rPr>
        <w:t xml:space="preserve">–e </w:t>
      </w:r>
      <w:proofErr w:type="spellStart"/>
      <w:r w:rsidRPr="008414D0">
        <w:rPr>
          <w:i/>
          <w:iCs/>
          <w:lang w:val="en-US"/>
        </w:rPr>
        <w:t>Avaliação</w:t>
      </w:r>
      <w:proofErr w:type="spellEnd"/>
      <w:r w:rsidRPr="008414D0">
        <w:rPr>
          <w:i/>
          <w:iCs/>
          <w:lang w:val="en-US"/>
        </w:rPr>
        <w:t xml:space="preserve"> </w:t>
      </w:r>
      <w:proofErr w:type="spellStart"/>
      <w:r w:rsidRPr="008414D0">
        <w:rPr>
          <w:i/>
          <w:iCs/>
          <w:lang w:val="en-US"/>
        </w:rPr>
        <w:t>Psicológica</w:t>
      </w:r>
      <w:proofErr w:type="spellEnd"/>
      <w:r w:rsidRPr="006D3896">
        <w:rPr>
          <w:lang w:val="en-US"/>
        </w:rPr>
        <w:t xml:space="preserve">, 49(4), 37-46. </w:t>
      </w:r>
      <w:hyperlink r:id="rId23" w:history="1">
        <w:r w:rsidRPr="006102D3">
          <w:rPr>
            <w:rStyle w:val="Hipervnculo"/>
            <w:lang w:val="en-US"/>
          </w:rPr>
          <w:t>https://doi.org/10.21865/RIDEP49.4.03</w:t>
        </w:r>
      </w:hyperlink>
    </w:p>
    <w:p w14:paraId="6DD7895F" w14:textId="77777777" w:rsidR="00FE136F" w:rsidRDefault="00FE136F" w:rsidP="006D3896">
      <w:pPr>
        <w:ind w:left="720" w:hanging="720"/>
        <w:jc w:val="both"/>
        <w:rPr>
          <w:lang w:val="en-US"/>
        </w:rPr>
      </w:pPr>
      <w:r w:rsidRPr="006D3896">
        <w:rPr>
          <w:lang w:val="en-US"/>
        </w:rPr>
        <w:t xml:space="preserve">George, L. S., &amp; Park, C. L. (2016). Meaning in life as comprehension, purpose, and mattering: Toward integration and new research questions. </w:t>
      </w:r>
      <w:r w:rsidRPr="008414D0">
        <w:rPr>
          <w:i/>
          <w:iCs/>
          <w:lang w:val="en-US"/>
        </w:rPr>
        <w:t>Review of General Psychology</w:t>
      </w:r>
      <w:r w:rsidRPr="006D3896">
        <w:rPr>
          <w:lang w:val="en-US"/>
        </w:rPr>
        <w:t>, 20(3), 205-220.</w:t>
      </w:r>
      <w:r>
        <w:rPr>
          <w:lang w:val="en-US"/>
        </w:rPr>
        <w:t xml:space="preserve"> </w:t>
      </w:r>
      <w:hyperlink r:id="rId24" w:history="1">
        <w:r w:rsidRPr="006102D3">
          <w:rPr>
            <w:rStyle w:val="Hipervnculo"/>
            <w:lang w:val="en-US"/>
          </w:rPr>
          <w:t>https://doi.org/10.1037/gpr0000077</w:t>
        </w:r>
      </w:hyperlink>
    </w:p>
    <w:p w14:paraId="00BDF07C" w14:textId="77777777" w:rsidR="00FE136F" w:rsidRDefault="00FE136F" w:rsidP="006D3896">
      <w:pPr>
        <w:ind w:left="720" w:hanging="720"/>
        <w:jc w:val="both"/>
        <w:rPr>
          <w:lang w:val="en-US"/>
        </w:rPr>
      </w:pPr>
      <w:r w:rsidRPr="006D3896">
        <w:rPr>
          <w:lang w:val="en-US"/>
        </w:rPr>
        <w:t xml:space="preserve">Green, E., Chase, R. M., </w:t>
      </w:r>
      <w:proofErr w:type="spellStart"/>
      <w:r w:rsidRPr="006D3896">
        <w:rPr>
          <w:lang w:val="en-US"/>
        </w:rPr>
        <w:t>Zayzay</w:t>
      </w:r>
      <w:proofErr w:type="spellEnd"/>
      <w:r w:rsidRPr="006D3896">
        <w:rPr>
          <w:lang w:val="en-US"/>
        </w:rPr>
        <w:t xml:space="preserve">, J., Finnegan, A., &amp; Puffer, E. S. (2018). The impact of the 2014 Ebola virus disease outbreak in Liberia on parent preferences for harsh discipline practices: A quasi-experimental, pre-post design. </w:t>
      </w:r>
      <w:r w:rsidRPr="00C74438">
        <w:rPr>
          <w:i/>
          <w:iCs/>
          <w:lang w:val="en-US"/>
        </w:rPr>
        <w:t>Global Mental Health</w:t>
      </w:r>
      <w:r w:rsidRPr="006D3896">
        <w:rPr>
          <w:lang w:val="en-US"/>
        </w:rPr>
        <w:t xml:space="preserve">, 5, E1. </w:t>
      </w:r>
      <w:hyperlink r:id="rId25" w:history="1">
        <w:r w:rsidRPr="006102D3">
          <w:rPr>
            <w:rStyle w:val="Hipervnculo"/>
            <w:lang w:val="en-US"/>
          </w:rPr>
          <w:t>https://doi.org/10.1017/gmh.2017.24</w:t>
        </w:r>
      </w:hyperlink>
    </w:p>
    <w:p w14:paraId="11BF78FA" w14:textId="77777777" w:rsidR="00FE136F" w:rsidRDefault="00FE136F" w:rsidP="006D3896">
      <w:pPr>
        <w:ind w:left="720" w:hanging="720"/>
        <w:jc w:val="both"/>
        <w:rPr>
          <w:lang w:val="en-US"/>
        </w:rPr>
      </w:pPr>
      <w:r w:rsidRPr="006D3896">
        <w:rPr>
          <w:lang w:val="en-US"/>
        </w:rPr>
        <w:t xml:space="preserve">Han, G., Zhang, J., Chu, K., &amp; Shen, G. (2014). Self–other differences in H1N1 flu risk perception in a global context: A comparative study between the United States and China. </w:t>
      </w:r>
      <w:r w:rsidRPr="00C74438">
        <w:rPr>
          <w:i/>
          <w:iCs/>
          <w:lang w:val="en-US"/>
        </w:rPr>
        <w:t>Health Communication</w:t>
      </w:r>
      <w:r w:rsidRPr="006D3896">
        <w:rPr>
          <w:lang w:val="en-US"/>
        </w:rPr>
        <w:t xml:space="preserve">, 29(2), 109-123. </w:t>
      </w:r>
      <w:hyperlink r:id="rId26" w:history="1">
        <w:r w:rsidRPr="006102D3">
          <w:rPr>
            <w:rStyle w:val="Hipervnculo"/>
            <w:lang w:val="en-US"/>
          </w:rPr>
          <w:t>https://doi.org/10.1080/10410236.2012.723267</w:t>
        </w:r>
      </w:hyperlink>
    </w:p>
    <w:p w14:paraId="7990BD93" w14:textId="77777777" w:rsidR="00FE136F" w:rsidRPr="006D3896" w:rsidRDefault="00FE136F" w:rsidP="006D3896">
      <w:pPr>
        <w:ind w:left="720" w:hanging="720"/>
        <w:jc w:val="both"/>
        <w:rPr>
          <w:lang w:val="en-US"/>
        </w:rPr>
      </w:pPr>
      <w:r w:rsidRPr="006D3896">
        <w:rPr>
          <w:lang w:val="en-US"/>
        </w:rPr>
        <w:t xml:space="preserve">Hernández-Hernández, M. (2016). </w:t>
      </w:r>
      <w:r w:rsidRPr="00C74438">
        <w:rPr>
          <w:i/>
          <w:iCs/>
          <w:lang w:val="en-US"/>
        </w:rPr>
        <w:t xml:space="preserve">Vida </w:t>
      </w:r>
      <w:proofErr w:type="spellStart"/>
      <w:r w:rsidRPr="00C74438">
        <w:rPr>
          <w:i/>
          <w:iCs/>
          <w:lang w:val="en-US"/>
        </w:rPr>
        <w:t>significativa</w:t>
      </w:r>
      <w:proofErr w:type="spellEnd"/>
      <w:r w:rsidRPr="00C74438">
        <w:rPr>
          <w:i/>
          <w:iCs/>
          <w:lang w:val="en-US"/>
        </w:rPr>
        <w:t xml:space="preserve"> y </w:t>
      </w:r>
      <w:proofErr w:type="spellStart"/>
      <w:r w:rsidRPr="00C74438">
        <w:rPr>
          <w:i/>
          <w:iCs/>
          <w:lang w:val="en-US"/>
        </w:rPr>
        <w:t>recursos</w:t>
      </w:r>
      <w:proofErr w:type="spellEnd"/>
      <w:r w:rsidRPr="00C74438">
        <w:rPr>
          <w:i/>
          <w:iCs/>
          <w:lang w:val="en-US"/>
        </w:rPr>
        <w:t xml:space="preserve"> </w:t>
      </w:r>
      <w:proofErr w:type="spellStart"/>
      <w:r w:rsidRPr="00C74438">
        <w:rPr>
          <w:i/>
          <w:iCs/>
          <w:lang w:val="en-US"/>
        </w:rPr>
        <w:t>personales</w:t>
      </w:r>
      <w:proofErr w:type="spellEnd"/>
      <w:r w:rsidRPr="00C74438">
        <w:rPr>
          <w:i/>
          <w:iCs/>
          <w:lang w:val="en-US"/>
        </w:rPr>
        <w:t xml:space="preserve"> y </w:t>
      </w:r>
      <w:proofErr w:type="spellStart"/>
      <w:r w:rsidRPr="00C74438">
        <w:rPr>
          <w:i/>
          <w:iCs/>
          <w:lang w:val="en-US"/>
        </w:rPr>
        <w:t>sociales</w:t>
      </w:r>
      <w:proofErr w:type="spellEnd"/>
      <w:r w:rsidRPr="006D3896">
        <w:rPr>
          <w:lang w:val="en-US"/>
        </w:rPr>
        <w:t xml:space="preserve"> [Unpublished doctoral dissertation]. University of La Laguna.</w:t>
      </w:r>
    </w:p>
    <w:p w14:paraId="40C5A2EE" w14:textId="77777777" w:rsidR="00FE136F" w:rsidRDefault="00FE136F" w:rsidP="006D3896">
      <w:pPr>
        <w:ind w:left="720" w:hanging="720"/>
        <w:jc w:val="both"/>
        <w:rPr>
          <w:lang w:val="en-US"/>
        </w:rPr>
      </w:pPr>
      <w:r w:rsidRPr="006D3896">
        <w:rPr>
          <w:lang w:val="en-US"/>
        </w:rPr>
        <w:t xml:space="preserve">Hossain, M. M., Sultana, A., &amp; Purohit, N. (2020). Mental health outcomes of quarantine and isolation for infection prevention: a systematic umbrella review of the global evidence. </w:t>
      </w:r>
      <w:r w:rsidRPr="00C74438">
        <w:rPr>
          <w:i/>
          <w:iCs/>
          <w:lang w:val="en-US"/>
        </w:rPr>
        <w:t>Epidemiology and Health</w:t>
      </w:r>
      <w:r w:rsidRPr="006D3896">
        <w:rPr>
          <w:lang w:val="en-US"/>
        </w:rPr>
        <w:t xml:space="preserve">, 42: e2020038. </w:t>
      </w:r>
      <w:hyperlink r:id="rId27" w:history="1">
        <w:r w:rsidRPr="006102D3">
          <w:rPr>
            <w:rStyle w:val="Hipervnculo"/>
            <w:lang w:val="en-US"/>
          </w:rPr>
          <w:t>https://doi.org/10.4178/epih.e2020038</w:t>
        </w:r>
      </w:hyperlink>
    </w:p>
    <w:p w14:paraId="790863B1" w14:textId="77777777" w:rsidR="00FE136F" w:rsidRDefault="00FE136F" w:rsidP="006D3896">
      <w:pPr>
        <w:ind w:left="720" w:hanging="720"/>
        <w:jc w:val="both"/>
        <w:rPr>
          <w:lang w:val="es-ES"/>
        </w:rPr>
      </w:pPr>
      <w:r w:rsidRPr="006D3896">
        <w:rPr>
          <w:lang w:val="en-US"/>
        </w:rPr>
        <w:t xml:space="preserve">Hou T., Zhang T., Cai W., Song X., Chen A., Deng G., Ni, C. (2020) Social support and mental health among health care workers during Coronavirus Disease 2019 outbreak: A moderated mediation model. </w:t>
      </w:r>
      <w:proofErr w:type="spellStart"/>
      <w:r w:rsidRPr="00AB31AD">
        <w:rPr>
          <w:i/>
          <w:iCs/>
          <w:lang w:val="es-ES"/>
        </w:rPr>
        <w:t>PLoS</w:t>
      </w:r>
      <w:proofErr w:type="spellEnd"/>
      <w:r w:rsidRPr="00AB31AD">
        <w:rPr>
          <w:i/>
          <w:iCs/>
          <w:lang w:val="es-ES"/>
        </w:rPr>
        <w:t xml:space="preserve"> ONE</w:t>
      </w:r>
      <w:r w:rsidRPr="006D3896">
        <w:rPr>
          <w:lang w:val="es-ES"/>
        </w:rPr>
        <w:t xml:space="preserve"> 15(5): e0233831. </w:t>
      </w:r>
      <w:hyperlink r:id="rId28" w:history="1">
        <w:r w:rsidRPr="006102D3">
          <w:rPr>
            <w:rStyle w:val="Hipervnculo"/>
            <w:lang w:val="es-ES"/>
          </w:rPr>
          <w:t>https://doi.org/10.1371/journal.pone.0233831</w:t>
        </w:r>
      </w:hyperlink>
    </w:p>
    <w:p w14:paraId="51E57855" w14:textId="77777777" w:rsidR="00FE136F" w:rsidRDefault="00FE136F" w:rsidP="006D3896">
      <w:pPr>
        <w:ind w:left="720" w:hanging="720"/>
        <w:jc w:val="both"/>
        <w:rPr>
          <w:lang w:val="en-US"/>
        </w:rPr>
      </w:pPr>
      <w:r w:rsidRPr="006D3896">
        <w:rPr>
          <w:lang w:val="es-ES"/>
        </w:rPr>
        <w:t>Instituto Nacional de Estadística - INE (</w:t>
      </w:r>
      <w:proofErr w:type="spellStart"/>
      <w:r w:rsidRPr="006D3896">
        <w:rPr>
          <w:lang w:val="es-ES"/>
        </w:rPr>
        <w:t>n.d</w:t>
      </w:r>
      <w:proofErr w:type="spellEnd"/>
      <w:r w:rsidRPr="006D3896">
        <w:rPr>
          <w:lang w:val="es-ES"/>
        </w:rPr>
        <w:t xml:space="preserve">.) Nivel de formación de la población adulta por grupos de edad. </w:t>
      </w:r>
      <w:r w:rsidRPr="006D3896">
        <w:rPr>
          <w:lang w:val="en-US"/>
        </w:rPr>
        <w:t xml:space="preserve">CNED-2014. Retrieved July 16, 2021, from </w:t>
      </w:r>
      <w:hyperlink r:id="rId29" w:history="1">
        <w:r w:rsidRPr="006102D3">
          <w:rPr>
            <w:rStyle w:val="Hipervnculo"/>
            <w:lang w:val="en-US"/>
          </w:rPr>
          <w:t>https://www.ine.es/uc/HYtt1hZ5</w:t>
        </w:r>
      </w:hyperlink>
    </w:p>
    <w:p w14:paraId="6B46389B" w14:textId="77777777" w:rsidR="00FE136F" w:rsidRDefault="00FE136F" w:rsidP="006D3896">
      <w:pPr>
        <w:ind w:left="720" w:hanging="720"/>
        <w:jc w:val="both"/>
        <w:rPr>
          <w:lang w:val="en-US"/>
        </w:rPr>
      </w:pPr>
      <w:r w:rsidRPr="008A5ACB">
        <w:rPr>
          <w:lang w:val="en-US"/>
        </w:rPr>
        <w:t xml:space="preserve">Ipsen, C.; van </w:t>
      </w:r>
      <w:proofErr w:type="spellStart"/>
      <w:r w:rsidRPr="008A5ACB">
        <w:rPr>
          <w:lang w:val="en-US"/>
        </w:rPr>
        <w:t>Veldhoven</w:t>
      </w:r>
      <w:proofErr w:type="spellEnd"/>
      <w:r w:rsidRPr="008A5ACB">
        <w:rPr>
          <w:lang w:val="en-US"/>
        </w:rPr>
        <w:t xml:space="preserve">, M.; Kirchner, K.; Hansen, J.P. (2021). </w:t>
      </w:r>
      <w:r w:rsidRPr="006D3896">
        <w:rPr>
          <w:lang w:val="en-US"/>
        </w:rPr>
        <w:t xml:space="preserve">Six Key Advantages and Disadvantages of Working from Home in Europe during COVID-19. </w:t>
      </w:r>
      <w:r w:rsidRPr="00AB31AD">
        <w:rPr>
          <w:i/>
          <w:iCs/>
          <w:lang w:val="en-US"/>
        </w:rPr>
        <w:t>International Journal of Environmental Research and Public Health</w:t>
      </w:r>
      <w:r w:rsidRPr="006D3896">
        <w:rPr>
          <w:lang w:val="en-US"/>
        </w:rPr>
        <w:t xml:space="preserve">, 18, 1826. </w:t>
      </w:r>
      <w:hyperlink r:id="rId30" w:history="1">
        <w:r w:rsidRPr="006102D3">
          <w:rPr>
            <w:rStyle w:val="Hipervnculo"/>
            <w:lang w:val="en-US"/>
          </w:rPr>
          <w:t>https://doi.org/10.3390/ijerph18041826</w:t>
        </w:r>
      </w:hyperlink>
    </w:p>
    <w:p w14:paraId="7FF68971" w14:textId="77777777" w:rsidR="00FE136F" w:rsidRPr="008A5ACB" w:rsidRDefault="00FE136F" w:rsidP="006D3896">
      <w:pPr>
        <w:ind w:left="720" w:hanging="720"/>
        <w:jc w:val="both"/>
        <w:rPr>
          <w:lang w:val="en-US"/>
        </w:rPr>
      </w:pPr>
      <w:proofErr w:type="spellStart"/>
      <w:r w:rsidRPr="006D3896">
        <w:rPr>
          <w:lang w:val="en-US"/>
        </w:rPr>
        <w:t>Killgore</w:t>
      </w:r>
      <w:proofErr w:type="spellEnd"/>
      <w:r w:rsidRPr="006D3896">
        <w:rPr>
          <w:lang w:val="en-US"/>
        </w:rPr>
        <w:t xml:space="preserve">, W. D., Taylor, E. C., </w:t>
      </w:r>
      <w:proofErr w:type="spellStart"/>
      <w:r w:rsidRPr="006D3896">
        <w:rPr>
          <w:lang w:val="en-US"/>
        </w:rPr>
        <w:t>Cloonan</w:t>
      </w:r>
      <w:proofErr w:type="spellEnd"/>
      <w:r w:rsidRPr="006D3896">
        <w:rPr>
          <w:lang w:val="en-US"/>
        </w:rPr>
        <w:t xml:space="preserve">, S. A., &amp; Dailey, N. S. (2020). Psychological resilience during the COVID-19 lockdown. </w:t>
      </w:r>
      <w:r w:rsidRPr="0050138C">
        <w:rPr>
          <w:i/>
          <w:iCs/>
          <w:lang w:val="en-US"/>
        </w:rPr>
        <w:t>Psychiatry research</w:t>
      </w:r>
      <w:r w:rsidRPr="006D3896">
        <w:rPr>
          <w:lang w:val="en-US"/>
        </w:rPr>
        <w:t xml:space="preserve">, 291, 113216. </w:t>
      </w:r>
      <w:hyperlink r:id="rId31" w:history="1">
        <w:r w:rsidRPr="008A5ACB">
          <w:rPr>
            <w:rStyle w:val="Hipervnculo"/>
            <w:lang w:val="en-US"/>
          </w:rPr>
          <w:t>https://doi.org/10.1016/j.psychres.2020.113216</w:t>
        </w:r>
      </w:hyperlink>
    </w:p>
    <w:p w14:paraId="3003AD10" w14:textId="77777777" w:rsidR="00FE136F" w:rsidRDefault="00FE136F" w:rsidP="006D3896">
      <w:pPr>
        <w:ind w:left="720" w:hanging="720"/>
        <w:jc w:val="both"/>
        <w:rPr>
          <w:lang w:val="en-US"/>
        </w:rPr>
      </w:pPr>
      <w:r w:rsidRPr="006D3896">
        <w:rPr>
          <w:lang w:val="fr-FR"/>
        </w:rPr>
        <w:t xml:space="preserve">Ko, C.-H., Yen, C.-F., Yen, J.-Y., &amp; Yang, M.-J. (2006). </w:t>
      </w:r>
      <w:r w:rsidRPr="006D3896">
        <w:rPr>
          <w:lang w:val="en-US"/>
        </w:rPr>
        <w:t xml:space="preserve">Psychosocial impact among the public of the severe acute respiratory syndrome epidemic in Taiwan. </w:t>
      </w:r>
      <w:r w:rsidRPr="0050138C">
        <w:rPr>
          <w:i/>
          <w:iCs/>
          <w:lang w:val="en-US"/>
        </w:rPr>
        <w:t>Psychiatry and Clinical Neurosciences</w:t>
      </w:r>
      <w:r w:rsidRPr="006D3896">
        <w:rPr>
          <w:lang w:val="en-US"/>
        </w:rPr>
        <w:t xml:space="preserve">, 60(4), 397-403. </w:t>
      </w:r>
      <w:hyperlink r:id="rId32" w:history="1">
        <w:r w:rsidRPr="006102D3">
          <w:rPr>
            <w:rStyle w:val="Hipervnculo"/>
            <w:lang w:val="en-US"/>
          </w:rPr>
          <w:t>https://doi.org/10.1111/j.1440-1819.2006.01522.x</w:t>
        </w:r>
      </w:hyperlink>
    </w:p>
    <w:p w14:paraId="1812FFC7" w14:textId="77777777" w:rsidR="00FE136F" w:rsidRDefault="00FE136F" w:rsidP="006D3896">
      <w:pPr>
        <w:ind w:left="720" w:hanging="720"/>
        <w:jc w:val="both"/>
        <w:rPr>
          <w:lang w:val="en-US"/>
        </w:rPr>
      </w:pPr>
      <w:proofErr w:type="spellStart"/>
      <w:r w:rsidRPr="006D3896">
        <w:rPr>
          <w:lang w:val="en-US"/>
        </w:rPr>
        <w:t>Krok</w:t>
      </w:r>
      <w:proofErr w:type="spellEnd"/>
      <w:r w:rsidRPr="006D3896">
        <w:rPr>
          <w:lang w:val="en-US"/>
        </w:rPr>
        <w:t xml:space="preserve"> D, &amp; Risk, B. (2020). Perception of COVID-19, Meaning-Based Resources and Psychological Well-Being amongst Healthcare Personnel: The Mediating Role of Coping. </w:t>
      </w:r>
      <w:r w:rsidRPr="0050138C">
        <w:rPr>
          <w:i/>
          <w:iCs/>
          <w:lang w:val="en-US"/>
        </w:rPr>
        <w:t>Journal of Clinical Medicine</w:t>
      </w:r>
      <w:r w:rsidRPr="006D3896">
        <w:rPr>
          <w:lang w:val="en-US"/>
        </w:rPr>
        <w:t xml:space="preserve">, 9(10):3225. </w:t>
      </w:r>
      <w:hyperlink r:id="rId33" w:history="1">
        <w:r w:rsidRPr="006102D3">
          <w:rPr>
            <w:rStyle w:val="Hipervnculo"/>
            <w:lang w:val="en-US"/>
          </w:rPr>
          <w:t>https://doi.org/10.3390/jcm9103225</w:t>
        </w:r>
      </w:hyperlink>
    </w:p>
    <w:p w14:paraId="2BEB3B47" w14:textId="77777777" w:rsidR="00FE136F" w:rsidRDefault="00FE136F" w:rsidP="006D3896">
      <w:pPr>
        <w:ind w:left="720" w:hanging="720"/>
        <w:jc w:val="both"/>
        <w:rPr>
          <w:lang w:val="en-US"/>
        </w:rPr>
      </w:pPr>
      <w:r w:rsidRPr="006D3896">
        <w:rPr>
          <w:lang w:val="en-US"/>
        </w:rPr>
        <w:t xml:space="preserve">Lee, J., Blackmon, B. J., Cochran, D. M., Kar, B., </w:t>
      </w:r>
      <w:proofErr w:type="spellStart"/>
      <w:r w:rsidRPr="006D3896">
        <w:rPr>
          <w:lang w:val="en-US"/>
        </w:rPr>
        <w:t>Rehner</w:t>
      </w:r>
      <w:proofErr w:type="spellEnd"/>
      <w:r w:rsidRPr="006D3896">
        <w:rPr>
          <w:lang w:val="en-US"/>
        </w:rPr>
        <w:t xml:space="preserve">, T. A., &amp; Gunnell, M. S. (2018). Community resilience, psychological resilience, and depressive symptoms: An examination of the Mississippi Gulf Coast 10 years after Hurricane Katrina and 5 years after the Deepwater Horizon oil spill. </w:t>
      </w:r>
      <w:r w:rsidRPr="0050138C">
        <w:rPr>
          <w:i/>
          <w:iCs/>
          <w:lang w:val="en-US"/>
        </w:rPr>
        <w:t>Disaster Medicine and Public Health Preparedness</w:t>
      </w:r>
      <w:r w:rsidRPr="006D3896">
        <w:rPr>
          <w:lang w:val="en-US"/>
        </w:rPr>
        <w:t xml:space="preserve">, 12(2), 241-248. </w:t>
      </w:r>
      <w:hyperlink r:id="rId34" w:history="1">
        <w:r w:rsidRPr="006102D3">
          <w:rPr>
            <w:rStyle w:val="Hipervnculo"/>
            <w:lang w:val="en-US"/>
          </w:rPr>
          <w:t>https://doi.org/10.1017/dmp.2017.61</w:t>
        </w:r>
      </w:hyperlink>
    </w:p>
    <w:p w14:paraId="7A4DDF4B" w14:textId="77777777" w:rsidR="00FE136F" w:rsidRDefault="00FE136F" w:rsidP="006D3896">
      <w:pPr>
        <w:ind w:left="720" w:hanging="720"/>
        <w:jc w:val="both"/>
        <w:rPr>
          <w:lang w:val="en-US"/>
        </w:rPr>
      </w:pPr>
      <w:r w:rsidRPr="006D3896">
        <w:rPr>
          <w:lang w:val="en-US"/>
        </w:rPr>
        <w:t xml:space="preserve">Lee, M. A. (2019). Volunteering and happiness: Examining the differential effects of volunteering types according to household income. </w:t>
      </w:r>
      <w:r w:rsidRPr="0050138C">
        <w:rPr>
          <w:i/>
          <w:iCs/>
          <w:lang w:val="en-US"/>
        </w:rPr>
        <w:t>Journal of Happiness Studies</w:t>
      </w:r>
      <w:r w:rsidRPr="006D3896">
        <w:rPr>
          <w:lang w:val="en-US"/>
        </w:rPr>
        <w:t xml:space="preserve">, 20(3), 795-814. </w:t>
      </w:r>
      <w:hyperlink r:id="rId35" w:history="1">
        <w:r w:rsidRPr="006102D3">
          <w:rPr>
            <w:rStyle w:val="Hipervnculo"/>
            <w:lang w:val="en-US"/>
          </w:rPr>
          <w:t>https://doi.org/10.1007/s10902-018-9968-0</w:t>
        </w:r>
      </w:hyperlink>
    </w:p>
    <w:p w14:paraId="187C2B8C" w14:textId="77777777" w:rsidR="00FE136F" w:rsidRDefault="00FE136F" w:rsidP="006D3896">
      <w:pPr>
        <w:ind w:left="720" w:hanging="720"/>
        <w:jc w:val="both"/>
        <w:rPr>
          <w:lang w:val="en-US"/>
        </w:rPr>
      </w:pPr>
      <w:r w:rsidRPr="006D3896">
        <w:rPr>
          <w:lang w:val="en-US"/>
        </w:rPr>
        <w:t xml:space="preserve">Li, S., Wang, Y., </w:t>
      </w:r>
      <w:proofErr w:type="spellStart"/>
      <w:r w:rsidRPr="006D3896">
        <w:rPr>
          <w:lang w:val="en-US"/>
        </w:rPr>
        <w:t>Xue</w:t>
      </w:r>
      <w:proofErr w:type="spellEnd"/>
      <w:r w:rsidRPr="006D3896">
        <w:rPr>
          <w:lang w:val="en-US"/>
        </w:rPr>
        <w:t xml:space="preserve">, J., Zhao, N., &amp; Zhu, T. (2020). The impact of COVID-19 epidemic declaration on psychological consequences: A study on active Weibo users. </w:t>
      </w:r>
      <w:r w:rsidRPr="0050138C">
        <w:rPr>
          <w:i/>
          <w:iCs/>
          <w:lang w:val="en-US"/>
        </w:rPr>
        <w:t xml:space="preserve">International </w:t>
      </w:r>
      <w:r w:rsidRPr="0050138C">
        <w:rPr>
          <w:i/>
          <w:iCs/>
          <w:lang w:val="en-US"/>
        </w:rPr>
        <w:lastRenderedPageBreak/>
        <w:t>Journal of Environmental Research and Public Health</w:t>
      </w:r>
      <w:r w:rsidRPr="006D3896">
        <w:rPr>
          <w:lang w:val="en-US"/>
        </w:rPr>
        <w:t xml:space="preserve">, 17(6), 2032. </w:t>
      </w:r>
      <w:hyperlink r:id="rId36" w:history="1">
        <w:r w:rsidRPr="006102D3">
          <w:rPr>
            <w:rStyle w:val="Hipervnculo"/>
            <w:lang w:val="en-US"/>
          </w:rPr>
          <w:t>https://doi.org/10.3390/ijerph17062032</w:t>
        </w:r>
      </w:hyperlink>
    </w:p>
    <w:p w14:paraId="6E9F5187" w14:textId="77777777" w:rsidR="00FE136F" w:rsidRPr="008A5ACB" w:rsidRDefault="00FE136F" w:rsidP="006D3896">
      <w:pPr>
        <w:ind w:left="720" w:hanging="720"/>
        <w:jc w:val="both"/>
        <w:rPr>
          <w:lang w:val="en-US"/>
        </w:rPr>
      </w:pPr>
      <w:r w:rsidRPr="006D3896">
        <w:rPr>
          <w:lang w:val="en-US"/>
        </w:rPr>
        <w:t xml:space="preserve">Liu, X., </w:t>
      </w:r>
      <w:proofErr w:type="spellStart"/>
      <w:r w:rsidRPr="006D3896">
        <w:rPr>
          <w:lang w:val="en-US"/>
        </w:rPr>
        <w:t>Kakade</w:t>
      </w:r>
      <w:proofErr w:type="spellEnd"/>
      <w:r w:rsidRPr="006D3896">
        <w:rPr>
          <w:lang w:val="en-US"/>
        </w:rPr>
        <w:t xml:space="preserve">, M., Fuller, C. J., Fan, B., Fang, Y., Kong, J., </w:t>
      </w:r>
      <w:proofErr w:type="spellStart"/>
      <w:r w:rsidRPr="006D3896">
        <w:rPr>
          <w:lang w:val="en-US"/>
        </w:rPr>
        <w:t>Zhiqiang</w:t>
      </w:r>
      <w:proofErr w:type="spellEnd"/>
      <w:r w:rsidRPr="006D3896">
        <w:rPr>
          <w:lang w:val="en-US"/>
        </w:rPr>
        <w:t xml:space="preserve">, G., &amp; Wu, P. (2012). Depression after exposure to stressful events: Lessons learned from the severe acute respiratory syndrome epidemic. </w:t>
      </w:r>
      <w:r w:rsidRPr="0050138C">
        <w:rPr>
          <w:i/>
          <w:iCs/>
          <w:lang w:val="en-US"/>
        </w:rPr>
        <w:t>Comprehensive Psychiatry</w:t>
      </w:r>
      <w:r w:rsidRPr="006D3896">
        <w:rPr>
          <w:lang w:val="en-US"/>
        </w:rPr>
        <w:t xml:space="preserve">, 53(1), 15-23. </w:t>
      </w:r>
      <w:hyperlink r:id="rId37" w:history="1">
        <w:r w:rsidRPr="008A5ACB">
          <w:rPr>
            <w:rStyle w:val="Hipervnculo"/>
            <w:lang w:val="en-US"/>
          </w:rPr>
          <w:t>https://doi.org/10.1016/j.comppsych.2011.02.003</w:t>
        </w:r>
      </w:hyperlink>
    </w:p>
    <w:p w14:paraId="7107A6AB" w14:textId="77777777" w:rsidR="00FE136F" w:rsidRDefault="00FE136F" w:rsidP="006D3896">
      <w:pPr>
        <w:ind w:left="720" w:hanging="720"/>
        <w:jc w:val="both"/>
        <w:rPr>
          <w:lang w:val="es-ES"/>
        </w:rPr>
      </w:pPr>
      <w:proofErr w:type="spellStart"/>
      <w:r w:rsidRPr="008A5ACB">
        <w:rPr>
          <w:lang w:val="en-US"/>
        </w:rPr>
        <w:t>Lohiniva</w:t>
      </w:r>
      <w:proofErr w:type="spellEnd"/>
      <w:r w:rsidRPr="008A5ACB">
        <w:rPr>
          <w:lang w:val="en-US"/>
        </w:rPr>
        <w:t xml:space="preserve">, A.-L., Sane, J., </w:t>
      </w:r>
      <w:proofErr w:type="spellStart"/>
      <w:r w:rsidRPr="008A5ACB">
        <w:rPr>
          <w:lang w:val="en-US"/>
        </w:rPr>
        <w:t>Sibenberg</w:t>
      </w:r>
      <w:proofErr w:type="spellEnd"/>
      <w:r w:rsidRPr="008A5ACB">
        <w:rPr>
          <w:lang w:val="en-US"/>
        </w:rPr>
        <w:t xml:space="preserve">, K., </w:t>
      </w:r>
      <w:proofErr w:type="spellStart"/>
      <w:r w:rsidRPr="008A5ACB">
        <w:rPr>
          <w:lang w:val="en-US"/>
        </w:rPr>
        <w:t>Puumalainen</w:t>
      </w:r>
      <w:proofErr w:type="spellEnd"/>
      <w:r w:rsidRPr="008A5ACB">
        <w:rPr>
          <w:lang w:val="en-US"/>
        </w:rPr>
        <w:t xml:space="preserve">, T., &amp; </w:t>
      </w:r>
      <w:proofErr w:type="spellStart"/>
      <w:r w:rsidRPr="008A5ACB">
        <w:rPr>
          <w:lang w:val="en-US"/>
        </w:rPr>
        <w:t>Salminen</w:t>
      </w:r>
      <w:proofErr w:type="spellEnd"/>
      <w:r w:rsidRPr="008A5ACB">
        <w:rPr>
          <w:lang w:val="en-US"/>
        </w:rPr>
        <w:t xml:space="preserve">, M. (2020). </w:t>
      </w:r>
      <w:r w:rsidRPr="006D3896">
        <w:rPr>
          <w:lang w:val="en-US"/>
        </w:rPr>
        <w:t xml:space="preserve">Understanding coronavirus disease (COVID-19) risk perceptions among the public to enhance risk communication efforts: A practical approach for outbreaks, Finland, February 2020. </w:t>
      </w:r>
      <w:proofErr w:type="spellStart"/>
      <w:r w:rsidRPr="0050138C">
        <w:rPr>
          <w:i/>
          <w:iCs/>
          <w:lang w:val="es-ES"/>
        </w:rPr>
        <w:t>Eurosurveillance</w:t>
      </w:r>
      <w:proofErr w:type="spellEnd"/>
      <w:r w:rsidRPr="006D3896">
        <w:rPr>
          <w:lang w:val="es-ES"/>
        </w:rPr>
        <w:t xml:space="preserve">, 25(13), 2000317. </w:t>
      </w:r>
      <w:hyperlink r:id="rId38" w:history="1">
        <w:r w:rsidRPr="006102D3">
          <w:rPr>
            <w:rStyle w:val="Hipervnculo"/>
            <w:lang w:val="es-ES"/>
          </w:rPr>
          <w:t>https://doi.org/10.2807/1560-7917.ES.2020.25.13.2000317</w:t>
        </w:r>
      </w:hyperlink>
    </w:p>
    <w:p w14:paraId="4D91ED6C" w14:textId="77777777" w:rsidR="00FE136F" w:rsidRPr="006D3896" w:rsidRDefault="00FE136F" w:rsidP="006D3896">
      <w:pPr>
        <w:ind w:left="720" w:hanging="720"/>
        <w:jc w:val="both"/>
        <w:rPr>
          <w:lang w:val="en-US"/>
        </w:rPr>
      </w:pPr>
      <w:r w:rsidRPr="006D3896">
        <w:rPr>
          <w:lang w:val="es-ES"/>
        </w:rPr>
        <w:t xml:space="preserve">López-Gómez, I., Hervás, G., &amp; Vázquez, C. (2015). Adaptación de la “Escala de afecto positivo y negativo” (PANAS) en una muestra general española. </w:t>
      </w:r>
      <w:proofErr w:type="spellStart"/>
      <w:r w:rsidRPr="0050138C">
        <w:rPr>
          <w:i/>
          <w:iCs/>
          <w:lang w:val="en-US"/>
        </w:rPr>
        <w:t>Psicología</w:t>
      </w:r>
      <w:proofErr w:type="spellEnd"/>
      <w:r w:rsidRPr="0050138C">
        <w:rPr>
          <w:i/>
          <w:iCs/>
          <w:lang w:val="en-US"/>
        </w:rPr>
        <w:t xml:space="preserve"> </w:t>
      </w:r>
      <w:proofErr w:type="spellStart"/>
      <w:r w:rsidRPr="0050138C">
        <w:rPr>
          <w:i/>
          <w:iCs/>
          <w:lang w:val="en-US"/>
        </w:rPr>
        <w:t>conductual</w:t>
      </w:r>
      <w:proofErr w:type="spellEnd"/>
      <w:r w:rsidRPr="006D3896">
        <w:rPr>
          <w:lang w:val="en-US"/>
        </w:rPr>
        <w:t>, 23(3), 529-548.</w:t>
      </w:r>
    </w:p>
    <w:p w14:paraId="724E3973" w14:textId="77777777" w:rsidR="00FE136F" w:rsidRDefault="00FE136F" w:rsidP="006D3896">
      <w:pPr>
        <w:ind w:left="720" w:hanging="720"/>
        <w:jc w:val="both"/>
        <w:rPr>
          <w:lang w:val="en-US"/>
        </w:rPr>
      </w:pPr>
      <w:proofErr w:type="spellStart"/>
      <w:r w:rsidRPr="008A5ACB">
        <w:rPr>
          <w:lang w:val="en-US"/>
        </w:rPr>
        <w:t>Menatti</w:t>
      </w:r>
      <w:proofErr w:type="spellEnd"/>
      <w:r w:rsidRPr="008A5ACB">
        <w:rPr>
          <w:lang w:val="en-US"/>
        </w:rPr>
        <w:t xml:space="preserve">, L., &amp; Casado da Rocha, A. (2016). </w:t>
      </w:r>
      <w:r w:rsidRPr="006D3896">
        <w:rPr>
          <w:lang w:val="en-US"/>
        </w:rPr>
        <w:t xml:space="preserve">Landscape and health: Connecting psychology, aesthetics, and philosophy through the concept of affordance. </w:t>
      </w:r>
      <w:r w:rsidRPr="0050138C">
        <w:rPr>
          <w:i/>
          <w:iCs/>
          <w:lang w:val="en-US"/>
        </w:rPr>
        <w:t>Frontiers in Psychology</w:t>
      </w:r>
      <w:r w:rsidRPr="006D3896">
        <w:rPr>
          <w:lang w:val="en-US"/>
        </w:rPr>
        <w:t xml:space="preserve">, 7, 571. </w:t>
      </w:r>
      <w:hyperlink r:id="rId39" w:history="1">
        <w:r w:rsidRPr="006102D3">
          <w:rPr>
            <w:rStyle w:val="Hipervnculo"/>
            <w:lang w:val="en-US"/>
          </w:rPr>
          <w:t>https://doi.org/10.3389/fpsyg.2016.00571</w:t>
        </w:r>
      </w:hyperlink>
    </w:p>
    <w:p w14:paraId="3DFEDC3A" w14:textId="77777777" w:rsidR="00FE136F" w:rsidRDefault="00FE136F" w:rsidP="006D3896">
      <w:pPr>
        <w:ind w:left="720" w:hanging="720"/>
        <w:jc w:val="both"/>
        <w:rPr>
          <w:lang w:val="en-US"/>
        </w:rPr>
      </w:pPr>
      <w:proofErr w:type="spellStart"/>
      <w:r w:rsidRPr="006D3896">
        <w:rPr>
          <w:lang w:val="en-US"/>
        </w:rPr>
        <w:t>Mihashi</w:t>
      </w:r>
      <w:proofErr w:type="spellEnd"/>
      <w:r w:rsidRPr="006D3896">
        <w:rPr>
          <w:lang w:val="en-US"/>
        </w:rPr>
        <w:t xml:space="preserve">, M., </w:t>
      </w:r>
      <w:proofErr w:type="spellStart"/>
      <w:r w:rsidRPr="006D3896">
        <w:rPr>
          <w:lang w:val="en-US"/>
        </w:rPr>
        <w:t>Otsubo</w:t>
      </w:r>
      <w:proofErr w:type="spellEnd"/>
      <w:r w:rsidRPr="006D3896">
        <w:rPr>
          <w:lang w:val="en-US"/>
        </w:rPr>
        <w:t xml:space="preserve">, Y., </w:t>
      </w:r>
      <w:proofErr w:type="spellStart"/>
      <w:r w:rsidRPr="006D3896">
        <w:rPr>
          <w:lang w:val="en-US"/>
        </w:rPr>
        <w:t>Yinjuan</w:t>
      </w:r>
      <w:proofErr w:type="spellEnd"/>
      <w:r w:rsidRPr="006D3896">
        <w:rPr>
          <w:lang w:val="en-US"/>
        </w:rPr>
        <w:t xml:space="preserve">, X., </w:t>
      </w:r>
      <w:proofErr w:type="spellStart"/>
      <w:r w:rsidRPr="006D3896">
        <w:rPr>
          <w:lang w:val="en-US"/>
        </w:rPr>
        <w:t>Nagatomi</w:t>
      </w:r>
      <w:proofErr w:type="spellEnd"/>
      <w:r w:rsidRPr="006D3896">
        <w:rPr>
          <w:lang w:val="en-US"/>
        </w:rPr>
        <w:t xml:space="preserve">, K., </w:t>
      </w:r>
      <w:proofErr w:type="spellStart"/>
      <w:r w:rsidRPr="006D3896">
        <w:rPr>
          <w:lang w:val="en-US"/>
        </w:rPr>
        <w:t>Hoshiko</w:t>
      </w:r>
      <w:proofErr w:type="spellEnd"/>
      <w:r w:rsidRPr="006D3896">
        <w:rPr>
          <w:lang w:val="en-US"/>
        </w:rPr>
        <w:t xml:space="preserve">, M., &amp; </w:t>
      </w:r>
      <w:proofErr w:type="spellStart"/>
      <w:r w:rsidRPr="006D3896">
        <w:rPr>
          <w:lang w:val="en-US"/>
        </w:rPr>
        <w:t>Ishitake</w:t>
      </w:r>
      <w:proofErr w:type="spellEnd"/>
      <w:r w:rsidRPr="006D3896">
        <w:rPr>
          <w:lang w:val="en-US"/>
        </w:rPr>
        <w:t xml:space="preserve">, T. (2009). Predictive factors of psychological disorder development during recovery following SARS outbreak. </w:t>
      </w:r>
      <w:r w:rsidRPr="0050138C">
        <w:rPr>
          <w:i/>
          <w:iCs/>
          <w:lang w:val="en-US"/>
        </w:rPr>
        <w:t>Health Psychology</w:t>
      </w:r>
      <w:r w:rsidRPr="006D3896">
        <w:rPr>
          <w:lang w:val="en-US"/>
        </w:rPr>
        <w:t xml:space="preserve">, 28(1), 91-100. </w:t>
      </w:r>
      <w:hyperlink r:id="rId40" w:history="1">
        <w:r w:rsidRPr="006102D3">
          <w:rPr>
            <w:rStyle w:val="Hipervnculo"/>
            <w:lang w:val="en-US"/>
          </w:rPr>
          <w:t>https://doi.org/10.1037/a0013674</w:t>
        </w:r>
      </w:hyperlink>
    </w:p>
    <w:p w14:paraId="755362D3" w14:textId="77777777" w:rsidR="00FE136F" w:rsidRDefault="00FE136F" w:rsidP="006D3896">
      <w:pPr>
        <w:ind w:left="720" w:hanging="720"/>
        <w:jc w:val="both"/>
        <w:rPr>
          <w:lang w:val="en-US"/>
        </w:rPr>
      </w:pPr>
      <w:r w:rsidRPr="006D3896">
        <w:rPr>
          <w:lang w:val="en-US"/>
        </w:rPr>
        <w:t xml:space="preserve">Moore, P. J., </w:t>
      </w:r>
      <w:proofErr w:type="spellStart"/>
      <w:r w:rsidRPr="006D3896">
        <w:rPr>
          <w:lang w:val="en-US"/>
        </w:rPr>
        <w:t>Chrabaszcz</w:t>
      </w:r>
      <w:proofErr w:type="spellEnd"/>
      <w:r w:rsidRPr="006D3896">
        <w:rPr>
          <w:lang w:val="en-US"/>
        </w:rPr>
        <w:t xml:space="preserve">, J. S., Peterson, R. A., </w:t>
      </w:r>
      <w:proofErr w:type="spellStart"/>
      <w:r w:rsidRPr="006D3896">
        <w:rPr>
          <w:lang w:val="en-US"/>
        </w:rPr>
        <w:t>Rohrbeck</w:t>
      </w:r>
      <w:proofErr w:type="spellEnd"/>
      <w:r w:rsidRPr="006D3896">
        <w:rPr>
          <w:lang w:val="en-US"/>
        </w:rPr>
        <w:t xml:space="preserve">, C. A., Roemer, E. C., &amp; </w:t>
      </w:r>
      <w:proofErr w:type="spellStart"/>
      <w:r w:rsidRPr="006D3896">
        <w:rPr>
          <w:lang w:val="en-US"/>
        </w:rPr>
        <w:t>Mercurio</w:t>
      </w:r>
      <w:proofErr w:type="spellEnd"/>
      <w:r w:rsidRPr="006D3896">
        <w:rPr>
          <w:lang w:val="en-US"/>
        </w:rPr>
        <w:t xml:space="preserve">, A. E. (2014). Psychological resilience: The impact of affectivity and coping on state anxiety and positive emotions during and after the Washington, DC sniper killings. Anxiety, </w:t>
      </w:r>
      <w:r w:rsidRPr="0050138C">
        <w:rPr>
          <w:i/>
          <w:iCs/>
          <w:lang w:val="en-US"/>
        </w:rPr>
        <w:t>Stress &amp; Coping</w:t>
      </w:r>
      <w:r w:rsidRPr="006D3896">
        <w:rPr>
          <w:lang w:val="en-US"/>
        </w:rPr>
        <w:t xml:space="preserve">, 27(2), 138-155. </w:t>
      </w:r>
      <w:hyperlink r:id="rId41" w:history="1">
        <w:r w:rsidRPr="006102D3">
          <w:rPr>
            <w:rStyle w:val="Hipervnculo"/>
            <w:lang w:val="en-US"/>
          </w:rPr>
          <w:t>https://dx.doi.org/10.1080/10615806.2013.828202</w:t>
        </w:r>
      </w:hyperlink>
    </w:p>
    <w:p w14:paraId="1B033CFA" w14:textId="77777777" w:rsidR="00FE136F" w:rsidRDefault="00FE136F" w:rsidP="006D3896">
      <w:pPr>
        <w:ind w:left="720" w:hanging="720"/>
        <w:jc w:val="both"/>
        <w:rPr>
          <w:lang w:val="en-US"/>
        </w:rPr>
      </w:pPr>
      <w:r w:rsidRPr="006D3896">
        <w:rPr>
          <w:lang w:val="en-US"/>
        </w:rPr>
        <w:t xml:space="preserve">Morgan, J., &amp; </w:t>
      </w:r>
      <w:proofErr w:type="spellStart"/>
      <w:r w:rsidRPr="006D3896">
        <w:rPr>
          <w:lang w:val="en-US"/>
        </w:rPr>
        <w:t>Farsides</w:t>
      </w:r>
      <w:proofErr w:type="spellEnd"/>
      <w:r w:rsidRPr="006D3896">
        <w:rPr>
          <w:lang w:val="en-US"/>
        </w:rPr>
        <w:t xml:space="preserve">, T. (2009). Psychometric evaluation of the meaningful life measure. </w:t>
      </w:r>
      <w:r w:rsidRPr="004B4BB2">
        <w:rPr>
          <w:i/>
          <w:iCs/>
          <w:lang w:val="en-US"/>
        </w:rPr>
        <w:t>Journal of Happiness Studies</w:t>
      </w:r>
      <w:r w:rsidRPr="006D3896">
        <w:rPr>
          <w:lang w:val="en-US"/>
        </w:rPr>
        <w:t xml:space="preserve">, 10(3), 351-366. </w:t>
      </w:r>
      <w:hyperlink r:id="rId42" w:history="1">
        <w:r w:rsidRPr="006102D3">
          <w:rPr>
            <w:rStyle w:val="Hipervnculo"/>
            <w:lang w:val="en-US"/>
          </w:rPr>
          <w:t>https://doi.org/10.1007/s10902-008-9093-6</w:t>
        </w:r>
      </w:hyperlink>
    </w:p>
    <w:p w14:paraId="66471444" w14:textId="77777777" w:rsidR="00FE136F" w:rsidRPr="008A5ACB" w:rsidRDefault="00FE136F" w:rsidP="006D3896">
      <w:pPr>
        <w:ind w:left="720" w:hanging="720"/>
        <w:jc w:val="both"/>
        <w:rPr>
          <w:lang w:val="en-US"/>
        </w:rPr>
      </w:pPr>
      <w:r w:rsidRPr="006D3896">
        <w:rPr>
          <w:lang w:val="en-US"/>
        </w:rPr>
        <w:t xml:space="preserve">Morgan, J., &amp; Robinson, O. (2013). Intrinsic aspirations and personal meaning across adulthood: Conceptual interrelations and age/sex differences. </w:t>
      </w:r>
      <w:r w:rsidRPr="004B4BB2">
        <w:rPr>
          <w:i/>
          <w:iCs/>
          <w:lang w:val="en-US"/>
        </w:rPr>
        <w:t>Developmental Psychology</w:t>
      </w:r>
      <w:r w:rsidRPr="006D3896">
        <w:rPr>
          <w:lang w:val="en-US"/>
        </w:rPr>
        <w:t xml:space="preserve">, 49(5), 999-1010. </w:t>
      </w:r>
      <w:hyperlink r:id="rId43" w:history="1">
        <w:r w:rsidRPr="008A5ACB">
          <w:rPr>
            <w:rStyle w:val="Hipervnculo"/>
            <w:lang w:val="en-US"/>
          </w:rPr>
          <w:t>https://doi.org/10.1037/a0029237</w:t>
        </w:r>
      </w:hyperlink>
    </w:p>
    <w:p w14:paraId="4FE15F8D" w14:textId="77777777" w:rsidR="00FE136F" w:rsidRDefault="00FE136F" w:rsidP="006D3896">
      <w:pPr>
        <w:ind w:left="720" w:hanging="720"/>
        <w:jc w:val="both"/>
        <w:rPr>
          <w:lang w:val="en-US"/>
        </w:rPr>
      </w:pPr>
      <w:proofErr w:type="spellStart"/>
      <w:r w:rsidRPr="008A5ACB">
        <w:rPr>
          <w:lang w:val="en-US"/>
        </w:rPr>
        <w:t>Notario</w:t>
      </w:r>
      <w:proofErr w:type="spellEnd"/>
      <w:r w:rsidRPr="008A5ACB">
        <w:rPr>
          <w:lang w:val="en-US"/>
        </w:rPr>
        <w:t>-Pacheco, B., Solera-Martínez, M., Serrano-Parra, M. D., Bartolomé-Gutiérrez, R., García-</w:t>
      </w:r>
      <w:proofErr w:type="spellStart"/>
      <w:r w:rsidRPr="008A5ACB">
        <w:rPr>
          <w:lang w:val="en-US"/>
        </w:rPr>
        <w:t>Campayo</w:t>
      </w:r>
      <w:proofErr w:type="spellEnd"/>
      <w:r w:rsidRPr="008A5ACB">
        <w:rPr>
          <w:lang w:val="en-US"/>
        </w:rPr>
        <w:t>, J., &amp; Martínez-</w:t>
      </w:r>
      <w:proofErr w:type="spellStart"/>
      <w:r w:rsidRPr="008A5ACB">
        <w:rPr>
          <w:lang w:val="en-US"/>
        </w:rPr>
        <w:t>Vizcaíno</w:t>
      </w:r>
      <w:proofErr w:type="spellEnd"/>
      <w:r w:rsidRPr="008A5ACB">
        <w:rPr>
          <w:lang w:val="en-US"/>
        </w:rPr>
        <w:t xml:space="preserve">, V. (2011). </w:t>
      </w:r>
      <w:r w:rsidRPr="006D3896">
        <w:rPr>
          <w:lang w:val="en-US"/>
        </w:rPr>
        <w:t xml:space="preserve">Reliability and validity of the Spanish version of the 10-item Connor-Davidson Resilience Scale (10-item CD-RISC) in young adults. </w:t>
      </w:r>
      <w:r w:rsidRPr="004B4BB2">
        <w:rPr>
          <w:i/>
          <w:iCs/>
          <w:lang w:val="en-US"/>
        </w:rPr>
        <w:t>Health and Quality of Life Outcomes</w:t>
      </w:r>
      <w:r w:rsidRPr="006D3896">
        <w:rPr>
          <w:lang w:val="en-US"/>
        </w:rPr>
        <w:t xml:space="preserve">, 9(1), 63. </w:t>
      </w:r>
      <w:hyperlink r:id="rId44" w:history="1">
        <w:r w:rsidRPr="006102D3">
          <w:rPr>
            <w:rStyle w:val="Hipervnculo"/>
            <w:lang w:val="en-US"/>
          </w:rPr>
          <w:t>https://doi.org/10.1186/1477-7525-9-63</w:t>
        </w:r>
      </w:hyperlink>
    </w:p>
    <w:p w14:paraId="141B7ED0" w14:textId="77777777" w:rsidR="00FE136F" w:rsidRDefault="00FE136F" w:rsidP="006D3896">
      <w:pPr>
        <w:ind w:left="720" w:hanging="720"/>
        <w:jc w:val="both"/>
        <w:rPr>
          <w:lang w:val="en-US"/>
        </w:rPr>
      </w:pPr>
      <w:proofErr w:type="spellStart"/>
      <w:r w:rsidRPr="006D3896">
        <w:rPr>
          <w:lang w:val="en-US"/>
        </w:rPr>
        <w:t>Orgilés</w:t>
      </w:r>
      <w:proofErr w:type="spellEnd"/>
      <w:r w:rsidRPr="006D3896">
        <w:rPr>
          <w:lang w:val="en-US"/>
        </w:rPr>
        <w:t xml:space="preserve">, M., Morales A., </w:t>
      </w:r>
      <w:proofErr w:type="spellStart"/>
      <w:r w:rsidRPr="006D3896">
        <w:rPr>
          <w:lang w:val="en-US"/>
        </w:rPr>
        <w:t>Delvecchio</w:t>
      </w:r>
      <w:proofErr w:type="spellEnd"/>
      <w:r w:rsidRPr="006D3896">
        <w:rPr>
          <w:lang w:val="en-US"/>
        </w:rPr>
        <w:t xml:space="preserve"> E, </w:t>
      </w:r>
      <w:proofErr w:type="spellStart"/>
      <w:r w:rsidRPr="006D3896">
        <w:rPr>
          <w:lang w:val="en-US"/>
        </w:rPr>
        <w:t>Mazzeschi</w:t>
      </w:r>
      <w:proofErr w:type="spellEnd"/>
      <w:r w:rsidRPr="006D3896">
        <w:rPr>
          <w:lang w:val="en-US"/>
        </w:rPr>
        <w:t xml:space="preserve">, C. &amp; Espada, J.P. (2020) Immediate Psychological Effects of the COVID-19 Quarantine in Youth </w:t>
      </w:r>
      <w:proofErr w:type="gramStart"/>
      <w:r w:rsidRPr="006D3896">
        <w:rPr>
          <w:lang w:val="en-US"/>
        </w:rPr>
        <w:t>From</w:t>
      </w:r>
      <w:proofErr w:type="gramEnd"/>
      <w:r w:rsidRPr="006D3896">
        <w:rPr>
          <w:lang w:val="en-US"/>
        </w:rPr>
        <w:t xml:space="preserve"> Italy and Spain. </w:t>
      </w:r>
      <w:r w:rsidRPr="004B4BB2">
        <w:rPr>
          <w:i/>
          <w:iCs/>
          <w:lang w:val="en-US"/>
        </w:rPr>
        <w:t>Frontiers in Psychology</w:t>
      </w:r>
      <w:r w:rsidRPr="006D3896">
        <w:rPr>
          <w:lang w:val="en-US"/>
        </w:rPr>
        <w:t xml:space="preserve">. 11:579038. </w:t>
      </w:r>
      <w:hyperlink r:id="rId45" w:history="1">
        <w:r w:rsidRPr="006102D3">
          <w:rPr>
            <w:rStyle w:val="Hipervnculo"/>
            <w:lang w:val="en-US"/>
          </w:rPr>
          <w:t>https://doi.org/10.3389/fpsyg.2020.579038</w:t>
        </w:r>
      </w:hyperlink>
      <w:r>
        <w:rPr>
          <w:lang w:val="en-US"/>
        </w:rPr>
        <w:t>.</w:t>
      </w:r>
    </w:p>
    <w:p w14:paraId="7DDCBC30" w14:textId="77777777" w:rsidR="00FE136F" w:rsidRPr="008A5ACB" w:rsidRDefault="00FE136F" w:rsidP="006D3896">
      <w:pPr>
        <w:ind w:left="720" w:hanging="720"/>
        <w:jc w:val="both"/>
        <w:rPr>
          <w:lang w:val="en-US"/>
        </w:rPr>
      </w:pPr>
      <w:r w:rsidRPr="006D3896">
        <w:rPr>
          <w:lang w:val="en-US"/>
        </w:rPr>
        <w:t xml:space="preserve">Osofsky, H. J., Osofsky, J. D., &amp; Hansel, T. C. (2011). Deepwater horizon oil spill: Mental health effects on residents in heavily affected areas. </w:t>
      </w:r>
      <w:r w:rsidRPr="004B4BB2">
        <w:rPr>
          <w:i/>
          <w:iCs/>
          <w:lang w:val="en-US"/>
        </w:rPr>
        <w:t>Disaster Med Public Health Prep</w:t>
      </w:r>
      <w:r w:rsidRPr="006D3896">
        <w:rPr>
          <w:lang w:val="en-US"/>
        </w:rPr>
        <w:t xml:space="preserve">, 5(4), 280-286. </w:t>
      </w:r>
      <w:hyperlink r:id="rId46" w:history="1">
        <w:r w:rsidRPr="008A5ACB">
          <w:rPr>
            <w:rStyle w:val="Hipervnculo"/>
            <w:lang w:val="en-US"/>
          </w:rPr>
          <w:t>https://doi.org/10.1001/dmp.2011.85</w:t>
        </w:r>
      </w:hyperlink>
    </w:p>
    <w:p w14:paraId="182C7A59" w14:textId="77777777" w:rsidR="00FE136F" w:rsidRDefault="00FE136F" w:rsidP="006D3896">
      <w:pPr>
        <w:ind w:left="720" w:hanging="720"/>
        <w:jc w:val="both"/>
        <w:rPr>
          <w:lang w:val="en-US"/>
        </w:rPr>
      </w:pPr>
      <w:r w:rsidRPr="008A5ACB">
        <w:rPr>
          <w:lang w:val="en-US"/>
        </w:rPr>
        <w:t xml:space="preserve">Paul, F. J., Mandal, M. K., Ramachandran, K., &amp; Panwar, M. R. (2010). </w:t>
      </w:r>
      <w:r w:rsidRPr="006D3896">
        <w:rPr>
          <w:lang w:val="en-US"/>
        </w:rPr>
        <w:t xml:space="preserve">Interpersonal behavior in an isolated and confined environment. </w:t>
      </w:r>
      <w:r w:rsidRPr="004B4BB2">
        <w:rPr>
          <w:i/>
          <w:iCs/>
          <w:lang w:val="en-US"/>
        </w:rPr>
        <w:t>Environment and Behavior</w:t>
      </w:r>
      <w:r w:rsidRPr="006D3896">
        <w:rPr>
          <w:lang w:val="en-US"/>
        </w:rPr>
        <w:t xml:space="preserve">, 42(5), 707-717. </w:t>
      </w:r>
      <w:hyperlink r:id="rId47" w:history="1">
        <w:r w:rsidRPr="006102D3">
          <w:rPr>
            <w:rStyle w:val="Hipervnculo"/>
            <w:lang w:val="en-US"/>
          </w:rPr>
          <w:t>https://doi.org/10.1177/0013916509336889</w:t>
        </w:r>
      </w:hyperlink>
    </w:p>
    <w:p w14:paraId="7D5E5403" w14:textId="77777777" w:rsidR="00FE136F" w:rsidRPr="008A5ACB" w:rsidRDefault="00FE136F" w:rsidP="006D3896">
      <w:pPr>
        <w:ind w:left="720" w:hanging="720"/>
        <w:jc w:val="both"/>
        <w:rPr>
          <w:lang w:val="en-US"/>
        </w:rPr>
      </w:pPr>
      <w:r w:rsidRPr="006D3896">
        <w:rPr>
          <w:lang w:val="en-US"/>
        </w:rPr>
        <w:t xml:space="preserve">Peng, E. Y.-C., Lee, M.-B., Tsai, S.-T., Yang, C.-C., </w:t>
      </w:r>
      <w:proofErr w:type="spellStart"/>
      <w:r w:rsidRPr="006D3896">
        <w:rPr>
          <w:lang w:val="en-US"/>
        </w:rPr>
        <w:t>Morisky</w:t>
      </w:r>
      <w:proofErr w:type="spellEnd"/>
      <w:r w:rsidRPr="006D3896">
        <w:rPr>
          <w:lang w:val="en-US"/>
        </w:rPr>
        <w:t xml:space="preserve">, D. E., Tsai, L.-T., Weng, Y.-L., &amp; </w:t>
      </w:r>
      <w:proofErr w:type="spellStart"/>
      <w:r w:rsidRPr="006D3896">
        <w:rPr>
          <w:lang w:val="en-US"/>
        </w:rPr>
        <w:t>Lyu</w:t>
      </w:r>
      <w:proofErr w:type="spellEnd"/>
      <w:r w:rsidRPr="006D3896">
        <w:rPr>
          <w:lang w:val="en-US"/>
        </w:rPr>
        <w:t xml:space="preserve">, S.-Y. (2010). Population-based post-crisis psychological distress: An example from </w:t>
      </w:r>
      <w:r w:rsidRPr="006D3896">
        <w:rPr>
          <w:lang w:val="en-US"/>
        </w:rPr>
        <w:lastRenderedPageBreak/>
        <w:t xml:space="preserve">the SARS outbreak in Taiwan. </w:t>
      </w:r>
      <w:r w:rsidRPr="004B4BB2">
        <w:rPr>
          <w:i/>
          <w:iCs/>
          <w:lang w:val="en-US"/>
        </w:rPr>
        <w:t>Journal of the Formosan Medical Association</w:t>
      </w:r>
      <w:r w:rsidRPr="006D3896">
        <w:rPr>
          <w:lang w:val="en-US"/>
        </w:rPr>
        <w:t xml:space="preserve">, 109(7), 524-532. </w:t>
      </w:r>
      <w:hyperlink r:id="rId48" w:history="1">
        <w:r w:rsidRPr="008A5ACB">
          <w:rPr>
            <w:rStyle w:val="Hipervnculo"/>
            <w:lang w:val="en-US"/>
          </w:rPr>
          <w:t>https://doi.org/10.1016/S0929-6646(10)60087-3</w:t>
        </w:r>
      </w:hyperlink>
    </w:p>
    <w:p w14:paraId="26C9F353" w14:textId="77777777" w:rsidR="00FE136F" w:rsidRDefault="00FE136F" w:rsidP="006D3896">
      <w:pPr>
        <w:ind w:left="720" w:hanging="720"/>
        <w:jc w:val="both"/>
        <w:rPr>
          <w:lang w:val="en-US"/>
        </w:rPr>
      </w:pPr>
      <w:proofErr w:type="spellStart"/>
      <w:r w:rsidRPr="008A5ACB">
        <w:rPr>
          <w:lang w:val="en-US"/>
        </w:rPr>
        <w:t>Prati</w:t>
      </w:r>
      <w:proofErr w:type="spellEnd"/>
      <w:r w:rsidRPr="008A5ACB">
        <w:rPr>
          <w:lang w:val="en-US"/>
        </w:rPr>
        <w:t xml:space="preserve">, G., </w:t>
      </w:r>
      <w:proofErr w:type="spellStart"/>
      <w:r w:rsidRPr="008A5ACB">
        <w:rPr>
          <w:lang w:val="en-US"/>
        </w:rPr>
        <w:t>Pietrantoni</w:t>
      </w:r>
      <w:proofErr w:type="spellEnd"/>
      <w:r w:rsidRPr="008A5ACB">
        <w:rPr>
          <w:lang w:val="en-US"/>
        </w:rPr>
        <w:t xml:space="preserve">, L., &amp; Zani, B. (2011). </w:t>
      </w:r>
      <w:r w:rsidRPr="006D3896">
        <w:rPr>
          <w:lang w:val="en-US"/>
        </w:rPr>
        <w:t xml:space="preserve">A social‐cognitive model of pandemic influenza H1N1 risk perception and recommended behaviors in Italy. Risk Analysis: </w:t>
      </w:r>
      <w:r w:rsidRPr="004B4BB2">
        <w:rPr>
          <w:i/>
          <w:iCs/>
          <w:lang w:val="en-US"/>
        </w:rPr>
        <w:t>An International Journal</w:t>
      </w:r>
      <w:r w:rsidRPr="006D3896">
        <w:rPr>
          <w:lang w:val="en-US"/>
        </w:rPr>
        <w:t xml:space="preserve">, 31(4), 645-656. </w:t>
      </w:r>
      <w:hyperlink r:id="rId49" w:history="1">
        <w:r w:rsidRPr="006102D3">
          <w:rPr>
            <w:rStyle w:val="Hipervnculo"/>
            <w:lang w:val="en-US"/>
          </w:rPr>
          <w:t>https://doi.org/10.1111/j.1539-6924.2010.01529.x</w:t>
        </w:r>
      </w:hyperlink>
    </w:p>
    <w:p w14:paraId="2C8870EC" w14:textId="77777777" w:rsidR="00FE136F" w:rsidRDefault="00FE136F" w:rsidP="006D3896">
      <w:pPr>
        <w:ind w:left="720" w:hanging="720"/>
        <w:jc w:val="both"/>
        <w:rPr>
          <w:lang w:val="en-US"/>
        </w:rPr>
      </w:pPr>
      <w:proofErr w:type="spellStart"/>
      <w:r w:rsidRPr="006D3896">
        <w:rPr>
          <w:lang w:val="en-US"/>
        </w:rPr>
        <w:t>Quoidbach</w:t>
      </w:r>
      <w:proofErr w:type="spellEnd"/>
      <w:r w:rsidRPr="006D3896">
        <w:rPr>
          <w:lang w:val="en-US"/>
        </w:rPr>
        <w:t xml:space="preserve">, J., </w:t>
      </w:r>
      <w:proofErr w:type="spellStart"/>
      <w:r w:rsidRPr="006D3896">
        <w:rPr>
          <w:lang w:val="en-US"/>
        </w:rPr>
        <w:t>Mikolajczak</w:t>
      </w:r>
      <w:proofErr w:type="spellEnd"/>
      <w:r w:rsidRPr="006D3896">
        <w:rPr>
          <w:lang w:val="en-US"/>
        </w:rPr>
        <w:t xml:space="preserve">, M., &amp; Gross, J. J. (2015). Positive interventions: An emotion regulation perspective. </w:t>
      </w:r>
      <w:r w:rsidRPr="004B4BB2">
        <w:rPr>
          <w:i/>
          <w:iCs/>
          <w:lang w:val="en-US"/>
        </w:rPr>
        <w:t>Psychological Bulletin</w:t>
      </w:r>
      <w:r w:rsidRPr="006D3896">
        <w:rPr>
          <w:lang w:val="en-US"/>
        </w:rPr>
        <w:t xml:space="preserve">, 141 (3), 655–693. </w:t>
      </w:r>
      <w:hyperlink r:id="rId50" w:history="1">
        <w:r w:rsidRPr="006102D3">
          <w:rPr>
            <w:rStyle w:val="Hipervnculo"/>
            <w:lang w:val="en-US"/>
          </w:rPr>
          <w:t>https://doi.org/10.1037/a0038648</w:t>
        </w:r>
      </w:hyperlink>
      <w:r w:rsidRPr="006D3896">
        <w:rPr>
          <w:lang w:val="en-US"/>
        </w:rPr>
        <w:t>.</w:t>
      </w:r>
    </w:p>
    <w:p w14:paraId="0960E94D" w14:textId="77777777" w:rsidR="00FE136F" w:rsidRPr="00FE136F" w:rsidRDefault="00FE136F" w:rsidP="006D3896">
      <w:pPr>
        <w:ind w:left="720" w:hanging="720"/>
        <w:jc w:val="both"/>
        <w:rPr>
          <w:lang w:val="es-ES"/>
        </w:rPr>
      </w:pPr>
      <w:r w:rsidRPr="006D3896">
        <w:rPr>
          <w:lang w:val="en-US"/>
        </w:rPr>
        <w:t xml:space="preserve">Rea, L. M., &amp; Parker, R. A. (1992). </w:t>
      </w:r>
      <w:r w:rsidRPr="004B4BB2">
        <w:rPr>
          <w:i/>
          <w:iCs/>
          <w:lang w:val="en-US"/>
        </w:rPr>
        <w:t>Designing and conducting survey research: a comprehensive guide</w:t>
      </w:r>
      <w:r w:rsidRPr="006D3896">
        <w:rPr>
          <w:lang w:val="en-US"/>
        </w:rPr>
        <w:t xml:space="preserve">. </w:t>
      </w:r>
      <w:r w:rsidRPr="00FE136F">
        <w:rPr>
          <w:lang w:val="es-ES"/>
        </w:rPr>
        <w:t xml:space="preserve">San Francisco: </w:t>
      </w:r>
      <w:proofErr w:type="spellStart"/>
      <w:r w:rsidRPr="00FE136F">
        <w:rPr>
          <w:lang w:val="es-ES"/>
        </w:rPr>
        <w:t>Jossey</w:t>
      </w:r>
      <w:proofErr w:type="spellEnd"/>
      <w:r w:rsidRPr="00FE136F">
        <w:rPr>
          <w:lang w:val="es-ES"/>
        </w:rPr>
        <w:t xml:space="preserve">-Bass </w:t>
      </w:r>
      <w:proofErr w:type="spellStart"/>
      <w:r w:rsidRPr="00FE136F">
        <w:rPr>
          <w:lang w:val="es-ES"/>
        </w:rPr>
        <w:t>Publishers</w:t>
      </w:r>
      <w:proofErr w:type="spellEnd"/>
      <w:r w:rsidRPr="00FE136F">
        <w:rPr>
          <w:lang w:val="es-ES"/>
        </w:rPr>
        <w:t>.</w:t>
      </w:r>
    </w:p>
    <w:p w14:paraId="65E2E119" w14:textId="77777777" w:rsidR="00FE136F" w:rsidRPr="004B4BB2" w:rsidRDefault="00FE136F" w:rsidP="006D3896">
      <w:pPr>
        <w:ind w:left="720" w:hanging="720"/>
        <w:jc w:val="both"/>
        <w:rPr>
          <w:lang w:val="es-ES"/>
        </w:rPr>
      </w:pPr>
      <w:r w:rsidRPr="006D3896">
        <w:rPr>
          <w:lang w:val="es-ES"/>
        </w:rPr>
        <w:t xml:space="preserve">Real Decreto 463/2020, de 14 de marzo, por el que se declara el estado de alarma para la gestión de la situación de crisis sanitaria ocasionada por el COVID-19. </w:t>
      </w:r>
      <w:r w:rsidRPr="004B4BB2">
        <w:rPr>
          <w:lang w:val="es-ES"/>
        </w:rPr>
        <w:t xml:space="preserve">BOE, 67, de 14 de marzo de 2020, 25390-25400. </w:t>
      </w:r>
      <w:proofErr w:type="spellStart"/>
      <w:r w:rsidRPr="004B4BB2">
        <w:rPr>
          <w:lang w:val="es-ES"/>
        </w:rPr>
        <w:t>Retrieved</w:t>
      </w:r>
      <w:proofErr w:type="spellEnd"/>
      <w:r w:rsidRPr="004B4BB2">
        <w:rPr>
          <w:lang w:val="es-ES"/>
        </w:rPr>
        <w:t xml:space="preserve"> March 18, 2020, </w:t>
      </w:r>
      <w:proofErr w:type="spellStart"/>
      <w:r w:rsidRPr="004B4BB2">
        <w:rPr>
          <w:lang w:val="es-ES"/>
        </w:rPr>
        <w:t>from</w:t>
      </w:r>
      <w:proofErr w:type="spellEnd"/>
      <w:r w:rsidRPr="004B4BB2">
        <w:rPr>
          <w:lang w:val="es-ES"/>
        </w:rPr>
        <w:t xml:space="preserve"> </w:t>
      </w:r>
      <w:hyperlink r:id="rId51" w:history="1">
        <w:r w:rsidRPr="004B4BB2">
          <w:rPr>
            <w:rStyle w:val="Hipervnculo"/>
            <w:lang w:val="es-ES"/>
          </w:rPr>
          <w:t>https://www.boe.es/diario_boe/txt.php?id=BOE-A-2020-3692</w:t>
        </w:r>
      </w:hyperlink>
    </w:p>
    <w:p w14:paraId="4BE269C7" w14:textId="77777777" w:rsidR="00FE136F" w:rsidRPr="006D3896" w:rsidRDefault="00FE136F" w:rsidP="006D3896">
      <w:pPr>
        <w:ind w:left="720" w:hanging="720"/>
        <w:jc w:val="both"/>
        <w:rPr>
          <w:lang w:val="en-US"/>
        </w:rPr>
      </w:pPr>
      <w:r w:rsidRPr="004B4BB2">
        <w:rPr>
          <w:lang w:val="es-ES"/>
        </w:rPr>
        <w:t xml:space="preserve">Rosenthal, R. (1994). </w:t>
      </w:r>
      <w:r w:rsidRPr="006D3896">
        <w:rPr>
          <w:lang w:val="en-US"/>
        </w:rPr>
        <w:t xml:space="preserve">Parametric Measures of Effect Size. In H. Cooper, L. V. Hedges, &amp; J. C. Valentine (Eds.), </w:t>
      </w:r>
      <w:r w:rsidRPr="004B4BB2">
        <w:rPr>
          <w:i/>
          <w:iCs/>
          <w:lang w:val="en-US"/>
        </w:rPr>
        <w:t>The Handbook of Research Synthesis</w:t>
      </w:r>
      <w:r w:rsidRPr="006D3896">
        <w:rPr>
          <w:lang w:val="en-US"/>
        </w:rPr>
        <w:t xml:space="preserve"> (pp. 231-244). New York: Russell Sage Foundation.</w:t>
      </w:r>
    </w:p>
    <w:p w14:paraId="4800CE22" w14:textId="77777777" w:rsidR="00FE136F" w:rsidRDefault="00FE136F" w:rsidP="006D3896">
      <w:pPr>
        <w:ind w:left="720" w:hanging="720"/>
        <w:jc w:val="both"/>
        <w:rPr>
          <w:lang w:val="en-US"/>
        </w:rPr>
      </w:pPr>
      <w:r w:rsidRPr="008A5ACB">
        <w:rPr>
          <w:lang w:val="en-US"/>
        </w:rPr>
        <w:t xml:space="preserve">Sandal, G. M., van </w:t>
      </w:r>
      <w:proofErr w:type="spellStart"/>
      <w:r w:rsidRPr="008A5ACB">
        <w:rPr>
          <w:lang w:val="en-US"/>
        </w:rPr>
        <w:t>deVijver</w:t>
      </w:r>
      <w:proofErr w:type="spellEnd"/>
      <w:r w:rsidRPr="008A5ACB">
        <w:rPr>
          <w:lang w:val="en-US"/>
        </w:rPr>
        <w:t xml:space="preserve">, F. J., &amp; Smith, N. (2018). </w:t>
      </w:r>
      <w:r w:rsidRPr="006D3896">
        <w:rPr>
          <w:lang w:val="en-US"/>
        </w:rPr>
        <w:t xml:space="preserve">Psychological hibernation in Antarctica. </w:t>
      </w:r>
      <w:r w:rsidRPr="00FE136F">
        <w:rPr>
          <w:i/>
          <w:iCs/>
          <w:lang w:val="en-US"/>
        </w:rPr>
        <w:t>Frontiers in Psychology</w:t>
      </w:r>
      <w:r w:rsidRPr="006D3896">
        <w:rPr>
          <w:lang w:val="en-US"/>
        </w:rPr>
        <w:t xml:space="preserve">, 9, 2235. </w:t>
      </w:r>
      <w:hyperlink r:id="rId52" w:history="1">
        <w:r w:rsidRPr="006102D3">
          <w:rPr>
            <w:rStyle w:val="Hipervnculo"/>
            <w:lang w:val="en-US"/>
          </w:rPr>
          <w:t>https://doi.org/10.3389/fpsyg.2018.02235</w:t>
        </w:r>
      </w:hyperlink>
    </w:p>
    <w:p w14:paraId="61F0DC32" w14:textId="77777777" w:rsidR="00FE136F" w:rsidRPr="006D3896" w:rsidRDefault="00FE136F" w:rsidP="006D3896">
      <w:pPr>
        <w:ind w:left="720" w:hanging="720"/>
        <w:jc w:val="both"/>
        <w:rPr>
          <w:lang w:val="es-ES"/>
        </w:rPr>
      </w:pPr>
      <w:r w:rsidRPr="00FE136F">
        <w:rPr>
          <w:lang w:val="en-US"/>
        </w:rPr>
        <w:t xml:space="preserve">Scholten, H., Quezada-Scholz, V. E., Salas, G., </w:t>
      </w:r>
      <w:proofErr w:type="spellStart"/>
      <w:r w:rsidRPr="00FE136F">
        <w:rPr>
          <w:lang w:val="en-US"/>
        </w:rPr>
        <w:t>Barria-Asenjo</w:t>
      </w:r>
      <w:proofErr w:type="spellEnd"/>
      <w:r w:rsidRPr="00FE136F">
        <w:rPr>
          <w:lang w:val="en-US"/>
        </w:rPr>
        <w:t xml:space="preserve">, N. A., Molina, R., García, J. E., ... </w:t>
      </w:r>
      <w:r w:rsidRPr="006D3896">
        <w:rPr>
          <w:lang w:val="es-ES"/>
        </w:rPr>
        <w:t xml:space="preserve">&amp; </w:t>
      </w:r>
      <w:proofErr w:type="spellStart"/>
      <w:r w:rsidRPr="006D3896">
        <w:rPr>
          <w:lang w:val="es-ES"/>
        </w:rPr>
        <w:t>Somarriva</w:t>
      </w:r>
      <w:proofErr w:type="spellEnd"/>
      <w:r w:rsidRPr="006D3896">
        <w:rPr>
          <w:lang w:val="es-ES"/>
        </w:rPr>
        <w:t xml:space="preserve">, F. (2020). Abordaje psicológico del COVID-19: una revisión narrativa de la experiencia latinoamericana. </w:t>
      </w:r>
      <w:r w:rsidRPr="00FE136F">
        <w:rPr>
          <w:i/>
          <w:iCs/>
          <w:lang w:val="es-ES"/>
        </w:rPr>
        <w:t>Revista Interamericana de Psicología/</w:t>
      </w:r>
      <w:proofErr w:type="spellStart"/>
      <w:r w:rsidRPr="00FE136F">
        <w:rPr>
          <w:i/>
          <w:iCs/>
          <w:lang w:val="es-ES"/>
        </w:rPr>
        <w:t>Interamerican</w:t>
      </w:r>
      <w:proofErr w:type="spellEnd"/>
      <w:r w:rsidRPr="00FE136F">
        <w:rPr>
          <w:i/>
          <w:iCs/>
          <w:lang w:val="es-ES"/>
        </w:rPr>
        <w:t xml:space="preserve"> </w:t>
      </w:r>
      <w:proofErr w:type="spellStart"/>
      <w:r w:rsidRPr="00FE136F">
        <w:rPr>
          <w:i/>
          <w:iCs/>
          <w:lang w:val="es-ES"/>
        </w:rPr>
        <w:t>Journal</w:t>
      </w:r>
      <w:proofErr w:type="spellEnd"/>
      <w:r w:rsidRPr="00FE136F">
        <w:rPr>
          <w:i/>
          <w:iCs/>
          <w:lang w:val="es-ES"/>
        </w:rPr>
        <w:t xml:space="preserve"> </w:t>
      </w:r>
      <w:proofErr w:type="spellStart"/>
      <w:r w:rsidRPr="00FE136F">
        <w:rPr>
          <w:i/>
          <w:iCs/>
          <w:lang w:val="es-ES"/>
        </w:rPr>
        <w:t>of</w:t>
      </w:r>
      <w:proofErr w:type="spellEnd"/>
      <w:r w:rsidRPr="00FE136F">
        <w:rPr>
          <w:i/>
          <w:iCs/>
          <w:lang w:val="es-ES"/>
        </w:rPr>
        <w:t xml:space="preserve"> </w:t>
      </w:r>
      <w:proofErr w:type="spellStart"/>
      <w:r w:rsidRPr="00FE136F">
        <w:rPr>
          <w:i/>
          <w:iCs/>
          <w:lang w:val="es-ES"/>
        </w:rPr>
        <w:t>Psychology</w:t>
      </w:r>
      <w:proofErr w:type="spellEnd"/>
      <w:r w:rsidRPr="006D3896">
        <w:rPr>
          <w:lang w:val="es-ES"/>
        </w:rPr>
        <w:t>, 54(1), e1287-e1287.</w:t>
      </w:r>
    </w:p>
    <w:p w14:paraId="703C4EF1" w14:textId="77777777" w:rsidR="00FE136F" w:rsidRDefault="00FE136F" w:rsidP="006D3896">
      <w:pPr>
        <w:ind w:left="720" w:hanging="720"/>
        <w:jc w:val="both"/>
        <w:rPr>
          <w:lang w:val="en-US"/>
        </w:rPr>
      </w:pPr>
      <w:proofErr w:type="spellStart"/>
      <w:r w:rsidRPr="006D3896">
        <w:rPr>
          <w:lang w:val="es-ES"/>
        </w:rPr>
        <w:t>Schudy</w:t>
      </w:r>
      <w:proofErr w:type="spellEnd"/>
      <w:r w:rsidRPr="006D3896">
        <w:rPr>
          <w:lang w:val="es-ES"/>
        </w:rPr>
        <w:t xml:space="preserve"> A., </w:t>
      </w:r>
      <w:proofErr w:type="spellStart"/>
      <w:r w:rsidRPr="006D3896">
        <w:rPr>
          <w:lang w:val="es-ES"/>
        </w:rPr>
        <w:t>Żurek</w:t>
      </w:r>
      <w:proofErr w:type="spellEnd"/>
      <w:r w:rsidRPr="006D3896">
        <w:rPr>
          <w:lang w:val="es-ES"/>
        </w:rPr>
        <w:t xml:space="preserve"> K., </w:t>
      </w:r>
      <w:proofErr w:type="spellStart"/>
      <w:proofErr w:type="gramStart"/>
      <w:r w:rsidRPr="006D3896">
        <w:rPr>
          <w:lang w:val="es-ES"/>
        </w:rPr>
        <w:t>Wiśniewska</w:t>
      </w:r>
      <w:proofErr w:type="spellEnd"/>
      <w:r w:rsidRPr="006D3896">
        <w:rPr>
          <w:lang w:val="es-ES"/>
        </w:rPr>
        <w:t>,  M.</w:t>
      </w:r>
      <w:proofErr w:type="gramEnd"/>
      <w:r w:rsidRPr="006D3896">
        <w:rPr>
          <w:lang w:val="es-ES"/>
        </w:rPr>
        <w:t xml:space="preserve">, </w:t>
      </w:r>
      <w:proofErr w:type="spellStart"/>
      <w:r w:rsidRPr="006D3896">
        <w:rPr>
          <w:lang w:val="es-ES"/>
        </w:rPr>
        <w:t>Piejka</w:t>
      </w:r>
      <w:proofErr w:type="spellEnd"/>
      <w:r w:rsidRPr="006D3896">
        <w:rPr>
          <w:lang w:val="es-ES"/>
        </w:rPr>
        <w:t xml:space="preserve"> A., </w:t>
      </w:r>
      <w:proofErr w:type="spellStart"/>
      <w:r w:rsidRPr="006D3896">
        <w:rPr>
          <w:lang w:val="es-ES"/>
        </w:rPr>
        <w:t>Gawęda</w:t>
      </w:r>
      <w:proofErr w:type="spellEnd"/>
      <w:r w:rsidRPr="006D3896">
        <w:rPr>
          <w:lang w:val="es-ES"/>
        </w:rPr>
        <w:t xml:space="preserve"> Ł. &amp; </w:t>
      </w:r>
      <w:proofErr w:type="spellStart"/>
      <w:r w:rsidRPr="006D3896">
        <w:rPr>
          <w:lang w:val="es-ES"/>
        </w:rPr>
        <w:t>Okruszek</w:t>
      </w:r>
      <w:proofErr w:type="spellEnd"/>
      <w:r w:rsidRPr="006D3896">
        <w:rPr>
          <w:lang w:val="es-ES"/>
        </w:rPr>
        <w:t xml:space="preserve">, Ł. (2020). </w:t>
      </w:r>
      <w:r w:rsidRPr="006D3896">
        <w:rPr>
          <w:lang w:val="en-US"/>
        </w:rPr>
        <w:t xml:space="preserve">Mental Well-Being During Pandemic: The Role of Cognitive Biases and Emotion Regulation Strategies in Risk Perception and Affective Response to COVID-19. </w:t>
      </w:r>
      <w:r w:rsidRPr="00FE136F">
        <w:rPr>
          <w:i/>
          <w:iCs/>
          <w:lang w:val="en-US"/>
        </w:rPr>
        <w:t>Frontiers in Psychiatry</w:t>
      </w:r>
      <w:r w:rsidRPr="006D3896">
        <w:rPr>
          <w:lang w:val="en-US"/>
        </w:rPr>
        <w:t xml:space="preserve"> 11: 589973. </w:t>
      </w:r>
      <w:hyperlink r:id="rId53" w:history="1">
        <w:r w:rsidRPr="006102D3">
          <w:rPr>
            <w:rStyle w:val="Hipervnculo"/>
            <w:lang w:val="en-US"/>
          </w:rPr>
          <w:t>https://doi.org/10.3389/fpsyt.2020.589973</w:t>
        </w:r>
      </w:hyperlink>
      <w:r w:rsidRPr="006D3896">
        <w:rPr>
          <w:lang w:val="en-US"/>
        </w:rPr>
        <w:t>.</w:t>
      </w:r>
    </w:p>
    <w:p w14:paraId="54AD5927" w14:textId="77777777" w:rsidR="00FE136F" w:rsidRPr="006D3896" w:rsidRDefault="00FE136F" w:rsidP="006D3896">
      <w:pPr>
        <w:ind w:left="720" w:hanging="720"/>
        <w:jc w:val="both"/>
        <w:rPr>
          <w:lang w:val="en-US"/>
        </w:rPr>
      </w:pPr>
      <w:r w:rsidRPr="006D3896">
        <w:rPr>
          <w:lang w:val="en-US"/>
        </w:rPr>
        <w:t xml:space="preserve">Seligman, M. E. (2011). </w:t>
      </w:r>
      <w:r w:rsidRPr="00FE136F">
        <w:rPr>
          <w:i/>
          <w:iCs/>
          <w:lang w:val="en-US"/>
        </w:rPr>
        <w:t>Flourish: The new positive psychology and the search for well-being</w:t>
      </w:r>
      <w:r w:rsidRPr="006D3896">
        <w:rPr>
          <w:lang w:val="en-US"/>
        </w:rPr>
        <w:t>. Free Press.</w:t>
      </w:r>
    </w:p>
    <w:p w14:paraId="194212B3" w14:textId="77777777" w:rsidR="00FE136F" w:rsidRDefault="00FE136F" w:rsidP="006D3896">
      <w:pPr>
        <w:ind w:left="720" w:hanging="720"/>
        <w:jc w:val="both"/>
        <w:rPr>
          <w:lang w:val="en-US"/>
        </w:rPr>
      </w:pPr>
      <w:proofErr w:type="spellStart"/>
      <w:r w:rsidRPr="006D3896">
        <w:rPr>
          <w:lang w:val="en-US"/>
        </w:rPr>
        <w:t>Shelus</w:t>
      </w:r>
      <w:proofErr w:type="spellEnd"/>
      <w:r w:rsidRPr="006D3896">
        <w:rPr>
          <w:lang w:val="en-US"/>
        </w:rPr>
        <w:t xml:space="preserve">, V. S., Frank, S. C., Lazard, A. J., Higgins, I. C., Pulido, M., Richter, A. P. C., Vandegrift S.M., Vereen R.N., </w:t>
      </w:r>
      <w:proofErr w:type="spellStart"/>
      <w:r w:rsidRPr="006D3896">
        <w:rPr>
          <w:lang w:val="en-US"/>
        </w:rPr>
        <w:t>Ribisl</w:t>
      </w:r>
      <w:proofErr w:type="spellEnd"/>
      <w:r w:rsidRPr="006D3896">
        <w:rPr>
          <w:lang w:val="en-US"/>
        </w:rPr>
        <w:t xml:space="preserve">, K.M. &amp; Hall, M. G. (2020). Motivations and Barriers for the Use of Face Coverings during the COVID-19 Pandemic: Messaging Insights from Focus Groups. </w:t>
      </w:r>
      <w:r w:rsidRPr="00FE136F">
        <w:rPr>
          <w:i/>
          <w:iCs/>
          <w:lang w:val="en-US"/>
        </w:rPr>
        <w:t>International journal of environmental research and public health</w:t>
      </w:r>
      <w:r w:rsidRPr="006D3896">
        <w:rPr>
          <w:lang w:val="en-US"/>
        </w:rPr>
        <w:t xml:space="preserve">, 17(24), 9298. </w:t>
      </w:r>
      <w:hyperlink r:id="rId54" w:history="1">
        <w:r w:rsidRPr="006102D3">
          <w:rPr>
            <w:rStyle w:val="Hipervnculo"/>
            <w:lang w:val="en-US"/>
          </w:rPr>
          <w:t>https://doi:10.3390/ijerph17249298</w:t>
        </w:r>
      </w:hyperlink>
    </w:p>
    <w:p w14:paraId="16D4153A" w14:textId="77777777" w:rsidR="00FE136F" w:rsidRPr="006D3896" w:rsidRDefault="00FE136F" w:rsidP="006D3896">
      <w:pPr>
        <w:ind w:left="720" w:hanging="720"/>
        <w:jc w:val="both"/>
        <w:rPr>
          <w:lang w:val="en-US"/>
        </w:rPr>
      </w:pPr>
      <w:r w:rsidRPr="006D3896">
        <w:rPr>
          <w:lang w:val="en-US"/>
        </w:rPr>
        <w:t xml:space="preserve">Shin, L., </w:t>
      </w:r>
      <w:proofErr w:type="spellStart"/>
      <w:r w:rsidRPr="006D3896">
        <w:rPr>
          <w:lang w:val="en-US"/>
        </w:rPr>
        <w:t>Ruberton</w:t>
      </w:r>
      <w:proofErr w:type="spellEnd"/>
      <w:r w:rsidRPr="006D3896">
        <w:rPr>
          <w:lang w:val="en-US"/>
        </w:rPr>
        <w:t xml:space="preserve">, P., &amp; Lyubomirsky, S. (2018). The Spotlight activity: Development and feasibility test of a naturalistic attention-redirection well-being intervention. </w:t>
      </w:r>
      <w:r w:rsidRPr="00FE136F">
        <w:rPr>
          <w:i/>
          <w:iCs/>
          <w:lang w:val="en-US"/>
        </w:rPr>
        <w:t>Journal of Positive School Psychology</w:t>
      </w:r>
      <w:r w:rsidRPr="006D3896">
        <w:rPr>
          <w:lang w:val="en-US"/>
        </w:rPr>
        <w:t>, 2(1), 64-91.</w:t>
      </w:r>
    </w:p>
    <w:p w14:paraId="613F0E63" w14:textId="77777777" w:rsidR="00FE136F" w:rsidRDefault="00FE136F" w:rsidP="006D3896">
      <w:pPr>
        <w:ind w:left="720" w:hanging="720"/>
        <w:jc w:val="both"/>
        <w:rPr>
          <w:lang w:val="en-US"/>
        </w:rPr>
      </w:pPr>
      <w:proofErr w:type="spellStart"/>
      <w:r w:rsidRPr="006D3896">
        <w:rPr>
          <w:lang w:val="en-US"/>
        </w:rPr>
        <w:t>Slovic</w:t>
      </w:r>
      <w:proofErr w:type="spellEnd"/>
      <w:r w:rsidRPr="006D3896">
        <w:rPr>
          <w:lang w:val="en-US"/>
        </w:rPr>
        <w:t xml:space="preserve">, P., </w:t>
      </w:r>
      <w:proofErr w:type="spellStart"/>
      <w:r w:rsidRPr="006D3896">
        <w:rPr>
          <w:lang w:val="en-US"/>
        </w:rPr>
        <w:t>Fischhoff</w:t>
      </w:r>
      <w:proofErr w:type="spellEnd"/>
      <w:r w:rsidRPr="006D3896">
        <w:rPr>
          <w:lang w:val="en-US"/>
        </w:rPr>
        <w:t xml:space="preserve">, B., &amp; Lichtenstein, S. (1985). Characterizing perceived risk. In R. W. Kates, C. </w:t>
      </w:r>
      <w:proofErr w:type="spellStart"/>
      <w:r w:rsidRPr="006D3896">
        <w:rPr>
          <w:lang w:val="en-US"/>
        </w:rPr>
        <w:t>Hohenemser</w:t>
      </w:r>
      <w:proofErr w:type="spellEnd"/>
      <w:r w:rsidRPr="006D3896">
        <w:rPr>
          <w:lang w:val="en-US"/>
        </w:rPr>
        <w:t xml:space="preserve"> &amp; J. X. </w:t>
      </w:r>
      <w:proofErr w:type="spellStart"/>
      <w:r w:rsidRPr="006D3896">
        <w:rPr>
          <w:lang w:val="en-US"/>
        </w:rPr>
        <w:t>Kasperson</w:t>
      </w:r>
      <w:proofErr w:type="spellEnd"/>
      <w:r w:rsidRPr="006D3896">
        <w:rPr>
          <w:lang w:val="en-US"/>
        </w:rPr>
        <w:t xml:space="preserve"> (Eds.), </w:t>
      </w:r>
      <w:r w:rsidRPr="00FE136F">
        <w:rPr>
          <w:i/>
          <w:iCs/>
          <w:lang w:val="en-US"/>
        </w:rPr>
        <w:t>Perilous progress: Managing the hazards of technology</w:t>
      </w:r>
      <w:r w:rsidRPr="006D3896">
        <w:rPr>
          <w:lang w:val="en-US"/>
        </w:rPr>
        <w:t xml:space="preserve"> (pp. 91-125). Westview. </w:t>
      </w:r>
      <w:hyperlink r:id="rId55" w:history="1">
        <w:r w:rsidRPr="006102D3">
          <w:rPr>
            <w:rStyle w:val="Hipervnculo"/>
            <w:lang w:val="en-US"/>
          </w:rPr>
          <w:t>https://ssrn.com/abstract=2185557</w:t>
        </w:r>
      </w:hyperlink>
    </w:p>
    <w:p w14:paraId="4B17CE45" w14:textId="77777777" w:rsidR="00FE136F" w:rsidRPr="006D3896" w:rsidRDefault="00FE136F" w:rsidP="006D3896">
      <w:pPr>
        <w:ind w:left="720" w:hanging="720"/>
        <w:jc w:val="both"/>
        <w:rPr>
          <w:lang w:val="en-US"/>
        </w:rPr>
      </w:pPr>
      <w:r w:rsidRPr="006D3896">
        <w:rPr>
          <w:lang w:val="en-US"/>
        </w:rPr>
        <w:t xml:space="preserve">Tomczak, M., &amp; Tomczak, E. (2014). The need to report effect size estimates revisited. An overview of some recommended measures of </w:t>
      </w:r>
      <w:proofErr w:type="spellStart"/>
      <w:r w:rsidRPr="006D3896">
        <w:rPr>
          <w:lang w:val="en-US"/>
        </w:rPr>
        <w:t>efect</w:t>
      </w:r>
      <w:proofErr w:type="spellEnd"/>
      <w:r w:rsidRPr="006D3896">
        <w:rPr>
          <w:lang w:val="en-US"/>
        </w:rPr>
        <w:t xml:space="preserve"> size. </w:t>
      </w:r>
      <w:r w:rsidRPr="004B4BB2">
        <w:rPr>
          <w:i/>
          <w:iCs/>
          <w:lang w:val="en-US"/>
        </w:rPr>
        <w:t>Trends in Sport Sciences</w:t>
      </w:r>
      <w:r w:rsidRPr="006D3896">
        <w:rPr>
          <w:lang w:val="en-US"/>
        </w:rPr>
        <w:t>, 21(1), 19–25</w:t>
      </w:r>
    </w:p>
    <w:p w14:paraId="6B5112E4" w14:textId="77777777" w:rsidR="00FE136F" w:rsidRDefault="00FE136F" w:rsidP="006D3896">
      <w:pPr>
        <w:ind w:left="720" w:hanging="720"/>
        <w:jc w:val="both"/>
        <w:rPr>
          <w:lang w:val="en-US"/>
        </w:rPr>
      </w:pPr>
      <w:proofErr w:type="spellStart"/>
      <w:r w:rsidRPr="006D3896">
        <w:rPr>
          <w:lang w:val="en-US"/>
        </w:rPr>
        <w:t>Trzebiński</w:t>
      </w:r>
      <w:proofErr w:type="spellEnd"/>
      <w:r w:rsidRPr="006D3896">
        <w:rPr>
          <w:lang w:val="en-US"/>
        </w:rPr>
        <w:t xml:space="preserve">, J., </w:t>
      </w:r>
      <w:proofErr w:type="spellStart"/>
      <w:r w:rsidRPr="006D3896">
        <w:rPr>
          <w:lang w:val="en-US"/>
        </w:rPr>
        <w:t>Cabański</w:t>
      </w:r>
      <w:proofErr w:type="spellEnd"/>
      <w:r w:rsidRPr="006D3896">
        <w:rPr>
          <w:lang w:val="en-US"/>
        </w:rPr>
        <w:t xml:space="preserve">, M. &amp; </w:t>
      </w:r>
      <w:proofErr w:type="spellStart"/>
      <w:r w:rsidRPr="006D3896">
        <w:rPr>
          <w:lang w:val="en-US"/>
        </w:rPr>
        <w:t>Czarnecka</w:t>
      </w:r>
      <w:proofErr w:type="spellEnd"/>
      <w:r w:rsidRPr="006D3896">
        <w:rPr>
          <w:lang w:val="en-US"/>
        </w:rPr>
        <w:t xml:space="preserve">, J. Z. (2020) Reaction to the COVID-19 Pandemic: The Influence of Meaning in Life, Life Satisfaction, and Assumptions on World Orderliness </w:t>
      </w:r>
      <w:r w:rsidRPr="006D3896">
        <w:rPr>
          <w:lang w:val="en-US"/>
        </w:rPr>
        <w:lastRenderedPageBreak/>
        <w:t xml:space="preserve">and Positivity. </w:t>
      </w:r>
      <w:r w:rsidRPr="004B4BB2">
        <w:rPr>
          <w:i/>
          <w:iCs/>
          <w:lang w:val="en-US"/>
        </w:rPr>
        <w:t>Journal of Loss and Trauma</w:t>
      </w:r>
      <w:r w:rsidRPr="006D3896">
        <w:rPr>
          <w:lang w:val="en-US"/>
        </w:rPr>
        <w:t xml:space="preserve">, 25 (6-7), 544-557. </w:t>
      </w:r>
      <w:hyperlink r:id="rId56" w:history="1">
        <w:r w:rsidRPr="006102D3">
          <w:rPr>
            <w:rStyle w:val="Hipervnculo"/>
            <w:lang w:val="en-US"/>
          </w:rPr>
          <w:t>https://doi.org/10.1080/15325024.2020.1765098</w:t>
        </w:r>
      </w:hyperlink>
    </w:p>
    <w:p w14:paraId="204EAF43" w14:textId="77777777" w:rsidR="00FE136F" w:rsidRPr="00FE136F" w:rsidRDefault="00FE136F" w:rsidP="006D3896">
      <w:pPr>
        <w:ind w:left="720" w:hanging="720"/>
        <w:jc w:val="both"/>
        <w:rPr>
          <w:lang w:val="es-ES"/>
        </w:rPr>
      </w:pPr>
      <w:proofErr w:type="spellStart"/>
      <w:r w:rsidRPr="006D3896">
        <w:rPr>
          <w:lang w:val="en-US"/>
        </w:rPr>
        <w:t>Verdolini</w:t>
      </w:r>
      <w:proofErr w:type="spellEnd"/>
      <w:r w:rsidRPr="006D3896">
        <w:rPr>
          <w:lang w:val="en-US"/>
        </w:rPr>
        <w:t>, N., Amoretti, S., Montejo, L., García-</w:t>
      </w:r>
      <w:proofErr w:type="spellStart"/>
      <w:r w:rsidRPr="006D3896">
        <w:rPr>
          <w:lang w:val="en-US"/>
        </w:rPr>
        <w:t>Rizo</w:t>
      </w:r>
      <w:proofErr w:type="spellEnd"/>
      <w:r w:rsidRPr="006D3896">
        <w:rPr>
          <w:lang w:val="en-US"/>
        </w:rPr>
        <w:t xml:space="preserve">, C., Hogg, B., </w:t>
      </w:r>
      <w:proofErr w:type="spellStart"/>
      <w:r w:rsidRPr="006D3896">
        <w:rPr>
          <w:lang w:val="en-US"/>
        </w:rPr>
        <w:t>Mezquida</w:t>
      </w:r>
      <w:proofErr w:type="spellEnd"/>
      <w:r w:rsidRPr="006D3896">
        <w:rPr>
          <w:lang w:val="en-US"/>
        </w:rPr>
        <w:t xml:space="preserve">, G., </w:t>
      </w:r>
      <w:proofErr w:type="spellStart"/>
      <w:r w:rsidRPr="006D3896">
        <w:rPr>
          <w:lang w:val="en-US"/>
        </w:rPr>
        <w:t>Rabelo</w:t>
      </w:r>
      <w:proofErr w:type="spellEnd"/>
      <w:r w:rsidRPr="006D3896">
        <w:rPr>
          <w:lang w:val="en-US"/>
        </w:rPr>
        <w:t xml:space="preserve">-da-Ponte, F. D., </w:t>
      </w:r>
      <w:proofErr w:type="spellStart"/>
      <w:r w:rsidRPr="006D3896">
        <w:rPr>
          <w:lang w:val="en-US"/>
        </w:rPr>
        <w:t>Vallespir</w:t>
      </w:r>
      <w:proofErr w:type="spellEnd"/>
      <w:r w:rsidRPr="006D3896">
        <w:rPr>
          <w:lang w:val="en-US"/>
        </w:rPr>
        <w:t xml:space="preserve">, C., </w:t>
      </w:r>
      <w:proofErr w:type="spellStart"/>
      <w:r w:rsidRPr="006D3896">
        <w:rPr>
          <w:lang w:val="en-US"/>
        </w:rPr>
        <w:t>Radua</w:t>
      </w:r>
      <w:proofErr w:type="spellEnd"/>
      <w:r w:rsidRPr="006D3896">
        <w:rPr>
          <w:lang w:val="en-US"/>
        </w:rPr>
        <w:t xml:space="preserve">, J., Martinez-Aran, A., </w:t>
      </w:r>
      <w:proofErr w:type="spellStart"/>
      <w:r w:rsidRPr="006D3896">
        <w:rPr>
          <w:lang w:val="en-US"/>
        </w:rPr>
        <w:t>Pacchiarotti</w:t>
      </w:r>
      <w:proofErr w:type="spellEnd"/>
      <w:r w:rsidRPr="006D3896">
        <w:rPr>
          <w:lang w:val="en-US"/>
        </w:rPr>
        <w:t xml:space="preserve">, I., Rosa, A. R., Bernardo, M., Vieta, E., Torrent, C., &amp; </w:t>
      </w:r>
      <w:proofErr w:type="spellStart"/>
      <w:r w:rsidRPr="006D3896">
        <w:rPr>
          <w:lang w:val="en-US"/>
        </w:rPr>
        <w:t>Solé</w:t>
      </w:r>
      <w:proofErr w:type="spellEnd"/>
      <w:r w:rsidRPr="006D3896">
        <w:rPr>
          <w:lang w:val="en-US"/>
        </w:rPr>
        <w:t xml:space="preserve">, B. (2021). Resilience and mental health during the COVID-19 pandemic. </w:t>
      </w:r>
      <w:r w:rsidRPr="00FE136F">
        <w:rPr>
          <w:i/>
          <w:iCs/>
          <w:lang w:val="en-US"/>
        </w:rPr>
        <w:t>Journal of affective disorders</w:t>
      </w:r>
      <w:r w:rsidRPr="006D3896">
        <w:rPr>
          <w:lang w:val="en-US"/>
        </w:rPr>
        <w:t xml:space="preserve">, 283, 156-164. </w:t>
      </w:r>
      <w:hyperlink r:id="rId57" w:history="1">
        <w:r w:rsidRPr="00FE136F">
          <w:rPr>
            <w:rStyle w:val="Hipervnculo"/>
            <w:lang w:val="es-ES"/>
          </w:rPr>
          <w:t>https://doi.org/10.1016/j.jad.2021.01.055</w:t>
        </w:r>
      </w:hyperlink>
    </w:p>
    <w:p w14:paraId="05A66FB1" w14:textId="77777777" w:rsidR="00FE136F" w:rsidRDefault="00FE136F" w:rsidP="006D3896">
      <w:pPr>
        <w:ind w:left="720" w:hanging="720"/>
        <w:jc w:val="both"/>
        <w:rPr>
          <w:lang w:val="en-US"/>
        </w:rPr>
      </w:pPr>
      <w:r w:rsidRPr="00FE136F">
        <w:rPr>
          <w:lang w:val="es-ES"/>
        </w:rPr>
        <w:t xml:space="preserve">Wang, C., Pan, R., </w:t>
      </w:r>
      <w:proofErr w:type="spellStart"/>
      <w:r w:rsidRPr="00FE136F">
        <w:rPr>
          <w:lang w:val="es-ES"/>
        </w:rPr>
        <w:t>Wan</w:t>
      </w:r>
      <w:proofErr w:type="spellEnd"/>
      <w:r w:rsidRPr="00FE136F">
        <w:rPr>
          <w:lang w:val="es-ES"/>
        </w:rPr>
        <w:t xml:space="preserve">, X., Tan, Y., </w:t>
      </w:r>
      <w:proofErr w:type="spellStart"/>
      <w:r w:rsidRPr="00FE136F">
        <w:rPr>
          <w:lang w:val="es-ES"/>
        </w:rPr>
        <w:t>Xu</w:t>
      </w:r>
      <w:proofErr w:type="spellEnd"/>
      <w:r w:rsidRPr="00FE136F">
        <w:rPr>
          <w:lang w:val="es-ES"/>
        </w:rPr>
        <w:t xml:space="preserve">, L., Ho, C. S., &amp; Ho, R. C. (2020). </w:t>
      </w:r>
      <w:r w:rsidRPr="006D3896">
        <w:rPr>
          <w:lang w:val="en-US"/>
        </w:rPr>
        <w:t xml:space="preserve">Immediate psychological responses and associated factors during the initial stage of the 2019 coronavirus disease (COVID-19) epidemic among the general population in China. </w:t>
      </w:r>
      <w:r w:rsidRPr="00FE136F">
        <w:rPr>
          <w:i/>
          <w:iCs/>
          <w:lang w:val="en-US"/>
        </w:rPr>
        <w:t>International Journal of Environmental Research and Public Health</w:t>
      </w:r>
      <w:r w:rsidRPr="006D3896">
        <w:rPr>
          <w:lang w:val="en-US"/>
        </w:rPr>
        <w:t xml:space="preserve">, 17(5), 1729. </w:t>
      </w:r>
      <w:hyperlink r:id="rId58" w:history="1">
        <w:r w:rsidRPr="006102D3">
          <w:rPr>
            <w:rStyle w:val="Hipervnculo"/>
            <w:lang w:val="en-US"/>
          </w:rPr>
          <w:t>https://doi.org/10.3390/ijerph17051729</w:t>
        </w:r>
      </w:hyperlink>
    </w:p>
    <w:p w14:paraId="5D177E50" w14:textId="77777777" w:rsidR="00FE136F" w:rsidRPr="006D3896" w:rsidRDefault="00FE136F" w:rsidP="006D3896">
      <w:pPr>
        <w:ind w:left="720" w:hanging="720"/>
        <w:jc w:val="both"/>
        <w:rPr>
          <w:lang w:val="en-US"/>
        </w:rPr>
      </w:pPr>
      <w:r w:rsidRPr="006D3896">
        <w:rPr>
          <w:lang w:val="en-US"/>
        </w:rPr>
        <w:t xml:space="preserve">Watson, D., Clark, L. A., &amp; </w:t>
      </w:r>
      <w:proofErr w:type="spellStart"/>
      <w:r w:rsidRPr="006D3896">
        <w:rPr>
          <w:lang w:val="en-US"/>
        </w:rPr>
        <w:t>Tellegen</w:t>
      </w:r>
      <w:proofErr w:type="spellEnd"/>
      <w:r w:rsidRPr="006D3896">
        <w:rPr>
          <w:lang w:val="en-US"/>
        </w:rPr>
        <w:t xml:space="preserve">, A. (1988). Development and validation of brief measures of positive and negative affect: the PANAS scales. </w:t>
      </w:r>
      <w:r w:rsidRPr="00FE136F">
        <w:rPr>
          <w:i/>
          <w:iCs/>
          <w:lang w:val="en-US"/>
        </w:rPr>
        <w:t>Journal of Personality and Social Psychology</w:t>
      </w:r>
      <w:r w:rsidRPr="006D3896">
        <w:rPr>
          <w:lang w:val="en-US"/>
        </w:rPr>
        <w:t>, 54(6), 1063-1070.</w:t>
      </w:r>
    </w:p>
    <w:p w14:paraId="6955B8EC" w14:textId="77777777" w:rsidR="00FE136F" w:rsidRDefault="00FE136F" w:rsidP="006D3896">
      <w:pPr>
        <w:ind w:left="720" w:hanging="720"/>
        <w:jc w:val="both"/>
        <w:rPr>
          <w:lang w:val="en-US"/>
        </w:rPr>
      </w:pPr>
      <w:r w:rsidRPr="006D3896">
        <w:rPr>
          <w:lang w:val="en-US"/>
        </w:rPr>
        <w:t xml:space="preserve">Weber, J., Javelle, F., Klein, T., </w:t>
      </w:r>
      <w:proofErr w:type="spellStart"/>
      <w:r w:rsidRPr="006D3896">
        <w:rPr>
          <w:lang w:val="en-US"/>
        </w:rPr>
        <w:t>Foitschik</w:t>
      </w:r>
      <w:proofErr w:type="spellEnd"/>
      <w:r w:rsidRPr="006D3896">
        <w:rPr>
          <w:lang w:val="en-US"/>
        </w:rPr>
        <w:t xml:space="preserve">, T., Crucian, B., Schneider, S., &amp; </w:t>
      </w:r>
      <w:proofErr w:type="spellStart"/>
      <w:r w:rsidRPr="006D3896">
        <w:rPr>
          <w:lang w:val="en-US"/>
        </w:rPr>
        <w:t>Abeln</w:t>
      </w:r>
      <w:proofErr w:type="spellEnd"/>
      <w:r w:rsidRPr="006D3896">
        <w:rPr>
          <w:lang w:val="en-US"/>
        </w:rPr>
        <w:t xml:space="preserve">, V. (2019). Neurophysiological, neuropsychological, and cognitive effects of 30 days of isolation. </w:t>
      </w:r>
      <w:r w:rsidRPr="00FE136F">
        <w:rPr>
          <w:i/>
          <w:iCs/>
          <w:lang w:val="en-US"/>
        </w:rPr>
        <w:t>Experimental Brain Research</w:t>
      </w:r>
      <w:r w:rsidRPr="006D3896">
        <w:rPr>
          <w:lang w:val="en-US"/>
        </w:rPr>
        <w:t xml:space="preserve">, 237(6), 1563-1573. </w:t>
      </w:r>
      <w:hyperlink r:id="rId59" w:history="1">
        <w:r w:rsidRPr="006102D3">
          <w:rPr>
            <w:rStyle w:val="Hipervnculo"/>
            <w:lang w:val="en-US"/>
          </w:rPr>
          <w:t>https://doi.org/10.1007/s00221-019-05531-0</w:t>
        </w:r>
      </w:hyperlink>
    </w:p>
    <w:p w14:paraId="18A42B3A" w14:textId="77777777" w:rsidR="00FE136F" w:rsidRDefault="00FE136F" w:rsidP="006D3896">
      <w:pPr>
        <w:ind w:left="720" w:hanging="720"/>
        <w:jc w:val="both"/>
        <w:rPr>
          <w:lang w:val="en-US"/>
        </w:rPr>
      </w:pPr>
      <w:r w:rsidRPr="006D3896">
        <w:rPr>
          <w:lang w:val="en-US"/>
        </w:rPr>
        <w:t xml:space="preserve">WHO/Europe (2020). Retrieved April 20, 2020, from </w:t>
      </w:r>
      <w:hyperlink r:id="rId60" w:history="1">
        <w:r w:rsidRPr="006102D3">
          <w:rPr>
            <w:rStyle w:val="Hipervnculo"/>
            <w:lang w:val="en-US"/>
          </w:rPr>
          <w:t>https://www.euro.who.int/en/home</w:t>
        </w:r>
      </w:hyperlink>
    </w:p>
    <w:p w14:paraId="6D1AFC5A" w14:textId="77777777" w:rsidR="00FE136F" w:rsidRDefault="00FE136F" w:rsidP="006D3896">
      <w:pPr>
        <w:ind w:left="720" w:hanging="720"/>
        <w:jc w:val="both"/>
        <w:rPr>
          <w:lang w:val="en-US"/>
        </w:rPr>
      </w:pPr>
      <w:r w:rsidRPr="006D3896">
        <w:rPr>
          <w:lang w:val="en-US"/>
        </w:rPr>
        <w:t xml:space="preserve">Winter Plumb, E., Hawley, K., Boyer, M., Scheel, M., &amp; </w:t>
      </w:r>
      <w:proofErr w:type="spellStart"/>
      <w:r w:rsidRPr="006D3896">
        <w:rPr>
          <w:lang w:val="en-US"/>
        </w:rPr>
        <w:t>Conoley</w:t>
      </w:r>
      <w:proofErr w:type="spellEnd"/>
      <w:r w:rsidRPr="006D3896">
        <w:rPr>
          <w:lang w:val="en-US"/>
        </w:rPr>
        <w:t xml:space="preserve">, C. (2019). Goal focused positive psychotherapy: An integration of positive psychology and psychotherapy. </w:t>
      </w:r>
      <w:r w:rsidRPr="00FE136F">
        <w:rPr>
          <w:i/>
          <w:iCs/>
          <w:lang w:val="en-US"/>
        </w:rPr>
        <w:t>British Journal of Guidance &amp; Counselling</w:t>
      </w:r>
      <w:r w:rsidRPr="006D3896">
        <w:rPr>
          <w:lang w:val="en-US"/>
        </w:rPr>
        <w:t xml:space="preserve">, 47(2), 223-233.  </w:t>
      </w:r>
      <w:hyperlink r:id="rId61" w:history="1">
        <w:r w:rsidRPr="006102D3">
          <w:rPr>
            <w:rStyle w:val="Hipervnculo"/>
            <w:lang w:val="en-US"/>
          </w:rPr>
          <w:t>https://doi.org/10.1080/03069885.2018.1533105</w:t>
        </w:r>
      </w:hyperlink>
      <w:r w:rsidRPr="006D3896">
        <w:rPr>
          <w:lang w:val="en-US"/>
        </w:rPr>
        <w:t>.</w:t>
      </w:r>
    </w:p>
    <w:p w14:paraId="3F4FEFF2" w14:textId="77777777" w:rsidR="00FE136F" w:rsidRPr="008A5ACB" w:rsidRDefault="00FE136F" w:rsidP="006D3896">
      <w:pPr>
        <w:ind w:left="720" w:hanging="720"/>
        <w:jc w:val="both"/>
      </w:pPr>
      <w:r w:rsidRPr="006D3896">
        <w:rPr>
          <w:lang w:val="en-US"/>
        </w:rPr>
        <w:t xml:space="preserve">World Health Organization - WHO (2020a). </w:t>
      </w:r>
      <w:r w:rsidRPr="00FE136F">
        <w:rPr>
          <w:i/>
          <w:iCs/>
          <w:lang w:val="en-US"/>
        </w:rPr>
        <w:t>Coronavirus disease (COVID-19) advice for the public</w:t>
      </w:r>
      <w:r w:rsidRPr="006D3896">
        <w:rPr>
          <w:lang w:val="en-US"/>
        </w:rPr>
        <w:t xml:space="preserve">. </w:t>
      </w:r>
      <w:hyperlink r:id="rId62" w:history="1">
        <w:r w:rsidRPr="008A5ACB">
          <w:rPr>
            <w:rStyle w:val="Hipervnculo"/>
          </w:rPr>
          <w:t>https://www.who.int/es/emergencies/diseases/novel-coronavirus-2019/advice-for-public</w:t>
        </w:r>
      </w:hyperlink>
    </w:p>
    <w:p w14:paraId="78B4FC70" w14:textId="77777777" w:rsidR="00FE136F" w:rsidRPr="008A5ACB" w:rsidRDefault="00FE136F" w:rsidP="006D3896">
      <w:pPr>
        <w:ind w:left="720" w:hanging="720"/>
        <w:jc w:val="both"/>
      </w:pPr>
      <w:r w:rsidRPr="006D3896">
        <w:rPr>
          <w:lang w:val="en-US"/>
        </w:rPr>
        <w:t xml:space="preserve">World Health Organization - WHO (2020b). Coping with stress during the 2019-nCoV outbreak. </w:t>
      </w:r>
      <w:hyperlink r:id="rId63" w:history="1">
        <w:r w:rsidRPr="008A5ACB">
          <w:rPr>
            <w:rStyle w:val="Hipervnculo"/>
          </w:rPr>
          <w:t>https://www.who.int/docs/default-source/coronaviruse/200762-coping-with-stress-during-the-2019-sp.pdf</w:t>
        </w:r>
      </w:hyperlink>
    </w:p>
    <w:sectPr w:rsidR="00FE136F" w:rsidRPr="008A5ACB" w:rsidSect="0059034C">
      <w:headerReference w:type="even" r:id="rId64"/>
      <w:headerReference w:type="default" r:id="rId65"/>
      <w:footerReference w:type="even" r:id="rId66"/>
      <w:footerReference w:type="default" r:id="rId6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53C51CA" w14:textId="77777777" w:rsidR="0003366A" w:rsidRDefault="0003366A" w:rsidP="00C413D4">
      <w:r>
        <w:separator/>
      </w:r>
    </w:p>
  </w:endnote>
  <w:endnote w:type="continuationSeparator" w:id="0">
    <w:p w14:paraId="6C134DFD" w14:textId="77777777" w:rsidR="0003366A" w:rsidRDefault="0003366A" w:rsidP="00C413D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Yu Gothic Light">
    <w:panose1 w:val="020B0300000000000000"/>
    <w:charset w:val="80"/>
    <w:family w:val="swiss"/>
    <w:pitch w:val="variable"/>
    <w:sig w:usb0="E00002FF" w:usb1="2AC7FDFF" w:usb2="00000016" w:usb3="00000000" w:csb0="0002009F" w:csb1="00000000"/>
  </w:font>
  <w:font w:name="Times">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Times New Roman (Body CS)">
    <w:altName w:val="Times New Roman"/>
    <w:charset w:val="00"/>
    <w:family w:val="roman"/>
    <w:pitch w:val="default"/>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406568728"/>
      <w:docPartObj>
        <w:docPartGallery w:val="Page Numbers (Bottom of Page)"/>
        <w:docPartUnique/>
      </w:docPartObj>
    </w:sdtPr>
    <w:sdtEndPr>
      <w:rPr>
        <w:rStyle w:val="Nmerodepgina"/>
        <w:rFonts w:asciiTheme="minorHAnsi" w:hAnsiTheme="minorHAnsi"/>
        <w:sz w:val="24"/>
        <w:szCs w:val="24"/>
      </w:rPr>
    </w:sdtEndPr>
    <w:sdtContent>
      <w:p w14:paraId="4EBE6B2B" w14:textId="77777777" w:rsidR="00507A45" w:rsidRDefault="00507A45" w:rsidP="0059034C">
        <w:pPr>
          <w:pStyle w:val="Piedepgina"/>
          <w:ind w:left="3960" w:firstLine="3960"/>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14</w:t>
        </w:r>
        <w:r w:rsidRPr="007F5913">
          <w:rPr>
            <w:rStyle w:val="Nmerodepgina"/>
            <w:rFonts w:ascii="Times" w:hAnsi="Times"/>
            <w:sz w:val="16"/>
            <w:szCs w:val="16"/>
          </w:rPr>
          <w:fldChar w:fldCharType="end"/>
        </w:r>
      </w:p>
    </w:sdtContent>
  </w:sdt>
  <w:p w14:paraId="7A222F7A" w14:textId="77777777" w:rsidR="00507A45" w:rsidRDefault="00507A45">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rPr>
        <w:rStyle w:val="Nmerodepgina"/>
        <w:rFonts w:ascii="Times" w:hAnsi="Times"/>
        <w:sz w:val="16"/>
        <w:szCs w:val="16"/>
      </w:rPr>
      <w:id w:val="1722862390"/>
      <w:docPartObj>
        <w:docPartGallery w:val="Page Numbers (Bottom of Page)"/>
        <w:docPartUnique/>
      </w:docPartObj>
    </w:sdtPr>
    <w:sdtEndPr>
      <w:rPr>
        <w:rStyle w:val="Nmerodepgina"/>
        <w:rFonts w:asciiTheme="minorHAnsi" w:hAnsiTheme="minorHAnsi"/>
        <w:sz w:val="24"/>
        <w:szCs w:val="24"/>
      </w:rPr>
    </w:sdtEndPr>
    <w:sdtContent>
      <w:p w14:paraId="4C78B845" w14:textId="77777777" w:rsidR="00507A45" w:rsidRDefault="00507A45" w:rsidP="00C413D4">
        <w:pPr>
          <w:pStyle w:val="Piedepgina"/>
          <w:rPr>
            <w:rStyle w:val="Nmerodepgina"/>
          </w:rPr>
        </w:pPr>
        <w:r w:rsidRPr="007F5913">
          <w:rPr>
            <w:rFonts w:ascii="Times" w:hAnsi="Times" w:cs="Times"/>
            <w:sz w:val="16"/>
            <w:szCs w:val="16"/>
          </w:rPr>
          <w:t xml:space="preserve">ARTICLE | </w:t>
        </w:r>
        <w:r w:rsidRPr="007F5913">
          <w:rPr>
            <w:rStyle w:val="Nmerodepgina"/>
            <w:rFonts w:ascii="Times" w:hAnsi="Times"/>
            <w:sz w:val="16"/>
            <w:szCs w:val="16"/>
          </w:rPr>
          <w:fldChar w:fldCharType="begin"/>
        </w:r>
        <w:r w:rsidRPr="007F5913">
          <w:rPr>
            <w:rStyle w:val="Nmerodepgina"/>
            <w:rFonts w:ascii="Times" w:hAnsi="Times"/>
            <w:sz w:val="16"/>
            <w:szCs w:val="16"/>
          </w:rPr>
          <w:instrText xml:space="preserve"> PAGE </w:instrText>
        </w:r>
        <w:r w:rsidRPr="007F5913">
          <w:rPr>
            <w:rStyle w:val="Nmerodepgina"/>
            <w:rFonts w:ascii="Times" w:hAnsi="Times"/>
            <w:sz w:val="16"/>
            <w:szCs w:val="16"/>
          </w:rPr>
          <w:fldChar w:fldCharType="separate"/>
        </w:r>
        <w:r>
          <w:rPr>
            <w:rStyle w:val="Nmerodepgina"/>
            <w:rFonts w:ascii="Times" w:hAnsi="Times"/>
            <w:noProof/>
            <w:sz w:val="16"/>
            <w:szCs w:val="16"/>
          </w:rPr>
          <w:t>15</w:t>
        </w:r>
        <w:r w:rsidRPr="007F5913">
          <w:rPr>
            <w:rStyle w:val="Nmerodepgina"/>
            <w:rFonts w:ascii="Times" w:hAnsi="Times"/>
            <w:sz w:val="16"/>
            <w:szCs w:val="16"/>
          </w:rPr>
          <w:fldChar w:fldCharType="end"/>
        </w:r>
      </w:p>
    </w:sdtContent>
  </w:sdt>
  <w:p w14:paraId="4E421D5C" w14:textId="77777777" w:rsidR="00507A45" w:rsidRDefault="00507A45">
    <w:pPr>
      <w:pStyle w:val="Piedep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E364743" w14:textId="77777777" w:rsidR="0003366A" w:rsidRDefault="0003366A" w:rsidP="00C413D4">
      <w:r>
        <w:separator/>
      </w:r>
    </w:p>
  </w:footnote>
  <w:footnote w:type="continuationSeparator" w:id="0">
    <w:p w14:paraId="2A2EA170" w14:textId="77777777" w:rsidR="0003366A" w:rsidRDefault="0003366A" w:rsidP="00C413D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5320193" w14:textId="23941C5B" w:rsidR="00507A45" w:rsidRPr="00B02133" w:rsidRDefault="00507A45" w:rsidP="0059034C">
    <w:pPr>
      <w:pStyle w:val="Encabezado"/>
      <w:jc w:val="center"/>
      <w:rPr>
        <w:rFonts w:ascii="Times" w:hAnsi="Times" w:cs="Times New Roman (Body CS)"/>
        <w:iCs/>
        <w:smallCaps/>
        <w:sz w:val="20"/>
        <w:szCs w:val="20"/>
        <w:lang w:val="es-AR"/>
      </w:rPr>
    </w:pPr>
    <w:proofErr w:type="spellStart"/>
    <w:r w:rsidRPr="00B02133">
      <w:rPr>
        <w:rFonts w:ascii="Times" w:hAnsi="Times" w:cs="Times New Roman (Body CS)"/>
        <w:iCs/>
        <w:smallCaps/>
        <w:sz w:val="20"/>
        <w:szCs w:val="20"/>
        <w:lang w:val="es-ES"/>
      </w:rPr>
      <w:t>Manuscript</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submission</w:t>
    </w:r>
    <w:proofErr w:type="spellEnd"/>
    <w:r w:rsidRPr="00B02133">
      <w:rPr>
        <w:rFonts w:ascii="Times" w:hAnsi="Times" w:cs="Times New Roman (Body CS)"/>
        <w:iCs/>
        <w:smallCaps/>
        <w:sz w:val="20"/>
        <w:szCs w:val="20"/>
        <w:lang w:val="es-ES"/>
      </w:rPr>
      <w:t xml:space="preserve"> </w:t>
    </w:r>
    <w:proofErr w:type="spellStart"/>
    <w:r w:rsidRPr="00B02133">
      <w:rPr>
        <w:rFonts w:ascii="Times" w:hAnsi="Times" w:cs="Times New Roman (Body CS)"/>
        <w:iCs/>
        <w:smallCaps/>
        <w:sz w:val="20"/>
        <w:szCs w:val="20"/>
        <w:lang w:val="es-ES"/>
      </w:rPr>
      <w:t>model</w:t>
    </w:r>
    <w:proofErr w:type="spellEnd"/>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1390CEF" w14:textId="585F50E7" w:rsidR="00507A45" w:rsidRDefault="00507A45" w:rsidP="00C413D4">
    <w:pPr>
      <w:pStyle w:val="Encabezado"/>
      <w:jc w:val="right"/>
      <w:rPr>
        <w:rFonts w:ascii="Times" w:hAnsi="Times"/>
        <w:i/>
        <w:sz w:val="18"/>
        <w:szCs w:val="18"/>
        <w:lang w:val="es-ES"/>
      </w:rPr>
    </w:pPr>
    <w:r>
      <w:rPr>
        <w:noProof/>
        <w:lang w:val="es-ES" w:eastAsia="es-ES"/>
      </w:rPr>
      <w:drawing>
        <wp:anchor distT="0" distB="0" distL="114300" distR="114300" simplePos="0" relativeHeight="251658240" behindDoc="0" locked="0" layoutInCell="1" allowOverlap="1" wp14:anchorId="30062F7D" wp14:editId="07028590">
          <wp:simplePos x="0" y="0"/>
          <wp:positionH relativeFrom="column">
            <wp:posOffset>64655</wp:posOffset>
          </wp:positionH>
          <wp:positionV relativeFrom="paragraph">
            <wp:posOffset>-253538</wp:posOffset>
          </wp:positionV>
          <wp:extent cx="681164" cy="628073"/>
          <wp:effectExtent l="0" t="0" r="5080" b="0"/>
          <wp:wrapNone/>
          <wp:docPr id="2" name="Imagem 2">
            <a:hlinkClick xmlns:a="http://schemas.openxmlformats.org/drawingml/2006/main" r:id="rId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m 2">
                    <a:hlinkClick r:id="rId1"/>
                  </pic:cNvPr>
                  <pic:cNvPicPr/>
                </pic:nvPicPr>
                <pic:blipFill rotWithShape="1">
                  <a:blip r:embed="rId2">
                    <a:extLst>
                      <a:ext uri="{28A0092B-C50C-407E-A947-70E740481C1C}">
                        <a14:useLocalDpi xmlns:a14="http://schemas.microsoft.com/office/drawing/2010/main" val="0"/>
                      </a:ext>
                    </a:extLst>
                  </a:blip>
                  <a:srcRect l="18661"/>
                  <a:stretch/>
                </pic:blipFill>
                <pic:spPr bwMode="auto">
                  <a:xfrm>
                    <a:off x="0" y="0"/>
                    <a:ext cx="681164" cy="628073"/>
                  </a:xfrm>
                  <a:prstGeom prst="rect">
                    <a:avLst/>
                  </a:prstGeom>
                  <a:ln>
                    <a:noFill/>
                  </a:ln>
                  <a:extLst>
                    <a:ext uri="{53640926-AAD7-44d8-BBD7-CCE9431645EC}">
                      <a14:shadowObscured xmlns:a14="http://schemas.microsoft.com/office/drawing/2010/main" xmlns:w="http://schemas.openxmlformats.org/wordprocessingml/2006/main" xmlns:w10="urn:schemas-microsoft-com:office:word" xmlns:v="urn:schemas-microsoft-com:vml" xmlns:o="urn:schemas-microsoft-com:office:office" xmlns:mv="urn:schemas-microsoft-com:mac:vml" xmlns:mo="http://schemas.microsoft.com/office/mac/office/2008/main" xmlns=""/>
                    </a:ext>
                  </a:extLst>
                </pic:spPr>
              </pic:pic>
            </a:graphicData>
          </a:graphic>
          <wp14:sizeRelH relativeFrom="page">
            <wp14:pctWidth>0</wp14:pctWidth>
          </wp14:sizeRelH>
          <wp14:sizeRelV relativeFrom="page">
            <wp14:pctHeight>0</wp14:pctHeight>
          </wp14:sizeRelV>
        </wp:anchor>
      </w:drawing>
    </w:r>
    <w:r>
      <w:rPr>
        <w:rFonts w:ascii="Times" w:hAnsi="Times"/>
        <w:b/>
        <w:i/>
        <w:sz w:val="18"/>
        <w:szCs w:val="18"/>
        <w:lang w:val="es-ES"/>
      </w:rPr>
      <w:t>Revista Interamericana de Psicología/</w:t>
    </w:r>
    <w:proofErr w:type="spellStart"/>
    <w:r>
      <w:rPr>
        <w:rFonts w:ascii="Times" w:hAnsi="Times"/>
        <w:b/>
        <w:i/>
        <w:sz w:val="18"/>
        <w:szCs w:val="18"/>
        <w:lang w:val="es-ES"/>
      </w:rPr>
      <w:t>Interamerican</w:t>
    </w:r>
    <w:proofErr w:type="spellEnd"/>
    <w:r>
      <w:rPr>
        <w:rFonts w:ascii="Times" w:hAnsi="Times"/>
        <w:b/>
        <w:i/>
        <w:sz w:val="18"/>
        <w:szCs w:val="18"/>
        <w:lang w:val="es-ES"/>
      </w:rPr>
      <w:t xml:space="preserve"> </w:t>
    </w:r>
    <w:proofErr w:type="spellStart"/>
    <w:r>
      <w:rPr>
        <w:rFonts w:ascii="Times" w:hAnsi="Times"/>
        <w:b/>
        <w:i/>
        <w:sz w:val="18"/>
        <w:szCs w:val="18"/>
        <w:lang w:val="es-ES"/>
      </w:rPr>
      <w:t>Journal</w:t>
    </w:r>
    <w:proofErr w:type="spellEnd"/>
    <w:r>
      <w:rPr>
        <w:rFonts w:ascii="Times" w:hAnsi="Times"/>
        <w:b/>
        <w:i/>
        <w:sz w:val="18"/>
        <w:szCs w:val="18"/>
        <w:lang w:val="es-ES"/>
      </w:rPr>
      <w:t xml:space="preserve"> </w:t>
    </w:r>
    <w:proofErr w:type="spellStart"/>
    <w:r>
      <w:rPr>
        <w:rFonts w:ascii="Times" w:hAnsi="Times"/>
        <w:b/>
        <w:i/>
        <w:sz w:val="18"/>
        <w:szCs w:val="18"/>
        <w:lang w:val="es-ES"/>
      </w:rPr>
      <w:t>of</w:t>
    </w:r>
    <w:proofErr w:type="spellEnd"/>
    <w:r>
      <w:rPr>
        <w:rFonts w:ascii="Times" w:hAnsi="Times"/>
        <w:b/>
        <w:i/>
        <w:sz w:val="18"/>
        <w:szCs w:val="18"/>
        <w:lang w:val="es-ES"/>
      </w:rPr>
      <w:t xml:space="preserve"> </w:t>
    </w:r>
    <w:proofErr w:type="spellStart"/>
    <w:r>
      <w:rPr>
        <w:rFonts w:ascii="Times" w:hAnsi="Times"/>
        <w:b/>
        <w:i/>
        <w:sz w:val="18"/>
        <w:szCs w:val="18"/>
        <w:lang w:val="es-ES"/>
      </w:rPr>
      <w:t>Psychology</w:t>
    </w:r>
    <w:proofErr w:type="spellEnd"/>
  </w:p>
  <w:p w14:paraId="4669E1FB" w14:textId="63BBF008" w:rsidR="00507A45" w:rsidRDefault="00507A45" w:rsidP="00977250">
    <w:pPr>
      <w:pStyle w:val="Encabezado"/>
      <w:jc w:val="right"/>
    </w:pPr>
    <w:proofErr w:type="spellStart"/>
    <w:r w:rsidRPr="00977250">
      <w:rPr>
        <w:rFonts w:ascii="Times" w:hAnsi="Times"/>
        <w:i/>
        <w:sz w:val="18"/>
        <w:szCs w:val="18"/>
        <w:lang w:val="es-ES"/>
      </w:rPr>
      <w:t>Manuscript</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submission</w:t>
    </w:r>
    <w:proofErr w:type="spellEnd"/>
    <w:r w:rsidRPr="00977250">
      <w:rPr>
        <w:rFonts w:ascii="Times" w:hAnsi="Times"/>
        <w:i/>
        <w:sz w:val="18"/>
        <w:szCs w:val="18"/>
        <w:lang w:val="es-ES"/>
      </w:rPr>
      <w:t xml:space="preserve"> </w:t>
    </w:r>
    <w:proofErr w:type="spellStart"/>
    <w:r w:rsidRPr="00977250">
      <w:rPr>
        <w:rFonts w:ascii="Times" w:hAnsi="Times"/>
        <w:i/>
        <w:sz w:val="18"/>
        <w:szCs w:val="18"/>
        <w:lang w:val="es-ES"/>
      </w:rPr>
      <w:t>model</w:t>
    </w:r>
    <w:proofErr w:type="spellEnd"/>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C"/>
    <w:multiLevelType w:val="singleLevel"/>
    <w:tmpl w:val="2936786E"/>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885EFE1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E0969C1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8807A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ED8F80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62140BD6"/>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3E5C9FBA"/>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B0AEBAF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45F2DA5C"/>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136C875E"/>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DC5207D"/>
    <w:multiLevelType w:val="hybridMultilevel"/>
    <w:tmpl w:val="3B8E02C4"/>
    <w:lvl w:ilvl="0" w:tplc="040A000F">
      <w:start w:val="1"/>
      <w:numFmt w:val="decimal"/>
      <w:lvlText w:val="%1."/>
      <w:lvlJc w:val="left"/>
      <w:pPr>
        <w:ind w:left="360" w:hanging="360"/>
      </w:pPr>
    </w:lvl>
    <w:lvl w:ilvl="1" w:tplc="040A0019" w:tentative="1">
      <w:start w:val="1"/>
      <w:numFmt w:val="lowerLetter"/>
      <w:lvlText w:val="%2."/>
      <w:lvlJc w:val="left"/>
      <w:pPr>
        <w:ind w:left="1080" w:hanging="360"/>
      </w:pPr>
    </w:lvl>
    <w:lvl w:ilvl="2" w:tplc="040A001B" w:tentative="1">
      <w:start w:val="1"/>
      <w:numFmt w:val="lowerRoman"/>
      <w:lvlText w:val="%3."/>
      <w:lvlJc w:val="right"/>
      <w:pPr>
        <w:ind w:left="1800" w:hanging="180"/>
      </w:pPr>
    </w:lvl>
    <w:lvl w:ilvl="3" w:tplc="040A000F" w:tentative="1">
      <w:start w:val="1"/>
      <w:numFmt w:val="decimal"/>
      <w:lvlText w:val="%4."/>
      <w:lvlJc w:val="left"/>
      <w:pPr>
        <w:ind w:left="2520" w:hanging="360"/>
      </w:pPr>
    </w:lvl>
    <w:lvl w:ilvl="4" w:tplc="040A0019" w:tentative="1">
      <w:start w:val="1"/>
      <w:numFmt w:val="lowerLetter"/>
      <w:lvlText w:val="%5."/>
      <w:lvlJc w:val="left"/>
      <w:pPr>
        <w:ind w:left="3240" w:hanging="360"/>
      </w:pPr>
    </w:lvl>
    <w:lvl w:ilvl="5" w:tplc="040A001B" w:tentative="1">
      <w:start w:val="1"/>
      <w:numFmt w:val="lowerRoman"/>
      <w:lvlText w:val="%6."/>
      <w:lvlJc w:val="right"/>
      <w:pPr>
        <w:ind w:left="3960" w:hanging="180"/>
      </w:pPr>
    </w:lvl>
    <w:lvl w:ilvl="6" w:tplc="040A000F" w:tentative="1">
      <w:start w:val="1"/>
      <w:numFmt w:val="decimal"/>
      <w:lvlText w:val="%7."/>
      <w:lvlJc w:val="left"/>
      <w:pPr>
        <w:ind w:left="4680" w:hanging="360"/>
      </w:pPr>
    </w:lvl>
    <w:lvl w:ilvl="7" w:tplc="040A0019" w:tentative="1">
      <w:start w:val="1"/>
      <w:numFmt w:val="lowerLetter"/>
      <w:lvlText w:val="%8."/>
      <w:lvlJc w:val="left"/>
      <w:pPr>
        <w:ind w:left="5400" w:hanging="360"/>
      </w:pPr>
    </w:lvl>
    <w:lvl w:ilvl="8" w:tplc="040A001B" w:tentative="1">
      <w:start w:val="1"/>
      <w:numFmt w:val="lowerRoman"/>
      <w:lvlText w:val="%9."/>
      <w:lvlJc w:val="right"/>
      <w:pPr>
        <w:ind w:left="6120" w:hanging="180"/>
      </w:pPr>
    </w:lvl>
  </w:abstractNum>
  <w:abstractNum w:abstractNumId="11" w15:restartNumberingAfterBreak="0">
    <w:nsid w:val="6EC728C5"/>
    <w:multiLevelType w:val="hybridMultilevel"/>
    <w:tmpl w:val="7D20A51A"/>
    <w:lvl w:ilvl="0" w:tplc="040A000F">
      <w:start w:val="1"/>
      <w:numFmt w:val="decimal"/>
      <w:lvlText w:val="%1."/>
      <w:lvlJc w:val="left"/>
      <w:pPr>
        <w:ind w:left="1428" w:hanging="360"/>
      </w:pPr>
    </w:lvl>
    <w:lvl w:ilvl="1" w:tplc="040A0019" w:tentative="1">
      <w:start w:val="1"/>
      <w:numFmt w:val="lowerLetter"/>
      <w:lvlText w:val="%2."/>
      <w:lvlJc w:val="left"/>
      <w:pPr>
        <w:ind w:left="2148" w:hanging="360"/>
      </w:pPr>
    </w:lvl>
    <w:lvl w:ilvl="2" w:tplc="040A001B" w:tentative="1">
      <w:start w:val="1"/>
      <w:numFmt w:val="lowerRoman"/>
      <w:lvlText w:val="%3."/>
      <w:lvlJc w:val="right"/>
      <w:pPr>
        <w:ind w:left="2868" w:hanging="180"/>
      </w:pPr>
    </w:lvl>
    <w:lvl w:ilvl="3" w:tplc="040A000F" w:tentative="1">
      <w:start w:val="1"/>
      <w:numFmt w:val="decimal"/>
      <w:lvlText w:val="%4."/>
      <w:lvlJc w:val="left"/>
      <w:pPr>
        <w:ind w:left="3588" w:hanging="360"/>
      </w:pPr>
    </w:lvl>
    <w:lvl w:ilvl="4" w:tplc="040A0019" w:tentative="1">
      <w:start w:val="1"/>
      <w:numFmt w:val="lowerLetter"/>
      <w:lvlText w:val="%5."/>
      <w:lvlJc w:val="left"/>
      <w:pPr>
        <w:ind w:left="4308" w:hanging="360"/>
      </w:pPr>
    </w:lvl>
    <w:lvl w:ilvl="5" w:tplc="040A001B" w:tentative="1">
      <w:start w:val="1"/>
      <w:numFmt w:val="lowerRoman"/>
      <w:lvlText w:val="%6."/>
      <w:lvlJc w:val="right"/>
      <w:pPr>
        <w:ind w:left="5028" w:hanging="180"/>
      </w:pPr>
    </w:lvl>
    <w:lvl w:ilvl="6" w:tplc="040A000F" w:tentative="1">
      <w:start w:val="1"/>
      <w:numFmt w:val="decimal"/>
      <w:lvlText w:val="%7."/>
      <w:lvlJc w:val="left"/>
      <w:pPr>
        <w:ind w:left="5748" w:hanging="360"/>
      </w:pPr>
    </w:lvl>
    <w:lvl w:ilvl="7" w:tplc="040A0019" w:tentative="1">
      <w:start w:val="1"/>
      <w:numFmt w:val="lowerLetter"/>
      <w:lvlText w:val="%8."/>
      <w:lvlJc w:val="left"/>
      <w:pPr>
        <w:ind w:left="6468" w:hanging="360"/>
      </w:pPr>
    </w:lvl>
    <w:lvl w:ilvl="8" w:tplc="040A001B" w:tentative="1">
      <w:start w:val="1"/>
      <w:numFmt w:val="lowerRoman"/>
      <w:lvlText w:val="%9."/>
      <w:lvlJc w:val="right"/>
      <w:pPr>
        <w:ind w:left="7188" w:hanging="180"/>
      </w:pPr>
    </w:lvl>
  </w:abstractNum>
  <w:num w:numId="1">
    <w:abstractNumId w:val="4"/>
  </w:num>
  <w:num w:numId="2">
    <w:abstractNumId w:val="5"/>
  </w:num>
  <w:num w:numId="3">
    <w:abstractNumId w:val="6"/>
  </w:num>
  <w:num w:numId="4">
    <w:abstractNumId w:val="7"/>
  </w:num>
  <w:num w:numId="5">
    <w:abstractNumId w:val="9"/>
  </w:num>
  <w:num w:numId="6">
    <w:abstractNumId w:val="0"/>
  </w:num>
  <w:num w:numId="7">
    <w:abstractNumId w:val="1"/>
  </w:num>
  <w:num w:numId="8">
    <w:abstractNumId w:val="2"/>
  </w:num>
  <w:num w:numId="9">
    <w:abstractNumId w:val="3"/>
  </w:num>
  <w:num w:numId="10">
    <w:abstractNumId w:val="8"/>
  </w:num>
  <w:num w:numId="11">
    <w:abstractNumId w:val="1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removePersonalInformation/>
  <w:removeDateAndTime/>
  <w:proofState w:spelling="clean" w:grammar="clean"/>
  <w:stylePaneFormatFilter w:val="1F08" w:allStyles="0" w:customStyles="0" w:latentStyles="0" w:stylesInUse="1" w:headingStyles="0" w:numberingStyles="0" w:tableStyles="0" w:directFormattingOnRuns="1" w:directFormattingOnParagraphs="1" w:directFormattingOnNumbering="1" w:directFormattingOnTables="1" w:clearFormatting="1" w:top3HeadingStyles="0" w:visibleStyles="0" w:alternateStyleNames="0"/>
  <w:defaultTabStop w:val="720"/>
  <w:hyphenationZone w:val="425"/>
  <w:evenAndOddHeaders/>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46D04"/>
    <w:rsid w:val="000009D1"/>
    <w:rsid w:val="00001B4E"/>
    <w:rsid w:val="0003366A"/>
    <w:rsid w:val="000365CA"/>
    <w:rsid w:val="0007092B"/>
    <w:rsid w:val="00076F0A"/>
    <w:rsid w:val="00097CAC"/>
    <w:rsid w:val="000B324C"/>
    <w:rsid w:val="000C0D62"/>
    <w:rsid w:val="000C37EA"/>
    <w:rsid w:val="000E035C"/>
    <w:rsid w:val="000F106C"/>
    <w:rsid w:val="001253E7"/>
    <w:rsid w:val="00127870"/>
    <w:rsid w:val="001516ED"/>
    <w:rsid w:val="00153AD7"/>
    <w:rsid w:val="00153DC5"/>
    <w:rsid w:val="001542D7"/>
    <w:rsid w:val="0015691C"/>
    <w:rsid w:val="001B5281"/>
    <w:rsid w:val="001C0B04"/>
    <w:rsid w:val="001D0076"/>
    <w:rsid w:val="001E3B90"/>
    <w:rsid w:val="001E6A18"/>
    <w:rsid w:val="001F5648"/>
    <w:rsid w:val="001F7509"/>
    <w:rsid w:val="00213261"/>
    <w:rsid w:val="00234E5C"/>
    <w:rsid w:val="00244625"/>
    <w:rsid w:val="00246D04"/>
    <w:rsid w:val="002624E0"/>
    <w:rsid w:val="00271502"/>
    <w:rsid w:val="00294547"/>
    <w:rsid w:val="00297AFB"/>
    <w:rsid w:val="002B2297"/>
    <w:rsid w:val="002B4698"/>
    <w:rsid w:val="002B644E"/>
    <w:rsid w:val="002C009C"/>
    <w:rsid w:val="002C1EB1"/>
    <w:rsid w:val="002C3A8D"/>
    <w:rsid w:val="002C7C6D"/>
    <w:rsid w:val="002C7DF0"/>
    <w:rsid w:val="002D1053"/>
    <w:rsid w:val="002E0320"/>
    <w:rsid w:val="002F070D"/>
    <w:rsid w:val="002F257B"/>
    <w:rsid w:val="002F38C8"/>
    <w:rsid w:val="00302C5C"/>
    <w:rsid w:val="0031021D"/>
    <w:rsid w:val="00313E35"/>
    <w:rsid w:val="00316E20"/>
    <w:rsid w:val="003741E7"/>
    <w:rsid w:val="003909A7"/>
    <w:rsid w:val="003B2F05"/>
    <w:rsid w:val="003C4AA4"/>
    <w:rsid w:val="003E4B06"/>
    <w:rsid w:val="003F4BDF"/>
    <w:rsid w:val="004075A2"/>
    <w:rsid w:val="00415AE0"/>
    <w:rsid w:val="0042142D"/>
    <w:rsid w:val="00427055"/>
    <w:rsid w:val="00430C97"/>
    <w:rsid w:val="00447E89"/>
    <w:rsid w:val="00473579"/>
    <w:rsid w:val="00475FC0"/>
    <w:rsid w:val="004766D9"/>
    <w:rsid w:val="00483D6B"/>
    <w:rsid w:val="0048651A"/>
    <w:rsid w:val="00491E9A"/>
    <w:rsid w:val="004A5D44"/>
    <w:rsid w:val="004B4BB2"/>
    <w:rsid w:val="004C0823"/>
    <w:rsid w:val="004C1FD8"/>
    <w:rsid w:val="004C2A6E"/>
    <w:rsid w:val="004D5719"/>
    <w:rsid w:val="004F6ADF"/>
    <w:rsid w:val="0050138C"/>
    <w:rsid w:val="00507A45"/>
    <w:rsid w:val="00507B29"/>
    <w:rsid w:val="00540743"/>
    <w:rsid w:val="00542090"/>
    <w:rsid w:val="005649A7"/>
    <w:rsid w:val="00567A57"/>
    <w:rsid w:val="00575541"/>
    <w:rsid w:val="00576894"/>
    <w:rsid w:val="005813E0"/>
    <w:rsid w:val="0059034C"/>
    <w:rsid w:val="00594317"/>
    <w:rsid w:val="00596F07"/>
    <w:rsid w:val="005B1C3F"/>
    <w:rsid w:val="005B5614"/>
    <w:rsid w:val="005D13E7"/>
    <w:rsid w:val="005E6679"/>
    <w:rsid w:val="0061199D"/>
    <w:rsid w:val="00660FA1"/>
    <w:rsid w:val="006937D3"/>
    <w:rsid w:val="006A1BA2"/>
    <w:rsid w:val="006A538A"/>
    <w:rsid w:val="006B0812"/>
    <w:rsid w:val="006B088F"/>
    <w:rsid w:val="006C21BC"/>
    <w:rsid w:val="006D3896"/>
    <w:rsid w:val="006F6924"/>
    <w:rsid w:val="006F7E7E"/>
    <w:rsid w:val="00700F77"/>
    <w:rsid w:val="00704ECD"/>
    <w:rsid w:val="007171A7"/>
    <w:rsid w:val="00724F5C"/>
    <w:rsid w:val="0074214E"/>
    <w:rsid w:val="00742E4A"/>
    <w:rsid w:val="0074339F"/>
    <w:rsid w:val="007507EE"/>
    <w:rsid w:val="00770AE4"/>
    <w:rsid w:val="00786FA8"/>
    <w:rsid w:val="0078702D"/>
    <w:rsid w:val="00795D57"/>
    <w:rsid w:val="007A7C7C"/>
    <w:rsid w:val="007A7CDC"/>
    <w:rsid w:val="007C3C14"/>
    <w:rsid w:val="007E34D6"/>
    <w:rsid w:val="007E3B8D"/>
    <w:rsid w:val="007E5B53"/>
    <w:rsid w:val="008114AC"/>
    <w:rsid w:val="008151AB"/>
    <w:rsid w:val="00816268"/>
    <w:rsid w:val="00824D3A"/>
    <w:rsid w:val="00824EA4"/>
    <w:rsid w:val="008414D0"/>
    <w:rsid w:val="00863414"/>
    <w:rsid w:val="00872EFD"/>
    <w:rsid w:val="0087703E"/>
    <w:rsid w:val="008773B6"/>
    <w:rsid w:val="00877E1B"/>
    <w:rsid w:val="00880120"/>
    <w:rsid w:val="008976DA"/>
    <w:rsid w:val="008A5ACB"/>
    <w:rsid w:val="008B0F10"/>
    <w:rsid w:val="008C409A"/>
    <w:rsid w:val="008C775E"/>
    <w:rsid w:val="008D509E"/>
    <w:rsid w:val="008F010F"/>
    <w:rsid w:val="009032D5"/>
    <w:rsid w:val="00903DEB"/>
    <w:rsid w:val="00977250"/>
    <w:rsid w:val="009805C1"/>
    <w:rsid w:val="009850BE"/>
    <w:rsid w:val="00993241"/>
    <w:rsid w:val="009A583F"/>
    <w:rsid w:val="009B3EF3"/>
    <w:rsid w:val="009D2551"/>
    <w:rsid w:val="009E37BF"/>
    <w:rsid w:val="00A1012D"/>
    <w:rsid w:val="00A30790"/>
    <w:rsid w:val="00A457D0"/>
    <w:rsid w:val="00A516C7"/>
    <w:rsid w:val="00A62218"/>
    <w:rsid w:val="00A741BB"/>
    <w:rsid w:val="00A871FB"/>
    <w:rsid w:val="00A93146"/>
    <w:rsid w:val="00A96141"/>
    <w:rsid w:val="00AA78B2"/>
    <w:rsid w:val="00AB30EA"/>
    <w:rsid w:val="00AB31AD"/>
    <w:rsid w:val="00AC22E8"/>
    <w:rsid w:val="00AD3238"/>
    <w:rsid w:val="00AE48D4"/>
    <w:rsid w:val="00AE6A1D"/>
    <w:rsid w:val="00B02133"/>
    <w:rsid w:val="00B058B6"/>
    <w:rsid w:val="00B06283"/>
    <w:rsid w:val="00B34DB2"/>
    <w:rsid w:val="00B35B61"/>
    <w:rsid w:val="00B511FB"/>
    <w:rsid w:val="00B60E75"/>
    <w:rsid w:val="00B6522A"/>
    <w:rsid w:val="00B74D71"/>
    <w:rsid w:val="00B82B43"/>
    <w:rsid w:val="00B83A6E"/>
    <w:rsid w:val="00B845A1"/>
    <w:rsid w:val="00B9678D"/>
    <w:rsid w:val="00BB233E"/>
    <w:rsid w:val="00BC2AFB"/>
    <w:rsid w:val="00BD26F5"/>
    <w:rsid w:val="00BF197C"/>
    <w:rsid w:val="00BF59E7"/>
    <w:rsid w:val="00C413D4"/>
    <w:rsid w:val="00C43335"/>
    <w:rsid w:val="00C50E4E"/>
    <w:rsid w:val="00C51633"/>
    <w:rsid w:val="00C532C6"/>
    <w:rsid w:val="00C53B35"/>
    <w:rsid w:val="00C64ECF"/>
    <w:rsid w:val="00C736D3"/>
    <w:rsid w:val="00C74438"/>
    <w:rsid w:val="00C84812"/>
    <w:rsid w:val="00C95109"/>
    <w:rsid w:val="00CA3BFF"/>
    <w:rsid w:val="00CA3C92"/>
    <w:rsid w:val="00CB631E"/>
    <w:rsid w:val="00CE7D65"/>
    <w:rsid w:val="00CF4E1F"/>
    <w:rsid w:val="00CF5D21"/>
    <w:rsid w:val="00D14F5F"/>
    <w:rsid w:val="00D609BB"/>
    <w:rsid w:val="00D92541"/>
    <w:rsid w:val="00D94A3F"/>
    <w:rsid w:val="00DB4A71"/>
    <w:rsid w:val="00DB6400"/>
    <w:rsid w:val="00DE1119"/>
    <w:rsid w:val="00DE3790"/>
    <w:rsid w:val="00E03EB1"/>
    <w:rsid w:val="00E149AC"/>
    <w:rsid w:val="00E25900"/>
    <w:rsid w:val="00E266C7"/>
    <w:rsid w:val="00E26883"/>
    <w:rsid w:val="00E36632"/>
    <w:rsid w:val="00E3671F"/>
    <w:rsid w:val="00E416F6"/>
    <w:rsid w:val="00E449A9"/>
    <w:rsid w:val="00E44F8B"/>
    <w:rsid w:val="00E55124"/>
    <w:rsid w:val="00E654A5"/>
    <w:rsid w:val="00E71434"/>
    <w:rsid w:val="00E97D42"/>
    <w:rsid w:val="00EA6646"/>
    <w:rsid w:val="00EB213C"/>
    <w:rsid w:val="00ED2663"/>
    <w:rsid w:val="00EF54AD"/>
    <w:rsid w:val="00F21272"/>
    <w:rsid w:val="00FB0419"/>
    <w:rsid w:val="00FC4BC8"/>
    <w:rsid w:val="00FC5C57"/>
    <w:rsid w:val="00FD2D27"/>
    <w:rsid w:val="00FE136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49"/>
    <o:shapelayout v:ext="edit">
      <o:idmap v:ext="edit" data="1"/>
    </o:shapelayout>
  </w:shapeDefaults>
  <w:decimalSymbol w:val=","/>
  <w:listSeparator w:val=";"/>
  <w14:docId w14:val="1D9C3C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702D"/>
    <w:rPr>
      <w:rFonts w:ascii="Times New Roman" w:eastAsia="Times New Roman" w:hAnsi="Times New Roman" w:cs="Times New Roman"/>
      <w:lang w:val="es-AR" w:eastAsia="es-ES_tradnl"/>
    </w:rPr>
  </w:style>
  <w:style w:type="paragraph" w:styleId="Ttulo2">
    <w:name w:val="heading 2"/>
    <w:basedOn w:val="Normal"/>
    <w:next w:val="Normal"/>
    <w:link w:val="Ttulo2Car"/>
    <w:uiPriority w:val="9"/>
    <w:semiHidden/>
    <w:unhideWhenUsed/>
    <w:qFormat/>
    <w:rsid w:val="007E3B8D"/>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EncabezadoCar">
    <w:name w:val="Encabezado Car"/>
    <w:basedOn w:val="Fuentedeprrafopredeter"/>
    <w:link w:val="Encabezado"/>
    <w:uiPriority w:val="99"/>
    <w:rsid w:val="00C413D4"/>
  </w:style>
  <w:style w:type="paragraph" w:styleId="Piedepgina">
    <w:name w:val="footer"/>
    <w:basedOn w:val="Normal"/>
    <w:link w:val="PiedepginaCar"/>
    <w:uiPriority w:val="99"/>
    <w:unhideWhenUsed/>
    <w:rsid w:val="00C413D4"/>
    <w:pPr>
      <w:tabs>
        <w:tab w:val="center" w:pos="4680"/>
        <w:tab w:val="right" w:pos="9360"/>
      </w:tabs>
    </w:pPr>
    <w:rPr>
      <w:rFonts w:asciiTheme="minorHAnsi" w:eastAsiaTheme="minorHAnsi" w:hAnsiTheme="minorHAnsi" w:cstheme="minorBidi"/>
      <w:lang w:val="en-US" w:eastAsia="en-US"/>
    </w:rPr>
  </w:style>
  <w:style w:type="character" w:customStyle="1" w:styleId="PiedepginaCar">
    <w:name w:val="Pie de página Car"/>
    <w:basedOn w:val="Fuentedeprrafopredeter"/>
    <w:link w:val="Piedepgina"/>
    <w:uiPriority w:val="99"/>
    <w:rsid w:val="00C413D4"/>
  </w:style>
  <w:style w:type="character" w:customStyle="1" w:styleId="label3">
    <w:name w:val="label3"/>
    <w:basedOn w:val="Fuentedeprrafopredeter"/>
    <w:rsid w:val="00C413D4"/>
  </w:style>
  <w:style w:type="paragraph" w:styleId="Textonotapie">
    <w:name w:val="footnote text"/>
    <w:basedOn w:val="Normal"/>
    <w:link w:val="TextonotapieCar"/>
    <w:uiPriority w:val="99"/>
    <w:semiHidden/>
    <w:unhideWhenUsed/>
    <w:rsid w:val="00C413D4"/>
    <w:rPr>
      <w:sz w:val="20"/>
      <w:szCs w:val="20"/>
    </w:rPr>
  </w:style>
  <w:style w:type="character" w:customStyle="1" w:styleId="TextonotapieCar">
    <w:name w:val="Texto nota pie Car"/>
    <w:basedOn w:val="Fuentedeprrafopredeter"/>
    <w:link w:val="Textonotapie"/>
    <w:uiPriority w:val="99"/>
    <w:semiHidden/>
    <w:rsid w:val="00C413D4"/>
    <w:rPr>
      <w:rFonts w:ascii="Times New Roman" w:eastAsia="Times New Roman" w:hAnsi="Times New Roman" w:cs="Times New Roman"/>
      <w:sz w:val="20"/>
      <w:szCs w:val="20"/>
      <w:lang w:val="es-ES_tradnl" w:eastAsia="es-ES_tradnl"/>
    </w:rPr>
  </w:style>
  <w:style w:type="character" w:styleId="Refdenotaalpie">
    <w:name w:val="footnote reference"/>
    <w:basedOn w:val="Fuentedeprrafopredeter"/>
    <w:uiPriority w:val="99"/>
    <w:semiHidden/>
    <w:unhideWhenUsed/>
    <w:rsid w:val="00C413D4"/>
    <w:rPr>
      <w:vertAlign w:val="superscript"/>
    </w:rPr>
  </w:style>
  <w:style w:type="character" w:styleId="Nmerodepgina">
    <w:name w:val="page number"/>
    <w:basedOn w:val="Fuentedeprrafopredeter"/>
    <w:uiPriority w:val="99"/>
    <w:semiHidden/>
    <w:unhideWhenUsed/>
    <w:rsid w:val="00C413D4"/>
  </w:style>
  <w:style w:type="paragraph" w:styleId="Textoindependiente">
    <w:name w:val="Body Text"/>
    <w:basedOn w:val="Normal"/>
    <w:link w:val="TextoindependienteCar"/>
    <w:rsid w:val="006F7E7E"/>
    <w:pPr>
      <w:spacing w:line="480" w:lineRule="auto"/>
      <w:ind w:firstLine="540"/>
    </w:pPr>
    <w:rPr>
      <w:szCs w:val="20"/>
      <w:lang w:val="en-US" w:eastAsia="en-US"/>
    </w:rPr>
  </w:style>
  <w:style w:type="character" w:customStyle="1" w:styleId="TextoindependienteCar">
    <w:name w:val="Texto independiente Car"/>
    <w:basedOn w:val="Fuentedeprrafopredeter"/>
    <w:link w:val="Textoindependiente"/>
    <w:rsid w:val="006F7E7E"/>
    <w:rPr>
      <w:rFonts w:ascii="Times New Roman" w:eastAsia="Times New Roman" w:hAnsi="Times New Roman" w:cs="Times New Roman"/>
      <w:szCs w:val="20"/>
    </w:rPr>
  </w:style>
  <w:style w:type="paragraph" w:customStyle="1" w:styleId="EndNoteBibliography">
    <w:name w:val="EndNote Bibliography"/>
    <w:basedOn w:val="Normal"/>
    <w:rsid w:val="006F7E7E"/>
    <w:pPr>
      <w:spacing w:after="200"/>
    </w:pPr>
    <w:rPr>
      <w:rFonts w:ascii="Calibri" w:hAnsi="Calibri"/>
      <w:sz w:val="22"/>
      <w:szCs w:val="22"/>
      <w:lang w:val="es-ES" w:eastAsia="es-ES"/>
    </w:rPr>
  </w:style>
  <w:style w:type="paragraph" w:styleId="Textonotaalfinal">
    <w:name w:val="endnote text"/>
    <w:basedOn w:val="Normal"/>
    <w:link w:val="TextonotaalfinalCar"/>
    <w:uiPriority w:val="99"/>
    <w:semiHidden/>
    <w:unhideWhenUsed/>
    <w:rsid w:val="007A7C7C"/>
    <w:rPr>
      <w:sz w:val="20"/>
      <w:szCs w:val="20"/>
    </w:rPr>
  </w:style>
  <w:style w:type="character" w:customStyle="1" w:styleId="TextonotaalfinalCar">
    <w:name w:val="Texto nota al final Car"/>
    <w:basedOn w:val="Fuentedeprrafopredeter"/>
    <w:link w:val="Textonotaalfinal"/>
    <w:uiPriority w:val="99"/>
    <w:semiHidden/>
    <w:rsid w:val="007A7C7C"/>
    <w:rPr>
      <w:rFonts w:ascii="Times New Roman" w:eastAsia="Times New Roman" w:hAnsi="Times New Roman" w:cs="Times New Roman"/>
      <w:sz w:val="20"/>
      <w:szCs w:val="20"/>
      <w:lang w:val="es-ES_tradnl" w:eastAsia="es-ES_tradnl"/>
    </w:rPr>
  </w:style>
  <w:style w:type="character" w:styleId="Refdenotaalfinal">
    <w:name w:val="endnote reference"/>
    <w:basedOn w:val="Fuentedeprrafopredeter"/>
    <w:uiPriority w:val="99"/>
    <w:semiHidden/>
    <w:unhideWhenUsed/>
    <w:rsid w:val="007A7C7C"/>
    <w:rPr>
      <w:vertAlign w:val="superscript"/>
    </w:rPr>
  </w:style>
  <w:style w:type="character" w:styleId="Hipervnculo">
    <w:name w:val="Hyperlink"/>
    <w:basedOn w:val="Fuentedeprrafopredeter"/>
    <w:uiPriority w:val="99"/>
    <w:unhideWhenUsed/>
    <w:rsid w:val="00B6522A"/>
    <w:rPr>
      <w:color w:val="0000FF"/>
      <w:u w:val="single"/>
    </w:rPr>
  </w:style>
  <w:style w:type="paragraph" w:styleId="Textodeglobo">
    <w:name w:val="Balloon Text"/>
    <w:basedOn w:val="Normal"/>
    <w:link w:val="TextodegloboCar"/>
    <w:uiPriority w:val="99"/>
    <w:semiHidden/>
    <w:unhideWhenUsed/>
    <w:rsid w:val="00FB0419"/>
    <w:rPr>
      <w:sz w:val="18"/>
      <w:szCs w:val="18"/>
    </w:rPr>
  </w:style>
  <w:style w:type="character" w:customStyle="1" w:styleId="TextodegloboCar">
    <w:name w:val="Texto de globo Car"/>
    <w:basedOn w:val="Fuentedeprrafopredeter"/>
    <w:link w:val="Textodeglobo"/>
    <w:uiPriority w:val="99"/>
    <w:semiHidden/>
    <w:rsid w:val="00FB0419"/>
    <w:rPr>
      <w:rFonts w:ascii="Times New Roman" w:eastAsia="Times New Roman" w:hAnsi="Times New Roman" w:cs="Times New Roman"/>
      <w:sz w:val="18"/>
      <w:szCs w:val="18"/>
      <w:lang w:val="es-ES_tradnl" w:eastAsia="es-ES_tradnl"/>
    </w:rPr>
  </w:style>
  <w:style w:type="table" w:styleId="Tablaconcuadrcula">
    <w:name w:val="Table Grid"/>
    <w:basedOn w:val="Tablanormal"/>
    <w:uiPriority w:val="39"/>
    <w:rsid w:val="00CE7D65"/>
    <w:rPr>
      <w:sz w:val="22"/>
      <w:szCs w:val="22"/>
      <w:lang w:val="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Referencias">
    <w:name w:val="Referencias"/>
    <w:basedOn w:val="Normal"/>
    <w:qFormat/>
    <w:rsid w:val="00CE7D65"/>
    <w:pPr>
      <w:ind w:left="720" w:hanging="720"/>
      <w:jc w:val="both"/>
    </w:pPr>
    <w:rPr>
      <w:lang w:val="en-US"/>
    </w:rPr>
  </w:style>
  <w:style w:type="paragraph" w:customStyle="1" w:styleId="Prrafocomn">
    <w:name w:val="Párrafo común"/>
    <w:basedOn w:val="Normal"/>
    <w:qFormat/>
    <w:rsid w:val="00CE7D65"/>
    <w:pPr>
      <w:spacing w:line="360" w:lineRule="auto"/>
      <w:ind w:firstLine="708"/>
      <w:contextualSpacing/>
      <w:jc w:val="both"/>
    </w:pPr>
    <w:rPr>
      <w:lang w:val="en-US"/>
    </w:rPr>
  </w:style>
  <w:style w:type="paragraph" w:customStyle="1" w:styleId="Ttulosinternos">
    <w:name w:val="Títulos internos"/>
    <w:basedOn w:val="Normal"/>
    <w:link w:val="TtulosinternosCar"/>
    <w:autoRedefine/>
    <w:qFormat/>
    <w:rsid w:val="001516ED"/>
    <w:pPr>
      <w:spacing w:before="100" w:beforeAutospacing="1" w:after="100" w:afterAutospacing="1"/>
      <w:jc w:val="center"/>
      <w:outlineLvl w:val="0"/>
    </w:pPr>
    <w:rPr>
      <w:b/>
      <w:lang w:val="en-US" w:eastAsia="en-US"/>
    </w:rPr>
  </w:style>
  <w:style w:type="paragraph" w:customStyle="1" w:styleId="SubtituloInterno">
    <w:name w:val="Subtitulo Interno"/>
    <w:basedOn w:val="Normal"/>
    <w:autoRedefine/>
    <w:qFormat/>
    <w:rsid w:val="007E3B8D"/>
    <w:pPr>
      <w:spacing w:before="100" w:beforeAutospacing="1" w:after="100" w:afterAutospacing="1" w:line="360" w:lineRule="auto"/>
      <w:contextualSpacing/>
      <w:jc w:val="both"/>
      <w:outlineLvl w:val="1"/>
    </w:pPr>
    <w:rPr>
      <w:b/>
      <w:i/>
      <w:lang w:val="en-US"/>
    </w:rPr>
  </w:style>
  <w:style w:type="paragraph" w:customStyle="1" w:styleId="TtuloResumen">
    <w:name w:val="Título Resumen"/>
    <w:basedOn w:val="Normal"/>
    <w:link w:val="TtuloResumenCar"/>
    <w:autoRedefine/>
    <w:qFormat/>
    <w:rsid w:val="00C43335"/>
    <w:pPr>
      <w:spacing w:after="120"/>
      <w:jc w:val="center"/>
      <w:outlineLvl w:val="0"/>
    </w:pPr>
    <w:rPr>
      <w:b/>
      <w:smallCaps/>
      <w:sz w:val="20"/>
      <w:szCs w:val="20"/>
      <w:lang w:val="pt-BR"/>
    </w:rPr>
  </w:style>
  <w:style w:type="paragraph" w:customStyle="1" w:styleId="Resumen">
    <w:name w:val="Resumen"/>
    <w:basedOn w:val="Normal"/>
    <w:autoRedefine/>
    <w:qFormat/>
    <w:rsid w:val="007E3B8D"/>
    <w:pPr>
      <w:jc w:val="both"/>
    </w:pPr>
    <w:rPr>
      <w:sz w:val="20"/>
      <w:szCs w:val="20"/>
      <w:lang w:val="pt-BR"/>
    </w:rPr>
  </w:style>
  <w:style w:type="paragraph" w:customStyle="1" w:styleId="Ttulodepalabrasclave">
    <w:name w:val="Título de palabras clave"/>
    <w:basedOn w:val="Normal"/>
    <w:qFormat/>
    <w:rsid w:val="00CE7D65"/>
    <w:rPr>
      <w:b/>
      <w:sz w:val="20"/>
      <w:szCs w:val="20"/>
      <w:lang w:val="en-US"/>
    </w:rPr>
  </w:style>
  <w:style w:type="paragraph" w:customStyle="1" w:styleId="Palabrasclave">
    <w:name w:val="Palabras clave"/>
    <w:basedOn w:val="Normal"/>
    <w:qFormat/>
    <w:rsid w:val="00CE7D65"/>
    <w:pPr>
      <w:jc w:val="both"/>
    </w:pPr>
    <w:rPr>
      <w:bCs/>
      <w:sz w:val="20"/>
      <w:szCs w:val="20"/>
    </w:rPr>
  </w:style>
  <w:style w:type="paragraph" w:customStyle="1" w:styleId="Notaalpie1erapgina">
    <w:name w:val="Nota al pie 1era página"/>
    <w:basedOn w:val="Normal"/>
    <w:qFormat/>
    <w:rsid w:val="00CE7D65"/>
    <w:rPr>
      <w:rFonts w:ascii="Times" w:hAnsi="Times"/>
      <w:sz w:val="16"/>
      <w:szCs w:val="16"/>
      <w:lang w:val="pt-BR"/>
    </w:rPr>
  </w:style>
  <w:style w:type="paragraph" w:customStyle="1" w:styleId="NombresAutores">
    <w:name w:val="Nombres Autores"/>
    <w:basedOn w:val="Normal"/>
    <w:qFormat/>
    <w:rsid w:val="00CE7D65"/>
    <w:rPr>
      <w:b/>
      <w:color w:val="222222"/>
      <w:sz w:val="28"/>
      <w:szCs w:val="28"/>
      <w:lang w:val="pt-BR"/>
    </w:rPr>
  </w:style>
  <w:style w:type="paragraph" w:customStyle="1" w:styleId="Instituciones">
    <w:name w:val="Instituciones"/>
    <w:basedOn w:val="Normal"/>
    <w:qFormat/>
    <w:rsid w:val="00CE7D65"/>
    <w:rPr>
      <w:i/>
      <w:sz w:val="28"/>
      <w:szCs w:val="28"/>
      <w:lang w:val="pt-BR"/>
    </w:rPr>
  </w:style>
  <w:style w:type="paragraph" w:customStyle="1" w:styleId="Titulodeartculo">
    <w:name w:val="Titulo de artículo"/>
    <w:basedOn w:val="Normal"/>
    <w:link w:val="TitulodeartculoCar"/>
    <w:autoRedefine/>
    <w:qFormat/>
    <w:rsid w:val="007E3B8D"/>
    <w:pPr>
      <w:jc w:val="center"/>
      <w:outlineLvl w:val="0"/>
    </w:pPr>
    <w:rPr>
      <w:b/>
      <w:noProof/>
      <w:sz w:val="36"/>
      <w:szCs w:val="36"/>
    </w:rPr>
  </w:style>
  <w:style w:type="paragraph" w:customStyle="1" w:styleId="RecibidoAceptado">
    <w:name w:val="Recibido/Aceptado"/>
    <w:basedOn w:val="Normal"/>
    <w:qFormat/>
    <w:rsid w:val="00CE7D65"/>
    <w:pPr>
      <w:shd w:val="clear" w:color="auto" w:fill="FFFFFF"/>
      <w:jc w:val="right"/>
    </w:pPr>
    <w:rPr>
      <w:i/>
      <w:iCs/>
      <w:sz w:val="20"/>
      <w:szCs w:val="20"/>
      <w:lang w:val="pt-BR"/>
    </w:rPr>
  </w:style>
  <w:style w:type="character" w:customStyle="1" w:styleId="TtulosinternosCar">
    <w:name w:val="Títulos internos Car"/>
    <w:basedOn w:val="Fuentedeprrafopredeter"/>
    <w:link w:val="Ttulosinternos"/>
    <w:rsid w:val="001516ED"/>
    <w:rPr>
      <w:rFonts w:ascii="Times New Roman" w:eastAsia="Times New Roman" w:hAnsi="Times New Roman" w:cs="Times New Roman"/>
      <w:b/>
    </w:rPr>
  </w:style>
  <w:style w:type="character" w:customStyle="1" w:styleId="Ttulo2Car">
    <w:name w:val="Título 2 Car"/>
    <w:basedOn w:val="Fuentedeprrafopredeter"/>
    <w:link w:val="Ttulo2"/>
    <w:uiPriority w:val="9"/>
    <w:semiHidden/>
    <w:rsid w:val="007E3B8D"/>
    <w:rPr>
      <w:rFonts w:asciiTheme="majorHAnsi" w:eastAsiaTheme="majorEastAsia" w:hAnsiTheme="majorHAnsi" w:cstheme="majorBidi"/>
      <w:color w:val="2F5496" w:themeColor="accent1" w:themeShade="BF"/>
      <w:sz w:val="26"/>
      <w:szCs w:val="26"/>
      <w:lang w:val="es-ES_tradnl" w:eastAsia="es-ES_tradnl"/>
    </w:rPr>
  </w:style>
  <w:style w:type="paragraph" w:customStyle="1" w:styleId="Ttuloprincipiodeartculo">
    <w:name w:val="Título principio de artículo"/>
    <w:basedOn w:val="Normal"/>
    <w:link w:val="TtuloprincipiodeartculoCar"/>
    <w:autoRedefine/>
    <w:qFormat/>
    <w:rsid w:val="007E3B8D"/>
    <w:pPr>
      <w:jc w:val="center"/>
      <w:outlineLvl w:val="0"/>
    </w:pPr>
    <w:rPr>
      <w:lang w:val="pt-BR"/>
    </w:rPr>
  </w:style>
  <w:style w:type="character" w:customStyle="1" w:styleId="TitulodeartculoCar">
    <w:name w:val="Titulo de artículo Car"/>
    <w:basedOn w:val="Fuentedeprrafopredeter"/>
    <w:link w:val="Titulodeartculo"/>
    <w:rsid w:val="007E3B8D"/>
    <w:rPr>
      <w:rFonts w:ascii="Times New Roman" w:eastAsia="Times New Roman" w:hAnsi="Times New Roman" w:cs="Times New Roman"/>
      <w:b/>
      <w:noProof/>
      <w:sz w:val="36"/>
      <w:szCs w:val="36"/>
      <w:lang w:val="es-ES_tradnl" w:eastAsia="es-ES_tradnl"/>
    </w:rPr>
  </w:style>
  <w:style w:type="character" w:customStyle="1" w:styleId="TtuloprincipiodeartculoCar">
    <w:name w:val="Título principio de artículo Car"/>
    <w:basedOn w:val="Fuentedeprrafopredeter"/>
    <w:link w:val="Ttuloprincipiodeartculo"/>
    <w:rsid w:val="007E3B8D"/>
    <w:rPr>
      <w:rFonts w:ascii="Times New Roman" w:eastAsia="Times New Roman" w:hAnsi="Times New Roman" w:cs="Times New Roman"/>
      <w:lang w:val="pt-BR" w:eastAsia="es-ES_tradnl"/>
    </w:rPr>
  </w:style>
  <w:style w:type="character" w:customStyle="1" w:styleId="TtuloResumenCar">
    <w:name w:val="Título Resumen Car"/>
    <w:basedOn w:val="Fuentedeprrafopredeter"/>
    <w:link w:val="TtuloResumen"/>
    <w:rsid w:val="00C43335"/>
    <w:rPr>
      <w:rFonts w:ascii="Times New Roman" w:eastAsia="Times New Roman" w:hAnsi="Times New Roman" w:cs="Times New Roman"/>
      <w:b/>
      <w:smallCaps/>
      <w:sz w:val="20"/>
      <w:szCs w:val="20"/>
      <w:lang w:val="pt-BR" w:eastAsia="es-ES_tradnl"/>
    </w:rPr>
  </w:style>
  <w:style w:type="character" w:styleId="Mencinsinresolver">
    <w:name w:val="Unresolved Mention"/>
    <w:basedOn w:val="Fuentedeprrafopredeter"/>
    <w:uiPriority w:val="99"/>
    <w:semiHidden/>
    <w:unhideWhenUsed/>
    <w:rsid w:val="00EB213C"/>
    <w:rPr>
      <w:color w:val="605E5C"/>
      <w:shd w:val="clear" w:color="auto" w:fill="E1DFDD"/>
    </w:rPr>
  </w:style>
  <w:style w:type="paragraph" w:styleId="NormalWeb">
    <w:name w:val="Normal (Web)"/>
    <w:basedOn w:val="Normal"/>
    <w:uiPriority w:val="99"/>
    <w:semiHidden/>
    <w:unhideWhenUsed/>
    <w:rsid w:val="0048651A"/>
  </w:style>
  <w:style w:type="table" w:customStyle="1" w:styleId="TableNormal1">
    <w:name w:val="Table Normal1"/>
    <w:rsid w:val="00A93146"/>
    <w:pPr>
      <w:pBdr>
        <w:top w:val="nil"/>
        <w:left w:val="nil"/>
        <w:bottom w:val="nil"/>
        <w:right w:val="nil"/>
        <w:between w:val="nil"/>
        <w:bar w:val="nil"/>
      </w:pBdr>
    </w:pPr>
    <w:rPr>
      <w:rFonts w:ascii="Times New Roman" w:eastAsia="Arial Unicode MS" w:hAnsi="Times New Roman" w:cs="Times New Roman"/>
      <w:sz w:val="20"/>
      <w:szCs w:val="20"/>
      <w:bdr w:val="nil"/>
      <w:lang w:val="es-AR" w:eastAsia="es-ES_tradnl"/>
    </w:rPr>
    <w:tblPr>
      <w:tblInd w:w="0" w:type="dxa"/>
      <w:tblCellMar>
        <w:top w:w="0" w:type="dxa"/>
        <w:left w:w="0" w:type="dxa"/>
        <w:bottom w:w="0" w:type="dxa"/>
        <w:right w:w="0" w:type="dxa"/>
      </w:tblCellMar>
    </w:tblPr>
  </w:style>
  <w:style w:type="paragraph" w:customStyle="1" w:styleId="SubtituloInterno1">
    <w:name w:val="Subtitulo Interno 1"/>
    <w:basedOn w:val="SubtituloInterno"/>
    <w:link w:val="SubtituloInterno1Car"/>
    <w:qFormat/>
    <w:rsid w:val="0078702D"/>
    <w:pPr>
      <w:outlineLvl w:val="2"/>
    </w:pPr>
    <w:rPr>
      <w:b w:val="0"/>
      <w:lang w:val="es-AR" w:eastAsia="en-US"/>
    </w:rPr>
  </w:style>
  <w:style w:type="character" w:customStyle="1" w:styleId="SubtituloInterno1Car">
    <w:name w:val="Subtitulo Interno 1 Car"/>
    <w:basedOn w:val="Fuentedeprrafopredeter"/>
    <w:link w:val="SubtituloInterno1"/>
    <w:rsid w:val="0078702D"/>
    <w:rPr>
      <w:rFonts w:ascii="Times New Roman" w:eastAsia="Times New Roman" w:hAnsi="Times New Roman" w:cs="Times New Roman"/>
      <w:i/>
      <w:lang w:val="es-A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4766006">
      <w:bodyDiv w:val="1"/>
      <w:marLeft w:val="0"/>
      <w:marRight w:val="0"/>
      <w:marTop w:val="0"/>
      <w:marBottom w:val="0"/>
      <w:divBdr>
        <w:top w:val="none" w:sz="0" w:space="0" w:color="auto"/>
        <w:left w:val="none" w:sz="0" w:space="0" w:color="auto"/>
        <w:bottom w:val="none" w:sz="0" w:space="0" w:color="auto"/>
        <w:right w:val="none" w:sz="0" w:space="0" w:color="auto"/>
      </w:divBdr>
      <w:divsChild>
        <w:div w:id="1907957100">
          <w:marLeft w:val="0"/>
          <w:marRight w:val="0"/>
          <w:marTop w:val="0"/>
          <w:marBottom w:val="0"/>
          <w:divBdr>
            <w:top w:val="none" w:sz="0" w:space="0" w:color="auto"/>
            <w:left w:val="none" w:sz="0" w:space="0" w:color="auto"/>
            <w:bottom w:val="none" w:sz="0" w:space="0" w:color="auto"/>
            <w:right w:val="none" w:sz="0" w:space="0" w:color="auto"/>
          </w:divBdr>
        </w:div>
        <w:div w:id="1280261775">
          <w:marLeft w:val="0"/>
          <w:marRight w:val="0"/>
          <w:marTop w:val="0"/>
          <w:marBottom w:val="0"/>
          <w:divBdr>
            <w:top w:val="none" w:sz="0" w:space="0" w:color="auto"/>
            <w:left w:val="none" w:sz="0" w:space="0" w:color="auto"/>
            <w:bottom w:val="none" w:sz="0" w:space="0" w:color="auto"/>
            <w:right w:val="none" w:sz="0" w:space="0" w:color="auto"/>
          </w:divBdr>
        </w:div>
        <w:div w:id="280308581">
          <w:marLeft w:val="0"/>
          <w:marRight w:val="0"/>
          <w:marTop w:val="0"/>
          <w:marBottom w:val="0"/>
          <w:divBdr>
            <w:top w:val="none" w:sz="0" w:space="0" w:color="auto"/>
            <w:left w:val="none" w:sz="0" w:space="0" w:color="auto"/>
            <w:bottom w:val="none" w:sz="0" w:space="0" w:color="auto"/>
            <w:right w:val="none" w:sz="0" w:space="0" w:color="auto"/>
          </w:divBdr>
        </w:div>
        <w:div w:id="1322149960">
          <w:marLeft w:val="0"/>
          <w:marRight w:val="0"/>
          <w:marTop w:val="0"/>
          <w:marBottom w:val="0"/>
          <w:divBdr>
            <w:top w:val="none" w:sz="0" w:space="0" w:color="auto"/>
            <w:left w:val="none" w:sz="0" w:space="0" w:color="auto"/>
            <w:bottom w:val="none" w:sz="0" w:space="0" w:color="auto"/>
            <w:right w:val="none" w:sz="0" w:space="0" w:color="auto"/>
          </w:divBdr>
        </w:div>
        <w:div w:id="994339650">
          <w:marLeft w:val="0"/>
          <w:marRight w:val="0"/>
          <w:marTop w:val="0"/>
          <w:marBottom w:val="0"/>
          <w:divBdr>
            <w:top w:val="none" w:sz="0" w:space="0" w:color="auto"/>
            <w:left w:val="none" w:sz="0" w:space="0" w:color="auto"/>
            <w:bottom w:val="none" w:sz="0" w:space="0" w:color="auto"/>
            <w:right w:val="none" w:sz="0" w:space="0" w:color="auto"/>
          </w:divBdr>
        </w:div>
        <w:div w:id="2107382215">
          <w:marLeft w:val="0"/>
          <w:marRight w:val="0"/>
          <w:marTop w:val="0"/>
          <w:marBottom w:val="0"/>
          <w:divBdr>
            <w:top w:val="none" w:sz="0" w:space="0" w:color="auto"/>
            <w:left w:val="none" w:sz="0" w:space="0" w:color="auto"/>
            <w:bottom w:val="none" w:sz="0" w:space="0" w:color="auto"/>
            <w:right w:val="none" w:sz="0" w:space="0" w:color="auto"/>
          </w:divBdr>
        </w:div>
        <w:div w:id="1899781147">
          <w:marLeft w:val="0"/>
          <w:marRight w:val="0"/>
          <w:marTop w:val="0"/>
          <w:marBottom w:val="0"/>
          <w:divBdr>
            <w:top w:val="none" w:sz="0" w:space="0" w:color="auto"/>
            <w:left w:val="none" w:sz="0" w:space="0" w:color="auto"/>
            <w:bottom w:val="none" w:sz="0" w:space="0" w:color="auto"/>
            <w:right w:val="none" w:sz="0" w:space="0" w:color="auto"/>
          </w:divBdr>
        </w:div>
        <w:div w:id="336470708">
          <w:marLeft w:val="0"/>
          <w:marRight w:val="0"/>
          <w:marTop w:val="0"/>
          <w:marBottom w:val="0"/>
          <w:divBdr>
            <w:top w:val="none" w:sz="0" w:space="0" w:color="auto"/>
            <w:left w:val="none" w:sz="0" w:space="0" w:color="auto"/>
            <w:bottom w:val="none" w:sz="0" w:space="0" w:color="auto"/>
            <w:right w:val="none" w:sz="0" w:space="0" w:color="auto"/>
          </w:divBdr>
        </w:div>
        <w:div w:id="1880628485">
          <w:marLeft w:val="0"/>
          <w:marRight w:val="0"/>
          <w:marTop w:val="0"/>
          <w:marBottom w:val="0"/>
          <w:divBdr>
            <w:top w:val="none" w:sz="0" w:space="0" w:color="auto"/>
            <w:left w:val="none" w:sz="0" w:space="0" w:color="auto"/>
            <w:bottom w:val="none" w:sz="0" w:space="0" w:color="auto"/>
            <w:right w:val="none" w:sz="0" w:space="0" w:color="auto"/>
          </w:divBdr>
        </w:div>
        <w:div w:id="1798446452">
          <w:marLeft w:val="0"/>
          <w:marRight w:val="0"/>
          <w:marTop w:val="0"/>
          <w:marBottom w:val="0"/>
          <w:divBdr>
            <w:top w:val="none" w:sz="0" w:space="0" w:color="auto"/>
            <w:left w:val="none" w:sz="0" w:space="0" w:color="auto"/>
            <w:bottom w:val="none" w:sz="0" w:space="0" w:color="auto"/>
            <w:right w:val="none" w:sz="0" w:space="0" w:color="auto"/>
          </w:divBdr>
        </w:div>
      </w:divsChild>
    </w:div>
    <w:div w:id="156458365">
      <w:bodyDiv w:val="1"/>
      <w:marLeft w:val="0"/>
      <w:marRight w:val="0"/>
      <w:marTop w:val="0"/>
      <w:marBottom w:val="0"/>
      <w:divBdr>
        <w:top w:val="none" w:sz="0" w:space="0" w:color="auto"/>
        <w:left w:val="none" w:sz="0" w:space="0" w:color="auto"/>
        <w:bottom w:val="none" w:sz="0" w:space="0" w:color="auto"/>
        <w:right w:val="none" w:sz="0" w:space="0" w:color="auto"/>
      </w:divBdr>
    </w:div>
    <w:div w:id="320744469">
      <w:bodyDiv w:val="1"/>
      <w:marLeft w:val="0"/>
      <w:marRight w:val="0"/>
      <w:marTop w:val="0"/>
      <w:marBottom w:val="0"/>
      <w:divBdr>
        <w:top w:val="none" w:sz="0" w:space="0" w:color="auto"/>
        <w:left w:val="none" w:sz="0" w:space="0" w:color="auto"/>
        <w:bottom w:val="none" w:sz="0" w:space="0" w:color="auto"/>
        <w:right w:val="none" w:sz="0" w:space="0" w:color="auto"/>
      </w:divBdr>
    </w:div>
    <w:div w:id="360210355">
      <w:bodyDiv w:val="1"/>
      <w:marLeft w:val="0"/>
      <w:marRight w:val="0"/>
      <w:marTop w:val="0"/>
      <w:marBottom w:val="0"/>
      <w:divBdr>
        <w:top w:val="none" w:sz="0" w:space="0" w:color="auto"/>
        <w:left w:val="none" w:sz="0" w:space="0" w:color="auto"/>
        <w:bottom w:val="none" w:sz="0" w:space="0" w:color="auto"/>
        <w:right w:val="none" w:sz="0" w:space="0" w:color="auto"/>
      </w:divBdr>
      <w:divsChild>
        <w:div w:id="1560632757">
          <w:marLeft w:val="0"/>
          <w:marRight w:val="0"/>
          <w:marTop w:val="0"/>
          <w:marBottom w:val="0"/>
          <w:divBdr>
            <w:top w:val="none" w:sz="0" w:space="0" w:color="auto"/>
            <w:left w:val="none" w:sz="0" w:space="0" w:color="auto"/>
            <w:bottom w:val="none" w:sz="0" w:space="0" w:color="auto"/>
            <w:right w:val="none" w:sz="0" w:space="0" w:color="auto"/>
          </w:divBdr>
        </w:div>
        <w:div w:id="135807346">
          <w:marLeft w:val="0"/>
          <w:marRight w:val="0"/>
          <w:marTop w:val="0"/>
          <w:marBottom w:val="0"/>
          <w:divBdr>
            <w:top w:val="none" w:sz="0" w:space="0" w:color="auto"/>
            <w:left w:val="none" w:sz="0" w:space="0" w:color="auto"/>
            <w:bottom w:val="none" w:sz="0" w:space="0" w:color="auto"/>
            <w:right w:val="none" w:sz="0" w:space="0" w:color="auto"/>
          </w:divBdr>
        </w:div>
        <w:div w:id="1476528031">
          <w:marLeft w:val="0"/>
          <w:marRight w:val="0"/>
          <w:marTop w:val="0"/>
          <w:marBottom w:val="0"/>
          <w:divBdr>
            <w:top w:val="none" w:sz="0" w:space="0" w:color="auto"/>
            <w:left w:val="none" w:sz="0" w:space="0" w:color="auto"/>
            <w:bottom w:val="none" w:sz="0" w:space="0" w:color="auto"/>
            <w:right w:val="none" w:sz="0" w:space="0" w:color="auto"/>
          </w:divBdr>
        </w:div>
        <w:div w:id="1791969540">
          <w:marLeft w:val="0"/>
          <w:marRight w:val="0"/>
          <w:marTop w:val="0"/>
          <w:marBottom w:val="0"/>
          <w:divBdr>
            <w:top w:val="none" w:sz="0" w:space="0" w:color="auto"/>
            <w:left w:val="none" w:sz="0" w:space="0" w:color="auto"/>
            <w:bottom w:val="none" w:sz="0" w:space="0" w:color="auto"/>
            <w:right w:val="none" w:sz="0" w:space="0" w:color="auto"/>
          </w:divBdr>
        </w:div>
        <w:div w:id="1232959466">
          <w:marLeft w:val="0"/>
          <w:marRight w:val="0"/>
          <w:marTop w:val="0"/>
          <w:marBottom w:val="0"/>
          <w:divBdr>
            <w:top w:val="none" w:sz="0" w:space="0" w:color="auto"/>
            <w:left w:val="none" w:sz="0" w:space="0" w:color="auto"/>
            <w:bottom w:val="none" w:sz="0" w:space="0" w:color="auto"/>
            <w:right w:val="none" w:sz="0" w:space="0" w:color="auto"/>
          </w:divBdr>
        </w:div>
        <w:div w:id="1767536051">
          <w:marLeft w:val="0"/>
          <w:marRight w:val="0"/>
          <w:marTop w:val="0"/>
          <w:marBottom w:val="0"/>
          <w:divBdr>
            <w:top w:val="none" w:sz="0" w:space="0" w:color="auto"/>
            <w:left w:val="none" w:sz="0" w:space="0" w:color="auto"/>
            <w:bottom w:val="none" w:sz="0" w:space="0" w:color="auto"/>
            <w:right w:val="none" w:sz="0" w:space="0" w:color="auto"/>
          </w:divBdr>
        </w:div>
        <w:div w:id="1954627169">
          <w:marLeft w:val="0"/>
          <w:marRight w:val="0"/>
          <w:marTop w:val="0"/>
          <w:marBottom w:val="0"/>
          <w:divBdr>
            <w:top w:val="none" w:sz="0" w:space="0" w:color="auto"/>
            <w:left w:val="none" w:sz="0" w:space="0" w:color="auto"/>
            <w:bottom w:val="none" w:sz="0" w:space="0" w:color="auto"/>
            <w:right w:val="none" w:sz="0" w:space="0" w:color="auto"/>
          </w:divBdr>
        </w:div>
        <w:div w:id="497036558">
          <w:marLeft w:val="0"/>
          <w:marRight w:val="0"/>
          <w:marTop w:val="0"/>
          <w:marBottom w:val="0"/>
          <w:divBdr>
            <w:top w:val="none" w:sz="0" w:space="0" w:color="auto"/>
            <w:left w:val="none" w:sz="0" w:space="0" w:color="auto"/>
            <w:bottom w:val="none" w:sz="0" w:space="0" w:color="auto"/>
            <w:right w:val="none" w:sz="0" w:space="0" w:color="auto"/>
          </w:divBdr>
        </w:div>
        <w:div w:id="2123454521">
          <w:marLeft w:val="0"/>
          <w:marRight w:val="0"/>
          <w:marTop w:val="0"/>
          <w:marBottom w:val="0"/>
          <w:divBdr>
            <w:top w:val="none" w:sz="0" w:space="0" w:color="auto"/>
            <w:left w:val="none" w:sz="0" w:space="0" w:color="auto"/>
            <w:bottom w:val="none" w:sz="0" w:space="0" w:color="auto"/>
            <w:right w:val="none" w:sz="0" w:space="0" w:color="auto"/>
          </w:divBdr>
        </w:div>
        <w:div w:id="887716663">
          <w:marLeft w:val="0"/>
          <w:marRight w:val="0"/>
          <w:marTop w:val="0"/>
          <w:marBottom w:val="0"/>
          <w:divBdr>
            <w:top w:val="none" w:sz="0" w:space="0" w:color="auto"/>
            <w:left w:val="none" w:sz="0" w:space="0" w:color="auto"/>
            <w:bottom w:val="none" w:sz="0" w:space="0" w:color="auto"/>
            <w:right w:val="none" w:sz="0" w:space="0" w:color="auto"/>
          </w:divBdr>
        </w:div>
      </w:divsChild>
    </w:div>
    <w:div w:id="378169856">
      <w:bodyDiv w:val="1"/>
      <w:marLeft w:val="0"/>
      <w:marRight w:val="0"/>
      <w:marTop w:val="0"/>
      <w:marBottom w:val="0"/>
      <w:divBdr>
        <w:top w:val="none" w:sz="0" w:space="0" w:color="auto"/>
        <w:left w:val="none" w:sz="0" w:space="0" w:color="auto"/>
        <w:bottom w:val="none" w:sz="0" w:space="0" w:color="auto"/>
        <w:right w:val="none" w:sz="0" w:space="0" w:color="auto"/>
      </w:divBdr>
    </w:div>
    <w:div w:id="432937453">
      <w:bodyDiv w:val="1"/>
      <w:marLeft w:val="0"/>
      <w:marRight w:val="0"/>
      <w:marTop w:val="0"/>
      <w:marBottom w:val="0"/>
      <w:divBdr>
        <w:top w:val="none" w:sz="0" w:space="0" w:color="auto"/>
        <w:left w:val="none" w:sz="0" w:space="0" w:color="auto"/>
        <w:bottom w:val="none" w:sz="0" w:space="0" w:color="auto"/>
        <w:right w:val="none" w:sz="0" w:space="0" w:color="auto"/>
      </w:divBdr>
    </w:div>
    <w:div w:id="466365065">
      <w:bodyDiv w:val="1"/>
      <w:marLeft w:val="0"/>
      <w:marRight w:val="0"/>
      <w:marTop w:val="0"/>
      <w:marBottom w:val="0"/>
      <w:divBdr>
        <w:top w:val="none" w:sz="0" w:space="0" w:color="auto"/>
        <w:left w:val="none" w:sz="0" w:space="0" w:color="auto"/>
        <w:bottom w:val="none" w:sz="0" w:space="0" w:color="auto"/>
        <w:right w:val="none" w:sz="0" w:space="0" w:color="auto"/>
      </w:divBdr>
    </w:div>
    <w:div w:id="555704532">
      <w:bodyDiv w:val="1"/>
      <w:marLeft w:val="0"/>
      <w:marRight w:val="0"/>
      <w:marTop w:val="0"/>
      <w:marBottom w:val="0"/>
      <w:divBdr>
        <w:top w:val="none" w:sz="0" w:space="0" w:color="auto"/>
        <w:left w:val="none" w:sz="0" w:space="0" w:color="auto"/>
        <w:bottom w:val="none" w:sz="0" w:space="0" w:color="auto"/>
        <w:right w:val="none" w:sz="0" w:space="0" w:color="auto"/>
      </w:divBdr>
    </w:div>
    <w:div w:id="555968341">
      <w:bodyDiv w:val="1"/>
      <w:marLeft w:val="0"/>
      <w:marRight w:val="0"/>
      <w:marTop w:val="0"/>
      <w:marBottom w:val="0"/>
      <w:divBdr>
        <w:top w:val="none" w:sz="0" w:space="0" w:color="auto"/>
        <w:left w:val="none" w:sz="0" w:space="0" w:color="auto"/>
        <w:bottom w:val="none" w:sz="0" w:space="0" w:color="auto"/>
        <w:right w:val="none" w:sz="0" w:space="0" w:color="auto"/>
      </w:divBdr>
    </w:div>
    <w:div w:id="557739170">
      <w:bodyDiv w:val="1"/>
      <w:marLeft w:val="0"/>
      <w:marRight w:val="0"/>
      <w:marTop w:val="0"/>
      <w:marBottom w:val="0"/>
      <w:divBdr>
        <w:top w:val="none" w:sz="0" w:space="0" w:color="auto"/>
        <w:left w:val="none" w:sz="0" w:space="0" w:color="auto"/>
        <w:bottom w:val="none" w:sz="0" w:space="0" w:color="auto"/>
        <w:right w:val="none" w:sz="0" w:space="0" w:color="auto"/>
      </w:divBdr>
    </w:div>
    <w:div w:id="722367883">
      <w:bodyDiv w:val="1"/>
      <w:marLeft w:val="0"/>
      <w:marRight w:val="0"/>
      <w:marTop w:val="0"/>
      <w:marBottom w:val="0"/>
      <w:divBdr>
        <w:top w:val="none" w:sz="0" w:space="0" w:color="auto"/>
        <w:left w:val="none" w:sz="0" w:space="0" w:color="auto"/>
        <w:bottom w:val="none" w:sz="0" w:space="0" w:color="auto"/>
        <w:right w:val="none" w:sz="0" w:space="0" w:color="auto"/>
      </w:divBdr>
      <w:divsChild>
        <w:div w:id="620916981">
          <w:marLeft w:val="0"/>
          <w:marRight w:val="0"/>
          <w:marTop w:val="0"/>
          <w:marBottom w:val="0"/>
          <w:divBdr>
            <w:top w:val="none" w:sz="0" w:space="0" w:color="auto"/>
            <w:left w:val="none" w:sz="0" w:space="0" w:color="auto"/>
            <w:bottom w:val="none" w:sz="0" w:space="0" w:color="auto"/>
            <w:right w:val="none" w:sz="0" w:space="0" w:color="auto"/>
          </w:divBdr>
        </w:div>
        <w:div w:id="2112116168">
          <w:marLeft w:val="0"/>
          <w:marRight w:val="0"/>
          <w:marTop w:val="0"/>
          <w:marBottom w:val="0"/>
          <w:divBdr>
            <w:top w:val="none" w:sz="0" w:space="0" w:color="auto"/>
            <w:left w:val="none" w:sz="0" w:space="0" w:color="auto"/>
            <w:bottom w:val="none" w:sz="0" w:space="0" w:color="auto"/>
            <w:right w:val="none" w:sz="0" w:space="0" w:color="auto"/>
          </w:divBdr>
        </w:div>
        <w:div w:id="1973361494">
          <w:marLeft w:val="0"/>
          <w:marRight w:val="0"/>
          <w:marTop w:val="0"/>
          <w:marBottom w:val="0"/>
          <w:divBdr>
            <w:top w:val="none" w:sz="0" w:space="0" w:color="auto"/>
            <w:left w:val="none" w:sz="0" w:space="0" w:color="auto"/>
            <w:bottom w:val="none" w:sz="0" w:space="0" w:color="auto"/>
            <w:right w:val="none" w:sz="0" w:space="0" w:color="auto"/>
          </w:divBdr>
        </w:div>
        <w:div w:id="1310749384">
          <w:marLeft w:val="0"/>
          <w:marRight w:val="0"/>
          <w:marTop w:val="0"/>
          <w:marBottom w:val="0"/>
          <w:divBdr>
            <w:top w:val="none" w:sz="0" w:space="0" w:color="auto"/>
            <w:left w:val="none" w:sz="0" w:space="0" w:color="auto"/>
            <w:bottom w:val="none" w:sz="0" w:space="0" w:color="auto"/>
            <w:right w:val="none" w:sz="0" w:space="0" w:color="auto"/>
          </w:divBdr>
        </w:div>
        <w:div w:id="310061192">
          <w:marLeft w:val="0"/>
          <w:marRight w:val="0"/>
          <w:marTop w:val="0"/>
          <w:marBottom w:val="0"/>
          <w:divBdr>
            <w:top w:val="none" w:sz="0" w:space="0" w:color="auto"/>
            <w:left w:val="none" w:sz="0" w:space="0" w:color="auto"/>
            <w:bottom w:val="none" w:sz="0" w:space="0" w:color="auto"/>
            <w:right w:val="none" w:sz="0" w:space="0" w:color="auto"/>
          </w:divBdr>
        </w:div>
        <w:div w:id="1954747807">
          <w:marLeft w:val="0"/>
          <w:marRight w:val="0"/>
          <w:marTop w:val="0"/>
          <w:marBottom w:val="0"/>
          <w:divBdr>
            <w:top w:val="none" w:sz="0" w:space="0" w:color="auto"/>
            <w:left w:val="none" w:sz="0" w:space="0" w:color="auto"/>
            <w:bottom w:val="none" w:sz="0" w:space="0" w:color="auto"/>
            <w:right w:val="none" w:sz="0" w:space="0" w:color="auto"/>
          </w:divBdr>
        </w:div>
        <w:div w:id="18897580">
          <w:marLeft w:val="0"/>
          <w:marRight w:val="0"/>
          <w:marTop w:val="0"/>
          <w:marBottom w:val="0"/>
          <w:divBdr>
            <w:top w:val="none" w:sz="0" w:space="0" w:color="auto"/>
            <w:left w:val="none" w:sz="0" w:space="0" w:color="auto"/>
            <w:bottom w:val="none" w:sz="0" w:space="0" w:color="auto"/>
            <w:right w:val="none" w:sz="0" w:space="0" w:color="auto"/>
          </w:divBdr>
        </w:div>
        <w:div w:id="212346986">
          <w:marLeft w:val="0"/>
          <w:marRight w:val="0"/>
          <w:marTop w:val="0"/>
          <w:marBottom w:val="0"/>
          <w:divBdr>
            <w:top w:val="none" w:sz="0" w:space="0" w:color="auto"/>
            <w:left w:val="none" w:sz="0" w:space="0" w:color="auto"/>
            <w:bottom w:val="none" w:sz="0" w:space="0" w:color="auto"/>
            <w:right w:val="none" w:sz="0" w:space="0" w:color="auto"/>
          </w:divBdr>
        </w:div>
        <w:div w:id="215824401">
          <w:marLeft w:val="0"/>
          <w:marRight w:val="0"/>
          <w:marTop w:val="0"/>
          <w:marBottom w:val="0"/>
          <w:divBdr>
            <w:top w:val="none" w:sz="0" w:space="0" w:color="auto"/>
            <w:left w:val="none" w:sz="0" w:space="0" w:color="auto"/>
            <w:bottom w:val="none" w:sz="0" w:space="0" w:color="auto"/>
            <w:right w:val="none" w:sz="0" w:space="0" w:color="auto"/>
          </w:divBdr>
        </w:div>
        <w:div w:id="2014798629">
          <w:marLeft w:val="0"/>
          <w:marRight w:val="0"/>
          <w:marTop w:val="0"/>
          <w:marBottom w:val="0"/>
          <w:divBdr>
            <w:top w:val="none" w:sz="0" w:space="0" w:color="auto"/>
            <w:left w:val="none" w:sz="0" w:space="0" w:color="auto"/>
            <w:bottom w:val="none" w:sz="0" w:space="0" w:color="auto"/>
            <w:right w:val="none" w:sz="0" w:space="0" w:color="auto"/>
          </w:divBdr>
        </w:div>
      </w:divsChild>
    </w:div>
    <w:div w:id="734476678">
      <w:bodyDiv w:val="1"/>
      <w:marLeft w:val="0"/>
      <w:marRight w:val="0"/>
      <w:marTop w:val="0"/>
      <w:marBottom w:val="0"/>
      <w:divBdr>
        <w:top w:val="none" w:sz="0" w:space="0" w:color="auto"/>
        <w:left w:val="none" w:sz="0" w:space="0" w:color="auto"/>
        <w:bottom w:val="none" w:sz="0" w:space="0" w:color="auto"/>
        <w:right w:val="none" w:sz="0" w:space="0" w:color="auto"/>
      </w:divBdr>
    </w:div>
    <w:div w:id="812867499">
      <w:bodyDiv w:val="1"/>
      <w:marLeft w:val="0"/>
      <w:marRight w:val="0"/>
      <w:marTop w:val="0"/>
      <w:marBottom w:val="0"/>
      <w:divBdr>
        <w:top w:val="none" w:sz="0" w:space="0" w:color="auto"/>
        <w:left w:val="none" w:sz="0" w:space="0" w:color="auto"/>
        <w:bottom w:val="none" w:sz="0" w:space="0" w:color="auto"/>
        <w:right w:val="none" w:sz="0" w:space="0" w:color="auto"/>
      </w:divBdr>
    </w:div>
    <w:div w:id="827215052">
      <w:bodyDiv w:val="1"/>
      <w:marLeft w:val="0"/>
      <w:marRight w:val="0"/>
      <w:marTop w:val="0"/>
      <w:marBottom w:val="0"/>
      <w:divBdr>
        <w:top w:val="none" w:sz="0" w:space="0" w:color="auto"/>
        <w:left w:val="none" w:sz="0" w:space="0" w:color="auto"/>
        <w:bottom w:val="none" w:sz="0" w:space="0" w:color="auto"/>
        <w:right w:val="none" w:sz="0" w:space="0" w:color="auto"/>
      </w:divBdr>
    </w:div>
    <w:div w:id="870188565">
      <w:bodyDiv w:val="1"/>
      <w:marLeft w:val="0"/>
      <w:marRight w:val="0"/>
      <w:marTop w:val="0"/>
      <w:marBottom w:val="0"/>
      <w:divBdr>
        <w:top w:val="none" w:sz="0" w:space="0" w:color="auto"/>
        <w:left w:val="none" w:sz="0" w:space="0" w:color="auto"/>
        <w:bottom w:val="none" w:sz="0" w:space="0" w:color="auto"/>
        <w:right w:val="none" w:sz="0" w:space="0" w:color="auto"/>
      </w:divBdr>
      <w:divsChild>
        <w:div w:id="1712463305">
          <w:marLeft w:val="0"/>
          <w:marRight w:val="0"/>
          <w:marTop w:val="0"/>
          <w:marBottom w:val="0"/>
          <w:divBdr>
            <w:top w:val="none" w:sz="0" w:space="0" w:color="auto"/>
            <w:left w:val="none" w:sz="0" w:space="0" w:color="auto"/>
            <w:bottom w:val="none" w:sz="0" w:space="0" w:color="auto"/>
            <w:right w:val="none" w:sz="0" w:space="0" w:color="auto"/>
          </w:divBdr>
        </w:div>
        <w:div w:id="1112436193">
          <w:marLeft w:val="0"/>
          <w:marRight w:val="0"/>
          <w:marTop w:val="0"/>
          <w:marBottom w:val="0"/>
          <w:divBdr>
            <w:top w:val="none" w:sz="0" w:space="0" w:color="auto"/>
            <w:left w:val="none" w:sz="0" w:space="0" w:color="auto"/>
            <w:bottom w:val="none" w:sz="0" w:space="0" w:color="auto"/>
            <w:right w:val="none" w:sz="0" w:space="0" w:color="auto"/>
          </w:divBdr>
        </w:div>
        <w:div w:id="2024699351">
          <w:marLeft w:val="0"/>
          <w:marRight w:val="0"/>
          <w:marTop w:val="0"/>
          <w:marBottom w:val="0"/>
          <w:divBdr>
            <w:top w:val="none" w:sz="0" w:space="0" w:color="auto"/>
            <w:left w:val="none" w:sz="0" w:space="0" w:color="auto"/>
            <w:bottom w:val="none" w:sz="0" w:space="0" w:color="auto"/>
            <w:right w:val="none" w:sz="0" w:space="0" w:color="auto"/>
          </w:divBdr>
        </w:div>
        <w:div w:id="1854609288">
          <w:marLeft w:val="0"/>
          <w:marRight w:val="0"/>
          <w:marTop w:val="0"/>
          <w:marBottom w:val="0"/>
          <w:divBdr>
            <w:top w:val="none" w:sz="0" w:space="0" w:color="auto"/>
            <w:left w:val="none" w:sz="0" w:space="0" w:color="auto"/>
            <w:bottom w:val="none" w:sz="0" w:space="0" w:color="auto"/>
            <w:right w:val="none" w:sz="0" w:space="0" w:color="auto"/>
          </w:divBdr>
        </w:div>
        <w:div w:id="994912483">
          <w:marLeft w:val="0"/>
          <w:marRight w:val="0"/>
          <w:marTop w:val="0"/>
          <w:marBottom w:val="0"/>
          <w:divBdr>
            <w:top w:val="none" w:sz="0" w:space="0" w:color="auto"/>
            <w:left w:val="none" w:sz="0" w:space="0" w:color="auto"/>
            <w:bottom w:val="none" w:sz="0" w:space="0" w:color="auto"/>
            <w:right w:val="none" w:sz="0" w:space="0" w:color="auto"/>
          </w:divBdr>
        </w:div>
        <w:div w:id="436751258">
          <w:marLeft w:val="0"/>
          <w:marRight w:val="0"/>
          <w:marTop w:val="0"/>
          <w:marBottom w:val="0"/>
          <w:divBdr>
            <w:top w:val="none" w:sz="0" w:space="0" w:color="auto"/>
            <w:left w:val="none" w:sz="0" w:space="0" w:color="auto"/>
            <w:bottom w:val="none" w:sz="0" w:space="0" w:color="auto"/>
            <w:right w:val="none" w:sz="0" w:space="0" w:color="auto"/>
          </w:divBdr>
        </w:div>
        <w:div w:id="1829134538">
          <w:marLeft w:val="0"/>
          <w:marRight w:val="0"/>
          <w:marTop w:val="0"/>
          <w:marBottom w:val="0"/>
          <w:divBdr>
            <w:top w:val="none" w:sz="0" w:space="0" w:color="auto"/>
            <w:left w:val="none" w:sz="0" w:space="0" w:color="auto"/>
            <w:bottom w:val="none" w:sz="0" w:space="0" w:color="auto"/>
            <w:right w:val="none" w:sz="0" w:space="0" w:color="auto"/>
          </w:divBdr>
        </w:div>
        <w:div w:id="1538658579">
          <w:marLeft w:val="0"/>
          <w:marRight w:val="0"/>
          <w:marTop w:val="0"/>
          <w:marBottom w:val="0"/>
          <w:divBdr>
            <w:top w:val="none" w:sz="0" w:space="0" w:color="auto"/>
            <w:left w:val="none" w:sz="0" w:space="0" w:color="auto"/>
            <w:bottom w:val="none" w:sz="0" w:space="0" w:color="auto"/>
            <w:right w:val="none" w:sz="0" w:space="0" w:color="auto"/>
          </w:divBdr>
        </w:div>
        <w:div w:id="235669778">
          <w:marLeft w:val="0"/>
          <w:marRight w:val="0"/>
          <w:marTop w:val="0"/>
          <w:marBottom w:val="0"/>
          <w:divBdr>
            <w:top w:val="none" w:sz="0" w:space="0" w:color="auto"/>
            <w:left w:val="none" w:sz="0" w:space="0" w:color="auto"/>
            <w:bottom w:val="none" w:sz="0" w:space="0" w:color="auto"/>
            <w:right w:val="none" w:sz="0" w:space="0" w:color="auto"/>
          </w:divBdr>
        </w:div>
        <w:div w:id="90245105">
          <w:marLeft w:val="0"/>
          <w:marRight w:val="0"/>
          <w:marTop w:val="0"/>
          <w:marBottom w:val="0"/>
          <w:divBdr>
            <w:top w:val="none" w:sz="0" w:space="0" w:color="auto"/>
            <w:left w:val="none" w:sz="0" w:space="0" w:color="auto"/>
            <w:bottom w:val="none" w:sz="0" w:space="0" w:color="auto"/>
            <w:right w:val="none" w:sz="0" w:space="0" w:color="auto"/>
          </w:divBdr>
        </w:div>
      </w:divsChild>
    </w:div>
    <w:div w:id="1071149721">
      <w:bodyDiv w:val="1"/>
      <w:marLeft w:val="0"/>
      <w:marRight w:val="0"/>
      <w:marTop w:val="0"/>
      <w:marBottom w:val="0"/>
      <w:divBdr>
        <w:top w:val="none" w:sz="0" w:space="0" w:color="auto"/>
        <w:left w:val="none" w:sz="0" w:space="0" w:color="auto"/>
        <w:bottom w:val="none" w:sz="0" w:space="0" w:color="auto"/>
        <w:right w:val="none" w:sz="0" w:space="0" w:color="auto"/>
      </w:divBdr>
    </w:div>
    <w:div w:id="1154492064">
      <w:bodyDiv w:val="1"/>
      <w:marLeft w:val="0"/>
      <w:marRight w:val="0"/>
      <w:marTop w:val="0"/>
      <w:marBottom w:val="0"/>
      <w:divBdr>
        <w:top w:val="none" w:sz="0" w:space="0" w:color="auto"/>
        <w:left w:val="none" w:sz="0" w:space="0" w:color="auto"/>
        <w:bottom w:val="none" w:sz="0" w:space="0" w:color="auto"/>
        <w:right w:val="none" w:sz="0" w:space="0" w:color="auto"/>
      </w:divBdr>
    </w:div>
    <w:div w:id="1164512666">
      <w:bodyDiv w:val="1"/>
      <w:marLeft w:val="0"/>
      <w:marRight w:val="0"/>
      <w:marTop w:val="0"/>
      <w:marBottom w:val="0"/>
      <w:divBdr>
        <w:top w:val="none" w:sz="0" w:space="0" w:color="auto"/>
        <w:left w:val="none" w:sz="0" w:space="0" w:color="auto"/>
        <w:bottom w:val="none" w:sz="0" w:space="0" w:color="auto"/>
        <w:right w:val="none" w:sz="0" w:space="0" w:color="auto"/>
      </w:divBdr>
    </w:div>
    <w:div w:id="1186098716">
      <w:bodyDiv w:val="1"/>
      <w:marLeft w:val="0"/>
      <w:marRight w:val="0"/>
      <w:marTop w:val="0"/>
      <w:marBottom w:val="0"/>
      <w:divBdr>
        <w:top w:val="none" w:sz="0" w:space="0" w:color="auto"/>
        <w:left w:val="none" w:sz="0" w:space="0" w:color="auto"/>
        <w:bottom w:val="none" w:sz="0" w:space="0" w:color="auto"/>
        <w:right w:val="none" w:sz="0" w:space="0" w:color="auto"/>
      </w:divBdr>
    </w:div>
    <w:div w:id="1193804963">
      <w:bodyDiv w:val="1"/>
      <w:marLeft w:val="0"/>
      <w:marRight w:val="0"/>
      <w:marTop w:val="0"/>
      <w:marBottom w:val="0"/>
      <w:divBdr>
        <w:top w:val="none" w:sz="0" w:space="0" w:color="auto"/>
        <w:left w:val="none" w:sz="0" w:space="0" w:color="auto"/>
        <w:bottom w:val="none" w:sz="0" w:space="0" w:color="auto"/>
        <w:right w:val="none" w:sz="0" w:space="0" w:color="auto"/>
      </w:divBdr>
    </w:div>
    <w:div w:id="1215965733">
      <w:bodyDiv w:val="1"/>
      <w:marLeft w:val="0"/>
      <w:marRight w:val="0"/>
      <w:marTop w:val="0"/>
      <w:marBottom w:val="0"/>
      <w:divBdr>
        <w:top w:val="none" w:sz="0" w:space="0" w:color="auto"/>
        <w:left w:val="none" w:sz="0" w:space="0" w:color="auto"/>
        <w:bottom w:val="none" w:sz="0" w:space="0" w:color="auto"/>
        <w:right w:val="none" w:sz="0" w:space="0" w:color="auto"/>
      </w:divBdr>
    </w:div>
    <w:div w:id="1346056207">
      <w:bodyDiv w:val="1"/>
      <w:marLeft w:val="0"/>
      <w:marRight w:val="0"/>
      <w:marTop w:val="0"/>
      <w:marBottom w:val="0"/>
      <w:divBdr>
        <w:top w:val="none" w:sz="0" w:space="0" w:color="auto"/>
        <w:left w:val="none" w:sz="0" w:space="0" w:color="auto"/>
        <w:bottom w:val="none" w:sz="0" w:space="0" w:color="auto"/>
        <w:right w:val="none" w:sz="0" w:space="0" w:color="auto"/>
      </w:divBdr>
    </w:div>
    <w:div w:id="1362047262">
      <w:bodyDiv w:val="1"/>
      <w:marLeft w:val="0"/>
      <w:marRight w:val="0"/>
      <w:marTop w:val="0"/>
      <w:marBottom w:val="0"/>
      <w:divBdr>
        <w:top w:val="none" w:sz="0" w:space="0" w:color="auto"/>
        <w:left w:val="none" w:sz="0" w:space="0" w:color="auto"/>
        <w:bottom w:val="none" w:sz="0" w:space="0" w:color="auto"/>
        <w:right w:val="none" w:sz="0" w:space="0" w:color="auto"/>
      </w:divBdr>
    </w:div>
    <w:div w:id="1378166807">
      <w:bodyDiv w:val="1"/>
      <w:marLeft w:val="0"/>
      <w:marRight w:val="0"/>
      <w:marTop w:val="0"/>
      <w:marBottom w:val="0"/>
      <w:divBdr>
        <w:top w:val="none" w:sz="0" w:space="0" w:color="auto"/>
        <w:left w:val="none" w:sz="0" w:space="0" w:color="auto"/>
        <w:bottom w:val="none" w:sz="0" w:space="0" w:color="auto"/>
        <w:right w:val="none" w:sz="0" w:space="0" w:color="auto"/>
      </w:divBdr>
    </w:div>
    <w:div w:id="1500778992">
      <w:bodyDiv w:val="1"/>
      <w:marLeft w:val="0"/>
      <w:marRight w:val="0"/>
      <w:marTop w:val="0"/>
      <w:marBottom w:val="0"/>
      <w:divBdr>
        <w:top w:val="none" w:sz="0" w:space="0" w:color="auto"/>
        <w:left w:val="none" w:sz="0" w:space="0" w:color="auto"/>
        <w:bottom w:val="none" w:sz="0" w:space="0" w:color="auto"/>
        <w:right w:val="none" w:sz="0" w:space="0" w:color="auto"/>
      </w:divBdr>
    </w:div>
    <w:div w:id="1522085787">
      <w:bodyDiv w:val="1"/>
      <w:marLeft w:val="0"/>
      <w:marRight w:val="0"/>
      <w:marTop w:val="0"/>
      <w:marBottom w:val="0"/>
      <w:divBdr>
        <w:top w:val="none" w:sz="0" w:space="0" w:color="auto"/>
        <w:left w:val="none" w:sz="0" w:space="0" w:color="auto"/>
        <w:bottom w:val="none" w:sz="0" w:space="0" w:color="auto"/>
        <w:right w:val="none" w:sz="0" w:space="0" w:color="auto"/>
      </w:divBdr>
    </w:div>
    <w:div w:id="1627002541">
      <w:bodyDiv w:val="1"/>
      <w:marLeft w:val="0"/>
      <w:marRight w:val="0"/>
      <w:marTop w:val="0"/>
      <w:marBottom w:val="0"/>
      <w:divBdr>
        <w:top w:val="none" w:sz="0" w:space="0" w:color="auto"/>
        <w:left w:val="none" w:sz="0" w:space="0" w:color="auto"/>
        <w:bottom w:val="none" w:sz="0" w:space="0" w:color="auto"/>
        <w:right w:val="none" w:sz="0" w:space="0" w:color="auto"/>
      </w:divBdr>
    </w:div>
    <w:div w:id="1635216476">
      <w:bodyDiv w:val="1"/>
      <w:marLeft w:val="0"/>
      <w:marRight w:val="0"/>
      <w:marTop w:val="0"/>
      <w:marBottom w:val="0"/>
      <w:divBdr>
        <w:top w:val="none" w:sz="0" w:space="0" w:color="auto"/>
        <w:left w:val="none" w:sz="0" w:space="0" w:color="auto"/>
        <w:bottom w:val="none" w:sz="0" w:space="0" w:color="auto"/>
        <w:right w:val="none" w:sz="0" w:space="0" w:color="auto"/>
      </w:divBdr>
    </w:div>
    <w:div w:id="1652752942">
      <w:bodyDiv w:val="1"/>
      <w:marLeft w:val="0"/>
      <w:marRight w:val="0"/>
      <w:marTop w:val="0"/>
      <w:marBottom w:val="0"/>
      <w:divBdr>
        <w:top w:val="none" w:sz="0" w:space="0" w:color="auto"/>
        <w:left w:val="none" w:sz="0" w:space="0" w:color="auto"/>
        <w:bottom w:val="none" w:sz="0" w:space="0" w:color="auto"/>
        <w:right w:val="none" w:sz="0" w:space="0" w:color="auto"/>
      </w:divBdr>
    </w:div>
    <w:div w:id="1674793031">
      <w:bodyDiv w:val="1"/>
      <w:marLeft w:val="0"/>
      <w:marRight w:val="0"/>
      <w:marTop w:val="0"/>
      <w:marBottom w:val="0"/>
      <w:divBdr>
        <w:top w:val="none" w:sz="0" w:space="0" w:color="auto"/>
        <w:left w:val="none" w:sz="0" w:space="0" w:color="auto"/>
        <w:bottom w:val="none" w:sz="0" w:space="0" w:color="auto"/>
        <w:right w:val="none" w:sz="0" w:space="0" w:color="auto"/>
      </w:divBdr>
      <w:divsChild>
        <w:div w:id="1164080562">
          <w:marLeft w:val="0"/>
          <w:marRight w:val="0"/>
          <w:marTop w:val="0"/>
          <w:marBottom w:val="0"/>
          <w:divBdr>
            <w:top w:val="none" w:sz="0" w:space="0" w:color="auto"/>
            <w:left w:val="none" w:sz="0" w:space="0" w:color="auto"/>
            <w:bottom w:val="none" w:sz="0" w:space="0" w:color="auto"/>
            <w:right w:val="none" w:sz="0" w:space="0" w:color="auto"/>
          </w:divBdr>
        </w:div>
        <w:div w:id="1277370585">
          <w:marLeft w:val="0"/>
          <w:marRight w:val="0"/>
          <w:marTop w:val="0"/>
          <w:marBottom w:val="0"/>
          <w:divBdr>
            <w:top w:val="none" w:sz="0" w:space="0" w:color="auto"/>
            <w:left w:val="none" w:sz="0" w:space="0" w:color="auto"/>
            <w:bottom w:val="none" w:sz="0" w:space="0" w:color="auto"/>
            <w:right w:val="none" w:sz="0" w:space="0" w:color="auto"/>
          </w:divBdr>
        </w:div>
        <w:div w:id="880628317">
          <w:marLeft w:val="0"/>
          <w:marRight w:val="0"/>
          <w:marTop w:val="0"/>
          <w:marBottom w:val="0"/>
          <w:divBdr>
            <w:top w:val="none" w:sz="0" w:space="0" w:color="auto"/>
            <w:left w:val="none" w:sz="0" w:space="0" w:color="auto"/>
            <w:bottom w:val="none" w:sz="0" w:space="0" w:color="auto"/>
            <w:right w:val="none" w:sz="0" w:space="0" w:color="auto"/>
          </w:divBdr>
        </w:div>
      </w:divsChild>
    </w:div>
    <w:div w:id="1687518401">
      <w:bodyDiv w:val="1"/>
      <w:marLeft w:val="0"/>
      <w:marRight w:val="0"/>
      <w:marTop w:val="0"/>
      <w:marBottom w:val="0"/>
      <w:divBdr>
        <w:top w:val="none" w:sz="0" w:space="0" w:color="auto"/>
        <w:left w:val="none" w:sz="0" w:space="0" w:color="auto"/>
        <w:bottom w:val="none" w:sz="0" w:space="0" w:color="auto"/>
        <w:right w:val="none" w:sz="0" w:space="0" w:color="auto"/>
      </w:divBdr>
    </w:div>
    <w:div w:id="1740980092">
      <w:bodyDiv w:val="1"/>
      <w:marLeft w:val="0"/>
      <w:marRight w:val="0"/>
      <w:marTop w:val="0"/>
      <w:marBottom w:val="0"/>
      <w:divBdr>
        <w:top w:val="none" w:sz="0" w:space="0" w:color="auto"/>
        <w:left w:val="none" w:sz="0" w:space="0" w:color="auto"/>
        <w:bottom w:val="none" w:sz="0" w:space="0" w:color="auto"/>
        <w:right w:val="none" w:sz="0" w:space="0" w:color="auto"/>
      </w:divBdr>
    </w:div>
    <w:div w:id="1849173741">
      <w:bodyDiv w:val="1"/>
      <w:marLeft w:val="0"/>
      <w:marRight w:val="0"/>
      <w:marTop w:val="0"/>
      <w:marBottom w:val="0"/>
      <w:divBdr>
        <w:top w:val="none" w:sz="0" w:space="0" w:color="auto"/>
        <w:left w:val="none" w:sz="0" w:space="0" w:color="auto"/>
        <w:bottom w:val="none" w:sz="0" w:space="0" w:color="auto"/>
        <w:right w:val="none" w:sz="0" w:space="0" w:color="auto"/>
      </w:divBdr>
    </w:div>
    <w:div w:id="1885024822">
      <w:bodyDiv w:val="1"/>
      <w:marLeft w:val="0"/>
      <w:marRight w:val="0"/>
      <w:marTop w:val="0"/>
      <w:marBottom w:val="0"/>
      <w:divBdr>
        <w:top w:val="none" w:sz="0" w:space="0" w:color="auto"/>
        <w:left w:val="none" w:sz="0" w:space="0" w:color="auto"/>
        <w:bottom w:val="none" w:sz="0" w:space="0" w:color="auto"/>
        <w:right w:val="none" w:sz="0" w:space="0" w:color="auto"/>
      </w:divBdr>
    </w:div>
    <w:div w:id="1917780751">
      <w:bodyDiv w:val="1"/>
      <w:marLeft w:val="0"/>
      <w:marRight w:val="0"/>
      <w:marTop w:val="0"/>
      <w:marBottom w:val="0"/>
      <w:divBdr>
        <w:top w:val="none" w:sz="0" w:space="0" w:color="auto"/>
        <w:left w:val="none" w:sz="0" w:space="0" w:color="auto"/>
        <w:bottom w:val="none" w:sz="0" w:space="0" w:color="auto"/>
        <w:right w:val="none" w:sz="0" w:space="0" w:color="auto"/>
      </w:divBdr>
    </w:div>
    <w:div w:id="1957329445">
      <w:bodyDiv w:val="1"/>
      <w:marLeft w:val="0"/>
      <w:marRight w:val="0"/>
      <w:marTop w:val="0"/>
      <w:marBottom w:val="0"/>
      <w:divBdr>
        <w:top w:val="none" w:sz="0" w:space="0" w:color="auto"/>
        <w:left w:val="none" w:sz="0" w:space="0" w:color="auto"/>
        <w:bottom w:val="none" w:sz="0" w:space="0" w:color="auto"/>
        <w:right w:val="none" w:sz="0" w:space="0" w:color="auto"/>
      </w:divBdr>
    </w:div>
    <w:div w:id="2045130423">
      <w:bodyDiv w:val="1"/>
      <w:marLeft w:val="0"/>
      <w:marRight w:val="0"/>
      <w:marTop w:val="0"/>
      <w:marBottom w:val="0"/>
      <w:divBdr>
        <w:top w:val="none" w:sz="0" w:space="0" w:color="auto"/>
        <w:left w:val="none" w:sz="0" w:space="0" w:color="auto"/>
        <w:bottom w:val="none" w:sz="0" w:space="0" w:color="auto"/>
        <w:right w:val="none" w:sz="0" w:space="0" w:color="auto"/>
      </w:divBdr>
    </w:div>
    <w:div w:id="20596275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26" Type="http://schemas.openxmlformats.org/officeDocument/2006/relationships/hyperlink" Target="https://doi.org/10.1080/10410236.2012.723267" TargetMode="External"/><Relationship Id="rId21" Type="http://schemas.openxmlformats.org/officeDocument/2006/relationships/hyperlink" Target="https://doi.org/10.3390/su12166495" TargetMode="External"/><Relationship Id="rId42" Type="http://schemas.openxmlformats.org/officeDocument/2006/relationships/hyperlink" Target="https://doi.org/10.1007/s10902-008-9093-6" TargetMode="External"/><Relationship Id="rId47" Type="http://schemas.openxmlformats.org/officeDocument/2006/relationships/hyperlink" Target="https://doi.org/10.1177/0013916509336889" TargetMode="External"/><Relationship Id="rId63" Type="http://schemas.openxmlformats.org/officeDocument/2006/relationships/hyperlink" Target="https://www.who.int/docs/default-source/coronaviruse/200762-coping-with-stress-during-the-2019-sp.pdf" TargetMode="External"/><Relationship Id="rId68" Type="http://schemas.openxmlformats.org/officeDocument/2006/relationships/fontTable" Target="fontTable.xm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doi.org/10.1016/j.psychres.2020.112934" TargetMode="External"/><Relationship Id="rId29" Type="http://schemas.openxmlformats.org/officeDocument/2006/relationships/hyperlink" Target="https://www.ine.es/uc/HYtt1hZ5" TargetMode="External"/><Relationship Id="rId11" Type="http://schemas.openxmlformats.org/officeDocument/2006/relationships/hyperlink" Target="https://doi.org/10.1007/s10902-017-9870-1" TargetMode="External"/><Relationship Id="rId24" Type="http://schemas.openxmlformats.org/officeDocument/2006/relationships/hyperlink" Target="https://doi.org/10.1037/gpr0000077" TargetMode="External"/><Relationship Id="rId32" Type="http://schemas.openxmlformats.org/officeDocument/2006/relationships/hyperlink" Target="https://doi.org/10.1111/j.1440-1819.2006.01522.x" TargetMode="External"/><Relationship Id="rId37" Type="http://schemas.openxmlformats.org/officeDocument/2006/relationships/hyperlink" Target="https://doi.org/10.1016/j.comppsych.2011.02.003" TargetMode="External"/><Relationship Id="rId40" Type="http://schemas.openxmlformats.org/officeDocument/2006/relationships/hyperlink" Target="https://doi.org/10.1037/a0013674" TargetMode="External"/><Relationship Id="rId45" Type="http://schemas.openxmlformats.org/officeDocument/2006/relationships/hyperlink" Target="https://doi.org/10.3389/fpsyg.2020.579038" TargetMode="External"/><Relationship Id="rId53" Type="http://schemas.openxmlformats.org/officeDocument/2006/relationships/hyperlink" Target="https://doi.org/10.3389/fpsyt.2020.589973" TargetMode="External"/><Relationship Id="rId58" Type="http://schemas.openxmlformats.org/officeDocument/2006/relationships/hyperlink" Target="https://doi.org/10.3390/ijerph17051729" TargetMode="External"/><Relationship Id="rId66" Type="http://schemas.openxmlformats.org/officeDocument/2006/relationships/footer" Target="footer1.xml"/><Relationship Id="rId5" Type="http://schemas.openxmlformats.org/officeDocument/2006/relationships/webSettings" Target="webSettings.xml"/><Relationship Id="rId61" Type="http://schemas.openxmlformats.org/officeDocument/2006/relationships/hyperlink" Target="https://doi.org/10.1080/03069885.2018.1533105" TargetMode="External"/><Relationship Id="rId19" Type="http://schemas.openxmlformats.org/officeDocument/2006/relationships/hyperlink" Target="https://doi.org/10.3389/fpsyg.2021.624155" TargetMode="External"/><Relationship Id="rId14" Type="http://schemas.openxmlformats.org/officeDocument/2006/relationships/hyperlink" Target="https://doi.org/10.1017/S0033291720000999" TargetMode="External"/><Relationship Id="rId22" Type="http://schemas.openxmlformats.org/officeDocument/2006/relationships/hyperlink" Target="https://doi.org/10.1192/j.eurpsy.2020.35" TargetMode="External"/><Relationship Id="rId27" Type="http://schemas.openxmlformats.org/officeDocument/2006/relationships/hyperlink" Target="https://doi.org/10.4178/epih.e2020038" TargetMode="External"/><Relationship Id="rId30" Type="http://schemas.openxmlformats.org/officeDocument/2006/relationships/hyperlink" Target="https://doi.org/10.3390/ijerph18041826" TargetMode="External"/><Relationship Id="rId35" Type="http://schemas.openxmlformats.org/officeDocument/2006/relationships/hyperlink" Target="https://doi.org/10.1007/s10902-018-9968-0" TargetMode="External"/><Relationship Id="rId43" Type="http://schemas.openxmlformats.org/officeDocument/2006/relationships/hyperlink" Target="https://doi.org/10.1037/a0029237" TargetMode="External"/><Relationship Id="rId48" Type="http://schemas.openxmlformats.org/officeDocument/2006/relationships/hyperlink" Target="https://doi.org/10.1016/S0929-6646(10)60087-3" TargetMode="External"/><Relationship Id="rId56" Type="http://schemas.openxmlformats.org/officeDocument/2006/relationships/hyperlink" Target="https://doi.org/10.1080/15325024.2020.1765098" TargetMode="External"/><Relationship Id="rId64" Type="http://schemas.openxmlformats.org/officeDocument/2006/relationships/header" Target="header1.xml"/><Relationship Id="rId69" Type="http://schemas.openxmlformats.org/officeDocument/2006/relationships/theme" Target="theme/theme1.xml"/><Relationship Id="rId8" Type="http://schemas.openxmlformats.org/officeDocument/2006/relationships/hyperlink" Target="https://sipsych.org/" TargetMode="External"/><Relationship Id="rId51" Type="http://schemas.openxmlformats.org/officeDocument/2006/relationships/hyperlink" Target="https://www.boe.es/diario_boe/txt.php?id=BOE-A-2020-3692" TargetMode="External"/><Relationship Id="rId3" Type="http://schemas.openxmlformats.org/officeDocument/2006/relationships/styles" Target="styles.xml"/><Relationship Id="rId12" Type="http://schemas.openxmlformats.org/officeDocument/2006/relationships/hyperlink" Target="https://doi.org/10.1174/021347410792675633" TargetMode="External"/><Relationship Id="rId17" Type="http://schemas.openxmlformats.org/officeDocument/2006/relationships/hyperlink" Target="https://doi.org/10.1002/da.10113" TargetMode="External"/><Relationship Id="rId25" Type="http://schemas.openxmlformats.org/officeDocument/2006/relationships/hyperlink" Target="https://doi.org/10.1017/gmh.2017.24" TargetMode="External"/><Relationship Id="rId33" Type="http://schemas.openxmlformats.org/officeDocument/2006/relationships/hyperlink" Target="https://doi.org/10.3390/jcm9103225" TargetMode="External"/><Relationship Id="rId38" Type="http://schemas.openxmlformats.org/officeDocument/2006/relationships/hyperlink" Target="https://doi.org/10.2807/1560-7917.ES.2020.25.13.2000317" TargetMode="External"/><Relationship Id="rId46" Type="http://schemas.openxmlformats.org/officeDocument/2006/relationships/hyperlink" Target="https://doi.org/10.1001/dmp.2011.85" TargetMode="External"/><Relationship Id="rId59" Type="http://schemas.openxmlformats.org/officeDocument/2006/relationships/hyperlink" Target="https://doi.org/10.1007/s00221-019-05531-0" TargetMode="External"/><Relationship Id="rId67" Type="http://schemas.openxmlformats.org/officeDocument/2006/relationships/footer" Target="footer2.xml"/><Relationship Id="rId20" Type="http://schemas.openxmlformats.org/officeDocument/2006/relationships/hyperlink" Target="https://doi.org/10.1086/655811" TargetMode="External"/><Relationship Id="rId41" Type="http://schemas.openxmlformats.org/officeDocument/2006/relationships/hyperlink" Target="https://dx.doi.org/10.1080/10615806.2013.828202" TargetMode="External"/><Relationship Id="rId54" Type="http://schemas.openxmlformats.org/officeDocument/2006/relationships/hyperlink" Target="https://doi:10.3390/ijerph17249298" TargetMode="External"/><Relationship Id="rId62" Type="http://schemas.openxmlformats.org/officeDocument/2006/relationships/hyperlink" Target="https://www.who.int/es/emergencies/diseases/novel-coronavirus-2019/advice-for-public" TargetMode="Externa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016/S0140-6736(20)30460-8" TargetMode="External"/><Relationship Id="rId23" Type="http://schemas.openxmlformats.org/officeDocument/2006/relationships/hyperlink" Target="https://doi.org/10.21865/RIDEP49.4.03" TargetMode="External"/><Relationship Id="rId28" Type="http://schemas.openxmlformats.org/officeDocument/2006/relationships/hyperlink" Target="https://doi.org/10.1371/journal.pone.0233831" TargetMode="External"/><Relationship Id="rId36" Type="http://schemas.openxmlformats.org/officeDocument/2006/relationships/hyperlink" Target="https://doi.org/10.3390/ijerph17062032" TargetMode="External"/><Relationship Id="rId49" Type="http://schemas.openxmlformats.org/officeDocument/2006/relationships/hyperlink" Target="https://doi.org/10.1111/j.1539-6924.2010.01529.x" TargetMode="External"/><Relationship Id="rId57" Type="http://schemas.openxmlformats.org/officeDocument/2006/relationships/hyperlink" Target="https://doi.org/10.1016/j.jad.2021.01.055" TargetMode="External"/><Relationship Id="rId10" Type="http://schemas.openxmlformats.org/officeDocument/2006/relationships/image" Target="media/image2.svg"/><Relationship Id="rId31" Type="http://schemas.openxmlformats.org/officeDocument/2006/relationships/hyperlink" Target="https://doi.org/10.1016/j.psychres.2020.113216" TargetMode="External"/><Relationship Id="rId44" Type="http://schemas.openxmlformats.org/officeDocument/2006/relationships/hyperlink" Target="https://doi.org/10.1186/1477-7525-9-63" TargetMode="External"/><Relationship Id="rId52" Type="http://schemas.openxmlformats.org/officeDocument/2006/relationships/hyperlink" Target="https://doi.org/10.3389/fpsyg.2018.02235" TargetMode="External"/><Relationship Id="rId60" Type="http://schemas.openxmlformats.org/officeDocument/2006/relationships/hyperlink" Target="https://www.euro.who.int/en/home" TargetMode="External"/><Relationship Id="rId65"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1.png"/><Relationship Id="rId13" Type="http://schemas.openxmlformats.org/officeDocument/2006/relationships/hyperlink" Target="https://doi.org/10.1038/s41398-020-00982-4" TargetMode="External"/><Relationship Id="rId18" Type="http://schemas.openxmlformats.org/officeDocument/2006/relationships/hyperlink" Target="https://doi:10.1093/med-psych/9780190681722.001.0001" TargetMode="External"/><Relationship Id="rId39" Type="http://schemas.openxmlformats.org/officeDocument/2006/relationships/hyperlink" Target="https://doi.org/10.3389/fpsyg.2016.00571" TargetMode="External"/><Relationship Id="rId34" Type="http://schemas.openxmlformats.org/officeDocument/2006/relationships/hyperlink" Target="https://doi.org/10.1017/dmp.2017.61" TargetMode="External"/><Relationship Id="rId50" Type="http://schemas.openxmlformats.org/officeDocument/2006/relationships/hyperlink" Target="https://doi.org/10.1037/a0038648" TargetMode="External"/><Relationship Id="rId55" Type="http://schemas.openxmlformats.org/officeDocument/2006/relationships/hyperlink" Target="https://ssrn.com/abstract=2185557"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https://journal.sipsych.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CBD33B0-915B-054D-B36D-9219832A97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24</Pages>
  <Words>10450</Words>
  <Characters>57481</Characters>
  <Application>Microsoft Office Word</Application>
  <DocSecurity>0</DocSecurity>
  <Lines>479</Lines>
  <Paragraphs>135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67796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2021-07-18T19:45:00Z</dcterms:created>
  <dcterms:modified xsi:type="dcterms:W3CDTF">2021-07-18T19:45:00Z</dcterms:modified>
</cp:coreProperties>
</file>