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A7" w:rsidRDefault="00A81234">
      <w:pPr>
        <w:pBdr>
          <w:top w:val="nil"/>
          <w:left w:val="nil"/>
          <w:bottom w:val="nil"/>
          <w:right w:val="nil"/>
          <w:between w:val="nil"/>
        </w:pBdr>
        <w:jc w:val="center"/>
        <w:rPr>
          <w:b/>
          <w:color w:val="000000"/>
          <w:sz w:val="36"/>
          <w:szCs w:val="36"/>
        </w:rPr>
      </w:pPr>
      <w:r>
        <w:rPr>
          <w:b/>
          <w:color w:val="000000"/>
          <w:sz w:val="36"/>
          <w:szCs w:val="36"/>
        </w:rPr>
        <w:t>The conflict of ideas as a source of innovation</w:t>
      </w:r>
      <w:r>
        <w:rPr>
          <w:b/>
          <w:color w:val="000000"/>
          <w:sz w:val="36"/>
          <w:szCs w:val="36"/>
        </w:rPr>
        <w:t>: the foundations of minority influence</w:t>
      </w:r>
    </w:p>
    <w:p w:rsidR="00E51BA7" w:rsidRDefault="00E51BA7">
      <w:pPr>
        <w:rPr>
          <w:b/>
        </w:rPr>
      </w:pPr>
    </w:p>
    <w:p w:rsidR="00E51BA7" w:rsidRDefault="00E51BA7">
      <w:pPr>
        <w:rPr>
          <w:i/>
          <w:sz w:val="28"/>
          <w:szCs w:val="28"/>
        </w:rPr>
      </w:pPr>
    </w:p>
    <w:p w:rsidR="00E51BA7" w:rsidRDefault="00A81234">
      <w:pPr>
        <w:rPr>
          <w:rFonts w:ascii="Times" w:eastAsia="Times" w:hAnsi="Times" w:cs="Times"/>
          <w:i/>
          <w:sz w:val="28"/>
          <w:szCs w:val="28"/>
        </w:rPr>
      </w:pPr>
      <w:r>
        <w:rPr>
          <w:noProof/>
          <w:lang w:val="pt-BR"/>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172200" cy="25400"/>
                        </a:xfrm>
                        <a:prstGeom prst="rect"/>
                        <a:ln/>
                      </pic:spPr>
                    </pic:pic>
                  </a:graphicData>
                </a:graphic>
              </wp:anchor>
            </w:drawing>
          </mc:Fallback>
        </mc:AlternateContent>
      </w:r>
    </w:p>
    <w:p w:rsidR="00E51BA7" w:rsidRDefault="00E51BA7">
      <w:pPr>
        <w:rPr>
          <w:b/>
          <w:sz w:val="20"/>
          <w:szCs w:val="20"/>
        </w:rPr>
      </w:pPr>
    </w:p>
    <w:p w:rsidR="00E51BA7" w:rsidRDefault="00A81234">
      <w:pPr>
        <w:pBdr>
          <w:top w:val="nil"/>
          <w:left w:val="nil"/>
          <w:bottom w:val="nil"/>
          <w:right w:val="nil"/>
          <w:between w:val="nil"/>
        </w:pBdr>
        <w:spacing w:after="120"/>
        <w:jc w:val="center"/>
        <w:rPr>
          <w:b/>
          <w:smallCaps/>
          <w:color w:val="000000"/>
          <w:sz w:val="20"/>
          <w:szCs w:val="20"/>
        </w:rPr>
      </w:pPr>
      <w:r>
        <w:rPr>
          <w:b/>
          <w:smallCaps/>
          <w:color w:val="000000"/>
          <w:sz w:val="20"/>
          <w:szCs w:val="20"/>
        </w:rPr>
        <w:t>Abstract</w:t>
      </w:r>
    </w:p>
    <w:p w:rsidR="00E51BA7" w:rsidRDefault="00A81234">
      <w:pPr>
        <w:jc w:val="both"/>
        <w:rPr>
          <w:sz w:val="20"/>
          <w:szCs w:val="20"/>
        </w:rPr>
      </w:pPr>
      <w:r>
        <w:rPr>
          <w:sz w:val="20"/>
          <w:szCs w:val="20"/>
        </w:rPr>
        <w:t xml:space="preserve">Minority influence appeared in social psychology in the 1960’s. This paper aims to present and analyze Serge Moscovici’s pioneering studies and their general development. From Moscovici’s explanation of the genetic model of social influence, it points out </w:t>
      </w:r>
      <w:r>
        <w:rPr>
          <w:sz w:val="20"/>
          <w:szCs w:val="20"/>
        </w:rPr>
        <w:t xml:space="preserve">the diagnostic of the lack of comprehensiveness of the functionalist model to explain the conflict of ideas, the conversion and the innovation by minorities’ norms and </w:t>
      </w:r>
      <w:proofErr w:type="spellStart"/>
      <w:r>
        <w:rPr>
          <w:sz w:val="20"/>
          <w:szCs w:val="20"/>
        </w:rPr>
        <w:t>ideias</w:t>
      </w:r>
      <w:proofErr w:type="spellEnd"/>
      <w:r>
        <w:rPr>
          <w:sz w:val="20"/>
          <w:szCs w:val="20"/>
        </w:rPr>
        <w:t>. This paper explains these concepts and exhibits the behavioral consistency and t</w:t>
      </w:r>
      <w:r>
        <w:rPr>
          <w:sz w:val="20"/>
          <w:szCs w:val="20"/>
        </w:rPr>
        <w:t>he informational conflict in the conceptual and the operational level. The authors detail the foundational studies of the blue-green paradigm, in order to show theoretical and methodological constructs and the incongruence between both. They explore the re</w:t>
      </w:r>
      <w:r>
        <w:rPr>
          <w:sz w:val="20"/>
          <w:szCs w:val="20"/>
        </w:rPr>
        <w:t xml:space="preserve">lationship with social identity theory in the divergent perspectives of the conversion theory and the </w:t>
      </w:r>
      <w:proofErr w:type="spellStart"/>
      <w:proofErr w:type="gramStart"/>
      <w:r>
        <w:rPr>
          <w:sz w:val="20"/>
          <w:szCs w:val="20"/>
        </w:rPr>
        <w:t>self categorization</w:t>
      </w:r>
      <w:proofErr w:type="spellEnd"/>
      <w:proofErr w:type="gramEnd"/>
      <w:r>
        <w:rPr>
          <w:sz w:val="20"/>
          <w:szCs w:val="20"/>
        </w:rPr>
        <w:t xml:space="preserve"> theory. They present new concepts of minorities: the victimized, the perpetrators and those who seek tolerance. Finally, the authors p</w:t>
      </w:r>
      <w:r>
        <w:rPr>
          <w:sz w:val="20"/>
          <w:szCs w:val="20"/>
        </w:rPr>
        <w:t>oint out the developments already made and those still needed, based on reviews and analysis of the field.</w:t>
      </w:r>
    </w:p>
    <w:p w:rsidR="00E51BA7" w:rsidRDefault="00E51BA7">
      <w:pPr>
        <w:rPr>
          <w:sz w:val="20"/>
          <w:szCs w:val="20"/>
        </w:rPr>
      </w:pPr>
    </w:p>
    <w:p w:rsidR="00E51BA7" w:rsidRDefault="00A81234">
      <w:pPr>
        <w:rPr>
          <w:b/>
          <w:sz w:val="20"/>
          <w:szCs w:val="20"/>
        </w:rPr>
      </w:pPr>
      <w:r>
        <w:rPr>
          <w:b/>
          <w:sz w:val="20"/>
          <w:szCs w:val="20"/>
        </w:rPr>
        <w:t>Keywords</w:t>
      </w:r>
    </w:p>
    <w:p w:rsidR="00E51BA7" w:rsidRDefault="00A81234">
      <w:pPr>
        <w:jc w:val="both"/>
        <w:rPr>
          <w:sz w:val="20"/>
          <w:szCs w:val="20"/>
        </w:rPr>
      </w:pPr>
      <w:r>
        <w:rPr>
          <w:sz w:val="20"/>
          <w:szCs w:val="20"/>
        </w:rPr>
        <w:t>Minority influence; social influence; innovation; conformity.</w:t>
      </w:r>
    </w:p>
    <w:p w:rsidR="00E51BA7" w:rsidRDefault="00E51BA7">
      <w:pPr>
        <w:jc w:val="both"/>
        <w:rPr>
          <w:sz w:val="20"/>
          <w:szCs w:val="20"/>
        </w:rPr>
      </w:pPr>
    </w:p>
    <w:p w:rsidR="00E51BA7" w:rsidRDefault="00A81234">
      <w:pPr>
        <w:pBdr>
          <w:top w:val="nil"/>
          <w:left w:val="nil"/>
          <w:bottom w:val="nil"/>
          <w:right w:val="nil"/>
          <w:between w:val="nil"/>
        </w:pBdr>
        <w:spacing w:after="120"/>
        <w:jc w:val="center"/>
        <w:rPr>
          <w:b/>
          <w:smallCaps/>
          <w:color w:val="000000"/>
          <w:sz w:val="20"/>
          <w:szCs w:val="20"/>
        </w:rPr>
      </w:pPr>
      <w:proofErr w:type="spellStart"/>
      <w:r>
        <w:rPr>
          <w:b/>
          <w:smallCaps/>
          <w:color w:val="000000"/>
          <w:sz w:val="20"/>
          <w:szCs w:val="20"/>
        </w:rPr>
        <w:t>Resumo</w:t>
      </w:r>
      <w:proofErr w:type="spellEnd"/>
    </w:p>
    <w:p w:rsidR="00E51BA7" w:rsidRPr="005C4557" w:rsidRDefault="00A81234">
      <w:pPr>
        <w:jc w:val="both"/>
        <w:rPr>
          <w:i/>
          <w:sz w:val="20"/>
          <w:szCs w:val="20"/>
          <w:lang w:val="pt-BR"/>
        </w:rPr>
      </w:pPr>
      <w:r w:rsidRPr="005C4557">
        <w:rPr>
          <w:sz w:val="20"/>
          <w:szCs w:val="20"/>
          <w:lang w:val="pt-BR"/>
        </w:rPr>
        <w:t xml:space="preserve">A influência minoritária surgiu na psicologia social na década de 1960. Este artigo tem por objetivo apresentar e analisar os estudos pioneiros de Serge Moscovici e seus desdobramentos gerais. A partir da explicação do modelo genético de influência social </w:t>
      </w:r>
      <w:r w:rsidRPr="005C4557">
        <w:rPr>
          <w:sz w:val="20"/>
          <w:szCs w:val="20"/>
          <w:lang w:val="pt-BR"/>
        </w:rPr>
        <w:t>por Moscovici, aponta-se o diagnóstico da falta de abrangência do modelo funcionalista, para explicar o conflito de ideias, a conversão e a inovação por ideias minoritárias. O artigo explica esses conceitos e mostra em âmbito de conceito e operacionalizaçã</w:t>
      </w:r>
      <w:r w:rsidRPr="005C4557">
        <w:rPr>
          <w:sz w:val="20"/>
          <w:szCs w:val="20"/>
          <w:lang w:val="pt-BR"/>
        </w:rPr>
        <w:t>o a consistência comportamental e o conflito informacional. Os autores detalham os estudos fundacionais do paradigma azul-verde, a fim de explicitar a construção teórica e metodológica e a incongruência entre ambas. Exploram as relações com a teoria da ide</w:t>
      </w:r>
      <w:r w:rsidRPr="005C4557">
        <w:rPr>
          <w:sz w:val="20"/>
          <w:szCs w:val="20"/>
          <w:lang w:val="pt-BR"/>
        </w:rPr>
        <w:t xml:space="preserve">ntidade social nas perspectivas divergentes das teorias da conversão da autocategorização. Apresentam novos conceitos de minorias: as </w:t>
      </w:r>
      <w:proofErr w:type="spellStart"/>
      <w:r w:rsidRPr="005C4557">
        <w:rPr>
          <w:sz w:val="20"/>
          <w:szCs w:val="20"/>
          <w:lang w:val="pt-BR"/>
        </w:rPr>
        <w:t>vitimizadas</w:t>
      </w:r>
      <w:proofErr w:type="spellEnd"/>
      <w:r w:rsidRPr="005C4557">
        <w:rPr>
          <w:sz w:val="20"/>
          <w:szCs w:val="20"/>
          <w:lang w:val="pt-BR"/>
        </w:rPr>
        <w:t xml:space="preserve">, as </w:t>
      </w:r>
      <w:proofErr w:type="spellStart"/>
      <w:r w:rsidRPr="005C4557">
        <w:rPr>
          <w:sz w:val="20"/>
          <w:szCs w:val="20"/>
          <w:lang w:val="pt-BR"/>
        </w:rPr>
        <w:t>perpetrantes</w:t>
      </w:r>
      <w:proofErr w:type="spellEnd"/>
      <w:r w:rsidRPr="005C4557">
        <w:rPr>
          <w:sz w:val="20"/>
          <w:szCs w:val="20"/>
          <w:lang w:val="pt-BR"/>
        </w:rPr>
        <w:t xml:space="preserve"> e as que buscam tolerância. Por fim, os autores apontam os avanços já realizados e os ainda n</w:t>
      </w:r>
      <w:r w:rsidRPr="005C4557">
        <w:rPr>
          <w:sz w:val="20"/>
          <w:szCs w:val="20"/>
          <w:lang w:val="pt-BR"/>
        </w:rPr>
        <w:t>ecessários, a partir de revisões e análises do campo.</w:t>
      </w:r>
    </w:p>
    <w:p w:rsidR="00E51BA7" w:rsidRPr="005C4557" w:rsidRDefault="00E51BA7">
      <w:pPr>
        <w:rPr>
          <w:sz w:val="20"/>
          <w:szCs w:val="20"/>
          <w:lang w:val="pt-BR"/>
        </w:rPr>
      </w:pPr>
    </w:p>
    <w:p w:rsidR="00E51BA7" w:rsidRPr="005C4557" w:rsidRDefault="00A81234">
      <w:pPr>
        <w:jc w:val="both"/>
        <w:rPr>
          <w:b/>
          <w:sz w:val="20"/>
          <w:szCs w:val="20"/>
          <w:lang w:val="pt-BR"/>
        </w:rPr>
      </w:pPr>
      <w:r w:rsidRPr="005C4557">
        <w:rPr>
          <w:b/>
          <w:sz w:val="20"/>
          <w:szCs w:val="20"/>
          <w:lang w:val="pt-BR"/>
        </w:rPr>
        <w:t>Palavras-chave</w:t>
      </w:r>
    </w:p>
    <w:p w:rsidR="00E51BA7" w:rsidRPr="005C4557" w:rsidRDefault="00A81234">
      <w:pPr>
        <w:jc w:val="both"/>
        <w:rPr>
          <w:sz w:val="20"/>
          <w:szCs w:val="20"/>
          <w:lang w:val="pt-BR"/>
        </w:rPr>
      </w:pPr>
      <w:r w:rsidRPr="005C4557">
        <w:rPr>
          <w:sz w:val="20"/>
          <w:szCs w:val="20"/>
          <w:lang w:val="pt-BR"/>
        </w:rPr>
        <w:t>Influência minoritária; influência social; inovação; conformismo.</w:t>
      </w:r>
      <w:r>
        <w:rPr>
          <w:noProof/>
          <w:lang w:val="pt-BR"/>
        </w:rPr>
        <w:drawing>
          <wp:anchor distT="0" distB="0" distL="114300" distR="114300" simplePos="0" relativeHeight="251659264" behindDoc="0" locked="0" layoutInCell="1" hidden="0" allowOverlap="1">
            <wp:simplePos x="0" y="0"/>
            <wp:positionH relativeFrom="column">
              <wp:posOffset>5400675</wp:posOffset>
            </wp:positionH>
            <wp:positionV relativeFrom="paragraph">
              <wp:posOffset>0</wp:posOffset>
            </wp:positionV>
            <wp:extent cx="396000" cy="2592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6000" cy="259200"/>
                    </a:xfrm>
                    <a:prstGeom prst="rect">
                      <a:avLst/>
                    </a:prstGeom>
                    <a:ln/>
                  </pic:spPr>
                </pic:pic>
              </a:graphicData>
            </a:graphic>
          </wp:anchor>
        </w:drawing>
      </w:r>
    </w:p>
    <w:p w:rsidR="00E51BA7" w:rsidRPr="005C4557" w:rsidRDefault="00E51BA7">
      <w:pPr>
        <w:rPr>
          <w:b/>
          <w:lang w:val="pt-BR"/>
        </w:rPr>
      </w:pPr>
    </w:p>
    <w:p w:rsidR="00E51BA7" w:rsidRPr="005C4557" w:rsidRDefault="00A81234">
      <w:pPr>
        <w:pBdr>
          <w:top w:val="nil"/>
          <w:left w:val="nil"/>
          <w:bottom w:val="nil"/>
          <w:right w:val="nil"/>
          <w:between w:val="nil"/>
        </w:pBdr>
        <w:jc w:val="center"/>
        <w:rPr>
          <w:b/>
          <w:lang w:val="pt-BR"/>
        </w:rPr>
      </w:pPr>
      <w:r w:rsidRPr="005C4557">
        <w:rPr>
          <w:lang w:val="pt-BR"/>
        </w:rPr>
        <w:br w:type="page"/>
      </w:r>
      <w:r w:rsidRPr="005C4557">
        <w:rPr>
          <w:b/>
          <w:lang w:val="pt-BR"/>
        </w:rPr>
        <w:lastRenderedPageBreak/>
        <w:t>A inovação pelo conflito de ideias: as fundações da influência minoritária</w:t>
      </w:r>
    </w:p>
    <w:p w:rsidR="00E51BA7" w:rsidRPr="005C4557" w:rsidRDefault="00E51BA7">
      <w:pPr>
        <w:pBdr>
          <w:top w:val="nil"/>
          <w:left w:val="nil"/>
          <w:bottom w:val="nil"/>
          <w:right w:val="nil"/>
          <w:between w:val="nil"/>
        </w:pBdr>
        <w:jc w:val="center"/>
        <w:rPr>
          <w:b/>
          <w:lang w:val="pt-BR"/>
        </w:rPr>
      </w:pPr>
    </w:p>
    <w:p w:rsidR="00E51BA7" w:rsidRPr="005C4557" w:rsidRDefault="00A81234">
      <w:pPr>
        <w:pBdr>
          <w:top w:val="nil"/>
          <w:left w:val="nil"/>
          <w:bottom w:val="nil"/>
          <w:right w:val="nil"/>
          <w:between w:val="nil"/>
        </w:pBdr>
        <w:jc w:val="center"/>
        <w:rPr>
          <w:b/>
          <w:color w:val="000000"/>
          <w:lang w:val="pt-BR"/>
        </w:rPr>
      </w:pPr>
      <w:r w:rsidRPr="005C4557">
        <w:rPr>
          <w:b/>
          <w:color w:val="000000"/>
          <w:lang w:val="pt-BR"/>
        </w:rPr>
        <w:t>Introdu</w:t>
      </w:r>
      <w:r w:rsidRPr="005C4557">
        <w:rPr>
          <w:b/>
          <w:lang w:val="pt-BR"/>
        </w:rPr>
        <w:t>ção</w:t>
      </w:r>
    </w:p>
    <w:p w:rsidR="00E51BA7" w:rsidRPr="005C4557" w:rsidRDefault="00A81234">
      <w:pPr>
        <w:widowControl w:val="0"/>
        <w:spacing w:line="360" w:lineRule="auto"/>
        <w:ind w:firstLine="708"/>
        <w:rPr>
          <w:lang w:val="pt-BR"/>
        </w:rPr>
      </w:pPr>
      <w:r w:rsidRPr="005C4557">
        <w:rPr>
          <w:lang w:val="pt-BR"/>
        </w:rPr>
        <w:t>A influência social é um dos tópicos centrais da psicologia social, tendo papel relevante desde sua origem (Harkins, Williams, &amp; Burger, 2017). Serge Moscovici mudou radicalmente a concepção de influência social ao lançar o conceito de influência minoritár</w:t>
      </w:r>
      <w:r w:rsidRPr="005C4557">
        <w:rPr>
          <w:lang w:val="pt-BR"/>
        </w:rPr>
        <w:t xml:space="preserve">ia, sintetizado em seu livro </w:t>
      </w:r>
      <w:r w:rsidRPr="005C4557">
        <w:rPr>
          <w:i/>
          <w:lang w:val="pt-BR"/>
        </w:rPr>
        <w:t>Psicologia das minorias ativas</w:t>
      </w:r>
      <w:r w:rsidRPr="005C4557">
        <w:rPr>
          <w:lang w:val="pt-BR"/>
        </w:rPr>
        <w:t xml:space="preserve"> (2011) A edição original em língua inglesa é de 1976, “Social </w:t>
      </w:r>
      <w:proofErr w:type="spellStart"/>
      <w:r w:rsidRPr="005C4557">
        <w:rPr>
          <w:lang w:val="pt-BR"/>
        </w:rPr>
        <w:t>influence</w:t>
      </w:r>
      <w:proofErr w:type="spellEnd"/>
      <w:r w:rsidRPr="005C4557">
        <w:rPr>
          <w:lang w:val="pt-BR"/>
        </w:rPr>
        <w:t xml:space="preserve"> </w:t>
      </w:r>
      <w:proofErr w:type="spellStart"/>
      <w:r w:rsidRPr="005C4557">
        <w:rPr>
          <w:lang w:val="pt-BR"/>
        </w:rPr>
        <w:t>and</w:t>
      </w:r>
      <w:proofErr w:type="spellEnd"/>
      <w:r w:rsidRPr="005C4557">
        <w:rPr>
          <w:lang w:val="pt-BR"/>
        </w:rPr>
        <w:t xml:space="preserve"> social </w:t>
      </w:r>
      <w:proofErr w:type="spellStart"/>
      <w:r w:rsidRPr="005C4557">
        <w:rPr>
          <w:lang w:val="pt-BR"/>
        </w:rPr>
        <w:t>change</w:t>
      </w:r>
      <w:proofErr w:type="spellEnd"/>
      <w:r w:rsidRPr="005C4557">
        <w:rPr>
          <w:lang w:val="pt-BR"/>
        </w:rPr>
        <w:t>”. Em 1979, o livro foi editado na França, com o título “</w:t>
      </w:r>
      <w:proofErr w:type="spellStart"/>
      <w:r w:rsidRPr="005C4557">
        <w:rPr>
          <w:lang w:val="pt-BR"/>
        </w:rPr>
        <w:t>Psychologie</w:t>
      </w:r>
      <w:proofErr w:type="spellEnd"/>
      <w:r w:rsidRPr="005C4557">
        <w:rPr>
          <w:lang w:val="pt-BR"/>
        </w:rPr>
        <w:t xml:space="preserve"> </w:t>
      </w:r>
      <w:proofErr w:type="spellStart"/>
      <w:r w:rsidRPr="005C4557">
        <w:rPr>
          <w:lang w:val="pt-BR"/>
        </w:rPr>
        <w:t>des</w:t>
      </w:r>
      <w:proofErr w:type="spellEnd"/>
      <w:r w:rsidRPr="005C4557">
        <w:rPr>
          <w:lang w:val="pt-BR"/>
        </w:rPr>
        <w:t xml:space="preserve"> </w:t>
      </w:r>
      <w:proofErr w:type="spellStart"/>
      <w:r w:rsidRPr="005C4557">
        <w:rPr>
          <w:lang w:val="pt-BR"/>
        </w:rPr>
        <w:t>minorités</w:t>
      </w:r>
      <w:proofErr w:type="spellEnd"/>
      <w:r w:rsidRPr="005C4557">
        <w:rPr>
          <w:lang w:val="pt-BR"/>
        </w:rPr>
        <w:t xml:space="preserve"> </w:t>
      </w:r>
      <w:proofErr w:type="spellStart"/>
      <w:r w:rsidRPr="005C4557">
        <w:rPr>
          <w:lang w:val="pt-BR"/>
        </w:rPr>
        <w:t>actives</w:t>
      </w:r>
      <w:proofErr w:type="spellEnd"/>
      <w:r w:rsidRPr="005C4557">
        <w:rPr>
          <w:lang w:val="pt-BR"/>
        </w:rPr>
        <w:t>”, acrescido de u</w:t>
      </w:r>
      <w:r w:rsidRPr="005C4557">
        <w:rPr>
          <w:lang w:val="pt-BR"/>
        </w:rPr>
        <w:t xml:space="preserve">m apêndice com a análise da biografia de Alexander </w:t>
      </w:r>
      <w:proofErr w:type="spellStart"/>
      <w:r w:rsidRPr="005C4557">
        <w:rPr>
          <w:lang w:val="pt-BR"/>
        </w:rPr>
        <w:t>Soljenitsyne</w:t>
      </w:r>
      <w:proofErr w:type="spellEnd"/>
      <w:r w:rsidRPr="005C4557">
        <w:rPr>
          <w:lang w:val="pt-BR"/>
        </w:rPr>
        <w:t>, um dissidente russo no regime comunista, a minoria de um só. A edição brasileira, de 2011, traduziu o título francês e manteve o apêndice.</w:t>
      </w:r>
    </w:p>
    <w:p w:rsidR="00E51BA7" w:rsidRPr="005C4557" w:rsidRDefault="00A81234">
      <w:pPr>
        <w:widowControl w:val="0"/>
        <w:spacing w:line="360" w:lineRule="auto"/>
        <w:ind w:firstLine="708"/>
        <w:rPr>
          <w:lang w:val="pt-BR"/>
        </w:rPr>
      </w:pPr>
      <w:r w:rsidRPr="005C4557">
        <w:rPr>
          <w:lang w:val="pt-BR"/>
        </w:rPr>
        <w:t>Para Moscovici, a inovação social seria causada pela</w:t>
      </w:r>
      <w:r w:rsidRPr="005C4557">
        <w:rPr>
          <w:lang w:val="pt-BR"/>
        </w:rPr>
        <w:t>s ideias alternativas divergentes das estabelecidas, defendidas de forma consistente por essas minorias, que levam à conversão da maioria (1980). Com base em análises de mudanças sociais e da literatura sobre influência social, Moscovici (2011) identificou</w:t>
      </w:r>
      <w:r w:rsidRPr="005C4557">
        <w:rPr>
          <w:lang w:val="pt-BR"/>
        </w:rPr>
        <w:t xml:space="preserve"> alguns dos mecanismos e pressupostos dos estudos do campo e propôs a influência social minoritária, pelo modelo genético ou paradigma da inovação.</w:t>
      </w:r>
    </w:p>
    <w:p w:rsidR="00E51BA7" w:rsidRPr="005C4557" w:rsidRDefault="00E51BA7">
      <w:pPr>
        <w:widowControl w:val="0"/>
        <w:spacing w:line="360" w:lineRule="auto"/>
        <w:ind w:firstLine="708"/>
        <w:rPr>
          <w:lang w:val="pt-BR"/>
        </w:rPr>
      </w:pPr>
    </w:p>
    <w:p w:rsidR="00E51BA7" w:rsidRPr="005C4557" w:rsidRDefault="00A81234" w:rsidP="005C4557">
      <w:pPr>
        <w:pStyle w:val="Ttulo1"/>
        <w:keepLines w:val="0"/>
        <w:spacing w:before="0" w:after="0" w:line="360" w:lineRule="auto"/>
        <w:jc w:val="center"/>
        <w:rPr>
          <w:sz w:val="24"/>
          <w:szCs w:val="24"/>
          <w:lang w:val="pt-BR"/>
        </w:rPr>
      </w:pPr>
      <w:bookmarkStart w:id="0" w:name="_gjdgxs" w:colFirst="0" w:colLast="0"/>
      <w:bookmarkEnd w:id="0"/>
      <w:r w:rsidRPr="005C4557">
        <w:rPr>
          <w:sz w:val="24"/>
          <w:szCs w:val="24"/>
          <w:lang w:val="pt-BR"/>
        </w:rPr>
        <w:t>Modelo Genético de Influência Social</w:t>
      </w:r>
    </w:p>
    <w:p w:rsidR="00E51BA7" w:rsidRPr="005C4557" w:rsidRDefault="00E51BA7">
      <w:pPr>
        <w:widowControl w:val="0"/>
        <w:spacing w:line="360" w:lineRule="auto"/>
        <w:rPr>
          <w:lang w:val="pt-BR"/>
        </w:rPr>
      </w:pPr>
      <w:bookmarkStart w:id="1" w:name="_GoBack"/>
      <w:bookmarkEnd w:id="1"/>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2" w:name="_xvk3udhhn5p0" w:colFirst="0" w:colLast="0"/>
      <w:bookmarkEnd w:id="2"/>
      <w:r w:rsidRPr="005C4557">
        <w:rPr>
          <w:rFonts w:ascii="Times New Roman" w:eastAsia="Times New Roman" w:hAnsi="Times New Roman" w:cs="Times New Roman"/>
          <w:b/>
          <w:color w:val="000000"/>
          <w:sz w:val="24"/>
          <w:szCs w:val="24"/>
          <w:lang w:val="pt-BR"/>
        </w:rPr>
        <w:t>Influência social e o modelo funcionalista</w:t>
      </w:r>
    </w:p>
    <w:p w:rsidR="00E51BA7" w:rsidRPr="005C4557" w:rsidRDefault="00A81234">
      <w:pPr>
        <w:widowControl w:val="0"/>
        <w:spacing w:line="360" w:lineRule="auto"/>
        <w:ind w:firstLine="708"/>
        <w:rPr>
          <w:lang w:val="pt-BR"/>
        </w:rPr>
      </w:pPr>
      <w:r w:rsidRPr="005C4557">
        <w:rPr>
          <w:lang w:val="pt-BR"/>
        </w:rPr>
        <w:t>O modelo genético é assim denominado porque Moscovici buscou explicar parte da gênese psicossocial dos processos de inovação social que testemunhara, como as mudanças causadas pelo movimento sufragista no início do século XX, os movimentos grevistas e estu</w:t>
      </w:r>
      <w:r w:rsidRPr="005C4557">
        <w:rPr>
          <w:lang w:val="pt-BR"/>
        </w:rPr>
        <w:t>dantis dos anos 1960, bem como as lutas políticas por independência entre nações colonizadas.</w:t>
      </w:r>
    </w:p>
    <w:p w:rsidR="00E51BA7" w:rsidRPr="005C4557" w:rsidRDefault="00A81234">
      <w:pPr>
        <w:widowControl w:val="0"/>
        <w:spacing w:line="360" w:lineRule="auto"/>
        <w:ind w:firstLine="708"/>
        <w:rPr>
          <w:lang w:val="pt-BR"/>
        </w:rPr>
      </w:pPr>
      <w:r w:rsidRPr="005C4557">
        <w:rPr>
          <w:lang w:val="pt-BR"/>
        </w:rPr>
        <w:t xml:space="preserve">Para explicar a transformação social pela influência, Moscovici (1980) compara o seu modelo genético com o modelo funcionalista, mostrando que o primeiro explica </w:t>
      </w:r>
      <w:r w:rsidRPr="005C4557">
        <w:rPr>
          <w:lang w:val="pt-BR"/>
        </w:rPr>
        <w:t>a produção da diversidade e de inovações na sociedade, enquanto o último explica a padronização e o estabelecimento da conformidade.</w:t>
      </w:r>
    </w:p>
    <w:p w:rsidR="00E51BA7" w:rsidRPr="005C4557" w:rsidRDefault="00A81234">
      <w:pPr>
        <w:widowControl w:val="0"/>
        <w:spacing w:line="360" w:lineRule="auto"/>
        <w:ind w:firstLine="708"/>
        <w:rPr>
          <w:lang w:val="pt-BR"/>
        </w:rPr>
      </w:pPr>
      <w:r w:rsidRPr="005C4557">
        <w:rPr>
          <w:lang w:val="pt-BR"/>
        </w:rPr>
        <w:t xml:space="preserve">A influência no modelo funcionalista era pensada de forma unilateral, da fonte para </w:t>
      </w:r>
      <w:proofErr w:type="gramStart"/>
      <w:r w:rsidRPr="005C4557">
        <w:rPr>
          <w:lang w:val="pt-BR"/>
        </w:rPr>
        <w:t>o(</w:t>
      </w:r>
      <w:proofErr w:type="gramEnd"/>
      <w:r w:rsidRPr="005C4557">
        <w:rPr>
          <w:lang w:val="pt-BR"/>
        </w:rPr>
        <w:t>s) alvo(s), somente a maioria ou o gr</w:t>
      </w:r>
      <w:r w:rsidRPr="005C4557">
        <w:rPr>
          <w:lang w:val="pt-BR"/>
        </w:rPr>
        <w:t xml:space="preserve">upo poderia ser apresentado como fonte e somente a minoria ou o indivíduo era o alvo. Para haver um processo de influência, era necessário haver assimetria </w:t>
      </w:r>
      <w:r w:rsidRPr="005C4557">
        <w:rPr>
          <w:lang w:val="pt-BR"/>
        </w:rPr>
        <w:lastRenderedPageBreak/>
        <w:t>e dependência (Gardikiotis, 2011). A assimetria é a desigualdade de posições, em termos de número, s</w:t>
      </w:r>
      <w:r w:rsidRPr="005C4557">
        <w:rPr>
          <w:lang w:val="pt-BR"/>
        </w:rPr>
        <w:t xml:space="preserve">tatus ou poder para estabelecer normas, que gera a dependência de um indivíduo ou grupo em relação a outro, sendo a maioria fonte independente e a minoria alvo dependente (Moscovici, 2011). </w:t>
      </w:r>
    </w:p>
    <w:p w:rsidR="00E51BA7" w:rsidRPr="005C4557" w:rsidRDefault="00A81234">
      <w:pPr>
        <w:widowControl w:val="0"/>
        <w:spacing w:line="360" w:lineRule="auto"/>
        <w:ind w:firstLine="708"/>
        <w:rPr>
          <w:lang w:val="pt-BR"/>
        </w:rPr>
      </w:pPr>
      <w:r w:rsidRPr="005C4557">
        <w:rPr>
          <w:lang w:val="pt-BR"/>
        </w:rPr>
        <w:t>O objetivo dos processos de influência era, portanto, gerar ou ap</w:t>
      </w:r>
      <w:r w:rsidRPr="005C4557">
        <w:rPr>
          <w:lang w:val="pt-BR"/>
        </w:rPr>
        <w:t>licar normas sociais para orientar a relação dos sujeitos com o ambiente, por meio da redução da incerteza em objetos desconhecidos ou ambíguos; bem como manter a funcionalidade das relações intra e intergrupais, evitando ou minimizando dissensos e conflit</w:t>
      </w:r>
      <w:r w:rsidRPr="005C4557">
        <w:rPr>
          <w:lang w:val="pt-BR"/>
        </w:rPr>
        <w:t>os (Moscovici, 1980). Os processos de influência social eram concebidos no formato de conformismo, portanto, com a função de estabelecer informações objetivas sobre a realidade (norma de objetividade) ou fazer com que o grupo tivesse coesão, por meio da co</w:t>
      </w:r>
      <w:r w:rsidRPr="005C4557">
        <w:rPr>
          <w:lang w:val="pt-BR"/>
        </w:rPr>
        <w:t>nformidade de seus indivíduos (normalização ou correção de desviantes) (Gardikiotis, 2011).</w:t>
      </w:r>
    </w:p>
    <w:p w:rsidR="00E51BA7" w:rsidRPr="005C4557" w:rsidRDefault="00E51BA7">
      <w:pPr>
        <w:widowControl w:val="0"/>
        <w:spacing w:line="360" w:lineRule="auto"/>
        <w:ind w:firstLine="708"/>
        <w:rPr>
          <w:lang w:val="pt-BR"/>
        </w:rPr>
      </w:pPr>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3" w:name="_1fob9te" w:colFirst="0" w:colLast="0"/>
      <w:bookmarkEnd w:id="3"/>
      <w:r w:rsidRPr="005C4557">
        <w:rPr>
          <w:rFonts w:ascii="Times New Roman" w:eastAsia="Times New Roman" w:hAnsi="Times New Roman" w:cs="Times New Roman"/>
          <w:b/>
          <w:color w:val="000000"/>
          <w:sz w:val="24"/>
          <w:szCs w:val="24"/>
          <w:lang w:val="pt-BR"/>
        </w:rPr>
        <w:t>Reinterpretações e avanços a partir do modelo funcionalista</w:t>
      </w:r>
    </w:p>
    <w:p w:rsidR="00E51BA7" w:rsidRPr="005C4557" w:rsidRDefault="00A81234">
      <w:pPr>
        <w:widowControl w:val="0"/>
        <w:spacing w:line="360" w:lineRule="auto"/>
        <w:ind w:firstLine="708"/>
        <w:rPr>
          <w:lang w:val="pt-BR"/>
        </w:rPr>
      </w:pPr>
      <w:r w:rsidRPr="005C4557">
        <w:rPr>
          <w:lang w:val="pt-BR"/>
        </w:rPr>
        <w:t>Moscovici reinterpreta os conceitos de maioria e minoria, deixando a concepção puramente quantitativa d</w:t>
      </w:r>
      <w:r w:rsidRPr="005C4557">
        <w:rPr>
          <w:lang w:val="pt-BR"/>
        </w:rPr>
        <w:t>o modelo funcionalista para uma também qualitativa (Faucheux &amp; Moscovici, 1967), e rompe com o condicionamento da influência pela dependência entre as partes (Moscovici, Lage &amp; Naffrechoux, 1969). Os processos de influência passam a ser examinados, metodol</w:t>
      </w:r>
      <w:r w:rsidRPr="005C4557">
        <w:rPr>
          <w:lang w:val="pt-BR"/>
        </w:rPr>
        <w:t xml:space="preserve">ogicamente, em duas direções: além da relação maioria-minoria e grupo-indivíduo, passa-se também a conceber que indivíduos influenciam grupos e minorias influenciam maiorias – ambos sem possuir status especial ou estar em posição superior. Mudou-se também </w:t>
      </w:r>
      <w:r w:rsidRPr="005C4557">
        <w:rPr>
          <w:lang w:val="pt-BR"/>
        </w:rPr>
        <w:t>o meio de desenvolvimento da influência: o conflito deixou de ser negativo, um problema a ser evitado ou superado nas relações grupais, e passou a ter o papel de desencadeador da inovação (Moscovici, 2011).</w:t>
      </w:r>
    </w:p>
    <w:p w:rsidR="00E51BA7" w:rsidRPr="005C4557" w:rsidRDefault="00E51BA7">
      <w:pPr>
        <w:widowControl w:val="0"/>
        <w:spacing w:line="360" w:lineRule="auto"/>
        <w:ind w:firstLine="708"/>
        <w:rPr>
          <w:lang w:val="pt-BR"/>
        </w:rPr>
      </w:pPr>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4" w:name="_3znysh7" w:colFirst="0" w:colLast="0"/>
      <w:bookmarkEnd w:id="4"/>
      <w:r w:rsidRPr="005C4557">
        <w:rPr>
          <w:rFonts w:ascii="Times New Roman" w:eastAsia="Times New Roman" w:hAnsi="Times New Roman" w:cs="Times New Roman"/>
          <w:b/>
          <w:color w:val="000000"/>
          <w:sz w:val="24"/>
          <w:szCs w:val="24"/>
          <w:lang w:val="pt-BR"/>
        </w:rPr>
        <w:t>Minorias ativas, consistência e conversão</w:t>
      </w:r>
    </w:p>
    <w:p w:rsidR="00E51BA7" w:rsidRPr="005C4557" w:rsidRDefault="00A81234">
      <w:pPr>
        <w:widowControl w:val="0"/>
        <w:spacing w:line="360" w:lineRule="auto"/>
        <w:ind w:firstLine="708"/>
        <w:rPr>
          <w:lang w:val="pt-BR"/>
        </w:rPr>
      </w:pPr>
      <w:r w:rsidRPr="005C4557">
        <w:rPr>
          <w:lang w:val="pt-BR"/>
        </w:rPr>
        <w:t>Moscov</w:t>
      </w:r>
      <w:r w:rsidRPr="005C4557">
        <w:rPr>
          <w:lang w:val="pt-BR"/>
        </w:rPr>
        <w:t>ici (1980; 2011) afirma que as normas sociais estabelecidas pelas maiorias são desafiadas pelas normas das minorias (nômicas) ativas. É importante a qualificação de ativas por duas razões. Primeiro, são diferentes de minorias anômicas, grupos que não segue</w:t>
      </w:r>
      <w:r w:rsidRPr="005C4557">
        <w:rPr>
          <w:lang w:val="pt-BR"/>
        </w:rPr>
        <w:t xml:space="preserve">m as normas estabelecidas, mas também não possuem normas próprias, como moradores de rua, adolescentes rebeldes e delinquentes diversos. Segundo, as minorias ativas são distintas também das que são </w:t>
      </w:r>
      <w:r w:rsidRPr="005C4557">
        <w:rPr>
          <w:lang w:val="pt-BR"/>
        </w:rPr>
        <w:lastRenderedPageBreak/>
        <w:t>apenas nômicas, porque as últimas não geram conflitos soci</w:t>
      </w:r>
      <w:r w:rsidRPr="005C4557">
        <w:rPr>
          <w:lang w:val="pt-BR"/>
        </w:rPr>
        <w:t xml:space="preserve">ais, por manterem-se isoladas, numa relação de aporia – os </w:t>
      </w:r>
      <w:proofErr w:type="spellStart"/>
      <w:r w:rsidRPr="005C4557">
        <w:rPr>
          <w:lang w:val="pt-BR"/>
        </w:rPr>
        <w:t>amishes</w:t>
      </w:r>
      <w:proofErr w:type="spellEnd"/>
      <w:r w:rsidRPr="005C4557">
        <w:rPr>
          <w:lang w:val="pt-BR"/>
        </w:rPr>
        <w:t>, alguns povos indígenas e grupos de afinidades, como colecionadores ou fãs de gêneros musicais, podem ser aí enquadrados. As minorias ativas são aquelas que possuem uma outra norma e o dese</w:t>
      </w:r>
      <w:r w:rsidRPr="005C4557">
        <w:rPr>
          <w:lang w:val="pt-BR"/>
        </w:rPr>
        <w:t xml:space="preserve">jo de implementá-la (Moscovici, 1980), tais como os antigos movimentos </w:t>
      </w:r>
      <w:proofErr w:type="spellStart"/>
      <w:r w:rsidRPr="005C4557">
        <w:rPr>
          <w:lang w:val="pt-BR"/>
        </w:rPr>
        <w:t>anti-escravagistas</w:t>
      </w:r>
      <w:proofErr w:type="spellEnd"/>
      <w:r w:rsidRPr="005C4557">
        <w:rPr>
          <w:lang w:val="pt-BR"/>
        </w:rPr>
        <w:t xml:space="preserve"> e os atuais </w:t>
      </w:r>
      <w:proofErr w:type="spellStart"/>
      <w:r w:rsidRPr="005C4557">
        <w:rPr>
          <w:lang w:val="pt-BR"/>
        </w:rPr>
        <w:t>veganos</w:t>
      </w:r>
      <w:proofErr w:type="spellEnd"/>
      <w:r w:rsidRPr="005C4557">
        <w:rPr>
          <w:lang w:val="pt-BR"/>
        </w:rPr>
        <w:t>.</w:t>
      </w:r>
    </w:p>
    <w:p w:rsidR="00E51BA7" w:rsidRPr="005C4557" w:rsidRDefault="00A81234">
      <w:pPr>
        <w:widowControl w:val="0"/>
        <w:spacing w:line="360" w:lineRule="auto"/>
        <w:ind w:firstLine="708"/>
        <w:rPr>
          <w:lang w:val="pt-BR"/>
        </w:rPr>
      </w:pPr>
      <w:r w:rsidRPr="005C4557">
        <w:rPr>
          <w:lang w:val="pt-BR"/>
        </w:rPr>
        <w:t>As minorias ativas disputam o campo social e conflitam com a norma estabelecida e endossada pela maioria. O conjunto de comportamentos da fonte n</w:t>
      </w:r>
      <w:r w:rsidRPr="005C4557">
        <w:rPr>
          <w:lang w:val="pt-BR"/>
        </w:rPr>
        <w:t>a interação do processo de influência é chamado de estilo de comportamento (Moscovici, 2011). O estilo de comportamento consistente, ou consistência comportamental, tem duas dimensões: a sincrônica e a diacrônica. A sincrônica é o consenso do grupo minorit</w:t>
      </w:r>
      <w:r w:rsidRPr="005C4557">
        <w:rPr>
          <w:lang w:val="pt-BR"/>
        </w:rPr>
        <w:t>ário acerca da sua posição, sua coesão interna, exibida pelo consenso grupal (não necessariamente unanimidade), em diferentes contextos. A diacrônica é a manutenção dessa posição ao longo do tempo, a persistência da defesa da ideia, sua estabilidade cronol</w:t>
      </w:r>
      <w:r w:rsidRPr="005C4557">
        <w:rPr>
          <w:lang w:val="pt-BR"/>
        </w:rPr>
        <w:t>ógica (Moscovici, 2011).</w:t>
      </w:r>
    </w:p>
    <w:p w:rsidR="00E51BA7" w:rsidRPr="005C4557" w:rsidRDefault="00E51BA7">
      <w:pPr>
        <w:widowControl w:val="0"/>
        <w:spacing w:line="360" w:lineRule="auto"/>
        <w:ind w:firstLine="708"/>
        <w:rPr>
          <w:lang w:val="pt-BR"/>
        </w:rPr>
      </w:pPr>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5" w:name="_1ksv4uv" w:colFirst="0" w:colLast="0"/>
      <w:bookmarkEnd w:id="5"/>
      <w:r w:rsidRPr="005C4557">
        <w:rPr>
          <w:rFonts w:ascii="Times New Roman" w:eastAsia="Times New Roman" w:hAnsi="Times New Roman" w:cs="Times New Roman"/>
          <w:b/>
          <w:color w:val="000000"/>
          <w:sz w:val="24"/>
          <w:szCs w:val="24"/>
          <w:lang w:val="pt-BR"/>
        </w:rPr>
        <w:t>Teoria da conversão</w:t>
      </w:r>
    </w:p>
    <w:p w:rsidR="00E51BA7" w:rsidRPr="005C4557" w:rsidRDefault="00A81234">
      <w:pPr>
        <w:widowControl w:val="0"/>
        <w:spacing w:line="360" w:lineRule="auto"/>
        <w:ind w:firstLine="708"/>
        <w:rPr>
          <w:lang w:val="pt-BR"/>
        </w:rPr>
      </w:pPr>
      <w:r w:rsidRPr="005C4557">
        <w:rPr>
          <w:lang w:val="pt-BR"/>
        </w:rPr>
        <w:t>A teoria da conversão (Moscovici, 1980) vem de um artigo que nomeia a teoria e é uma espécie de compilação. Ela é também um refinamento teórico que coloca a conversão como o objetivo último dos processos de influência pelas minorias ativas.</w:t>
      </w:r>
    </w:p>
    <w:p w:rsidR="00E51BA7" w:rsidRPr="005C4557" w:rsidRDefault="00A81234">
      <w:pPr>
        <w:widowControl w:val="0"/>
        <w:spacing w:line="360" w:lineRule="auto"/>
        <w:ind w:firstLine="708"/>
        <w:rPr>
          <w:lang w:val="pt-BR"/>
        </w:rPr>
      </w:pPr>
      <w:r w:rsidRPr="005C4557">
        <w:rPr>
          <w:lang w:val="pt-BR"/>
        </w:rPr>
        <w:t>Moscovici (1980</w:t>
      </w:r>
      <w:r w:rsidRPr="005C4557">
        <w:rPr>
          <w:lang w:val="pt-BR"/>
        </w:rPr>
        <w:t>) propunha que todas as tentativas de influência geram um conflito, independente da fonte. Se for uma maioria, ocorrerá um conflito normativo, imediato e em âmbito público, a comparação normativa, o contraste com o comportamento ou opinião dos membros do g</w:t>
      </w:r>
      <w:r w:rsidRPr="005C4557">
        <w:rPr>
          <w:lang w:val="pt-BR"/>
        </w:rPr>
        <w:t>rupo entre si. Se for uma minoria ativa com comportamento consistente, desencadeará um conflito informacional, a disputa de ideias, que em geral será posterior e em âmbito privado. Pela esfera pública ser o âmbito da pressão da maioria, o conflito informac</w:t>
      </w:r>
      <w:r w:rsidRPr="005C4557">
        <w:rPr>
          <w:lang w:val="pt-BR"/>
        </w:rPr>
        <w:t>ional só pode ser proposto por uma minoria que evite a comparação normativa, que não pertença ao mesmo grupo social da maioria, portanto, uma minoria exogrupal. Se a minoria fosse endogrupal a pressão normativa recairia sobre ela e sua posição não seria co</w:t>
      </w:r>
      <w:r w:rsidRPr="005C4557">
        <w:rPr>
          <w:lang w:val="pt-BR"/>
        </w:rPr>
        <w:t>nsiderada, gerando um conflito normativo, de acordo com Moscovici (1980).</w:t>
      </w:r>
    </w:p>
    <w:p w:rsidR="00E51BA7" w:rsidRPr="005C4557" w:rsidRDefault="00A81234">
      <w:pPr>
        <w:widowControl w:val="0"/>
        <w:spacing w:line="360" w:lineRule="auto"/>
        <w:ind w:firstLine="708"/>
        <w:rPr>
          <w:lang w:val="pt-BR"/>
        </w:rPr>
      </w:pPr>
      <w:r w:rsidRPr="005C4557">
        <w:rPr>
          <w:lang w:val="pt-BR"/>
        </w:rPr>
        <w:t>O conflito informacional proposto pelas minorias consistentes precisa ser resolvido pela maioria. Se elas não cedem em suas posições abertamente, o ônus pesará cada vez mais sobre el</w:t>
      </w:r>
      <w:r w:rsidRPr="005C4557">
        <w:rPr>
          <w:lang w:val="pt-BR"/>
        </w:rPr>
        <w:t xml:space="preserve">as, causando um desconforto psicológico interno. Assim, quanto menos um conflito </w:t>
      </w:r>
      <w:r w:rsidRPr="005C4557">
        <w:rPr>
          <w:lang w:val="pt-BR"/>
        </w:rPr>
        <w:lastRenderedPageBreak/>
        <w:t>informacional é reduzido no nível público, por aquiescência à pressão majoritária, em conformidade com o grupo, mais ele precisará ser reduzido no nível privado, pelo processo</w:t>
      </w:r>
      <w:r w:rsidRPr="005C4557">
        <w:rPr>
          <w:lang w:val="pt-BR"/>
        </w:rPr>
        <w:t xml:space="preserve"> de validação informacional - a análise cognitiva da posição (norma ou ideia) da minoria, que leva à conversão (Moscovici, 1980).</w:t>
      </w:r>
    </w:p>
    <w:p w:rsidR="00E51BA7" w:rsidRPr="005C4557" w:rsidRDefault="00A81234">
      <w:pPr>
        <w:widowControl w:val="0"/>
        <w:spacing w:line="360" w:lineRule="auto"/>
        <w:ind w:firstLine="709"/>
        <w:rPr>
          <w:lang w:val="pt-BR"/>
        </w:rPr>
      </w:pPr>
      <w:r w:rsidRPr="005C4557">
        <w:rPr>
          <w:lang w:val="pt-BR"/>
        </w:rPr>
        <w:t>A partir da percepção que os sujeitos nos estudos clássicos se relacionavam de forma relevante ora com o objeto, conteúdo do p</w:t>
      </w:r>
      <w:r w:rsidRPr="005C4557">
        <w:rPr>
          <w:lang w:val="pt-BR"/>
        </w:rPr>
        <w:t>rocesso de influência, ora com os outros membros, forma das relações de influência, Moscovici (2011) seguiu a distinção de Deutsch e Gerard (1955) de influência informacional e normativa, respectivamente. Na teoria da conversão (1980), Moscovici postulou q</w:t>
      </w:r>
      <w:r w:rsidRPr="005C4557">
        <w:rPr>
          <w:lang w:val="pt-BR"/>
        </w:rPr>
        <w:t>ue a influência ocorre em dois níveis e duas formas distintas, conforme seu tipo: à influência normativa corresponde o nível direto, de forma manifesta, em âmbito público; e à influência informacional corresponde o nível indireto, de forma latente, em âmbi</w:t>
      </w:r>
      <w:r w:rsidRPr="005C4557">
        <w:rPr>
          <w:lang w:val="pt-BR"/>
        </w:rPr>
        <w:t>to privado.</w:t>
      </w:r>
    </w:p>
    <w:p w:rsidR="00E51BA7" w:rsidRPr="005C4557" w:rsidRDefault="00A81234">
      <w:pPr>
        <w:widowControl w:val="0"/>
        <w:spacing w:line="360" w:lineRule="auto"/>
        <w:ind w:firstLine="709"/>
        <w:rPr>
          <w:lang w:val="pt-BR"/>
        </w:rPr>
      </w:pPr>
      <w:r w:rsidRPr="005C4557">
        <w:rPr>
          <w:lang w:val="pt-BR"/>
        </w:rPr>
        <w:t xml:space="preserve">Os efeitos latentes são em geral inconscientes, podem ser tardios e indiretos, adjacentes ou periféricos ao tópico ou objeto do processo de influência, portanto privados. Os efeitos manifestos, por sua vez, foram vistos anteriormente no modelo </w:t>
      </w:r>
      <w:r w:rsidRPr="005C4557">
        <w:rPr>
          <w:lang w:val="pt-BR"/>
        </w:rPr>
        <w:t xml:space="preserve">funcionalista, sendo em geral conscientes, imediatos e diretamente sobre o objeto ou tópico, portanto públicos (Moscovici, 1980). </w:t>
      </w:r>
    </w:p>
    <w:p w:rsidR="00E51BA7" w:rsidRPr="005C4557" w:rsidRDefault="00E51BA7">
      <w:pPr>
        <w:widowControl w:val="0"/>
        <w:spacing w:line="360" w:lineRule="auto"/>
        <w:ind w:firstLine="708"/>
        <w:rPr>
          <w:lang w:val="pt-BR"/>
        </w:rPr>
      </w:pPr>
    </w:p>
    <w:p w:rsidR="00E51BA7" w:rsidRPr="005C4557" w:rsidRDefault="00A81234">
      <w:pPr>
        <w:pStyle w:val="Ttulo1"/>
        <w:keepLines w:val="0"/>
        <w:spacing w:before="0" w:after="0" w:line="360" w:lineRule="auto"/>
        <w:jc w:val="center"/>
        <w:rPr>
          <w:sz w:val="24"/>
          <w:szCs w:val="24"/>
          <w:lang w:val="pt-BR"/>
        </w:rPr>
      </w:pPr>
      <w:bookmarkStart w:id="6" w:name="_2et92p0" w:colFirst="0" w:colLast="0"/>
      <w:bookmarkEnd w:id="6"/>
      <w:r w:rsidRPr="005C4557">
        <w:rPr>
          <w:sz w:val="24"/>
          <w:szCs w:val="24"/>
          <w:lang w:val="pt-BR"/>
        </w:rPr>
        <w:t>Os Experimentos Azul-Verde de Moscovici</w:t>
      </w:r>
    </w:p>
    <w:p w:rsidR="00E51BA7" w:rsidRPr="005C4557" w:rsidRDefault="00A81234">
      <w:pPr>
        <w:widowControl w:val="0"/>
        <w:spacing w:line="360" w:lineRule="auto"/>
        <w:ind w:firstLine="709"/>
        <w:rPr>
          <w:lang w:val="pt-BR"/>
        </w:rPr>
      </w:pPr>
      <w:r w:rsidRPr="005C4557">
        <w:rPr>
          <w:lang w:val="pt-BR"/>
        </w:rPr>
        <w:t xml:space="preserve">Moscovici realizou estudos experimentais que formam o chamado paradigma azul-verde: </w:t>
      </w:r>
      <w:r w:rsidRPr="005C4557">
        <w:rPr>
          <w:lang w:val="pt-BR"/>
        </w:rPr>
        <w:t>Moscovici, Lage e Naffrechoux, 1969; Moscovici e Lage, 1976; e Moscovici e Personnaz, 1980. Com eles, demonstrou a existência da influência minoritária, testou algumas das suas suposições teóricas e propôs-se a investigar os processos de influência em níve</w:t>
      </w:r>
      <w:r w:rsidRPr="005C4557">
        <w:rPr>
          <w:lang w:val="pt-BR"/>
        </w:rPr>
        <w:t>is posicionais e ideológicos dentro do laboratório.</w:t>
      </w:r>
    </w:p>
    <w:p w:rsidR="00E51BA7" w:rsidRPr="005C4557" w:rsidRDefault="00A81234">
      <w:pPr>
        <w:widowControl w:val="0"/>
        <w:spacing w:line="360" w:lineRule="auto"/>
        <w:ind w:firstLine="709"/>
        <w:rPr>
          <w:lang w:val="pt-BR"/>
        </w:rPr>
      </w:pPr>
      <w:r w:rsidRPr="005C4557">
        <w:rPr>
          <w:lang w:val="pt-BR"/>
        </w:rPr>
        <w:t xml:space="preserve">Faucheux e Moscovici (1967), em “Le </w:t>
      </w:r>
      <w:proofErr w:type="spellStart"/>
      <w:r w:rsidRPr="005C4557">
        <w:rPr>
          <w:lang w:val="pt-BR"/>
        </w:rPr>
        <w:t>style</w:t>
      </w:r>
      <w:proofErr w:type="spellEnd"/>
      <w:r w:rsidRPr="005C4557">
        <w:rPr>
          <w:lang w:val="pt-BR"/>
        </w:rPr>
        <w:t xml:space="preserve"> de </w:t>
      </w:r>
      <w:proofErr w:type="spellStart"/>
      <w:r w:rsidRPr="005C4557">
        <w:rPr>
          <w:lang w:val="pt-BR"/>
        </w:rPr>
        <w:t>comportement</w:t>
      </w:r>
      <w:proofErr w:type="spellEnd"/>
      <w:r w:rsidRPr="005C4557">
        <w:rPr>
          <w:lang w:val="pt-BR"/>
        </w:rPr>
        <w:t xml:space="preserve"> d'une </w:t>
      </w:r>
      <w:proofErr w:type="spellStart"/>
      <w:r w:rsidRPr="005C4557">
        <w:rPr>
          <w:lang w:val="pt-BR"/>
        </w:rPr>
        <w:t>minorité</w:t>
      </w:r>
      <w:proofErr w:type="spellEnd"/>
      <w:r w:rsidRPr="005C4557">
        <w:rPr>
          <w:lang w:val="pt-BR"/>
        </w:rPr>
        <w:t xml:space="preserve"> et </w:t>
      </w:r>
      <w:proofErr w:type="spellStart"/>
      <w:r w:rsidRPr="005C4557">
        <w:rPr>
          <w:lang w:val="pt-BR"/>
        </w:rPr>
        <w:t>son</w:t>
      </w:r>
      <w:proofErr w:type="spellEnd"/>
      <w:r w:rsidRPr="005C4557">
        <w:rPr>
          <w:lang w:val="pt-BR"/>
        </w:rPr>
        <w:t xml:space="preserve"> </w:t>
      </w:r>
      <w:proofErr w:type="spellStart"/>
      <w:r w:rsidRPr="005C4557">
        <w:rPr>
          <w:lang w:val="pt-BR"/>
        </w:rPr>
        <w:t>influence</w:t>
      </w:r>
      <w:proofErr w:type="spellEnd"/>
      <w:r w:rsidRPr="005C4557">
        <w:rPr>
          <w:lang w:val="pt-BR"/>
        </w:rPr>
        <w:t xml:space="preserve"> </w:t>
      </w:r>
      <w:proofErr w:type="spellStart"/>
      <w:r w:rsidRPr="005C4557">
        <w:rPr>
          <w:lang w:val="pt-BR"/>
        </w:rPr>
        <w:t>sur</w:t>
      </w:r>
      <w:proofErr w:type="spellEnd"/>
      <w:r w:rsidRPr="005C4557">
        <w:rPr>
          <w:lang w:val="pt-BR"/>
        </w:rPr>
        <w:t xml:space="preserve"> </w:t>
      </w:r>
      <w:proofErr w:type="spellStart"/>
      <w:r w:rsidRPr="005C4557">
        <w:rPr>
          <w:lang w:val="pt-BR"/>
        </w:rPr>
        <w:t>les</w:t>
      </w:r>
      <w:proofErr w:type="spellEnd"/>
      <w:r w:rsidRPr="005C4557">
        <w:rPr>
          <w:lang w:val="pt-BR"/>
        </w:rPr>
        <w:t xml:space="preserve"> </w:t>
      </w:r>
      <w:proofErr w:type="spellStart"/>
      <w:r w:rsidRPr="005C4557">
        <w:rPr>
          <w:lang w:val="pt-BR"/>
        </w:rPr>
        <w:t>réponses</w:t>
      </w:r>
      <w:proofErr w:type="spellEnd"/>
      <w:r w:rsidRPr="005C4557">
        <w:rPr>
          <w:lang w:val="pt-BR"/>
        </w:rPr>
        <w:t xml:space="preserve"> d'une </w:t>
      </w:r>
      <w:proofErr w:type="spellStart"/>
      <w:r w:rsidRPr="005C4557">
        <w:rPr>
          <w:lang w:val="pt-BR"/>
        </w:rPr>
        <w:t>majorité</w:t>
      </w:r>
      <w:proofErr w:type="spellEnd"/>
      <w:r w:rsidRPr="005C4557">
        <w:rPr>
          <w:lang w:val="pt-BR"/>
        </w:rPr>
        <w:t>”, fizeram estudo sobre influência por minorias, mas sem considerar a influência mi</w:t>
      </w:r>
      <w:r w:rsidRPr="005C4557">
        <w:rPr>
          <w:lang w:val="pt-BR"/>
        </w:rPr>
        <w:t>noritária como outro tipo (indireta, latente, privada), por isso ele não é incluído no paradigma. Há outros dois estudos dentro do conjunto azul-verde: Moscovici e Lage (1978), “</w:t>
      </w:r>
      <w:proofErr w:type="spellStart"/>
      <w:r w:rsidRPr="005C4557">
        <w:rPr>
          <w:lang w:val="pt-BR"/>
        </w:rPr>
        <w:t>Studies</w:t>
      </w:r>
      <w:proofErr w:type="spellEnd"/>
      <w:r w:rsidRPr="005C4557">
        <w:rPr>
          <w:lang w:val="pt-BR"/>
        </w:rPr>
        <w:t xml:space="preserve"> in Social </w:t>
      </w:r>
      <w:proofErr w:type="spellStart"/>
      <w:r w:rsidRPr="005C4557">
        <w:rPr>
          <w:lang w:val="pt-BR"/>
        </w:rPr>
        <w:t>Influence</w:t>
      </w:r>
      <w:proofErr w:type="spellEnd"/>
      <w:r w:rsidRPr="005C4557">
        <w:rPr>
          <w:lang w:val="pt-BR"/>
        </w:rPr>
        <w:t xml:space="preserve"> IV: </w:t>
      </w:r>
      <w:proofErr w:type="spellStart"/>
      <w:r w:rsidRPr="005C4557">
        <w:rPr>
          <w:lang w:val="pt-BR"/>
        </w:rPr>
        <w:t>minority</w:t>
      </w:r>
      <w:proofErr w:type="spellEnd"/>
      <w:r w:rsidRPr="005C4557">
        <w:rPr>
          <w:lang w:val="pt-BR"/>
        </w:rPr>
        <w:t xml:space="preserve"> </w:t>
      </w:r>
      <w:proofErr w:type="spellStart"/>
      <w:r w:rsidRPr="005C4557">
        <w:rPr>
          <w:lang w:val="pt-BR"/>
        </w:rPr>
        <w:t>influence</w:t>
      </w:r>
      <w:proofErr w:type="spellEnd"/>
      <w:r w:rsidRPr="005C4557">
        <w:rPr>
          <w:lang w:val="pt-BR"/>
        </w:rPr>
        <w:t xml:space="preserve"> in a </w:t>
      </w:r>
      <w:proofErr w:type="spellStart"/>
      <w:r w:rsidRPr="005C4557">
        <w:rPr>
          <w:lang w:val="pt-BR"/>
        </w:rPr>
        <w:t>context</w:t>
      </w:r>
      <w:proofErr w:type="spellEnd"/>
      <w:r w:rsidRPr="005C4557">
        <w:rPr>
          <w:lang w:val="pt-BR"/>
        </w:rPr>
        <w:t xml:space="preserve"> </w:t>
      </w:r>
      <w:proofErr w:type="spellStart"/>
      <w:r w:rsidRPr="005C4557">
        <w:rPr>
          <w:lang w:val="pt-BR"/>
        </w:rPr>
        <w:t>of</w:t>
      </w:r>
      <w:proofErr w:type="spellEnd"/>
      <w:r w:rsidRPr="005C4557">
        <w:rPr>
          <w:lang w:val="pt-BR"/>
        </w:rPr>
        <w:t xml:space="preserve"> original </w:t>
      </w:r>
      <w:proofErr w:type="spellStart"/>
      <w:r w:rsidRPr="005C4557">
        <w:rPr>
          <w:lang w:val="pt-BR"/>
        </w:rPr>
        <w:t>ju</w:t>
      </w:r>
      <w:r w:rsidRPr="005C4557">
        <w:rPr>
          <w:lang w:val="pt-BR"/>
        </w:rPr>
        <w:t>dgements</w:t>
      </w:r>
      <w:proofErr w:type="spellEnd"/>
      <w:r w:rsidRPr="005C4557">
        <w:rPr>
          <w:lang w:val="pt-BR"/>
        </w:rPr>
        <w:t>”; e Moscovici e Personnaz (1980), “</w:t>
      </w:r>
      <w:proofErr w:type="spellStart"/>
      <w:r w:rsidRPr="005C4557">
        <w:rPr>
          <w:lang w:val="pt-BR"/>
        </w:rPr>
        <w:t>Studies</w:t>
      </w:r>
      <w:proofErr w:type="spellEnd"/>
      <w:r w:rsidRPr="005C4557">
        <w:rPr>
          <w:lang w:val="pt-BR"/>
        </w:rPr>
        <w:t xml:space="preserve"> in Social </w:t>
      </w:r>
      <w:proofErr w:type="spellStart"/>
      <w:r w:rsidRPr="005C4557">
        <w:rPr>
          <w:lang w:val="pt-BR"/>
        </w:rPr>
        <w:t>Influence</w:t>
      </w:r>
      <w:proofErr w:type="spellEnd"/>
      <w:r w:rsidRPr="005C4557">
        <w:rPr>
          <w:lang w:val="pt-BR"/>
        </w:rPr>
        <w:t xml:space="preserve"> V. </w:t>
      </w:r>
      <w:proofErr w:type="spellStart"/>
      <w:r w:rsidRPr="005C4557">
        <w:rPr>
          <w:lang w:val="pt-BR"/>
        </w:rPr>
        <w:t>Minority</w:t>
      </w:r>
      <w:proofErr w:type="spellEnd"/>
      <w:r w:rsidRPr="005C4557">
        <w:rPr>
          <w:lang w:val="pt-BR"/>
        </w:rPr>
        <w:t xml:space="preserve"> </w:t>
      </w:r>
      <w:proofErr w:type="spellStart"/>
      <w:r w:rsidRPr="005C4557">
        <w:rPr>
          <w:lang w:val="pt-BR"/>
        </w:rPr>
        <w:t>Influence</w:t>
      </w:r>
      <w:proofErr w:type="spellEnd"/>
      <w:r w:rsidRPr="005C4557">
        <w:rPr>
          <w:lang w:val="pt-BR"/>
        </w:rPr>
        <w:t xml:space="preserve"> </w:t>
      </w:r>
      <w:proofErr w:type="spellStart"/>
      <w:r w:rsidRPr="005C4557">
        <w:rPr>
          <w:lang w:val="pt-BR"/>
        </w:rPr>
        <w:t>and</w:t>
      </w:r>
      <w:proofErr w:type="spellEnd"/>
      <w:r w:rsidRPr="005C4557">
        <w:rPr>
          <w:lang w:val="pt-BR"/>
        </w:rPr>
        <w:t xml:space="preserve"> </w:t>
      </w:r>
      <w:proofErr w:type="spellStart"/>
      <w:r w:rsidRPr="005C4557">
        <w:rPr>
          <w:lang w:val="pt-BR"/>
        </w:rPr>
        <w:t>Conversion</w:t>
      </w:r>
      <w:proofErr w:type="spellEnd"/>
      <w:r w:rsidRPr="005C4557">
        <w:rPr>
          <w:lang w:val="pt-BR"/>
        </w:rPr>
        <w:t xml:space="preserve"> </w:t>
      </w:r>
      <w:proofErr w:type="spellStart"/>
      <w:r w:rsidRPr="005C4557">
        <w:rPr>
          <w:lang w:val="pt-BR"/>
        </w:rPr>
        <w:t>Behavior</w:t>
      </w:r>
      <w:proofErr w:type="spellEnd"/>
      <w:r w:rsidRPr="005C4557">
        <w:rPr>
          <w:lang w:val="pt-BR"/>
        </w:rPr>
        <w:t xml:space="preserve"> in a Perceptual </w:t>
      </w:r>
      <w:proofErr w:type="spellStart"/>
      <w:r w:rsidRPr="005C4557">
        <w:rPr>
          <w:lang w:val="pt-BR"/>
        </w:rPr>
        <w:t>Task</w:t>
      </w:r>
      <w:proofErr w:type="spellEnd"/>
      <w:r w:rsidRPr="005C4557">
        <w:rPr>
          <w:lang w:val="pt-BR"/>
        </w:rPr>
        <w:t>”, porém optamos por não incluir esses estudos em nossas análises, posto que investigaram questões adjacentes à influê</w:t>
      </w:r>
      <w:r w:rsidRPr="005C4557">
        <w:rPr>
          <w:lang w:val="pt-BR"/>
        </w:rPr>
        <w:t xml:space="preserve">ncia minoritária </w:t>
      </w:r>
      <w:r w:rsidRPr="005C4557">
        <w:rPr>
          <w:lang w:val="pt-BR"/>
        </w:rPr>
        <w:lastRenderedPageBreak/>
        <w:t>(norma de originalidade e relação cognitiva-perceptual do experimento), que não são o foco aqui.</w:t>
      </w:r>
    </w:p>
    <w:p w:rsidR="00E51BA7" w:rsidRPr="005C4557" w:rsidRDefault="00A81234">
      <w:pPr>
        <w:widowControl w:val="0"/>
        <w:spacing w:line="360" w:lineRule="auto"/>
        <w:ind w:firstLine="709"/>
        <w:rPr>
          <w:lang w:val="pt-BR"/>
        </w:rPr>
      </w:pPr>
      <w:r w:rsidRPr="005C4557">
        <w:rPr>
          <w:lang w:val="pt-BR"/>
        </w:rPr>
        <w:t>Moscovici desejava mostrar que uma minoria também pode exercer influência na sociedade. Seu estudo pioneiro de influência minoritária foi plan</w:t>
      </w:r>
      <w:r w:rsidRPr="005C4557">
        <w:rPr>
          <w:lang w:val="pt-BR"/>
        </w:rPr>
        <w:t>ejado para explorar a capacidade da minoria de produzir influência e comparar os seus dois níveis, o direto (público e manifesto) com o indireto (privado e latente).</w:t>
      </w:r>
    </w:p>
    <w:p w:rsidR="00E51BA7" w:rsidRPr="005C4557" w:rsidRDefault="00A81234">
      <w:pPr>
        <w:pStyle w:val="Ttulo2"/>
        <w:keepNext w:val="0"/>
        <w:spacing w:before="0" w:line="360" w:lineRule="auto"/>
        <w:rPr>
          <w:rFonts w:ascii="Times New Roman" w:eastAsia="Times New Roman" w:hAnsi="Times New Roman" w:cs="Times New Roman"/>
          <w:b/>
          <w:color w:val="000000"/>
          <w:sz w:val="24"/>
          <w:szCs w:val="24"/>
          <w:lang w:val="pt-BR"/>
        </w:rPr>
      </w:pPr>
      <w:bookmarkStart w:id="7" w:name="_tyjcwt" w:colFirst="0" w:colLast="0"/>
      <w:bookmarkEnd w:id="7"/>
      <w:r w:rsidRPr="005C4557">
        <w:rPr>
          <w:rFonts w:ascii="Times New Roman" w:eastAsia="Times New Roman" w:hAnsi="Times New Roman" w:cs="Times New Roman"/>
          <w:b/>
          <w:color w:val="000000"/>
          <w:sz w:val="24"/>
          <w:szCs w:val="24"/>
          <w:lang w:val="pt-BR"/>
        </w:rPr>
        <w:t>Primeira série de experimentos: a consistência minoritária converte</w:t>
      </w:r>
    </w:p>
    <w:p w:rsidR="00E51BA7" w:rsidRPr="005C4557" w:rsidRDefault="00A81234">
      <w:pPr>
        <w:widowControl w:val="0"/>
        <w:spacing w:line="360" w:lineRule="auto"/>
        <w:ind w:firstLine="708"/>
        <w:rPr>
          <w:lang w:val="pt-BR"/>
        </w:rPr>
      </w:pPr>
      <w:bookmarkStart w:id="8" w:name="_3dy6vkm" w:colFirst="0" w:colLast="0"/>
      <w:bookmarkEnd w:id="8"/>
      <w:r w:rsidRPr="005C4557">
        <w:rPr>
          <w:rFonts w:ascii="Cardo" w:eastAsia="Cardo" w:hAnsi="Cardo" w:cs="Cardo"/>
          <w:lang w:val="pt-BR"/>
        </w:rPr>
        <w:t>A primeira série de ex</w:t>
      </w:r>
      <w:r w:rsidRPr="005C4557">
        <w:rPr>
          <w:rFonts w:ascii="Cardo" w:eastAsia="Cardo" w:hAnsi="Cardo" w:cs="Cardo"/>
          <w:lang w:val="pt-BR"/>
        </w:rPr>
        <w:t>perimentos (Moscovici et al., 1969) consistiu em um estudo com duas partes: julgamento público de cores de slides e teste privado de discriminação de cores. Ambos foram realizados de maneira encoberta, como testes de percepção de cores e fadiga ocular, com</w:t>
      </w:r>
      <w:r w:rsidRPr="005C4557">
        <w:rPr>
          <w:rFonts w:ascii="Cardo" w:eastAsia="Cardo" w:hAnsi="Cardo" w:cs="Cardo"/>
          <w:lang w:val="pt-BR"/>
        </w:rPr>
        <w:t xml:space="preserve"> participação de comparsas de pesquisa (cúmplices que cumpriam papeis de participantes e respondiam de modo combinado), exceto nos grupos controle. As participantes, todas estudantes do sexo feminino (N=194 ⎼ essa é uma estimativa nossa, pois os autores (M</w:t>
      </w:r>
      <w:r w:rsidRPr="005C4557">
        <w:rPr>
          <w:rFonts w:ascii="Cardo" w:eastAsia="Cardo" w:hAnsi="Cardo" w:cs="Cardo"/>
          <w:lang w:val="pt-BR"/>
        </w:rPr>
        <w:t>oscovici et al., 1969) não informam o número exato no artigo. Nosso cálculo foi feito com base na composição dos grupos: 4 sujeitos críticos em cada um dos 43 grupos experimentais no laboratório (4x43=172) e 6 sujeitos críticos nos 4 grupos controle [6x4=2</w:t>
      </w:r>
      <w:r w:rsidRPr="005C4557">
        <w:rPr>
          <w:rFonts w:ascii="Cardo" w:eastAsia="Cardo" w:hAnsi="Cardo" w:cs="Cardo"/>
          <w:lang w:val="pt-BR"/>
        </w:rPr>
        <w:t>4], excluídos 2 sujeitos discrepantes (24-2=22), totalizando 194 (172+22=194).), realizaram o experimento em grupos de seis pessoas, sendo quatro sujeitos críticos e duas comparsas. Ao final, foram aplicados questionários individuais para avaliar a partici</w:t>
      </w:r>
      <w:r w:rsidRPr="005C4557">
        <w:rPr>
          <w:rFonts w:ascii="Cardo" w:eastAsia="Cardo" w:hAnsi="Cardo" w:cs="Cardo"/>
          <w:lang w:val="pt-BR"/>
        </w:rPr>
        <w:t>pação, suspeição e efeitos complementares da interação.</w:t>
      </w:r>
    </w:p>
    <w:p w:rsidR="00E51BA7" w:rsidRPr="005C4557" w:rsidRDefault="00A81234">
      <w:pPr>
        <w:keepLines/>
        <w:spacing w:line="360" w:lineRule="auto"/>
        <w:ind w:firstLine="708"/>
        <w:rPr>
          <w:lang w:val="pt-BR"/>
        </w:rPr>
      </w:pPr>
      <w:bookmarkStart w:id="9" w:name="_1t3h5sf" w:colFirst="0" w:colLast="0"/>
      <w:bookmarkEnd w:id="9"/>
      <w:r w:rsidRPr="005C4557">
        <w:rPr>
          <w:lang w:val="pt-BR"/>
        </w:rPr>
        <w:t xml:space="preserve">Na primeira parte houve duas condições principais, a consistente e inconsistente. Ela consistiu em 36 rodadas coletivas onde cada participante devia falar em voz alta a cor (a quantidade de respostas </w:t>
      </w:r>
      <w:r w:rsidRPr="005C4557">
        <w:rPr>
          <w:lang w:val="pt-BR"/>
        </w:rPr>
        <w:t>“verde” era a medida da variável dependente influência direta) e o brilho (resposta ignorada, a pergunta era feita apenas para dar maior realismo). A manipulação principal, variável independente binária, consistia nos comparsas responderem publicamente “ve</w:t>
      </w:r>
      <w:r w:rsidRPr="005C4557">
        <w:rPr>
          <w:lang w:val="pt-BR"/>
        </w:rPr>
        <w:t>rde” de dois modos. Na primeira condição, de “minoria consistente” (n=128), as respostas das comparsas eram sempre “verde”, nos 36 slides. Já na segunda, de “minoria inconsistente” (n=44), as respostas dos comparsas eram ⅔ “verde” e ⅓ “azul” (24/12), aleat</w:t>
      </w:r>
      <w:r w:rsidRPr="005C4557">
        <w:rPr>
          <w:lang w:val="pt-BR"/>
        </w:rPr>
        <w:t>oriamente distribuídas. Na condição controle não houve comparsas, nem manipulação.</w:t>
      </w:r>
    </w:p>
    <w:p w:rsidR="00E51BA7" w:rsidRPr="005C4557" w:rsidRDefault="00A81234">
      <w:pPr>
        <w:widowControl w:val="0"/>
        <w:spacing w:line="360" w:lineRule="auto"/>
        <w:ind w:firstLine="709"/>
        <w:rPr>
          <w:lang w:val="pt-BR"/>
        </w:rPr>
      </w:pPr>
      <w:r w:rsidRPr="005C4557">
        <w:rPr>
          <w:lang w:val="pt-BR"/>
        </w:rPr>
        <w:t xml:space="preserve">Como resultados da primeira parte, julgamento público dos slides, VD de influência </w:t>
      </w:r>
      <w:r w:rsidRPr="005C4557">
        <w:rPr>
          <w:lang w:val="pt-BR"/>
        </w:rPr>
        <w:lastRenderedPageBreak/>
        <w:t>direta, o grupo controle (n=22) teve 0,25% de respostas “verde” (um sujeito, com duas resp</w:t>
      </w:r>
      <w:r w:rsidRPr="005C4557">
        <w:rPr>
          <w:lang w:val="pt-BR"/>
        </w:rPr>
        <w:t xml:space="preserve">ostas), assegurando a identificação dos slides como azuis. Na condição de minoria inconsistente apenas 1,25% das respostas foi “verde”. Na condição de minoria consistente houve um total de 8,42% de respostas “verde” pelos sujeitos críticos. Nesses grupos, </w:t>
      </w:r>
      <w:r w:rsidRPr="005C4557">
        <w:rPr>
          <w:lang w:val="pt-BR"/>
        </w:rPr>
        <w:t>43,75% dos sujeitos mudaram suas respostas de azul para verde, sendo pelo menos quatro delas “verde” do total de 36 respostas. Também houve 32% dos sujeitos que mantiveram sempre “azul” como resposta, criando duas categorias: os que foram influenciados e o</w:t>
      </w:r>
      <w:r w:rsidRPr="005C4557">
        <w:rPr>
          <w:lang w:val="pt-BR"/>
        </w:rPr>
        <w:t>s que não o foram.</w:t>
      </w:r>
    </w:p>
    <w:p w:rsidR="00E51BA7" w:rsidRPr="005C4557" w:rsidRDefault="00A81234">
      <w:pPr>
        <w:widowControl w:val="0"/>
        <w:spacing w:line="360" w:lineRule="auto"/>
        <w:ind w:firstLine="709"/>
        <w:rPr>
          <w:lang w:val="pt-BR"/>
        </w:rPr>
      </w:pPr>
      <w:r w:rsidRPr="005C4557">
        <w:rPr>
          <w:lang w:val="pt-BR"/>
        </w:rPr>
        <w:t>Na segunda parte, que se seguiu de forma privada em 10 grupos logo após a primeira, foi investigada a mudança do código perceptual de cor (de azul para verde), ou seja, a VD era a influência indireta (chamada também de privada e latente)</w:t>
      </w:r>
      <w:r w:rsidRPr="005C4557">
        <w:rPr>
          <w:lang w:val="pt-BR"/>
        </w:rPr>
        <w:t xml:space="preserve">. Eram apresentados dez vezes de forma aleatória aos sujeitos 16 discos do teste de visão Farnsworth-100, cuja gradação de cor varia do verde ao azul, por 10 vezes. Eles deviam responder por escrito julgando a cor de cada disco como “azul” ou “verde”. Dos </w:t>
      </w:r>
      <w:r w:rsidRPr="005C4557">
        <w:rPr>
          <w:lang w:val="pt-BR"/>
        </w:rPr>
        <w:t>16 discos, 3 eram verdes (#41 a 43), 3 eram azuis (#54 a 56) e 10 (#44 a 53) eram ambíguos, segundo os valores de referência do teste (Moscovici &amp; Faucheux, 1972).</w:t>
      </w:r>
    </w:p>
    <w:p w:rsidR="00E51BA7" w:rsidRPr="005C4557" w:rsidRDefault="00A81234">
      <w:pPr>
        <w:widowControl w:val="0"/>
        <w:spacing w:line="360" w:lineRule="auto"/>
        <w:ind w:firstLine="709"/>
        <w:rPr>
          <w:lang w:val="pt-BR"/>
        </w:rPr>
      </w:pPr>
      <w:r w:rsidRPr="005C4557">
        <w:rPr>
          <w:lang w:val="pt-BR"/>
        </w:rPr>
        <w:t>A mensuração da VD influência indireta ocorreu por meio dos limiares de mudanças de resposta</w:t>
      </w:r>
      <w:r w:rsidRPr="005C4557">
        <w:rPr>
          <w:lang w:val="pt-BR"/>
        </w:rPr>
        <w:t xml:space="preserve"> de verde para azul na curva suavizada a partir do gráfico de respostas individuais. A classificação ocorreu em três limiares, ou umbrais, conforme a quantidade de respostas de cada cor: limiar diferencial, 50% “azul” e 50% “verde”; limiar inferior, com 75</w:t>
      </w:r>
      <w:r w:rsidRPr="005C4557">
        <w:rPr>
          <w:lang w:val="pt-BR"/>
        </w:rPr>
        <w:t>% “verde” e 25% “azul”; e limiar superior, ao contrário, 25% “verde” e 75% “azul” (Moscovici, 2011). O gráfico de distribuição de respostas da influência indireta dos grupos controle e experimental, segundo Moscovici e Faucheux (1972, p. 196, figura 1), in</w:t>
      </w:r>
      <w:r w:rsidRPr="005C4557">
        <w:rPr>
          <w:lang w:val="pt-BR"/>
        </w:rPr>
        <w:t>dica pontos onde o grupo controle demora mais que o grupo experimental para deixar de “ver a cor verde”, assim como inicia a “ver azul” mais tarde.</w:t>
      </w:r>
    </w:p>
    <w:p w:rsidR="00E51BA7" w:rsidRPr="005C4557" w:rsidRDefault="00A81234">
      <w:pPr>
        <w:widowControl w:val="0"/>
        <w:spacing w:line="360" w:lineRule="auto"/>
        <w:ind w:firstLine="709"/>
        <w:rPr>
          <w:lang w:val="pt-BR"/>
        </w:rPr>
      </w:pPr>
      <w:r w:rsidRPr="005C4557">
        <w:rPr>
          <w:lang w:val="pt-BR"/>
        </w:rPr>
        <w:t>Os resultados dos grupos conforme os limiares são os constantes da tabela 1:</w:t>
      </w:r>
    </w:p>
    <w:p w:rsidR="00E51BA7" w:rsidRPr="005C4557" w:rsidRDefault="00E51BA7">
      <w:pPr>
        <w:widowControl w:val="0"/>
        <w:spacing w:line="360" w:lineRule="auto"/>
        <w:ind w:firstLine="709"/>
        <w:rPr>
          <w:lang w:val="pt-BR"/>
        </w:rPr>
      </w:pPr>
    </w:p>
    <w:p w:rsidR="00E51BA7" w:rsidRPr="005C4557" w:rsidRDefault="00A81234">
      <w:pPr>
        <w:widowControl w:val="0"/>
        <w:spacing w:line="360" w:lineRule="auto"/>
        <w:rPr>
          <w:lang w:val="pt-BR"/>
        </w:rPr>
      </w:pPr>
      <w:r w:rsidRPr="005C4557">
        <w:rPr>
          <w:lang w:val="pt-BR"/>
        </w:rPr>
        <w:t>Tabela 1 aqui</w:t>
      </w:r>
    </w:p>
    <w:p w:rsidR="00E51BA7" w:rsidRPr="005C4557" w:rsidRDefault="00E51BA7">
      <w:pPr>
        <w:widowControl w:val="0"/>
        <w:spacing w:line="360" w:lineRule="auto"/>
        <w:ind w:firstLine="709"/>
        <w:rPr>
          <w:lang w:val="pt-BR"/>
        </w:rPr>
      </w:pPr>
    </w:p>
    <w:p w:rsidR="00E51BA7" w:rsidRPr="005C4557" w:rsidRDefault="00A81234">
      <w:pPr>
        <w:pStyle w:val="Ttulo3"/>
        <w:spacing w:before="0" w:after="0" w:line="360" w:lineRule="auto"/>
        <w:rPr>
          <w:b w:val="0"/>
          <w:sz w:val="24"/>
          <w:szCs w:val="24"/>
          <w:lang w:val="pt-BR"/>
        </w:rPr>
      </w:pPr>
      <w:bookmarkStart w:id="10" w:name="_2s8eyo1" w:colFirst="0" w:colLast="0"/>
      <w:bookmarkEnd w:id="10"/>
      <w:r w:rsidRPr="005C4557">
        <w:rPr>
          <w:b w:val="0"/>
          <w:sz w:val="24"/>
          <w:szCs w:val="24"/>
          <w:lang w:val="pt-BR"/>
        </w:rPr>
        <w:lastRenderedPageBreak/>
        <w:t>Tabela 1</w:t>
      </w:r>
    </w:p>
    <w:p w:rsidR="00E51BA7" w:rsidRPr="005C4557" w:rsidRDefault="00A81234">
      <w:pPr>
        <w:pStyle w:val="Ttulo3"/>
        <w:spacing w:before="0" w:after="0" w:line="360" w:lineRule="auto"/>
        <w:rPr>
          <w:b w:val="0"/>
          <w:i/>
          <w:sz w:val="24"/>
          <w:szCs w:val="24"/>
          <w:lang w:val="pt-BR"/>
        </w:rPr>
      </w:pPr>
      <w:bookmarkStart w:id="11" w:name="_fu8urtegxpjf" w:colFirst="0" w:colLast="0"/>
      <w:bookmarkEnd w:id="11"/>
      <w:r w:rsidRPr="005C4557">
        <w:rPr>
          <w:b w:val="0"/>
          <w:i/>
          <w:sz w:val="24"/>
          <w:szCs w:val="24"/>
          <w:lang w:val="pt-BR"/>
        </w:rPr>
        <w:t>Comparação dos resultados da influência indireta dos grupos experimentais e controle no teste privado de discriminação de cores dos discos (cf. Moscovici et al.,1969).</w:t>
      </w:r>
    </w:p>
    <w:tbl>
      <w:tblPr>
        <w:tblStyle w:val="a"/>
        <w:tblW w:w="9185" w:type="dxa"/>
        <w:tblInd w:w="105" w:type="dxa"/>
        <w:tblBorders>
          <w:top w:val="single" w:sz="4" w:space="0" w:color="7F7F7F"/>
          <w:left w:val="single" w:sz="4" w:space="0" w:color="666666"/>
          <w:bottom w:val="single" w:sz="4" w:space="0" w:color="7F7F7F"/>
          <w:right w:val="single" w:sz="4" w:space="0" w:color="666666"/>
          <w:insideH w:val="single" w:sz="4" w:space="0" w:color="666666"/>
          <w:insideV w:val="single" w:sz="4" w:space="0" w:color="BFBFBF"/>
        </w:tblBorders>
        <w:tblLayout w:type="fixed"/>
        <w:tblLook w:val="04A0" w:firstRow="1" w:lastRow="0" w:firstColumn="1" w:lastColumn="0" w:noHBand="0" w:noVBand="1"/>
      </w:tblPr>
      <w:tblGrid>
        <w:gridCol w:w="2537"/>
        <w:gridCol w:w="1278"/>
        <w:gridCol w:w="1278"/>
        <w:gridCol w:w="1278"/>
        <w:gridCol w:w="1278"/>
        <w:gridCol w:w="1536"/>
      </w:tblGrid>
      <w:tr w:rsidR="00E51BA7" w:rsidTr="00E51BA7">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535" w:type="dxa"/>
            <w:vMerge w:val="restart"/>
            <w:tcBorders>
              <w:top w:val="single" w:sz="8" w:space="0" w:color="000000"/>
              <w:left w:val="nil"/>
              <w:right w:val="nil"/>
            </w:tcBorders>
          </w:tcPr>
          <w:p w:rsidR="00E51BA7" w:rsidRDefault="00A81234">
            <w:pPr>
              <w:widowControl w:val="0"/>
              <w:jc w:val="center"/>
            </w:pPr>
            <w:proofErr w:type="spellStart"/>
            <w:r>
              <w:rPr>
                <w:b w:val="0"/>
              </w:rPr>
              <w:t>Limiares</w:t>
            </w:r>
            <w:proofErr w:type="spellEnd"/>
          </w:p>
        </w:tc>
        <w:tc>
          <w:tcPr>
            <w:tcW w:w="2556" w:type="dxa"/>
            <w:gridSpan w:val="2"/>
            <w:tcBorders>
              <w:top w:val="single" w:sz="8" w:space="0" w:color="000000"/>
              <w:left w:val="nil"/>
              <w:bottom w:val="single" w:sz="8" w:space="0" w:color="000000"/>
            </w:tcBorders>
          </w:tcPr>
          <w:p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proofErr w:type="spellStart"/>
            <w:r>
              <w:rPr>
                <w:b w:val="0"/>
              </w:rPr>
              <w:t>Grupo</w:t>
            </w:r>
            <w:proofErr w:type="spellEnd"/>
            <w:r>
              <w:rPr>
                <w:b w:val="0"/>
              </w:rPr>
              <w:t xml:space="preserve"> </w:t>
            </w:r>
            <w:proofErr w:type="spellStart"/>
            <w:r>
              <w:rPr>
                <w:b w:val="0"/>
              </w:rPr>
              <w:t>Controle</w:t>
            </w:r>
            <w:proofErr w:type="spellEnd"/>
            <w:r>
              <w:rPr>
                <w:b w:val="0"/>
              </w:rPr>
              <w:br/>
              <w:t>(n=22)</w:t>
            </w:r>
          </w:p>
        </w:tc>
        <w:tc>
          <w:tcPr>
            <w:tcW w:w="2556" w:type="dxa"/>
            <w:gridSpan w:val="2"/>
            <w:tcBorders>
              <w:top w:val="single" w:sz="8" w:space="0" w:color="000000"/>
              <w:left w:val="nil"/>
              <w:bottom w:val="single" w:sz="8" w:space="0" w:color="000000"/>
            </w:tcBorders>
          </w:tcPr>
          <w:p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proofErr w:type="spellStart"/>
            <w:r>
              <w:rPr>
                <w:b w:val="0"/>
              </w:rPr>
              <w:t>Grupo</w:t>
            </w:r>
            <w:proofErr w:type="spellEnd"/>
            <w:r>
              <w:rPr>
                <w:b w:val="0"/>
              </w:rPr>
              <w:t xml:space="preserve"> Experimental (n=37)</w:t>
            </w:r>
          </w:p>
        </w:tc>
        <w:tc>
          <w:tcPr>
            <w:tcW w:w="1535" w:type="dxa"/>
            <w:vMerge w:val="restart"/>
            <w:tcBorders>
              <w:top w:val="single" w:sz="8" w:space="0" w:color="000000"/>
              <w:left w:val="nil"/>
              <w:right w:val="nil"/>
            </w:tcBorders>
          </w:tcPr>
          <w:p w:rsidR="00E51BA7" w:rsidRDefault="00A81234">
            <w:pPr>
              <w:widowControl w:val="0"/>
              <w:jc w:val="center"/>
              <w:cnfStyle w:val="100000000000" w:firstRow="1" w:lastRow="0" w:firstColumn="0" w:lastColumn="0" w:oddVBand="0" w:evenVBand="0" w:oddHBand="0" w:evenHBand="0" w:firstRowFirstColumn="0" w:firstRowLastColumn="0" w:lastRowFirstColumn="0" w:lastRowLastColumn="0"/>
            </w:pPr>
            <w:r>
              <w:rPr>
                <w:b w:val="0"/>
                <w:i/>
              </w:rPr>
              <w:t xml:space="preserve">t </w:t>
            </w:r>
            <w:r>
              <w:rPr>
                <w:b w:val="0"/>
              </w:rPr>
              <w:t xml:space="preserve">e </w:t>
            </w:r>
            <w:r>
              <w:rPr>
                <w:b w:val="0"/>
                <w:i/>
              </w:rPr>
              <w:t>p</w:t>
            </w:r>
            <w:r>
              <w:rPr>
                <w:b w:val="0"/>
              </w:rPr>
              <w:br/>
              <w:t>(unicaudal)</w:t>
            </w:r>
          </w:p>
        </w:tc>
      </w:tr>
      <w:tr w:rsidR="00E51BA7" w:rsidTr="00E5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vMerge/>
            <w:tcBorders>
              <w:top w:val="single" w:sz="8" w:space="0" w:color="000000"/>
              <w:left w:val="nil"/>
              <w:right w:val="nil"/>
            </w:tcBorders>
          </w:tcPr>
          <w:p w:rsidR="00E51BA7" w:rsidRDefault="00E51BA7">
            <w:pPr>
              <w:widowControl w:val="0"/>
              <w:spacing w:line="360" w:lineRule="auto"/>
            </w:pPr>
          </w:p>
        </w:tc>
        <w:tc>
          <w:tcPr>
            <w:tcW w:w="1278" w:type="dxa"/>
            <w:tcBorders>
              <w:top w:val="single" w:sz="8" w:space="0" w:color="000000"/>
              <w:left w:val="nil"/>
              <w:bottom w:val="single" w:sz="8" w:space="0" w:color="000000"/>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proofErr w:type="spellStart"/>
            <w:r>
              <w:t>Média</w:t>
            </w:r>
            <w:proofErr w:type="spellEnd"/>
          </w:p>
        </w:tc>
        <w:tc>
          <w:tcPr>
            <w:tcW w:w="1278" w:type="dxa"/>
            <w:tcBorders>
              <w:top w:val="single" w:sz="8" w:space="0" w:color="000000"/>
              <w:left w:val="nil"/>
              <w:bottom w:val="single" w:sz="8" w:space="0" w:color="000000"/>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278" w:type="dxa"/>
            <w:tcBorders>
              <w:top w:val="single" w:sz="8" w:space="0" w:color="000000"/>
              <w:left w:val="nil"/>
              <w:bottom w:val="single" w:sz="8" w:space="0" w:color="000000"/>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proofErr w:type="spellStart"/>
            <w:r>
              <w:t>Mé</w:t>
            </w:r>
            <w:r>
              <w:t>dia</w:t>
            </w:r>
            <w:proofErr w:type="spellEnd"/>
          </w:p>
        </w:tc>
        <w:tc>
          <w:tcPr>
            <w:tcW w:w="1278" w:type="dxa"/>
            <w:tcBorders>
              <w:top w:val="single" w:sz="8" w:space="0" w:color="000000"/>
              <w:left w:val="nil"/>
              <w:bottom w:val="single" w:sz="8" w:space="0" w:color="000000"/>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DP</w:t>
            </w:r>
          </w:p>
        </w:tc>
        <w:tc>
          <w:tcPr>
            <w:tcW w:w="1535" w:type="dxa"/>
            <w:vMerge/>
            <w:tcBorders>
              <w:top w:val="single" w:sz="8" w:space="0" w:color="000000"/>
              <w:left w:val="nil"/>
              <w:right w:val="nil"/>
            </w:tcBorders>
          </w:tcPr>
          <w:p w:rsidR="00E51BA7" w:rsidRDefault="00E51BA7">
            <w:pPr>
              <w:widowControl w:val="0"/>
              <w:spacing w:line="360" w:lineRule="auto"/>
              <w:cnfStyle w:val="000000100000" w:firstRow="0" w:lastRow="0" w:firstColumn="0" w:lastColumn="0" w:oddVBand="0" w:evenVBand="0" w:oddHBand="1" w:evenHBand="0" w:firstRowFirstColumn="0" w:firstRowLastColumn="0" w:lastRowFirstColumn="0" w:lastRowLastColumn="0"/>
            </w:pPr>
          </w:p>
        </w:tc>
      </w:tr>
      <w:tr w:rsidR="00E51BA7" w:rsidTr="00E51BA7">
        <w:tc>
          <w:tcPr>
            <w:cnfStyle w:val="001000000000" w:firstRow="0" w:lastRow="0" w:firstColumn="1" w:lastColumn="0" w:oddVBand="0" w:evenVBand="0" w:oddHBand="0" w:evenHBand="0" w:firstRowFirstColumn="0" w:firstRowLastColumn="0" w:lastRowFirstColumn="0" w:lastRowLastColumn="0"/>
            <w:tcW w:w="2535" w:type="dxa"/>
            <w:tcBorders>
              <w:top w:val="single" w:sz="8" w:space="0" w:color="000000"/>
              <w:left w:val="nil"/>
              <w:bottom w:val="nil"/>
              <w:right w:val="nil"/>
            </w:tcBorders>
          </w:tcPr>
          <w:p w:rsidR="00E51BA7" w:rsidRDefault="00A81234">
            <w:pPr>
              <w:widowControl w:val="0"/>
            </w:pPr>
            <w:proofErr w:type="spellStart"/>
            <w:proofErr w:type="gramStart"/>
            <w:r>
              <w:rPr>
                <w:b w:val="0"/>
              </w:rPr>
              <w:t>diferencial</w:t>
            </w:r>
            <w:proofErr w:type="spellEnd"/>
            <w:proofErr w:type="gramEnd"/>
            <w:r>
              <w:rPr>
                <w:b w:val="0"/>
              </w:rPr>
              <w:t xml:space="preserve"> (50%-50%)</w:t>
            </w:r>
          </w:p>
        </w:tc>
        <w:tc>
          <w:tcPr>
            <w:tcW w:w="1278" w:type="dxa"/>
            <w:tcBorders>
              <w:top w:val="single" w:sz="8" w:space="0" w:color="000000"/>
              <w:left w:val="nil"/>
              <w:bottom w:val="nil"/>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47,39</w:t>
            </w:r>
          </w:p>
        </w:tc>
        <w:tc>
          <w:tcPr>
            <w:tcW w:w="1278" w:type="dxa"/>
            <w:tcBorders>
              <w:top w:val="single" w:sz="8" w:space="0" w:color="000000"/>
              <w:left w:val="nil"/>
              <w:bottom w:val="nil"/>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1,21</w:t>
            </w:r>
          </w:p>
        </w:tc>
        <w:tc>
          <w:tcPr>
            <w:tcW w:w="1278" w:type="dxa"/>
            <w:tcBorders>
              <w:top w:val="single" w:sz="8" w:space="0" w:color="000000"/>
              <w:left w:val="nil"/>
              <w:bottom w:val="nil"/>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48,03</w:t>
            </w:r>
          </w:p>
        </w:tc>
        <w:tc>
          <w:tcPr>
            <w:tcW w:w="1278" w:type="dxa"/>
            <w:tcBorders>
              <w:top w:val="single" w:sz="8" w:space="0" w:color="000000"/>
              <w:left w:val="nil"/>
              <w:bottom w:val="nil"/>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1,38</w:t>
            </w:r>
          </w:p>
        </w:tc>
        <w:tc>
          <w:tcPr>
            <w:tcW w:w="1535" w:type="dxa"/>
            <w:tcBorders>
              <w:top w:val="single" w:sz="8" w:space="0" w:color="000000"/>
              <w:left w:val="nil"/>
              <w:bottom w:val="nil"/>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1,78 (0,038)</w:t>
            </w:r>
          </w:p>
        </w:tc>
      </w:tr>
      <w:tr w:rsidR="00E51BA7" w:rsidTr="00E51B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nil"/>
              <w:right w:val="nil"/>
            </w:tcBorders>
          </w:tcPr>
          <w:p w:rsidR="00E51BA7" w:rsidRDefault="00A81234">
            <w:pPr>
              <w:widowControl w:val="0"/>
            </w:pPr>
            <w:r>
              <w:rPr>
                <w:b w:val="0"/>
              </w:rPr>
              <w:t>inferior (75% “</w:t>
            </w:r>
            <w:proofErr w:type="spellStart"/>
            <w:r>
              <w:rPr>
                <w:b w:val="0"/>
              </w:rPr>
              <w:t>verde</w:t>
            </w:r>
            <w:proofErr w:type="spellEnd"/>
            <w:r>
              <w:rPr>
                <w:b w:val="0"/>
              </w:rPr>
              <w:t>”)</w:t>
            </w:r>
          </w:p>
        </w:tc>
        <w:tc>
          <w:tcPr>
            <w:tcW w:w="1278" w:type="dxa"/>
            <w:tcBorders>
              <w:top w:val="nil"/>
              <w:left w:val="nil"/>
              <w:bottom w:val="nil"/>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46,16</w:t>
            </w:r>
          </w:p>
        </w:tc>
        <w:tc>
          <w:tcPr>
            <w:tcW w:w="1278" w:type="dxa"/>
            <w:tcBorders>
              <w:top w:val="nil"/>
              <w:left w:val="nil"/>
              <w:bottom w:val="nil"/>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1,42</w:t>
            </w:r>
          </w:p>
        </w:tc>
        <w:tc>
          <w:tcPr>
            <w:tcW w:w="1278" w:type="dxa"/>
            <w:tcBorders>
              <w:top w:val="nil"/>
              <w:left w:val="nil"/>
              <w:bottom w:val="nil"/>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46,85</w:t>
            </w:r>
          </w:p>
        </w:tc>
        <w:tc>
          <w:tcPr>
            <w:tcW w:w="1278" w:type="dxa"/>
            <w:tcBorders>
              <w:top w:val="nil"/>
              <w:left w:val="nil"/>
              <w:bottom w:val="nil"/>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1,54</w:t>
            </w:r>
          </w:p>
        </w:tc>
        <w:tc>
          <w:tcPr>
            <w:tcW w:w="1535" w:type="dxa"/>
            <w:tcBorders>
              <w:top w:val="nil"/>
              <w:left w:val="nil"/>
              <w:bottom w:val="nil"/>
              <w:right w:val="nil"/>
            </w:tcBorders>
          </w:tcPr>
          <w:p w:rsidR="00E51BA7" w:rsidRDefault="00A81234">
            <w:pPr>
              <w:widowControl w:val="0"/>
              <w:jc w:val="center"/>
              <w:cnfStyle w:val="000000100000" w:firstRow="0" w:lastRow="0" w:firstColumn="0" w:lastColumn="0" w:oddVBand="0" w:evenVBand="0" w:oddHBand="1" w:evenHBand="0" w:firstRowFirstColumn="0" w:firstRowLastColumn="0" w:lastRowFirstColumn="0" w:lastRowLastColumn="0"/>
            </w:pPr>
            <w:r>
              <w:t>1,68 (0,047)</w:t>
            </w:r>
          </w:p>
        </w:tc>
      </w:tr>
      <w:tr w:rsidR="00E51BA7" w:rsidTr="00E51BA7">
        <w:tc>
          <w:tcPr>
            <w:cnfStyle w:val="001000000000" w:firstRow="0" w:lastRow="0" w:firstColumn="1" w:lastColumn="0" w:oddVBand="0" w:evenVBand="0" w:oddHBand="0" w:evenHBand="0" w:firstRowFirstColumn="0" w:firstRowLastColumn="0" w:lastRowFirstColumn="0" w:lastRowLastColumn="0"/>
            <w:tcW w:w="2535" w:type="dxa"/>
            <w:tcBorders>
              <w:top w:val="nil"/>
              <w:left w:val="nil"/>
              <w:bottom w:val="single" w:sz="8" w:space="0" w:color="000000"/>
              <w:right w:val="nil"/>
            </w:tcBorders>
          </w:tcPr>
          <w:p w:rsidR="00E51BA7" w:rsidRDefault="00A81234">
            <w:pPr>
              <w:widowControl w:val="0"/>
            </w:pPr>
            <w:r>
              <w:rPr>
                <w:b w:val="0"/>
              </w:rPr>
              <w:t>superior (25% “</w:t>
            </w:r>
            <w:proofErr w:type="spellStart"/>
            <w:r>
              <w:rPr>
                <w:b w:val="0"/>
              </w:rPr>
              <w:t>verde</w:t>
            </w:r>
            <w:proofErr w:type="spellEnd"/>
            <w:r>
              <w:rPr>
                <w:b w:val="0"/>
              </w:rPr>
              <w:t>”)</w:t>
            </w:r>
          </w:p>
        </w:tc>
        <w:tc>
          <w:tcPr>
            <w:tcW w:w="1278" w:type="dxa"/>
            <w:tcBorders>
              <w:top w:val="nil"/>
              <w:left w:val="nil"/>
              <w:bottom w:val="single" w:sz="8" w:space="0" w:color="000000"/>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48,41</w:t>
            </w:r>
          </w:p>
        </w:tc>
        <w:tc>
          <w:tcPr>
            <w:tcW w:w="1278" w:type="dxa"/>
            <w:tcBorders>
              <w:top w:val="nil"/>
              <w:left w:val="nil"/>
              <w:bottom w:val="single" w:sz="8" w:space="0" w:color="000000"/>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1,14</w:t>
            </w:r>
          </w:p>
        </w:tc>
        <w:tc>
          <w:tcPr>
            <w:tcW w:w="1278" w:type="dxa"/>
            <w:tcBorders>
              <w:top w:val="nil"/>
              <w:left w:val="nil"/>
              <w:bottom w:val="single" w:sz="8" w:space="0" w:color="000000"/>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49,19</w:t>
            </w:r>
          </w:p>
        </w:tc>
        <w:tc>
          <w:tcPr>
            <w:tcW w:w="1278" w:type="dxa"/>
            <w:tcBorders>
              <w:top w:val="nil"/>
              <w:left w:val="nil"/>
              <w:bottom w:val="single" w:sz="8" w:space="0" w:color="000000"/>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1,28</w:t>
            </w:r>
          </w:p>
        </w:tc>
        <w:tc>
          <w:tcPr>
            <w:tcW w:w="1535" w:type="dxa"/>
            <w:tcBorders>
              <w:top w:val="nil"/>
              <w:left w:val="nil"/>
              <w:bottom w:val="single" w:sz="8" w:space="0" w:color="000000"/>
              <w:right w:val="nil"/>
            </w:tcBorders>
          </w:tcPr>
          <w:p w:rsidR="00E51BA7" w:rsidRDefault="00A81234">
            <w:pPr>
              <w:widowControl w:val="0"/>
              <w:jc w:val="center"/>
              <w:cnfStyle w:val="000000000000" w:firstRow="0" w:lastRow="0" w:firstColumn="0" w:lastColumn="0" w:oddVBand="0" w:evenVBand="0" w:oddHBand="0" w:evenHBand="0" w:firstRowFirstColumn="0" w:firstRowLastColumn="0" w:lastRowFirstColumn="0" w:lastRowLastColumn="0"/>
            </w:pPr>
            <w:r>
              <w:t>2,33 (0,01)</w:t>
            </w:r>
          </w:p>
        </w:tc>
      </w:tr>
    </w:tbl>
    <w:p w:rsidR="00E51BA7" w:rsidRDefault="00E51BA7">
      <w:pPr>
        <w:widowControl w:val="0"/>
        <w:spacing w:line="360" w:lineRule="auto"/>
        <w:ind w:firstLine="709"/>
      </w:pPr>
    </w:p>
    <w:p w:rsidR="00E51BA7" w:rsidRPr="005C4557" w:rsidRDefault="00A81234">
      <w:pPr>
        <w:widowControl w:val="0"/>
        <w:spacing w:line="360" w:lineRule="auto"/>
        <w:ind w:firstLine="709"/>
        <w:rPr>
          <w:lang w:val="pt-BR"/>
        </w:rPr>
      </w:pPr>
      <w:r w:rsidRPr="005C4557">
        <w:rPr>
          <w:lang w:val="pt-BR"/>
        </w:rPr>
        <w:t xml:space="preserve">Pode-se calcular o tamanho do efeito, a partir da consideração dos 10 discos ambíguos e da diferença de médias entre os grupos controle e experimental. No limiar diferencial, o efeito de influência indireta é de 6,4%; no limiar inferior, 6,9%; e no limiar </w:t>
      </w:r>
      <w:r w:rsidRPr="005C4557">
        <w:rPr>
          <w:lang w:val="pt-BR"/>
        </w:rPr>
        <w:t xml:space="preserve">superior, 7,8%. Assim, temos a influência indireta composta por três medidas de efeito quantitativo. Porém, o efeito mais importante não é quantitativo, mas qualitativo. Moscovici e Faucheux (1972) apontam que no grupo controle 7 discos foram julgados sem </w:t>
      </w:r>
      <w:r w:rsidRPr="005C4557">
        <w:rPr>
          <w:lang w:val="pt-BR"/>
        </w:rPr>
        <w:t>ambiguidade, com 99% ou 100% de respostas. Já no grupo experimental, todos os discos foram julgados de forma ambígua, havendo divergência de respostas em algum grau, o que indica a alteração do critério de julgamento.</w:t>
      </w:r>
    </w:p>
    <w:p w:rsidR="00E51BA7" w:rsidRPr="005C4557" w:rsidRDefault="00A81234">
      <w:pPr>
        <w:widowControl w:val="0"/>
        <w:spacing w:line="360" w:lineRule="auto"/>
        <w:ind w:firstLine="709"/>
        <w:rPr>
          <w:lang w:val="pt-BR"/>
        </w:rPr>
      </w:pPr>
      <w:r w:rsidRPr="005C4557">
        <w:rPr>
          <w:lang w:val="pt-BR"/>
        </w:rPr>
        <w:t>Esses resultados são assim interpretad</w:t>
      </w:r>
      <w:r w:rsidRPr="005C4557">
        <w:rPr>
          <w:lang w:val="pt-BR"/>
        </w:rPr>
        <w:t xml:space="preserve">os: a resposta pública não mostra a totalidade do fenômeno de influência minoritária; há necessidade de resolução interna do conflito originado por minorias consistentes; essa necessidade é satisfeita pela mudança das respostas, ou públicas ou privadas; a </w:t>
      </w:r>
      <w:r w:rsidRPr="005C4557">
        <w:rPr>
          <w:lang w:val="pt-BR"/>
        </w:rPr>
        <w:t>quantidade das últimas tende a ser inversamente proporcional a da primeira; a influência exercida pela minoria consistente é a última, indireta; ela é independente da influência direta; as minorias inconsistentes não exercem nem influência direta, nem indi</w:t>
      </w:r>
      <w:r w:rsidRPr="005C4557">
        <w:rPr>
          <w:lang w:val="pt-BR"/>
        </w:rPr>
        <w:t>reta (Moscovici et al., 1969).</w:t>
      </w:r>
    </w:p>
    <w:p w:rsidR="00E51BA7" w:rsidRPr="005C4557" w:rsidRDefault="00A81234">
      <w:pPr>
        <w:widowControl w:val="0"/>
        <w:spacing w:line="360" w:lineRule="auto"/>
        <w:ind w:firstLine="709"/>
        <w:rPr>
          <w:lang w:val="pt-BR"/>
        </w:rPr>
      </w:pPr>
      <w:r w:rsidRPr="005C4557">
        <w:rPr>
          <w:lang w:val="pt-BR"/>
        </w:rPr>
        <w:t>Por fim, temos os resultados dos questionários pós-experimentais. As minorias foram julgadas como menos competentes, em geral; os sujeitos críticos foram julgados como mais competentes que os comparsas, independente das respo</w:t>
      </w:r>
      <w:r w:rsidRPr="005C4557">
        <w:rPr>
          <w:lang w:val="pt-BR"/>
        </w:rPr>
        <w:t>stas “verde”. Entre os cúmplices também houve diferença, sendo o primeiro julgado como menos competente, mas mais confiante de suas respostas que o segundo. Isso mostra, segundo Moscovici et al. (1969), que o desvio das respostas “verde” era atribuído ao p</w:t>
      </w:r>
      <w:r w:rsidRPr="005C4557">
        <w:rPr>
          <w:lang w:val="pt-BR"/>
        </w:rPr>
        <w:t xml:space="preserve">rimeiro comparsa, sendo o segundo visto como uma espécie </w:t>
      </w:r>
      <w:r w:rsidRPr="005C4557">
        <w:rPr>
          <w:lang w:val="pt-BR"/>
        </w:rPr>
        <w:lastRenderedPageBreak/>
        <w:t>de seguidor. Igualmente, a minoria inconsistente não é vista como segura.</w:t>
      </w:r>
    </w:p>
    <w:p w:rsidR="00E51BA7" w:rsidRPr="005C4557" w:rsidRDefault="00A81234">
      <w:pPr>
        <w:widowControl w:val="0"/>
        <w:spacing w:line="360" w:lineRule="auto"/>
        <w:ind w:firstLine="709"/>
        <w:rPr>
          <w:lang w:val="pt-BR"/>
        </w:rPr>
      </w:pPr>
      <w:r w:rsidRPr="005C4557">
        <w:rPr>
          <w:lang w:val="pt-BR"/>
        </w:rPr>
        <w:t>Ficou demonstrado que o exercício de influência não é exclusivo das relações assimétricas de dependência, nem exige por parte</w:t>
      </w:r>
      <w:r w:rsidRPr="005C4557">
        <w:rPr>
          <w:lang w:val="pt-BR"/>
        </w:rPr>
        <w:t xml:space="preserve"> da fonte de influência poder, </w:t>
      </w:r>
      <w:r w:rsidRPr="005C4557">
        <w:rPr>
          <w:i/>
          <w:lang w:val="pt-BR"/>
        </w:rPr>
        <w:t>status</w:t>
      </w:r>
      <w:r w:rsidRPr="005C4557">
        <w:rPr>
          <w:lang w:val="pt-BR"/>
        </w:rPr>
        <w:t xml:space="preserve"> ou competência. Minorias que defendam consistentemente suas ideias podem exercer influência.</w:t>
      </w:r>
    </w:p>
    <w:p w:rsidR="00E51BA7" w:rsidRPr="005C4557" w:rsidRDefault="00A81234">
      <w:pPr>
        <w:pStyle w:val="Ttulo2"/>
        <w:spacing w:before="0" w:line="360" w:lineRule="auto"/>
        <w:rPr>
          <w:rFonts w:ascii="Times New Roman" w:eastAsia="Times New Roman" w:hAnsi="Times New Roman" w:cs="Times New Roman"/>
          <w:b/>
          <w:color w:val="000000"/>
          <w:sz w:val="24"/>
          <w:szCs w:val="24"/>
          <w:lang w:val="pt-BR"/>
        </w:rPr>
      </w:pPr>
      <w:bookmarkStart w:id="12" w:name="_3rdcrjn" w:colFirst="0" w:colLast="0"/>
      <w:bookmarkEnd w:id="12"/>
      <w:r w:rsidRPr="005C4557">
        <w:rPr>
          <w:rFonts w:ascii="Times New Roman" w:eastAsia="Times New Roman" w:hAnsi="Times New Roman" w:cs="Times New Roman"/>
          <w:b/>
          <w:color w:val="000000"/>
          <w:sz w:val="24"/>
          <w:szCs w:val="24"/>
          <w:lang w:val="pt-BR"/>
        </w:rPr>
        <w:t>Segunda série de experimentos: maiorias conformam e não convertem</w:t>
      </w:r>
    </w:p>
    <w:p w:rsidR="00E51BA7" w:rsidRPr="005C4557" w:rsidRDefault="00A81234">
      <w:pPr>
        <w:widowControl w:val="0"/>
        <w:spacing w:line="360" w:lineRule="auto"/>
        <w:ind w:firstLine="709"/>
        <w:rPr>
          <w:lang w:val="pt-BR"/>
        </w:rPr>
      </w:pPr>
      <w:r w:rsidRPr="005C4557">
        <w:rPr>
          <w:lang w:val="pt-BR"/>
        </w:rPr>
        <w:t>Uma segunda série de experimentos (Moscovici &amp;</w:t>
      </w:r>
      <w:r w:rsidRPr="005C4557">
        <w:rPr>
          <w:lang w:val="pt-BR"/>
        </w:rPr>
        <w:t xml:space="preserve"> Lage, 1976) buscou identificar se o efeito da influência indireta poderia ser alcançado também por uma maioria, unânime ou não, testando o conformismo na produção de inovação. Também </w:t>
      </w:r>
      <w:proofErr w:type="gramStart"/>
      <w:r w:rsidRPr="005C4557">
        <w:rPr>
          <w:lang w:val="pt-BR"/>
        </w:rPr>
        <w:t>investigou-se</w:t>
      </w:r>
      <w:proofErr w:type="gramEnd"/>
      <w:r w:rsidRPr="005C4557">
        <w:rPr>
          <w:lang w:val="pt-BR"/>
        </w:rPr>
        <w:t xml:space="preserve"> uma minoria de apenas um, para avaliar se ela produziria a</w:t>
      </w:r>
      <w:r w:rsidRPr="005C4557">
        <w:rPr>
          <w:lang w:val="pt-BR"/>
        </w:rPr>
        <w:t>lgum efeito de influência. Em condições semelhantes às da primeira série de experimentos, foram variados o número de comparsas, as respostas dadas e a ordem dos participantes, em duas grandes categorias, majoritária e minoritária, para comparar conformidad</w:t>
      </w:r>
      <w:r w:rsidRPr="005C4557">
        <w:rPr>
          <w:lang w:val="pt-BR"/>
        </w:rPr>
        <w:t>e e inovação nos processos de influência. Ao total, foram seis categorias (N=250): controle, minoria consistente, indivíduo consistente, minoria inconsistente, maioria unânime e maioria não unânime.</w:t>
      </w:r>
    </w:p>
    <w:p w:rsidR="00E51BA7" w:rsidRPr="005C4557" w:rsidRDefault="00A81234">
      <w:pPr>
        <w:widowControl w:val="0"/>
        <w:spacing w:line="360" w:lineRule="auto"/>
        <w:ind w:firstLine="709"/>
        <w:rPr>
          <w:lang w:val="pt-BR"/>
        </w:rPr>
      </w:pPr>
      <w:r w:rsidRPr="005C4557">
        <w:rPr>
          <w:lang w:val="pt-BR"/>
        </w:rPr>
        <w:t>Os resultados da quantidade de respostas “verde” foram as</w:t>
      </w:r>
      <w:r w:rsidRPr="005C4557">
        <w:rPr>
          <w:lang w:val="pt-BR"/>
        </w:rPr>
        <w:t xml:space="preserve"> seguintes. No grupo controle, 1,22%. Nas condições de influência minoritária: minoria consistente, 10,07%; indivíduo consistente, 1,22%; e minoria inconsistente, 0,75%. Nas condições majoritárias: unânime, 40,16%; e não unânime, 12,07%.</w:t>
      </w:r>
    </w:p>
    <w:p w:rsidR="00E51BA7" w:rsidRPr="005C4557" w:rsidRDefault="00A81234">
      <w:pPr>
        <w:widowControl w:val="0"/>
        <w:spacing w:line="360" w:lineRule="auto"/>
        <w:ind w:firstLine="709"/>
        <w:rPr>
          <w:lang w:val="pt-BR"/>
        </w:rPr>
      </w:pPr>
      <w:r w:rsidRPr="005C4557">
        <w:rPr>
          <w:lang w:val="pt-BR"/>
        </w:rPr>
        <w:t>Esses resultados c</w:t>
      </w:r>
      <w:r w:rsidRPr="005C4557">
        <w:rPr>
          <w:lang w:val="pt-BR"/>
        </w:rPr>
        <w:t>onfirmam a existência de influência direta nos grupos minoritários e majoritários. Dentre as minorias, apenas as com o estilo de comportamento consistente podem exercer um pouco de influência direta de forma significativa, sendo próxima em tamanho de efeit</w:t>
      </w:r>
      <w:r w:rsidRPr="005C4557">
        <w:rPr>
          <w:lang w:val="pt-BR"/>
        </w:rPr>
        <w:t>o ao de uma maioria não unânime. As maiorias unânimes foram as com maior capacidade de produzir esse tipo de influência.</w:t>
      </w:r>
    </w:p>
    <w:p w:rsidR="00E51BA7" w:rsidRPr="005C4557" w:rsidRDefault="00A81234">
      <w:pPr>
        <w:widowControl w:val="0"/>
        <w:spacing w:line="360" w:lineRule="auto"/>
        <w:ind w:firstLine="709"/>
        <w:rPr>
          <w:lang w:val="pt-BR"/>
        </w:rPr>
      </w:pPr>
      <w:r w:rsidRPr="005C4557">
        <w:rPr>
          <w:lang w:val="pt-BR"/>
        </w:rPr>
        <w:t>Também se confirmaram as previsões teóricas acerca da influência indireta. Em procedimento semelhante ao da série anteriormente apresen</w:t>
      </w:r>
      <w:r w:rsidRPr="005C4557">
        <w:rPr>
          <w:lang w:val="pt-BR"/>
        </w:rPr>
        <w:t>tada, a influência indireta foi mensurada de forma privada por meio do julgamento da cor dos discos. Verificou-se de forma significativa o deslocamento das respostas dos grupos experimentais comparativamente ao controle, dentre os quais apenas os de minori</w:t>
      </w:r>
      <w:r w:rsidRPr="005C4557">
        <w:rPr>
          <w:lang w:val="pt-BR"/>
        </w:rPr>
        <w:t>a consistente produziram efeito de mudança no código perceptual. As minorias de apenas um sujeito consistente e de dois sujeitos inconsistentes, assim como todas as maiorias, não produziram influência indireta significativamente.</w:t>
      </w:r>
    </w:p>
    <w:p w:rsidR="00E51BA7" w:rsidRPr="005C4557" w:rsidRDefault="00A81234">
      <w:pPr>
        <w:widowControl w:val="0"/>
        <w:spacing w:line="360" w:lineRule="auto"/>
        <w:ind w:firstLine="709"/>
        <w:rPr>
          <w:lang w:val="pt-BR"/>
        </w:rPr>
      </w:pPr>
      <w:r w:rsidRPr="005C4557">
        <w:rPr>
          <w:lang w:val="pt-BR"/>
        </w:rPr>
        <w:lastRenderedPageBreak/>
        <w:t>Ao verificar a dispersão das respostas comparativamente ao grupo controle, a única tendência verificada foi que os sujeitos críticos na condição de maioria unânime foram influenciados na fase pública e também na privada, contrastando com os demais, que nes</w:t>
      </w:r>
      <w:r w:rsidRPr="005C4557">
        <w:rPr>
          <w:lang w:val="pt-BR"/>
        </w:rPr>
        <w:t>sa condição não sofreram influência direta, nem indireta.</w:t>
      </w:r>
    </w:p>
    <w:p w:rsidR="00E51BA7" w:rsidRPr="005C4557" w:rsidRDefault="00A81234">
      <w:pPr>
        <w:widowControl w:val="0"/>
        <w:spacing w:line="360" w:lineRule="auto"/>
        <w:ind w:firstLine="709"/>
        <w:rPr>
          <w:lang w:val="pt-BR"/>
        </w:rPr>
      </w:pPr>
      <w:r w:rsidRPr="005C4557">
        <w:rPr>
          <w:lang w:val="pt-BR"/>
        </w:rPr>
        <w:t>A influência indireta foi, portanto, comprovada como resultado do conflito gerado por minorias consistentes. Associando os resultados da influência indireta aos questionários, Moscovici e Lage afirm</w:t>
      </w:r>
      <w:r w:rsidRPr="005C4557">
        <w:rPr>
          <w:lang w:val="pt-BR"/>
        </w:rPr>
        <w:t xml:space="preserve">am que esse tipo de influência gera efeitos </w:t>
      </w:r>
      <w:proofErr w:type="gramStart"/>
      <w:r w:rsidRPr="005C4557">
        <w:rPr>
          <w:lang w:val="pt-BR"/>
        </w:rPr>
        <w:t>além dos ora</w:t>
      </w:r>
      <w:proofErr w:type="gramEnd"/>
      <w:r w:rsidRPr="005C4557">
        <w:rPr>
          <w:lang w:val="pt-BR"/>
        </w:rPr>
        <w:t xml:space="preserve"> auferidos e concluem reafirmando a diferença de natureza dos dois tipos de influência: “todas as diferenças que apareceram entre os mecanismos de influência engendrados pela inovação e aqueles engend</w:t>
      </w:r>
      <w:r w:rsidRPr="005C4557">
        <w:rPr>
          <w:lang w:val="pt-BR"/>
        </w:rPr>
        <w:t>rados pela conformidade têm considerável importância teórica. Eles sugerem que os dois processos têm diferentes efeitos de longo prazo” (1976, p. 173, tradução nossa).</w:t>
      </w:r>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13" w:name="_26in1rg" w:colFirst="0" w:colLast="0"/>
      <w:bookmarkEnd w:id="13"/>
      <w:r w:rsidRPr="005C4557">
        <w:rPr>
          <w:rFonts w:ascii="Times New Roman" w:eastAsia="Times New Roman" w:hAnsi="Times New Roman" w:cs="Times New Roman"/>
          <w:b/>
          <w:color w:val="000000"/>
          <w:sz w:val="24"/>
          <w:szCs w:val="24"/>
          <w:lang w:val="pt-BR"/>
        </w:rPr>
        <w:t>Síntese dos dois tipos de influência social segundo Moscovici</w:t>
      </w:r>
    </w:p>
    <w:p w:rsidR="00E51BA7" w:rsidRPr="005C4557" w:rsidRDefault="00A81234">
      <w:pPr>
        <w:widowControl w:val="0"/>
        <w:spacing w:line="360" w:lineRule="auto"/>
        <w:ind w:firstLine="708"/>
        <w:rPr>
          <w:lang w:val="pt-BR"/>
        </w:rPr>
      </w:pPr>
      <w:r w:rsidRPr="005C4557">
        <w:rPr>
          <w:lang w:val="pt-BR"/>
        </w:rPr>
        <w:t>A partir da teoria da conv</w:t>
      </w:r>
      <w:r w:rsidRPr="005C4557">
        <w:rPr>
          <w:lang w:val="pt-BR"/>
        </w:rPr>
        <w:t>ersão e dos experimentos azul-verde, podemos sintetizar a diferenciação da influência social em geral e da minoritária conforme a tabela 2:</w:t>
      </w:r>
    </w:p>
    <w:p w:rsidR="00E51BA7" w:rsidRPr="005C4557" w:rsidRDefault="00E51BA7">
      <w:pPr>
        <w:widowControl w:val="0"/>
        <w:spacing w:line="360" w:lineRule="auto"/>
        <w:ind w:firstLine="283"/>
        <w:rPr>
          <w:lang w:val="pt-BR"/>
        </w:rPr>
      </w:pPr>
    </w:p>
    <w:p w:rsidR="00E51BA7" w:rsidRPr="005C4557" w:rsidRDefault="00A81234">
      <w:pPr>
        <w:widowControl w:val="0"/>
        <w:spacing w:line="360" w:lineRule="auto"/>
        <w:rPr>
          <w:lang w:val="pt-BR"/>
        </w:rPr>
      </w:pPr>
      <w:r w:rsidRPr="005C4557">
        <w:rPr>
          <w:lang w:val="pt-BR"/>
        </w:rPr>
        <w:t>Tabela 2 aqui</w:t>
      </w:r>
    </w:p>
    <w:p w:rsidR="00E51BA7" w:rsidRPr="005C4557" w:rsidRDefault="00E51BA7">
      <w:pPr>
        <w:widowControl w:val="0"/>
        <w:spacing w:line="360" w:lineRule="auto"/>
        <w:ind w:firstLine="283"/>
        <w:rPr>
          <w:lang w:val="pt-BR"/>
        </w:rPr>
      </w:pPr>
    </w:p>
    <w:p w:rsidR="00E51BA7" w:rsidRPr="005C4557" w:rsidRDefault="00A81234">
      <w:pPr>
        <w:pStyle w:val="Ttulo3"/>
        <w:spacing w:before="0" w:after="0" w:line="360" w:lineRule="auto"/>
        <w:jc w:val="center"/>
        <w:rPr>
          <w:b w:val="0"/>
          <w:sz w:val="24"/>
          <w:szCs w:val="24"/>
          <w:lang w:val="pt-BR"/>
        </w:rPr>
      </w:pPr>
      <w:bookmarkStart w:id="14" w:name="_2uon1x3ywd" w:colFirst="0" w:colLast="0"/>
      <w:bookmarkEnd w:id="14"/>
      <w:r w:rsidRPr="005C4557">
        <w:rPr>
          <w:b w:val="0"/>
          <w:sz w:val="24"/>
          <w:szCs w:val="24"/>
          <w:lang w:val="pt-BR"/>
        </w:rPr>
        <w:t>Tabela 2</w:t>
      </w:r>
    </w:p>
    <w:p w:rsidR="00E51BA7" w:rsidRPr="005C4557" w:rsidRDefault="00A81234">
      <w:pPr>
        <w:pStyle w:val="Ttulo3"/>
        <w:spacing w:before="0" w:after="0" w:line="360" w:lineRule="auto"/>
        <w:jc w:val="center"/>
        <w:rPr>
          <w:b w:val="0"/>
          <w:i/>
          <w:sz w:val="24"/>
          <w:szCs w:val="24"/>
          <w:lang w:val="pt-BR"/>
        </w:rPr>
      </w:pPr>
      <w:bookmarkStart w:id="15" w:name="_juvo8d1nublr" w:colFirst="0" w:colLast="0"/>
      <w:bookmarkEnd w:id="15"/>
      <w:r w:rsidRPr="005C4557">
        <w:rPr>
          <w:b w:val="0"/>
          <w:i/>
          <w:sz w:val="24"/>
          <w:szCs w:val="24"/>
          <w:lang w:val="pt-BR"/>
        </w:rPr>
        <w:t>Síntese dos dois tipos de influência social segundo Moscovici (2011; 1980).</w:t>
      </w:r>
    </w:p>
    <w:tbl>
      <w:tblPr>
        <w:tblStyle w:val="a0"/>
        <w:tblW w:w="8745"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5"/>
        <w:gridCol w:w="2915"/>
        <w:gridCol w:w="2915"/>
      </w:tblGrid>
      <w:tr w:rsidR="00E51BA7" w:rsidRPr="005C4557">
        <w:trPr>
          <w:trHeight w:val="520"/>
        </w:trPr>
        <w:tc>
          <w:tcPr>
            <w:tcW w:w="8745" w:type="dxa"/>
            <w:gridSpan w:val="3"/>
            <w:tcBorders>
              <w:left w:val="nil"/>
            </w:tcBorders>
            <w:tcMar>
              <w:top w:w="140" w:type="dxa"/>
              <w:left w:w="140" w:type="dxa"/>
              <w:bottom w:w="140" w:type="dxa"/>
              <w:right w:w="140" w:type="dxa"/>
            </w:tcMar>
          </w:tcPr>
          <w:p w:rsidR="00E51BA7" w:rsidRPr="005C4557" w:rsidRDefault="00A81234">
            <w:pPr>
              <w:widowControl w:val="0"/>
              <w:jc w:val="center"/>
              <w:rPr>
                <w:lang w:val="pt-BR"/>
              </w:rPr>
            </w:pPr>
            <w:r w:rsidRPr="005C4557">
              <w:rPr>
                <w:lang w:val="pt-BR"/>
              </w:rPr>
              <w:t>DOIS TIPOS DE I</w:t>
            </w:r>
            <w:r w:rsidRPr="005C4557">
              <w:rPr>
                <w:lang w:val="pt-BR"/>
              </w:rPr>
              <w:t>NFLUÊNCIA SOCIAL</w:t>
            </w:r>
          </w:p>
        </w:tc>
      </w:tr>
      <w:tr w:rsidR="00E51BA7">
        <w:tc>
          <w:tcPr>
            <w:tcW w:w="2915" w:type="dxa"/>
            <w:tcBorders>
              <w:left w:val="nil"/>
              <w:bottom w:val="nil"/>
              <w:right w:val="nil"/>
            </w:tcBorders>
            <w:tcMar>
              <w:top w:w="140" w:type="dxa"/>
              <w:left w:w="140" w:type="dxa"/>
              <w:bottom w:w="140" w:type="dxa"/>
              <w:right w:w="140" w:type="dxa"/>
            </w:tcMar>
          </w:tcPr>
          <w:p w:rsidR="00E51BA7" w:rsidRDefault="00A81234">
            <w:pPr>
              <w:widowControl w:val="0"/>
            </w:pPr>
            <w:r>
              <w:t>Nome</w:t>
            </w:r>
          </w:p>
        </w:tc>
        <w:tc>
          <w:tcPr>
            <w:tcW w:w="2915" w:type="dxa"/>
            <w:tcBorders>
              <w:left w:val="nil"/>
              <w:bottom w:val="nil"/>
              <w:right w:val="nil"/>
            </w:tcBorders>
            <w:tcMar>
              <w:top w:w="140" w:type="dxa"/>
              <w:left w:w="140" w:type="dxa"/>
              <w:bottom w:w="140" w:type="dxa"/>
              <w:right w:w="140" w:type="dxa"/>
            </w:tcMar>
          </w:tcPr>
          <w:p w:rsidR="00E51BA7" w:rsidRDefault="00A81234">
            <w:pPr>
              <w:widowControl w:val="0"/>
              <w:jc w:val="center"/>
            </w:pPr>
            <w:proofErr w:type="spellStart"/>
            <w:r>
              <w:t>Conformismo</w:t>
            </w:r>
            <w:proofErr w:type="spellEnd"/>
          </w:p>
        </w:tc>
        <w:tc>
          <w:tcPr>
            <w:tcW w:w="2915" w:type="dxa"/>
            <w:tcBorders>
              <w:left w:val="nil"/>
              <w:bottom w:val="nil"/>
              <w:right w:val="nil"/>
            </w:tcBorders>
            <w:tcMar>
              <w:top w:w="140" w:type="dxa"/>
              <w:left w:w="140" w:type="dxa"/>
              <w:bottom w:w="140" w:type="dxa"/>
              <w:right w:w="140" w:type="dxa"/>
            </w:tcMar>
          </w:tcPr>
          <w:p w:rsidR="00E51BA7" w:rsidRDefault="00A81234">
            <w:pPr>
              <w:widowControl w:val="0"/>
              <w:jc w:val="center"/>
            </w:pPr>
            <w:proofErr w:type="spellStart"/>
            <w:r>
              <w:t>Inovação</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Resultado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Aquiescência</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Conversão</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Tipo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Normativa</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Informacional</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Esfera</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Público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Privado</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Nível</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r>
              <w:t>Manifesto/</w:t>
            </w:r>
            <w:r>
              <w:br/>
            </w:r>
            <w:proofErr w:type="spellStart"/>
            <w:r>
              <w:t>Imediato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Latente</w:t>
            </w:r>
            <w:proofErr w:type="spellEnd"/>
            <w:r>
              <w:t>/</w:t>
            </w:r>
            <w:r>
              <w:br/>
            </w:r>
            <w:proofErr w:type="spellStart"/>
            <w:r>
              <w:t>Postergado</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Efeito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Direto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Indireto</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r>
              <w:t>Fonte</w:t>
            </w:r>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Maiorias</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Minorias</w:t>
            </w:r>
            <w:proofErr w:type="spellEnd"/>
            <w:r>
              <w:t xml:space="preserve"> </w:t>
            </w:r>
            <w:proofErr w:type="spellStart"/>
            <w:r>
              <w:t>ativas</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r>
              <w:lastRenderedPageBreak/>
              <w:t>Norma</w:t>
            </w:r>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Consenso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Originalidade</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Pensamento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Convergente</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Divergente</w:t>
            </w:r>
            <w:proofErr w:type="spellEnd"/>
          </w:p>
        </w:tc>
      </w:tr>
      <w:tr w:rsidR="00E51BA7">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pPr>
            <w:proofErr w:type="spellStart"/>
            <w:r>
              <w:t>Processo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Comparação</w:t>
            </w:r>
            <w:proofErr w:type="spellEnd"/>
          </w:p>
        </w:tc>
        <w:tc>
          <w:tcPr>
            <w:tcW w:w="2915" w:type="dxa"/>
            <w:tcBorders>
              <w:top w:val="nil"/>
              <w:left w:val="nil"/>
              <w:bottom w:val="nil"/>
              <w:right w:val="nil"/>
            </w:tcBorders>
            <w:tcMar>
              <w:top w:w="140" w:type="dxa"/>
              <w:left w:w="140" w:type="dxa"/>
              <w:bottom w:w="140" w:type="dxa"/>
              <w:right w:w="140" w:type="dxa"/>
            </w:tcMar>
          </w:tcPr>
          <w:p w:rsidR="00E51BA7" w:rsidRDefault="00A81234">
            <w:pPr>
              <w:widowControl w:val="0"/>
              <w:jc w:val="center"/>
            </w:pPr>
            <w:proofErr w:type="spellStart"/>
            <w:r>
              <w:t>Validação</w:t>
            </w:r>
            <w:proofErr w:type="spellEnd"/>
          </w:p>
        </w:tc>
      </w:tr>
      <w:tr w:rsidR="00E51BA7">
        <w:tc>
          <w:tcPr>
            <w:tcW w:w="2915" w:type="dxa"/>
            <w:tcBorders>
              <w:top w:val="nil"/>
              <w:left w:val="nil"/>
              <w:right w:val="nil"/>
            </w:tcBorders>
            <w:tcMar>
              <w:top w:w="140" w:type="dxa"/>
              <w:left w:w="140" w:type="dxa"/>
              <w:bottom w:w="140" w:type="dxa"/>
              <w:right w:w="140" w:type="dxa"/>
            </w:tcMar>
          </w:tcPr>
          <w:p w:rsidR="00E51BA7" w:rsidRDefault="00A81234">
            <w:pPr>
              <w:widowControl w:val="0"/>
            </w:pPr>
            <w:proofErr w:type="spellStart"/>
            <w:r>
              <w:t>Nível</w:t>
            </w:r>
            <w:proofErr w:type="spellEnd"/>
            <w:r>
              <w:t xml:space="preserve"> </w:t>
            </w:r>
            <w:proofErr w:type="spellStart"/>
            <w:r>
              <w:t>relacional</w:t>
            </w:r>
            <w:proofErr w:type="spellEnd"/>
          </w:p>
        </w:tc>
        <w:tc>
          <w:tcPr>
            <w:tcW w:w="2915" w:type="dxa"/>
            <w:tcBorders>
              <w:top w:val="nil"/>
              <w:left w:val="nil"/>
              <w:right w:val="nil"/>
            </w:tcBorders>
            <w:tcMar>
              <w:top w:w="140" w:type="dxa"/>
              <w:left w:w="140" w:type="dxa"/>
              <w:bottom w:w="140" w:type="dxa"/>
              <w:right w:w="140" w:type="dxa"/>
            </w:tcMar>
          </w:tcPr>
          <w:p w:rsidR="00E51BA7" w:rsidRDefault="00A81234">
            <w:pPr>
              <w:widowControl w:val="0"/>
              <w:jc w:val="center"/>
            </w:pPr>
            <w:proofErr w:type="spellStart"/>
            <w:r>
              <w:t>Intragrupo</w:t>
            </w:r>
            <w:proofErr w:type="spellEnd"/>
            <w:r>
              <w:t xml:space="preserve"> e </w:t>
            </w:r>
            <w:proofErr w:type="spellStart"/>
            <w:r>
              <w:t>intergrupo</w:t>
            </w:r>
            <w:proofErr w:type="spellEnd"/>
          </w:p>
        </w:tc>
        <w:tc>
          <w:tcPr>
            <w:tcW w:w="2915" w:type="dxa"/>
            <w:tcBorders>
              <w:top w:val="nil"/>
              <w:left w:val="nil"/>
              <w:right w:val="nil"/>
            </w:tcBorders>
            <w:tcMar>
              <w:top w:w="140" w:type="dxa"/>
              <w:left w:w="140" w:type="dxa"/>
              <w:bottom w:w="140" w:type="dxa"/>
              <w:right w:w="140" w:type="dxa"/>
            </w:tcMar>
          </w:tcPr>
          <w:p w:rsidR="00E51BA7" w:rsidRDefault="00A81234">
            <w:pPr>
              <w:widowControl w:val="0"/>
              <w:jc w:val="center"/>
            </w:pPr>
            <w:proofErr w:type="spellStart"/>
            <w:r>
              <w:t>Intergrupo</w:t>
            </w:r>
            <w:proofErr w:type="spellEnd"/>
          </w:p>
        </w:tc>
      </w:tr>
    </w:tbl>
    <w:p w:rsidR="00E51BA7" w:rsidRDefault="00E51BA7">
      <w:pPr>
        <w:widowControl w:val="0"/>
        <w:spacing w:line="360" w:lineRule="auto"/>
        <w:ind w:firstLine="708"/>
        <w:jc w:val="center"/>
      </w:pPr>
    </w:p>
    <w:p w:rsidR="00E51BA7" w:rsidRPr="005C4557" w:rsidRDefault="00A81234">
      <w:pPr>
        <w:widowControl w:val="0"/>
        <w:spacing w:line="360" w:lineRule="auto"/>
        <w:ind w:firstLine="708"/>
        <w:rPr>
          <w:lang w:val="pt-BR"/>
        </w:rPr>
      </w:pPr>
      <w:r w:rsidRPr="005C4557">
        <w:rPr>
          <w:lang w:val="pt-BR"/>
        </w:rPr>
        <w:t>Diversos conceitos da teoria da conversão (Moscovici, 1980) já estavam presentes nos experimentos azul-verde, como vimos. Contudo, apesar dos avanços teóricos, no âmbito metodológico dos experimentos Moscovici não conseguiu abarcar os níveis posicional e s</w:t>
      </w:r>
      <w:r w:rsidRPr="005C4557">
        <w:rPr>
          <w:lang w:val="pt-BR"/>
        </w:rPr>
        <w:t>ocietal das relações de influência como no mundo social (Papastamou et al., 2017).  O descompasso entre a inovação da teoria e limites de métodos disponíveis levou Moscovici a abstrair nos experimentos partes das relações de grupos, como a identidade e a p</w:t>
      </w:r>
      <w:r w:rsidRPr="005C4557">
        <w:rPr>
          <w:lang w:val="pt-BR"/>
        </w:rPr>
        <w:t>ertença social. Ao demonstrar a influência minoritária no laboratório nos níveis intra e interpessoal e extrapolá-los para os níveis posicional e ideológico, Moscovici utilizou uma nave de escala. Ele lançou mão de explicações originadas em um nível de aná</w:t>
      </w:r>
      <w:r w:rsidRPr="005C4557">
        <w:rPr>
          <w:lang w:val="pt-BR"/>
        </w:rPr>
        <w:t>lise, para dar conta de outro.</w:t>
      </w:r>
    </w:p>
    <w:p w:rsidR="00E51BA7" w:rsidRPr="005C4557" w:rsidRDefault="00E51BA7">
      <w:pPr>
        <w:widowControl w:val="0"/>
        <w:spacing w:line="360" w:lineRule="auto"/>
        <w:ind w:firstLine="708"/>
        <w:rPr>
          <w:lang w:val="pt-BR"/>
        </w:rPr>
      </w:pPr>
    </w:p>
    <w:p w:rsidR="00E51BA7" w:rsidRPr="005C4557" w:rsidRDefault="00A81234">
      <w:pPr>
        <w:pStyle w:val="Ttulo1"/>
        <w:keepLines w:val="0"/>
        <w:spacing w:before="0" w:after="0" w:line="360" w:lineRule="auto"/>
        <w:jc w:val="center"/>
        <w:rPr>
          <w:sz w:val="24"/>
          <w:szCs w:val="24"/>
          <w:lang w:val="pt-BR"/>
        </w:rPr>
      </w:pPr>
      <w:bookmarkStart w:id="16" w:name="_xovpoosotwct" w:colFirst="0" w:colLast="0"/>
      <w:bookmarkEnd w:id="16"/>
      <w:r w:rsidRPr="005C4557">
        <w:rPr>
          <w:sz w:val="24"/>
          <w:szCs w:val="24"/>
          <w:lang w:val="pt-BR"/>
        </w:rPr>
        <w:t>Avanços Teóricos na Influência Minoritária</w:t>
      </w:r>
    </w:p>
    <w:p w:rsidR="00E51BA7" w:rsidRPr="005C4557" w:rsidRDefault="00A81234">
      <w:pPr>
        <w:pStyle w:val="Ttulo2"/>
        <w:spacing w:before="0" w:line="360" w:lineRule="auto"/>
        <w:rPr>
          <w:rFonts w:ascii="Times New Roman" w:eastAsia="Times New Roman" w:hAnsi="Times New Roman" w:cs="Times New Roman"/>
          <w:b/>
          <w:color w:val="000000"/>
          <w:sz w:val="24"/>
          <w:szCs w:val="24"/>
          <w:lang w:val="pt-BR"/>
        </w:rPr>
      </w:pPr>
      <w:bookmarkStart w:id="17" w:name="_wkkxy3hhen2b" w:colFirst="0" w:colLast="0"/>
      <w:bookmarkEnd w:id="17"/>
      <w:r w:rsidRPr="005C4557">
        <w:rPr>
          <w:rFonts w:ascii="Times New Roman" w:eastAsia="Times New Roman" w:hAnsi="Times New Roman" w:cs="Times New Roman"/>
          <w:b/>
          <w:color w:val="000000"/>
          <w:sz w:val="24"/>
          <w:szCs w:val="24"/>
          <w:lang w:val="pt-BR"/>
        </w:rPr>
        <w:t>Identidade social, categorização e atitudes</w:t>
      </w:r>
    </w:p>
    <w:p w:rsidR="00E51BA7" w:rsidRPr="005C4557" w:rsidRDefault="00A81234">
      <w:pPr>
        <w:widowControl w:val="0"/>
        <w:spacing w:line="360" w:lineRule="auto"/>
        <w:ind w:firstLine="708"/>
        <w:rPr>
          <w:lang w:val="pt-BR"/>
        </w:rPr>
      </w:pPr>
      <w:r w:rsidRPr="005C4557">
        <w:rPr>
          <w:lang w:val="pt-BR"/>
        </w:rPr>
        <w:t>A teoria da autocategorização postula que o reconhecimento do que é comum na identidade é uma condição para a pertença grupal e o compart</w:t>
      </w:r>
      <w:r w:rsidRPr="005C4557">
        <w:rPr>
          <w:lang w:val="pt-BR"/>
        </w:rPr>
        <w:t>ilhamento de opiniões e normas de forma consensual (Turner, 1991). Segundo a teoria, um grupo só pode considerar as opiniões de outro grupo com o qual compartilhe ao menos uma característica em comum, que torne possível a assimilação da sua categoria. A in</w:t>
      </w:r>
      <w:r w:rsidRPr="005C4557">
        <w:rPr>
          <w:lang w:val="pt-BR"/>
        </w:rPr>
        <w:t>fluência é, assim, um processo que ocorre sempre dentro do grupo de pertença. O conflito da minoria torna saliente as diferenças individuais (no nível informacional), e, se levado ao nível do grupo (normativo), pode conduzir a um dentre três possíveis desf</w:t>
      </w:r>
      <w:r w:rsidRPr="005C4557">
        <w:rPr>
          <w:lang w:val="pt-BR"/>
        </w:rPr>
        <w:t>echos: criar uma subdivisão categorial no grupo com base na questão, tornar a minoria um exogrupo que será ignorado, ou deixar a influência ocorrer em alguma direção (Souchet, Tafani, Codaccioni, &amp; Mugny, 2006). Assim, um grupo mais próximo, uma minoria en</w:t>
      </w:r>
      <w:r w:rsidRPr="005C4557">
        <w:rPr>
          <w:lang w:val="pt-BR"/>
        </w:rPr>
        <w:t>dogrupal, é aquele que tem chances de veicular suas ideias e instaurar conflitos informacionais pelo dissenso, buscando influenciar o grupo majoritário ao qual pertence.</w:t>
      </w:r>
    </w:p>
    <w:p w:rsidR="00E51BA7" w:rsidRPr="005C4557" w:rsidRDefault="00A81234">
      <w:pPr>
        <w:widowControl w:val="0"/>
        <w:spacing w:line="360" w:lineRule="auto"/>
        <w:ind w:firstLine="708"/>
        <w:rPr>
          <w:lang w:val="pt-BR"/>
        </w:rPr>
      </w:pPr>
      <w:r w:rsidRPr="005C4557">
        <w:rPr>
          <w:lang w:val="pt-BR"/>
        </w:rPr>
        <w:t xml:space="preserve">Mugny (1982) utilizou questionários atitudinais como instrumentos principais nos </w:t>
      </w:r>
      <w:r w:rsidRPr="005C4557">
        <w:rPr>
          <w:lang w:val="pt-BR"/>
        </w:rPr>
        <w:lastRenderedPageBreak/>
        <w:t>estud</w:t>
      </w:r>
      <w:r w:rsidRPr="005C4557">
        <w:rPr>
          <w:lang w:val="pt-BR"/>
        </w:rPr>
        <w:t>os de influência minoritária. Ele buscou formular experimentos de modo que se ampliasse as articulações entre grupos e ideologias com os sujeitos participantes (Álvaro &amp; Crano, 2017). Ao trazer características de identidade e posições de grupos para o camp</w:t>
      </w:r>
      <w:r w:rsidRPr="005C4557">
        <w:rPr>
          <w:lang w:val="pt-BR"/>
        </w:rPr>
        <w:t>o, as análises de influência social buscaram passar a abarcar também metodologicamente os níveis posicional e ideológico (Doise, 1982; Papastamou et al., 2017).</w:t>
      </w:r>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18" w:name="_2jxsxqh" w:colFirst="0" w:colLast="0"/>
      <w:bookmarkEnd w:id="18"/>
      <w:r w:rsidRPr="005C4557">
        <w:rPr>
          <w:rFonts w:ascii="Times New Roman" w:eastAsia="Times New Roman" w:hAnsi="Times New Roman" w:cs="Times New Roman"/>
          <w:b/>
          <w:color w:val="000000"/>
          <w:sz w:val="24"/>
          <w:szCs w:val="24"/>
          <w:lang w:val="pt-BR"/>
        </w:rPr>
        <w:t>Estudos sobre identidade e influência</w:t>
      </w:r>
    </w:p>
    <w:p w:rsidR="00E51BA7" w:rsidRPr="005C4557" w:rsidRDefault="00A81234">
      <w:pPr>
        <w:widowControl w:val="0"/>
        <w:spacing w:line="360" w:lineRule="auto"/>
        <w:ind w:firstLine="709"/>
        <w:rPr>
          <w:lang w:val="pt-BR"/>
        </w:rPr>
      </w:pPr>
      <w:r w:rsidRPr="005C4557">
        <w:rPr>
          <w:lang w:val="pt-BR"/>
        </w:rPr>
        <w:t xml:space="preserve">Pérez e Mugny (1987) investigaram as previsões da teoria </w:t>
      </w:r>
      <w:r w:rsidRPr="005C4557">
        <w:rPr>
          <w:lang w:val="pt-BR"/>
        </w:rPr>
        <w:t>da conversão sobre a relação entre ideologia e identidade social num estudo sobre posições de estudantes colegiais mulheres sobre a legalização do aborto. Eles utilizaram a categorização da identidade de grupos fonte de influência como duas variáveis indep</w:t>
      </w:r>
      <w:r w:rsidRPr="005C4557">
        <w:rPr>
          <w:lang w:val="pt-BR"/>
        </w:rPr>
        <w:t xml:space="preserve">endentes, classificando a minoria pró-legalização como endogrupo (mulheres) ou exogrupo (homens), enquanto uma maioria </w:t>
      </w:r>
      <w:proofErr w:type="spellStart"/>
      <w:r w:rsidRPr="005C4557">
        <w:rPr>
          <w:lang w:val="pt-BR"/>
        </w:rPr>
        <w:t>anti-legalização</w:t>
      </w:r>
      <w:proofErr w:type="spellEnd"/>
      <w:r w:rsidRPr="005C4557">
        <w:rPr>
          <w:lang w:val="pt-BR"/>
        </w:rPr>
        <w:t>, também era classificada como endogrupo (mulheres) ou exogrupo (homens). Assim, a posição ideológica era a mesma, minori</w:t>
      </w:r>
      <w:r w:rsidRPr="005C4557">
        <w:rPr>
          <w:lang w:val="pt-BR"/>
        </w:rPr>
        <w:t>a pró e maioria contra, variando a relação identitária por gênero em relação à amostra de mulheres. As variáveis dependentes consistiram em influência direta e indireta.</w:t>
      </w:r>
    </w:p>
    <w:p w:rsidR="00E51BA7" w:rsidRPr="005C4557" w:rsidRDefault="00A81234">
      <w:pPr>
        <w:widowControl w:val="0"/>
        <w:spacing w:line="360" w:lineRule="auto"/>
        <w:ind w:firstLine="709"/>
        <w:rPr>
          <w:lang w:val="pt-BR"/>
        </w:rPr>
      </w:pPr>
      <w:r w:rsidRPr="005C4557">
        <w:rPr>
          <w:lang w:val="pt-BR"/>
        </w:rPr>
        <w:t>A influência direta ocorreu apenas por parte da maioria exogrupal face à minoria també</w:t>
      </w:r>
      <w:r w:rsidRPr="005C4557">
        <w:rPr>
          <w:lang w:val="pt-BR"/>
        </w:rPr>
        <w:t>m exogrupal, sem resultado de influência indireta relevante. Já a influência indireta ocorreu de modo relevante apenas na minoria endogrupal face à maioria exogrupal (sem influência direta). Na avaliação da posição sobre a legalização do aborto, feita pela</w:t>
      </w:r>
      <w:r w:rsidRPr="005C4557">
        <w:rPr>
          <w:lang w:val="pt-BR"/>
        </w:rPr>
        <w:t xml:space="preserve"> comparação da posição inicial (pré-avaliação) com as medidas de influência, os resultados mostram que a maioria exogrupo foi a única a obter influência direta e que a interação maioria e minoria exogrupais foi a que mais produziu influência ao todo.</w:t>
      </w:r>
    </w:p>
    <w:p w:rsidR="00E51BA7" w:rsidRPr="005C4557" w:rsidRDefault="00A81234">
      <w:pPr>
        <w:widowControl w:val="0"/>
        <w:spacing w:line="360" w:lineRule="auto"/>
        <w:ind w:firstLine="709"/>
        <w:rPr>
          <w:rFonts w:ascii="Arial" w:eastAsia="Arial" w:hAnsi="Arial" w:cs="Arial"/>
          <w:sz w:val="22"/>
          <w:szCs w:val="22"/>
          <w:lang w:val="pt-BR"/>
        </w:rPr>
      </w:pPr>
      <w:r w:rsidRPr="005C4557">
        <w:rPr>
          <w:lang w:val="pt-BR"/>
        </w:rPr>
        <w:t>Os au</w:t>
      </w:r>
      <w:r w:rsidRPr="005C4557">
        <w:rPr>
          <w:lang w:val="pt-BR"/>
        </w:rPr>
        <w:t xml:space="preserve">tores concluem que há uma ordem paradoxal nos processos de influência </w:t>
      </w:r>
      <w:proofErr w:type="spellStart"/>
      <w:r w:rsidRPr="005C4557">
        <w:rPr>
          <w:lang w:val="pt-BR"/>
        </w:rPr>
        <w:t>experienciados</w:t>
      </w:r>
      <w:proofErr w:type="spellEnd"/>
      <w:r w:rsidRPr="005C4557">
        <w:rPr>
          <w:lang w:val="pt-BR"/>
        </w:rPr>
        <w:t xml:space="preserve"> pelas participantes: primeiro elas lidaram com as questões identitárias, por meio da comparação social; após isso ocorreu o processo de validação informacional. A semelhan</w:t>
      </w:r>
      <w:r w:rsidRPr="005C4557">
        <w:rPr>
          <w:lang w:val="pt-BR"/>
        </w:rPr>
        <w:t>ça identitária (condição endogrupo) torna saliente o processo de comparação – associado à conformidade, que por sua vez inibe a validação informacional. Já a diferença identitária (condição exogrupo) é associada à inovação, pois auxilia na validação inform</w:t>
      </w:r>
      <w:r w:rsidRPr="005C4557">
        <w:rPr>
          <w:lang w:val="pt-BR"/>
        </w:rPr>
        <w:t>acional (Pérez &amp; Mugny, 1987).</w:t>
      </w:r>
    </w:p>
    <w:p w:rsidR="00E51BA7" w:rsidRPr="005C4557" w:rsidRDefault="00A81234">
      <w:pPr>
        <w:widowControl w:val="0"/>
        <w:spacing w:line="360" w:lineRule="auto"/>
        <w:ind w:firstLine="709"/>
        <w:rPr>
          <w:lang w:val="pt-BR"/>
        </w:rPr>
      </w:pPr>
      <w:r w:rsidRPr="005C4557">
        <w:rPr>
          <w:lang w:val="pt-BR"/>
        </w:rPr>
        <w:t>Souchet et al. (2006) buscaram comparar as previsões concorrentes das teorias da autocategorização (Turner, 1991) e da elaboração do conflito (Pérez &amp; Mugny, 1993). Os autores realizaram experimento sobre a representação soci</w:t>
      </w:r>
      <w:r w:rsidRPr="005C4557">
        <w:rPr>
          <w:lang w:val="pt-BR"/>
        </w:rPr>
        <w:t xml:space="preserve">al da droga, sob a condição central de </w:t>
      </w:r>
      <w:r w:rsidRPr="005C4557">
        <w:rPr>
          <w:lang w:val="pt-BR"/>
        </w:rPr>
        <w:lastRenderedPageBreak/>
        <w:t xml:space="preserve">dependência, buscando exercer influência por mensagem indutora atribuída a grupos de homens e mulheres, distribuídas em oito condições experimentais. Utilizaram delineamento com três </w:t>
      </w:r>
      <w:proofErr w:type="spellStart"/>
      <w:r w:rsidRPr="005C4557">
        <w:rPr>
          <w:lang w:val="pt-BR"/>
        </w:rPr>
        <w:t>VIs</w:t>
      </w:r>
      <w:proofErr w:type="spellEnd"/>
      <w:r w:rsidRPr="005C4557">
        <w:rPr>
          <w:lang w:val="pt-BR"/>
        </w:rPr>
        <w:t xml:space="preserve"> binárias: status do grupo, por</w:t>
      </w:r>
      <w:r w:rsidRPr="005C4557">
        <w:rPr>
          <w:lang w:val="pt-BR"/>
        </w:rPr>
        <w:t xml:space="preserve"> quantidade numérica (maioria-minoria), pertença grupal, por gênero (masculino-feminino) e atribuição da mensagem indutora, por gênero (endogrupo-exogrupo). Os resultados mostram que a influência direta foi maior nas condições de maioria endogrupal. Já a i</w:t>
      </w:r>
      <w:r w:rsidRPr="005C4557">
        <w:rPr>
          <w:lang w:val="pt-BR"/>
        </w:rPr>
        <w:t xml:space="preserve">nfluência indireta foi significativa na minoria exogrupo, na amostra de mulheres, e nas minorias tanto endogrupo, quanto exogrupo, na amostra de homens. Esse efeito não foi previsto por nenhuma das teorias que fundamentam o estudo. Os autores utilizaram o </w:t>
      </w:r>
      <w:r w:rsidRPr="005C4557">
        <w:rPr>
          <w:lang w:val="pt-BR"/>
        </w:rPr>
        <w:t>conceito de relação de dominância, acerca de gênero, para discutir os resultados e concluíram indicando a necessidade de mais investigações sobre a relação intergrupal fonte-alvo levando em conta suas posições.</w:t>
      </w:r>
    </w:p>
    <w:p w:rsidR="00E51BA7" w:rsidRPr="005C4557" w:rsidRDefault="00A81234">
      <w:pPr>
        <w:pStyle w:val="Ttulo2"/>
        <w:keepLines w:val="0"/>
        <w:spacing w:before="0" w:line="360" w:lineRule="auto"/>
        <w:rPr>
          <w:rFonts w:ascii="Times New Roman" w:eastAsia="Times New Roman" w:hAnsi="Times New Roman" w:cs="Times New Roman"/>
          <w:b/>
          <w:color w:val="000000"/>
          <w:sz w:val="24"/>
          <w:szCs w:val="24"/>
          <w:lang w:val="pt-BR"/>
        </w:rPr>
      </w:pPr>
      <w:bookmarkStart w:id="19" w:name="_z337ya" w:colFirst="0" w:colLast="0"/>
      <w:bookmarkEnd w:id="19"/>
      <w:r w:rsidRPr="005C4557">
        <w:rPr>
          <w:rFonts w:ascii="Times New Roman" w:eastAsia="Times New Roman" w:hAnsi="Times New Roman" w:cs="Times New Roman"/>
          <w:b/>
          <w:color w:val="000000"/>
          <w:sz w:val="24"/>
          <w:szCs w:val="24"/>
          <w:lang w:val="pt-BR"/>
        </w:rPr>
        <w:t xml:space="preserve">Novos conceitos de minorias: </w:t>
      </w:r>
      <w:proofErr w:type="spellStart"/>
      <w:r w:rsidRPr="005C4557">
        <w:rPr>
          <w:rFonts w:ascii="Times New Roman" w:eastAsia="Times New Roman" w:hAnsi="Times New Roman" w:cs="Times New Roman"/>
          <w:b/>
          <w:color w:val="000000"/>
          <w:sz w:val="24"/>
          <w:szCs w:val="24"/>
          <w:lang w:val="pt-BR"/>
        </w:rPr>
        <w:t>vitimizadas</w:t>
      </w:r>
      <w:proofErr w:type="spellEnd"/>
      <w:r w:rsidRPr="005C4557">
        <w:rPr>
          <w:rFonts w:ascii="Times New Roman" w:eastAsia="Times New Roman" w:hAnsi="Times New Roman" w:cs="Times New Roman"/>
          <w:b/>
          <w:color w:val="000000"/>
          <w:sz w:val="24"/>
          <w:szCs w:val="24"/>
          <w:lang w:val="pt-BR"/>
        </w:rPr>
        <w:t>, tol</w:t>
      </w:r>
      <w:r w:rsidRPr="005C4557">
        <w:rPr>
          <w:rFonts w:ascii="Times New Roman" w:eastAsia="Times New Roman" w:hAnsi="Times New Roman" w:cs="Times New Roman"/>
          <w:b/>
          <w:color w:val="000000"/>
          <w:sz w:val="24"/>
          <w:szCs w:val="24"/>
          <w:lang w:val="pt-BR"/>
        </w:rPr>
        <w:t xml:space="preserve">erantes e </w:t>
      </w:r>
      <w:proofErr w:type="spellStart"/>
      <w:r w:rsidRPr="005C4557">
        <w:rPr>
          <w:rFonts w:ascii="Times New Roman" w:eastAsia="Times New Roman" w:hAnsi="Times New Roman" w:cs="Times New Roman"/>
          <w:b/>
          <w:color w:val="000000"/>
          <w:sz w:val="24"/>
          <w:szCs w:val="24"/>
          <w:lang w:val="pt-BR"/>
        </w:rPr>
        <w:t>perpetrantes</w:t>
      </w:r>
      <w:proofErr w:type="spellEnd"/>
    </w:p>
    <w:p w:rsidR="00E51BA7" w:rsidRPr="005C4557" w:rsidRDefault="00A81234">
      <w:pPr>
        <w:widowControl w:val="0"/>
        <w:spacing w:line="360" w:lineRule="auto"/>
        <w:ind w:firstLine="720"/>
        <w:rPr>
          <w:lang w:val="pt-BR"/>
        </w:rPr>
      </w:pPr>
      <w:r w:rsidRPr="005C4557">
        <w:rPr>
          <w:lang w:val="pt-BR"/>
        </w:rPr>
        <w:t>Moscovici &amp;</w:t>
      </w:r>
      <w:r w:rsidRPr="005C4557">
        <w:rPr>
          <w:lang w:val="pt-BR"/>
        </w:rPr>
        <w:t xml:space="preserve"> Pérez (2007) avaliam que ao longo da década de 1990 houve uma mudança no campo psicossocial pelo surgimento de minorias </w:t>
      </w:r>
      <w:proofErr w:type="spellStart"/>
      <w:r w:rsidRPr="005C4557">
        <w:rPr>
          <w:lang w:val="pt-BR"/>
        </w:rPr>
        <w:t>vitimizadas</w:t>
      </w:r>
      <w:proofErr w:type="spellEnd"/>
      <w:r w:rsidRPr="005C4557">
        <w:rPr>
          <w:lang w:val="pt-BR"/>
        </w:rPr>
        <w:t xml:space="preserve">, com base na culpabilidade social. Esse movimento consistiu, de um lado, pelos pedidos de desculpas e retratações públicas </w:t>
      </w:r>
      <w:r w:rsidRPr="005C4557">
        <w:rPr>
          <w:lang w:val="pt-BR"/>
        </w:rPr>
        <w:t xml:space="preserve">de grandes instituições ante minorias que foram por elas </w:t>
      </w:r>
      <w:proofErr w:type="spellStart"/>
      <w:r w:rsidRPr="005C4557">
        <w:rPr>
          <w:lang w:val="pt-BR"/>
        </w:rPr>
        <w:t>vitimizadas</w:t>
      </w:r>
      <w:proofErr w:type="spellEnd"/>
      <w:r w:rsidRPr="005C4557">
        <w:rPr>
          <w:lang w:val="pt-BR"/>
        </w:rPr>
        <w:t>. Exemplificam com a Igreja Católica, na figura do Papa João Paulo II, pedindo perdão desde os anos 1980 por erros da Igreja (</w:t>
      </w:r>
      <w:proofErr w:type="spellStart"/>
      <w:r w:rsidRPr="005C4557">
        <w:rPr>
          <w:i/>
          <w:lang w:val="pt-BR"/>
        </w:rPr>
        <w:t>mea</w:t>
      </w:r>
      <w:proofErr w:type="spellEnd"/>
      <w:r w:rsidRPr="005C4557">
        <w:rPr>
          <w:i/>
          <w:lang w:val="pt-BR"/>
        </w:rPr>
        <w:t xml:space="preserve"> culpa</w:t>
      </w:r>
      <w:r w:rsidRPr="005C4557">
        <w:rPr>
          <w:lang w:val="pt-BR"/>
        </w:rPr>
        <w:t>), como a inquisição, as cruzadas e outros; e a Rainh</w:t>
      </w:r>
      <w:r w:rsidRPr="005C4557">
        <w:rPr>
          <w:lang w:val="pt-BR"/>
        </w:rPr>
        <w:t>a Elizabeth II pedindo perdão aos maoris pelo mau tratamento do Império Britânico. Do outro lado, pedidos de reconhecimento e reparação por parte de minorias tornaram-se comuns, fosse de ordem financeira, de direitos políticos ou simplesmente de assunção d</w:t>
      </w:r>
      <w:r w:rsidRPr="005C4557">
        <w:rPr>
          <w:lang w:val="pt-BR"/>
        </w:rPr>
        <w:t>e erros, reconhecimento e pedidos de desculpas.</w:t>
      </w:r>
    </w:p>
    <w:p w:rsidR="00E51BA7" w:rsidRPr="005C4557" w:rsidRDefault="00A81234">
      <w:pPr>
        <w:widowControl w:val="0"/>
        <w:spacing w:line="360" w:lineRule="auto"/>
        <w:ind w:firstLine="720"/>
        <w:rPr>
          <w:lang w:val="pt-BR"/>
        </w:rPr>
      </w:pPr>
      <w:r w:rsidRPr="005C4557">
        <w:rPr>
          <w:lang w:val="pt-BR"/>
        </w:rPr>
        <w:t xml:space="preserve">Os autores diferenciam as minorias ativas das </w:t>
      </w:r>
      <w:proofErr w:type="spellStart"/>
      <w:r w:rsidRPr="005C4557">
        <w:rPr>
          <w:lang w:val="pt-BR"/>
        </w:rPr>
        <w:t>vitimizadas</w:t>
      </w:r>
      <w:proofErr w:type="spellEnd"/>
      <w:r w:rsidRPr="005C4557">
        <w:rPr>
          <w:lang w:val="pt-BR"/>
        </w:rPr>
        <w:t xml:space="preserve"> por meio de algumas características. As ativas visam a conversão por meio do seu conflito informacional com a maioria, numa relação de oposição. As </w:t>
      </w:r>
      <w:proofErr w:type="spellStart"/>
      <w:r w:rsidRPr="005C4557">
        <w:rPr>
          <w:lang w:val="pt-BR"/>
        </w:rPr>
        <w:t>vi</w:t>
      </w:r>
      <w:r w:rsidRPr="005C4557">
        <w:rPr>
          <w:lang w:val="pt-BR"/>
        </w:rPr>
        <w:t>timizadas</w:t>
      </w:r>
      <w:proofErr w:type="spellEnd"/>
      <w:r w:rsidRPr="005C4557">
        <w:rPr>
          <w:lang w:val="pt-BR"/>
        </w:rPr>
        <w:t xml:space="preserve"> visam o reconhecimento e, algumas vezes, algum tipo de reparação, buscados por meio do senso de culpa, baseado na discriminação sofrida, numa relação moral de equiparação com as maiorias, que têm de lidar com um conflito interior (reconhecer e/ou</w:t>
      </w:r>
      <w:r w:rsidRPr="005C4557">
        <w:rPr>
          <w:lang w:val="pt-BR"/>
        </w:rPr>
        <w:t xml:space="preserve"> reparar, ou não).</w:t>
      </w:r>
    </w:p>
    <w:p w:rsidR="00E51BA7" w:rsidRPr="005C4557" w:rsidRDefault="00A81234">
      <w:pPr>
        <w:widowControl w:val="0"/>
        <w:spacing w:line="360" w:lineRule="auto"/>
        <w:ind w:firstLine="720"/>
        <w:rPr>
          <w:lang w:val="pt-BR"/>
        </w:rPr>
      </w:pPr>
      <w:r w:rsidRPr="005C4557">
        <w:rPr>
          <w:lang w:val="pt-BR"/>
        </w:rPr>
        <w:t>Moscovici e Pérez (2007) realizaram dois experimentos para testar a produção de influência pela culpa social, tanto na reparação pelo passado, quanto na valorização presente. Compararam a produção de influência direta (reparação) e indir</w:t>
      </w:r>
      <w:r w:rsidRPr="005C4557">
        <w:rPr>
          <w:lang w:val="pt-BR"/>
        </w:rPr>
        <w:t xml:space="preserve">eta (conversão) por minorias ativas (conflito informacional externo pela divergência consistente) e </w:t>
      </w:r>
      <w:proofErr w:type="spellStart"/>
      <w:r w:rsidRPr="005C4557">
        <w:rPr>
          <w:lang w:val="pt-BR"/>
        </w:rPr>
        <w:t>vitimizadas</w:t>
      </w:r>
      <w:proofErr w:type="spellEnd"/>
      <w:r w:rsidRPr="005C4557">
        <w:rPr>
          <w:lang w:val="pt-BR"/>
        </w:rPr>
        <w:t xml:space="preserve"> (conflito moral </w:t>
      </w:r>
      <w:r w:rsidRPr="005C4557">
        <w:rPr>
          <w:lang w:val="pt-BR"/>
        </w:rPr>
        <w:lastRenderedPageBreak/>
        <w:t xml:space="preserve">interno pela culpa social). Os resultados indicaram que as minorias </w:t>
      </w:r>
      <w:proofErr w:type="spellStart"/>
      <w:r w:rsidRPr="005C4557">
        <w:rPr>
          <w:lang w:val="pt-BR"/>
        </w:rPr>
        <w:t>vitimizadas</w:t>
      </w:r>
      <w:proofErr w:type="spellEnd"/>
      <w:r w:rsidRPr="005C4557">
        <w:rPr>
          <w:lang w:val="pt-BR"/>
        </w:rPr>
        <w:t xml:space="preserve"> obtiveram a reparação, mensurada como influência</w:t>
      </w:r>
      <w:r w:rsidRPr="005C4557">
        <w:rPr>
          <w:lang w:val="pt-BR"/>
        </w:rPr>
        <w:t xml:space="preserve"> direta, mas não melhor reconhecimento pela maioria - a influência indireta, ou mudança de sua representação pela maioria. As minorias ativas não obtiveram concessão de reparação, mas mudaram significativamente a imagem da minoria pela maioria.</w:t>
      </w:r>
    </w:p>
    <w:p w:rsidR="00E51BA7" w:rsidRPr="005C4557" w:rsidRDefault="00A81234">
      <w:pPr>
        <w:widowControl w:val="0"/>
        <w:spacing w:line="360" w:lineRule="auto"/>
        <w:ind w:firstLine="720"/>
        <w:rPr>
          <w:lang w:val="pt-BR"/>
        </w:rPr>
      </w:pPr>
      <w:r w:rsidRPr="005C4557">
        <w:rPr>
          <w:lang w:val="pt-BR"/>
        </w:rPr>
        <w:t>Ainda nessa</w:t>
      </w:r>
      <w:r w:rsidRPr="005C4557">
        <w:rPr>
          <w:lang w:val="pt-BR"/>
        </w:rPr>
        <w:t xml:space="preserve"> linha, Moscovici e Pérez (2009) realizaram um terceiro experimento, buscando investigar se as maiorias realizavam os atos de reconhecimento, arrependimento e pedidos de desculpas como resultado de valorização e nova representação da minoria ou para verem-</w:t>
      </w:r>
      <w:r w:rsidRPr="005C4557">
        <w:rPr>
          <w:lang w:val="pt-BR"/>
        </w:rPr>
        <w:t>se como menos discriminatórias e não responsáveis pelos erros do passado. Os resultados indicaram que quando as maiorias reconhecem as minorias como vítimas tendem a conceder reparação, mas isso as isenta de mudar a imagem negativa presente que têm das min</w:t>
      </w:r>
      <w:r w:rsidRPr="005C4557">
        <w:rPr>
          <w:lang w:val="pt-BR"/>
        </w:rPr>
        <w:t xml:space="preserve">orias. Em suma, as minorias </w:t>
      </w:r>
      <w:proofErr w:type="spellStart"/>
      <w:r w:rsidRPr="005C4557">
        <w:rPr>
          <w:lang w:val="pt-BR"/>
        </w:rPr>
        <w:t>vitimizadas</w:t>
      </w:r>
      <w:proofErr w:type="spellEnd"/>
      <w:r w:rsidRPr="005C4557">
        <w:rPr>
          <w:lang w:val="pt-BR"/>
        </w:rPr>
        <w:t xml:space="preserve"> obtiveram importantes mudanças sociais (e às vezes jurídicas ou legais) de reconhecimento e reparação por meio do conflito moral interno gerado na maioria pela culpa social. Porém, não conseguiram obter a conversão, </w:t>
      </w:r>
      <w:r w:rsidRPr="005C4557">
        <w:rPr>
          <w:lang w:val="pt-BR"/>
        </w:rPr>
        <w:t>a mudança na representação do seu grupo e nas atitudes para com ele pelas maiorias, que se eximem de mudanças possivelmente por terem concedido reparação. Já as minorias ativas, que geram um conflito informacional com a maioria, obtiveram a conversão. Esse</w:t>
      </w:r>
      <w:r w:rsidRPr="005C4557">
        <w:rPr>
          <w:lang w:val="pt-BR"/>
        </w:rPr>
        <w:t>s resultados foram confirmados por Pérez &amp; Molpeceres (2018), que buscaram definir a culpa social como um novo poder moral para as minorias. Os autores revisaram a literatura e propuseram um modelo de análise das relações entre minorias e maiorias, aplican</w:t>
      </w:r>
      <w:r w:rsidRPr="005C4557">
        <w:rPr>
          <w:lang w:val="pt-BR"/>
        </w:rPr>
        <w:t xml:space="preserve">do-o a dois estudos que são revisados. Concluíram que as minorias </w:t>
      </w:r>
      <w:proofErr w:type="spellStart"/>
      <w:r w:rsidRPr="005C4557">
        <w:rPr>
          <w:lang w:val="pt-BR"/>
        </w:rPr>
        <w:t>vitimizadas</w:t>
      </w:r>
      <w:proofErr w:type="spellEnd"/>
      <w:r w:rsidRPr="005C4557">
        <w:rPr>
          <w:lang w:val="pt-BR"/>
        </w:rPr>
        <w:t xml:space="preserve"> produzem influência manifesta (direta), mas não influência latente (indireta).</w:t>
      </w:r>
    </w:p>
    <w:p w:rsidR="00E51BA7" w:rsidRPr="005C4557" w:rsidRDefault="00A81234">
      <w:pPr>
        <w:widowControl w:val="0"/>
        <w:spacing w:line="360" w:lineRule="auto"/>
        <w:ind w:firstLine="709"/>
        <w:rPr>
          <w:lang w:val="pt-BR"/>
        </w:rPr>
      </w:pPr>
      <w:r w:rsidRPr="005C4557">
        <w:rPr>
          <w:lang w:val="pt-BR"/>
        </w:rPr>
        <w:t xml:space="preserve">Um outro conceito de minorias foi proposto por Chen &amp; </w:t>
      </w:r>
      <w:proofErr w:type="spellStart"/>
      <w:r w:rsidRPr="005C4557">
        <w:rPr>
          <w:lang w:val="pt-BR"/>
        </w:rPr>
        <w:t>Kruglanski</w:t>
      </w:r>
      <w:proofErr w:type="spellEnd"/>
      <w:r w:rsidRPr="005C4557">
        <w:rPr>
          <w:lang w:val="pt-BR"/>
        </w:rPr>
        <w:t xml:space="preserve"> (2009): o de terroristas, perpetra</w:t>
      </w:r>
      <w:r w:rsidRPr="005C4557">
        <w:rPr>
          <w:lang w:val="pt-BR"/>
        </w:rPr>
        <w:t>dores de atos criminosos violentos. A partir da constatação de que a literatura de influência minoritária levou em conta apenas minorias que utilizam meios não violentos para obter mudança social, os autores buscaram ampliar o escopo das relações de mudanç</w:t>
      </w:r>
      <w:r w:rsidRPr="005C4557">
        <w:rPr>
          <w:lang w:val="pt-BR"/>
        </w:rPr>
        <w:t>a social obtidas por minorias em relação às maiorias. Ao conceber o “Terrorismo como tática de influência minoritária”, os autores buscaram analisar de forma teórica como uma minoria excluída passa a impor sua agenda política e exigir reivindicações a part</w:t>
      </w:r>
      <w:r w:rsidRPr="005C4557">
        <w:rPr>
          <w:lang w:val="pt-BR"/>
        </w:rPr>
        <w:t>ir de atos de violência extremos pelo terrorismo. Investigam as condições de sucesso de terroristas e apontam que práticas de violência podem ser concebidas como alternativas viáveis para minorias que não consigam obter mudanças sociais por outros meios, a</w:t>
      </w:r>
      <w:r w:rsidRPr="005C4557">
        <w:rPr>
          <w:lang w:val="pt-BR"/>
        </w:rPr>
        <w:t>inda que com altos custos sociais.</w:t>
      </w:r>
    </w:p>
    <w:p w:rsidR="00E51BA7" w:rsidRPr="005C4557" w:rsidRDefault="00A81234">
      <w:pPr>
        <w:widowControl w:val="0"/>
        <w:spacing w:line="360" w:lineRule="auto"/>
        <w:ind w:firstLine="709"/>
        <w:rPr>
          <w:lang w:val="pt-BR"/>
        </w:rPr>
      </w:pPr>
      <w:r w:rsidRPr="005C4557">
        <w:rPr>
          <w:lang w:val="pt-BR"/>
        </w:rPr>
        <w:lastRenderedPageBreak/>
        <w:t>Por fim, Prislin et al. (2017) propuseram outro objetivo para os processos de influência por minorias ativas: a tolerância. A ideia central é a de que a conversão foca em uma norma ou posição de um grupo, antes minoritári</w:t>
      </w:r>
      <w:r w:rsidRPr="005C4557">
        <w:rPr>
          <w:lang w:val="pt-BR"/>
        </w:rPr>
        <w:t>o, mas que se tornará também majoritário - o que pode inclusive manter a assimetria social, apenas trocando o conteúdo/qualidade da norma/grupo numa relação de dominação. Já a tolerância implica aceitação da diversidade de normas, sem necessariamente prefe</w:t>
      </w:r>
      <w:r w:rsidRPr="005C4557">
        <w:rPr>
          <w:lang w:val="pt-BR"/>
        </w:rPr>
        <w:t>rência por alguma, mas necessariamente sem saliência ou dominação. Assim, a tolerância é teoricamente maior promotora da diversidade que a conversão.</w:t>
      </w:r>
    </w:p>
    <w:p w:rsidR="00E51BA7" w:rsidRPr="005C4557" w:rsidRDefault="00A81234">
      <w:pPr>
        <w:widowControl w:val="0"/>
        <w:spacing w:line="360" w:lineRule="auto"/>
        <w:ind w:firstLine="709"/>
        <w:rPr>
          <w:lang w:val="pt-BR"/>
        </w:rPr>
      </w:pPr>
      <w:r w:rsidRPr="005C4557">
        <w:rPr>
          <w:lang w:val="pt-BR"/>
        </w:rPr>
        <w:t>Os autores propõem, portanto, o refinamento teórico dos tipos de minorias e dos seus objetivos no campo. P</w:t>
      </w:r>
      <w:r w:rsidRPr="005C4557">
        <w:rPr>
          <w:lang w:val="pt-BR"/>
        </w:rPr>
        <w:t xml:space="preserve">ara tal, oferecem evidências de estudos empíricos que mostram que </w:t>
      </w:r>
      <w:proofErr w:type="gramStart"/>
      <w:r w:rsidRPr="005C4557">
        <w:rPr>
          <w:lang w:val="pt-BR"/>
        </w:rPr>
        <w:t>as minorias que buscam tolerância obtém</w:t>
      </w:r>
      <w:proofErr w:type="gramEnd"/>
      <w:r w:rsidRPr="005C4557">
        <w:rPr>
          <w:lang w:val="pt-BR"/>
        </w:rPr>
        <w:t xml:space="preserve"> resultados de maior aceitação e identificação grupal que minorias que buscam conversão. Por outro lado, quando falham, essas minorias podem enfrentar </w:t>
      </w:r>
      <w:r w:rsidRPr="005C4557">
        <w:rPr>
          <w:lang w:val="pt-BR"/>
        </w:rPr>
        <w:t>maior revés, como distanciamento, exclusão e até ataques (Prislin et al., 2017). Concluem indicando a necessidade de mais estudos empíricos sobre o conceito.</w:t>
      </w:r>
    </w:p>
    <w:p w:rsidR="00E51BA7" w:rsidRPr="005C4557" w:rsidRDefault="00E51BA7">
      <w:pPr>
        <w:widowControl w:val="0"/>
        <w:spacing w:line="360" w:lineRule="auto"/>
        <w:ind w:firstLine="709"/>
        <w:rPr>
          <w:lang w:val="pt-BR"/>
        </w:rPr>
      </w:pPr>
    </w:p>
    <w:p w:rsidR="00E51BA7" w:rsidRPr="005C4557" w:rsidRDefault="00A81234">
      <w:pPr>
        <w:pStyle w:val="Ttulo1"/>
        <w:keepLines w:val="0"/>
        <w:widowControl w:val="0"/>
        <w:spacing w:before="0" w:after="0" w:line="360" w:lineRule="auto"/>
        <w:jc w:val="center"/>
        <w:rPr>
          <w:sz w:val="24"/>
          <w:szCs w:val="24"/>
          <w:lang w:val="pt-BR"/>
        </w:rPr>
      </w:pPr>
      <w:bookmarkStart w:id="20" w:name="_3j2qqm3" w:colFirst="0" w:colLast="0"/>
      <w:bookmarkEnd w:id="20"/>
      <w:r w:rsidRPr="005C4557">
        <w:rPr>
          <w:i/>
          <w:sz w:val="24"/>
          <w:szCs w:val="24"/>
          <w:lang w:val="pt-BR"/>
        </w:rPr>
        <w:t xml:space="preserve">Quid </w:t>
      </w:r>
      <w:r w:rsidRPr="005C4557">
        <w:rPr>
          <w:sz w:val="24"/>
          <w:szCs w:val="24"/>
          <w:lang w:val="pt-BR"/>
        </w:rPr>
        <w:t>disso tudo? Que Desafios Permanecem?</w:t>
      </w:r>
    </w:p>
    <w:p w:rsidR="00E51BA7" w:rsidRPr="005C4557" w:rsidRDefault="00A81234">
      <w:pPr>
        <w:widowControl w:val="0"/>
        <w:spacing w:line="360" w:lineRule="auto"/>
        <w:ind w:firstLine="708"/>
        <w:rPr>
          <w:lang w:val="pt-BR"/>
        </w:rPr>
      </w:pPr>
      <w:r w:rsidRPr="005C4557">
        <w:rPr>
          <w:lang w:val="pt-BR"/>
        </w:rPr>
        <w:t>A abertura ao uso de atitudes para mensurar os processos de influência distanciou as pesquisas dos comportamentos e seus efeitos diretos, uma vez que o próprio conceito de atitude pode ser interpretado como uma disposição para agir (não é uma ação). Alguma</w:t>
      </w:r>
      <w:r w:rsidRPr="005C4557">
        <w:rPr>
          <w:lang w:val="pt-BR"/>
        </w:rPr>
        <w:t xml:space="preserve">s saídas para esse problema envolveram o uso de outras metodologias, como, por exemplo, a exploração de representações sociais de grupos pela técnica </w:t>
      </w:r>
      <w:proofErr w:type="spellStart"/>
      <w:r w:rsidRPr="005C4557">
        <w:rPr>
          <w:i/>
          <w:lang w:val="pt-BR"/>
        </w:rPr>
        <w:t>mise</w:t>
      </w:r>
      <w:proofErr w:type="spellEnd"/>
      <w:r w:rsidRPr="005C4557">
        <w:rPr>
          <w:i/>
          <w:lang w:val="pt-BR"/>
        </w:rPr>
        <w:t xml:space="preserve"> </w:t>
      </w:r>
      <w:proofErr w:type="spellStart"/>
      <w:r w:rsidRPr="005C4557">
        <w:rPr>
          <w:i/>
          <w:lang w:val="pt-BR"/>
        </w:rPr>
        <w:t>en</w:t>
      </w:r>
      <w:proofErr w:type="spellEnd"/>
      <w:r w:rsidRPr="005C4557">
        <w:rPr>
          <w:i/>
          <w:lang w:val="pt-BR"/>
        </w:rPr>
        <w:t xml:space="preserve"> cause</w:t>
      </w:r>
      <w:r w:rsidRPr="005C4557">
        <w:rPr>
          <w:lang w:val="pt-BR"/>
        </w:rPr>
        <w:t xml:space="preserve"> (Souchet et al., 2006), o uso de experimentos com grupos de julgamento e discussão (Mugny, 1</w:t>
      </w:r>
      <w:r w:rsidRPr="005C4557">
        <w:rPr>
          <w:lang w:val="pt-BR"/>
        </w:rPr>
        <w:t>982), dentre outras. Porém, o desafio metodológico de estudar comportamentos permanece no campo, como indicam algumas revisões e análises.</w:t>
      </w:r>
    </w:p>
    <w:p w:rsidR="00E51BA7" w:rsidRPr="005C4557" w:rsidRDefault="00A81234">
      <w:pPr>
        <w:widowControl w:val="0"/>
        <w:spacing w:line="360" w:lineRule="auto"/>
        <w:ind w:firstLine="708"/>
        <w:rPr>
          <w:lang w:val="pt-BR"/>
        </w:rPr>
      </w:pPr>
      <w:r w:rsidRPr="005C4557">
        <w:rPr>
          <w:lang w:val="pt-BR"/>
        </w:rPr>
        <w:t>Mass &amp; Clark III (1984) revisaram o campo após 15 anos do lançamento do estudo original de Moscovici, buscando compar</w:t>
      </w:r>
      <w:r w:rsidRPr="005C4557">
        <w:rPr>
          <w:lang w:val="pt-BR"/>
        </w:rPr>
        <w:t xml:space="preserve">ar as teorias com explicações alternativas e diferentes modelos de influência desenvolvidos. Avaliam que algumas críticas iniciais ao campo ainda permaneciam, como a limitação metodológica (apontada anteriormente), a confusão na definição de minorias e de </w:t>
      </w:r>
      <w:r w:rsidRPr="005C4557">
        <w:rPr>
          <w:lang w:val="pt-BR"/>
        </w:rPr>
        <w:t xml:space="preserve">estilo de comportamento de consistência, que modelos formais matemáticos desenvolvidos buscaram superar, defendendo apenas um tipo de influência. Concluem, contudo, que o fenômeno da influência minoritária havia sido bem estabelecido, com diversos estudos </w:t>
      </w:r>
      <w:r w:rsidRPr="005C4557">
        <w:rPr>
          <w:lang w:val="pt-BR"/>
        </w:rPr>
        <w:t>suportando a teoria de Moscovici.</w:t>
      </w:r>
    </w:p>
    <w:p w:rsidR="00E51BA7" w:rsidRPr="005C4557" w:rsidRDefault="00A81234">
      <w:pPr>
        <w:widowControl w:val="0"/>
        <w:spacing w:line="360" w:lineRule="auto"/>
        <w:ind w:firstLine="708"/>
        <w:rPr>
          <w:lang w:val="pt-BR"/>
        </w:rPr>
      </w:pPr>
      <w:r w:rsidRPr="005C4557">
        <w:rPr>
          <w:lang w:val="pt-BR"/>
        </w:rPr>
        <w:lastRenderedPageBreak/>
        <w:t xml:space="preserve">Mais recentemente, Gardikiotis (2011) classificou o campo em dois grandes quadros teóricos, os cognitivistas e os </w:t>
      </w:r>
      <w:proofErr w:type="spellStart"/>
      <w:r w:rsidRPr="005C4557">
        <w:rPr>
          <w:lang w:val="pt-BR"/>
        </w:rPr>
        <w:t>sócio-cognitivos</w:t>
      </w:r>
      <w:proofErr w:type="spellEnd"/>
      <w:r w:rsidRPr="005C4557">
        <w:rPr>
          <w:lang w:val="pt-BR"/>
        </w:rPr>
        <w:t>, apontando os desenvolvimentos de modelos recentes, ao mesmo tempo em que constatou sua fal</w:t>
      </w:r>
      <w:r w:rsidRPr="005C4557">
        <w:rPr>
          <w:lang w:val="pt-BR"/>
        </w:rPr>
        <w:t xml:space="preserve">ta de unificação entre e dentro dos quadros. </w:t>
      </w:r>
      <w:proofErr w:type="spellStart"/>
      <w:r w:rsidRPr="005C4557">
        <w:rPr>
          <w:lang w:val="pt-BR"/>
        </w:rPr>
        <w:t>Butera</w:t>
      </w:r>
      <w:proofErr w:type="spellEnd"/>
      <w:r w:rsidRPr="005C4557">
        <w:rPr>
          <w:lang w:val="pt-BR"/>
        </w:rPr>
        <w:t xml:space="preserve">, </w:t>
      </w:r>
      <w:proofErr w:type="spellStart"/>
      <w:r w:rsidRPr="005C4557">
        <w:rPr>
          <w:lang w:val="pt-BR"/>
        </w:rPr>
        <w:t>Falomir-Pichastor</w:t>
      </w:r>
      <w:proofErr w:type="spellEnd"/>
      <w:r w:rsidRPr="005C4557">
        <w:rPr>
          <w:lang w:val="pt-BR"/>
        </w:rPr>
        <w:t xml:space="preserve">, Mugny e </w:t>
      </w:r>
      <w:proofErr w:type="spellStart"/>
      <w:r w:rsidRPr="005C4557">
        <w:rPr>
          <w:lang w:val="pt-BR"/>
        </w:rPr>
        <w:t>Quiamzade</w:t>
      </w:r>
      <w:proofErr w:type="spellEnd"/>
      <w:r w:rsidRPr="005C4557">
        <w:rPr>
          <w:lang w:val="pt-BR"/>
        </w:rPr>
        <w:t xml:space="preserve"> (2017) seguiram a mesma linha, analisando teoricamente o surgimento, críticas e desenvolvimentos recentes do campo. Apontam que há capacidade </w:t>
      </w:r>
      <w:proofErr w:type="gramStart"/>
      <w:r w:rsidRPr="005C4557">
        <w:rPr>
          <w:lang w:val="pt-BR"/>
        </w:rPr>
        <w:t>dos</w:t>
      </w:r>
      <w:proofErr w:type="gramEnd"/>
      <w:r w:rsidRPr="005C4557">
        <w:rPr>
          <w:lang w:val="pt-BR"/>
        </w:rPr>
        <w:t xml:space="preserve"> modelos darem conta </w:t>
      </w:r>
      <w:r w:rsidRPr="005C4557">
        <w:rPr>
          <w:lang w:val="pt-BR"/>
        </w:rPr>
        <w:t>das mudanças psicossociais, como o mundo virtual e novos movimentos sociais, sob condição de integrarem-se entre si e com saberes de disciplinas próximas, como sociologia, geografia e ciências políticas.</w:t>
      </w:r>
    </w:p>
    <w:p w:rsidR="00E51BA7" w:rsidRPr="005C4557" w:rsidRDefault="00A81234">
      <w:pPr>
        <w:widowControl w:val="0"/>
        <w:spacing w:line="360" w:lineRule="auto"/>
        <w:ind w:firstLine="708"/>
        <w:rPr>
          <w:lang w:val="pt-BR"/>
        </w:rPr>
      </w:pPr>
      <w:r w:rsidRPr="005C4557">
        <w:rPr>
          <w:lang w:val="pt-BR"/>
        </w:rPr>
        <w:t xml:space="preserve">Wood, </w:t>
      </w:r>
      <w:proofErr w:type="spellStart"/>
      <w:r w:rsidRPr="005C4557">
        <w:rPr>
          <w:lang w:val="pt-BR"/>
        </w:rPr>
        <w:t>Lundgren</w:t>
      </w:r>
      <w:proofErr w:type="spellEnd"/>
      <w:r w:rsidRPr="005C4557">
        <w:rPr>
          <w:lang w:val="pt-BR"/>
        </w:rPr>
        <w:t xml:space="preserve">, </w:t>
      </w:r>
      <w:proofErr w:type="spellStart"/>
      <w:r w:rsidRPr="005C4557">
        <w:rPr>
          <w:lang w:val="pt-BR"/>
        </w:rPr>
        <w:t>Ouellette</w:t>
      </w:r>
      <w:proofErr w:type="spellEnd"/>
      <w:r w:rsidRPr="005C4557">
        <w:rPr>
          <w:lang w:val="pt-BR"/>
        </w:rPr>
        <w:t xml:space="preserve">, </w:t>
      </w:r>
      <w:proofErr w:type="spellStart"/>
      <w:r w:rsidRPr="005C4557">
        <w:rPr>
          <w:lang w:val="pt-BR"/>
        </w:rPr>
        <w:t>Busceme</w:t>
      </w:r>
      <w:proofErr w:type="spellEnd"/>
      <w:r w:rsidRPr="005C4557">
        <w:rPr>
          <w:lang w:val="pt-BR"/>
        </w:rPr>
        <w:t xml:space="preserve"> e </w:t>
      </w:r>
      <w:proofErr w:type="spellStart"/>
      <w:r w:rsidRPr="005C4557">
        <w:rPr>
          <w:lang w:val="pt-BR"/>
        </w:rPr>
        <w:t>Blackstone</w:t>
      </w:r>
      <w:proofErr w:type="spellEnd"/>
      <w:r w:rsidRPr="005C4557">
        <w:rPr>
          <w:lang w:val="pt-BR"/>
        </w:rPr>
        <w:t xml:space="preserve"> (199</w:t>
      </w:r>
      <w:r w:rsidRPr="005C4557">
        <w:rPr>
          <w:lang w:val="pt-BR"/>
        </w:rPr>
        <w:t xml:space="preserve">4) realizaram a meta-análise (um tipo de revisão estatística de síntese de resultados) de 97 estudos empíricos do período de 1950 a 1991. A partir das teorias das minorias ativas e da conversão, contrastadas com modelos alternativos, compararam os efeitos </w:t>
      </w:r>
      <w:r w:rsidRPr="005C4557">
        <w:rPr>
          <w:lang w:val="pt-BR"/>
        </w:rPr>
        <w:t>de influência de minorias com grupos controle e de minorias com maiorias nos âmbitos público, privado com medidas diretas e privado com medidas indiretas. Obtiveram como resultado principal influência pública pelas maioria e influência privada indireta pel</w:t>
      </w:r>
      <w:r w:rsidRPr="005C4557">
        <w:rPr>
          <w:lang w:val="pt-BR"/>
        </w:rPr>
        <w:t>as minorias, confirmando parcialmente as previsões de Moscovici, e obtiveram efeito pequeno de influência privada direta, contrariamente às previsões. Também descartaram explicações por modelos únicos de influência social e afirmaram a saliência de resulta</w:t>
      </w:r>
      <w:r w:rsidRPr="005C4557">
        <w:rPr>
          <w:lang w:val="pt-BR"/>
        </w:rPr>
        <w:t xml:space="preserve">dos de influência minoritária em estudos cujas minorias eram ligadas </w:t>
      </w:r>
      <w:proofErr w:type="gramStart"/>
      <w:r w:rsidRPr="005C4557">
        <w:rPr>
          <w:lang w:val="pt-BR"/>
        </w:rPr>
        <w:t>à</w:t>
      </w:r>
      <w:proofErr w:type="gramEnd"/>
      <w:r w:rsidRPr="005C4557">
        <w:rPr>
          <w:lang w:val="pt-BR"/>
        </w:rPr>
        <w:t xml:space="preserve"> identidades de grupos sociais fora do laboratório.</w:t>
      </w:r>
    </w:p>
    <w:p w:rsidR="00E51BA7" w:rsidRPr="005C4557" w:rsidRDefault="00A81234">
      <w:pPr>
        <w:widowControl w:val="0"/>
        <w:spacing w:line="360" w:lineRule="auto"/>
        <w:ind w:firstLine="708"/>
        <w:rPr>
          <w:lang w:val="pt-BR"/>
        </w:rPr>
      </w:pPr>
      <w:r w:rsidRPr="005C4557">
        <w:rPr>
          <w:lang w:val="pt-BR"/>
        </w:rPr>
        <w:t xml:space="preserve">Prislin et al. (2017) levantaram uma série de questões sobre o campo da influência minoritária e analisaram 238 estudos de influência </w:t>
      </w:r>
      <w:r w:rsidRPr="005C4557">
        <w:rPr>
          <w:lang w:val="pt-BR"/>
        </w:rPr>
        <w:t>minoritária entre os anos de 1960 (década do lançamento pioneiro de Moscovici e colegas) e 2011. Trazem como resultados a diminuição atual de publicações em psicologia social sobre o tema, após o ápice na década de 1990. Apontam uma certa exaustão dos conc</w:t>
      </w:r>
      <w:r w:rsidRPr="005C4557">
        <w:rPr>
          <w:lang w:val="pt-BR"/>
        </w:rPr>
        <w:t>eitos e métodos tradicionais, que precisam ser renovados para levar o campo adiante. Afirmam que há necessidade de enfoque dos estudos nas minorias fonte, que são geralmente operacionalizadas de modo apenas quantitativo. Também é preciso mudança na concepç</w:t>
      </w:r>
      <w:r w:rsidRPr="005C4557">
        <w:rPr>
          <w:lang w:val="pt-BR"/>
        </w:rPr>
        <w:t xml:space="preserve">ão dos efeitos da influência, que são mensurados de forma cognitiva em nível individual, enquanto teoricamente extrapolados para o nível intergrupal de forma social. </w:t>
      </w:r>
    </w:p>
    <w:p w:rsidR="00E51BA7" w:rsidRPr="005C4557" w:rsidRDefault="00E51BA7">
      <w:pPr>
        <w:widowControl w:val="0"/>
        <w:spacing w:line="360" w:lineRule="auto"/>
        <w:ind w:firstLine="708"/>
        <w:rPr>
          <w:lang w:val="pt-BR"/>
        </w:rPr>
      </w:pPr>
    </w:p>
    <w:p w:rsidR="00E51BA7" w:rsidRPr="005C4557" w:rsidRDefault="00A81234">
      <w:pPr>
        <w:pStyle w:val="Ttulo1"/>
        <w:keepLines w:val="0"/>
        <w:widowControl w:val="0"/>
        <w:spacing w:before="0" w:after="0" w:line="360" w:lineRule="auto"/>
        <w:jc w:val="center"/>
        <w:rPr>
          <w:sz w:val="24"/>
          <w:szCs w:val="24"/>
          <w:lang w:val="pt-BR"/>
        </w:rPr>
      </w:pPr>
      <w:bookmarkStart w:id="21" w:name="_1y810tw" w:colFirst="0" w:colLast="0"/>
      <w:bookmarkEnd w:id="21"/>
      <w:r w:rsidRPr="005C4557">
        <w:rPr>
          <w:sz w:val="24"/>
          <w:szCs w:val="24"/>
          <w:lang w:val="pt-BR"/>
        </w:rPr>
        <w:t>Discussão</w:t>
      </w:r>
    </w:p>
    <w:p w:rsidR="00E51BA7" w:rsidRPr="005C4557" w:rsidRDefault="00A81234">
      <w:pPr>
        <w:widowControl w:val="0"/>
        <w:spacing w:line="360" w:lineRule="auto"/>
        <w:ind w:firstLine="708"/>
        <w:rPr>
          <w:lang w:val="pt-BR"/>
        </w:rPr>
      </w:pPr>
      <w:r w:rsidRPr="005C4557">
        <w:rPr>
          <w:lang w:val="pt-BR"/>
        </w:rPr>
        <w:t xml:space="preserve">A compreensão dos estudos pioneiros de Moscovici é chave para entender </w:t>
      </w:r>
      <w:r w:rsidRPr="005C4557">
        <w:rPr>
          <w:lang w:val="pt-BR"/>
        </w:rPr>
        <w:lastRenderedPageBreak/>
        <w:t>desdobr</w:t>
      </w:r>
      <w:r w:rsidRPr="005C4557">
        <w:rPr>
          <w:lang w:val="pt-BR"/>
        </w:rPr>
        <w:t>amentos e disputas posteriores que ocorreram no campo. A consolidação da área com diferentes teorias e perspectivas da identidade social mostrou-se necessária para abarcar fenômenos em níveis de análise situacionais e ideológicos, cruciais para a perspecti</w:t>
      </w:r>
      <w:r w:rsidRPr="005C4557">
        <w:rPr>
          <w:lang w:val="pt-BR"/>
        </w:rPr>
        <w:t xml:space="preserve">va </w:t>
      </w:r>
      <w:proofErr w:type="spellStart"/>
      <w:r w:rsidRPr="005C4557">
        <w:rPr>
          <w:lang w:val="pt-BR"/>
        </w:rPr>
        <w:t>psicossociológica</w:t>
      </w:r>
      <w:proofErr w:type="spellEnd"/>
      <w:r w:rsidRPr="005C4557">
        <w:rPr>
          <w:lang w:val="pt-BR"/>
        </w:rPr>
        <w:t xml:space="preserve"> na qual nasceu o modelo genético da influência minoritária. A integração entre diferentes modelos e saberes das disciplinas que compõem e são próximas ao campo, a fim de desenvolver conceitos e métodos de pesquisa, é o desafio aos pesq</w:t>
      </w:r>
      <w:r w:rsidRPr="005C4557">
        <w:rPr>
          <w:lang w:val="pt-BR"/>
        </w:rPr>
        <w:t>uisadores que desejarem perscrutar os enigmas da influência minoritária.</w:t>
      </w:r>
    </w:p>
    <w:p w:rsidR="00E51BA7" w:rsidRPr="005C4557" w:rsidRDefault="00A81234">
      <w:pPr>
        <w:pBdr>
          <w:top w:val="nil"/>
          <w:left w:val="nil"/>
          <w:bottom w:val="nil"/>
          <w:right w:val="nil"/>
          <w:between w:val="nil"/>
        </w:pBdr>
        <w:spacing w:line="360" w:lineRule="auto"/>
        <w:ind w:firstLine="708"/>
        <w:jc w:val="both"/>
        <w:rPr>
          <w:color w:val="000000"/>
          <w:lang w:val="pt-BR"/>
        </w:rPr>
      </w:pPr>
      <w:r w:rsidRPr="005C4557">
        <w:rPr>
          <w:lang w:val="pt-BR"/>
        </w:rPr>
        <w:t>O campo da influência minoritária é amplo e conforme mostramos é repleto de conflitos e oposições de visões, como todo campo intelectualmente fértil que trata de grandes questões soci</w:t>
      </w:r>
      <w:r w:rsidRPr="005C4557">
        <w:rPr>
          <w:lang w:val="pt-BR"/>
        </w:rPr>
        <w:t>ais. O que nos surpreende é que dentre a explosão de estudos sobre minorias que a psicologia brasileira vive no momento existam pouquíssimas referências aos trabalhos sobre influência minoritária. A despeito das divergências teóricas, o fenômeno de influên</w:t>
      </w:r>
      <w:r w:rsidRPr="005C4557">
        <w:rPr>
          <w:lang w:val="pt-BR"/>
        </w:rPr>
        <w:t>cia minoritária precisa de mais espaço para que possamos discutir a relação da sociedade brasileira com as minorias com um arcabouço teórico sólido.</w:t>
      </w:r>
      <w:r w:rsidRPr="005C4557">
        <w:rPr>
          <w:lang w:val="pt-BR"/>
        </w:rPr>
        <w:br w:type="page"/>
      </w:r>
    </w:p>
    <w:p w:rsidR="00E51BA7" w:rsidRPr="005C4557" w:rsidRDefault="00A81234">
      <w:pPr>
        <w:pBdr>
          <w:top w:val="nil"/>
          <w:left w:val="nil"/>
          <w:bottom w:val="nil"/>
          <w:right w:val="nil"/>
          <w:between w:val="nil"/>
        </w:pBdr>
        <w:jc w:val="center"/>
        <w:rPr>
          <w:b/>
          <w:color w:val="000000"/>
          <w:lang w:val="pt-BR"/>
        </w:rPr>
      </w:pPr>
      <w:r w:rsidRPr="005C4557">
        <w:rPr>
          <w:b/>
          <w:color w:val="000000"/>
          <w:lang w:val="pt-BR"/>
        </w:rPr>
        <w:lastRenderedPageBreak/>
        <w:t>Refer</w:t>
      </w:r>
      <w:r w:rsidRPr="005C4557">
        <w:rPr>
          <w:b/>
          <w:lang w:val="pt-BR"/>
        </w:rPr>
        <w:t>ê</w:t>
      </w:r>
      <w:r w:rsidRPr="005C4557">
        <w:rPr>
          <w:b/>
          <w:color w:val="000000"/>
          <w:lang w:val="pt-BR"/>
        </w:rPr>
        <w:t>nc</w:t>
      </w:r>
      <w:r w:rsidRPr="005C4557">
        <w:rPr>
          <w:b/>
          <w:lang w:val="pt-BR"/>
        </w:rPr>
        <w:t>ia</w:t>
      </w:r>
      <w:r w:rsidRPr="005C4557">
        <w:rPr>
          <w:b/>
          <w:color w:val="000000"/>
          <w:lang w:val="pt-BR"/>
        </w:rPr>
        <w:t>s</w:t>
      </w:r>
    </w:p>
    <w:p w:rsidR="00E51BA7" w:rsidRDefault="00A81234" w:rsidP="005C4557">
      <w:pPr>
        <w:widowControl w:val="0"/>
        <w:spacing w:line="360" w:lineRule="auto"/>
        <w:ind w:left="385" w:hanging="385"/>
      </w:pPr>
      <w:r w:rsidRPr="005C4557">
        <w:rPr>
          <w:lang w:val="pt-BR"/>
        </w:rPr>
        <w:t>Álvaro, E. M., &amp;</w:t>
      </w:r>
      <w:r w:rsidRPr="005C4557">
        <w:rPr>
          <w:lang w:val="pt-BR"/>
        </w:rPr>
        <w:t xml:space="preserve"> Crano, W. D. (2017). </w:t>
      </w:r>
      <w:r>
        <w:t xml:space="preserve">Reflections on Gabriel </w:t>
      </w:r>
      <w:proofErr w:type="spellStart"/>
      <w:r>
        <w:t>Mugny’s</w:t>
      </w:r>
      <w:proofErr w:type="spellEnd"/>
      <w:r>
        <w:t xml:space="preserve"> Contributions to Attitude-Centric Theory and Research on Minority Influence.</w:t>
      </w:r>
      <w:r>
        <w:rPr>
          <w:i/>
        </w:rPr>
        <w:t xml:space="preserve"> International Review of Social Psychology</w:t>
      </w:r>
      <w:r>
        <w:t>, 30(1), 161–171. DOI: 10.5334/irsp.25</w:t>
      </w:r>
    </w:p>
    <w:p w:rsidR="00E51BA7" w:rsidRDefault="00A81234" w:rsidP="005C4557">
      <w:pPr>
        <w:widowControl w:val="0"/>
        <w:spacing w:line="360" w:lineRule="auto"/>
        <w:ind w:left="385" w:hanging="385"/>
      </w:pPr>
      <w:r>
        <w:t xml:space="preserve">Asch, S. E. (1952) </w:t>
      </w:r>
      <w:r>
        <w:rPr>
          <w:i/>
        </w:rPr>
        <w:t>Social psychology</w:t>
      </w:r>
      <w:r>
        <w:t>. New Jers</w:t>
      </w:r>
      <w:r>
        <w:t>ey: Prentice-Hall.</w:t>
      </w:r>
    </w:p>
    <w:p w:rsidR="00E51BA7" w:rsidRDefault="00A81234" w:rsidP="005C4557">
      <w:pPr>
        <w:widowControl w:val="0"/>
        <w:spacing w:line="360" w:lineRule="auto"/>
        <w:ind w:left="385" w:hanging="385"/>
      </w:pPr>
      <w:proofErr w:type="spellStart"/>
      <w:r w:rsidRPr="005C4557">
        <w:rPr>
          <w:lang w:val="pt-BR"/>
        </w:rPr>
        <w:t>Butera</w:t>
      </w:r>
      <w:proofErr w:type="spellEnd"/>
      <w:r w:rsidRPr="005C4557">
        <w:rPr>
          <w:lang w:val="pt-BR"/>
        </w:rPr>
        <w:t xml:space="preserve">, F., </w:t>
      </w:r>
      <w:proofErr w:type="spellStart"/>
      <w:r w:rsidRPr="005C4557">
        <w:rPr>
          <w:lang w:val="pt-BR"/>
        </w:rPr>
        <w:t>Falomir-Pichastor</w:t>
      </w:r>
      <w:proofErr w:type="spellEnd"/>
      <w:r w:rsidRPr="005C4557">
        <w:rPr>
          <w:lang w:val="pt-BR"/>
        </w:rPr>
        <w:t xml:space="preserve">, J. M., Mugny, G., &amp; </w:t>
      </w:r>
      <w:proofErr w:type="spellStart"/>
      <w:r w:rsidRPr="005C4557">
        <w:rPr>
          <w:lang w:val="pt-BR"/>
        </w:rPr>
        <w:t>Quiamzade</w:t>
      </w:r>
      <w:proofErr w:type="spellEnd"/>
      <w:r w:rsidRPr="005C4557">
        <w:rPr>
          <w:lang w:val="pt-BR"/>
        </w:rPr>
        <w:t xml:space="preserve">, A. (2017). </w:t>
      </w:r>
      <w:r>
        <w:t xml:space="preserve">Minority Influence. In: Harkins, S. G., Williams, K. D., &amp; Burger, J. (Eds.) </w:t>
      </w:r>
      <w:proofErr w:type="gramStart"/>
      <w:r>
        <w:rPr>
          <w:i/>
        </w:rPr>
        <w:t>The</w:t>
      </w:r>
      <w:proofErr w:type="gramEnd"/>
      <w:r>
        <w:rPr>
          <w:i/>
        </w:rPr>
        <w:t xml:space="preserve"> Oxford Handbook of Social Influence</w:t>
      </w:r>
      <w:r>
        <w:t>. New York: Oxford University Press.</w:t>
      </w:r>
    </w:p>
    <w:p w:rsidR="00E51BA7" w:rsidRPr="005C4557" w:rsidRDefault="00A81234" w:rsidP="005C4557">
      <w:pPr>
        <w:widowControl w:val="0"/>
        <w:spacing w:line="360" w:lineRule="auto"/>
        <w:ind w:left="385" w:hanging="385"/>
        <w:rPr>
          <w:lang w:val="fr-FR"/>
        </w:rPr>
      </w:pPr>
      <w:r>
        <w:t>Deutsch, M.</w:t>
      </w:r>
      <w:r>
        <w:t xml:space="preserve">, &amp; Gerard, H. B. (1955). A study of normative and informational social influences upon individual judgment. </w:t>
      </w:r>
      <w:r w:rsidRPr="005C4557">
        <w:rPr>
          <w:i/>
          <w:lang w:val="fr-FR"/>
        </w:rPr>
        <w:t>The journal of abnormal and social psychology</w:t>
      </w:r>
      <w:r w:rsidRPr="005C4557">
        <w:rPr>
          <w:lang w:val="fr-FR"/>
        </w:rPr>
        <w:t>, 51(3), 629.</w:t>
      </w:r>
    </w:p>
    <w:p w:rsidR="00E51BA7" w:rsidRPr="005C4557" w:rsidRDefault="00A81234" w:rsidP="005C4557">
      <w:pPr>
        <w:widowControl w:val="0"/>
        <w:spacing w:line="360" w:lineRule="auto"/>
        <w:ind w:left="385" w:hanging="385"/>
        <w:rPr>
          <w:lang w:val="fr-FR"/>
        </w:rPr>
      </w:pPr>
      <w:r w:rsidRPr="005C4557">
        <w:rPr>
          <w:lang w:val="fr-FR"/>
        </w:rPr>
        <w:t xml:space="preserve">Doise, W. (1982). </w:t>
      </w:r>
      <w:r w:rsidRPr="005C4557">
        <w:rPr>
          <w:i/>
          <w:lang w:val="fr-FR"/>
        </w:rPr>
        <w:t>L'explication en psychologie sociale</w:t>
      </w:r>
      <w:r w:rsidRPr="005C4557">
        <w:rPr>
          <w:lang w:val="fr-FR"/>
        </w:rPr>
        <w:t>. Paris: Presses universitaires de</w:t>
      </w:r>
      <w:r w:rsidRPr="005C4557">
        <w:rPr>
          <w:lang w:val="fr-FR"/>
        </w:rPr>
        <w:t xml:space="preserve"> France.</w:t>
      </w:r>
    </w:p>
    <w:p w:rsidR="00E51BA7" w:rsidRPr="005C4557" w:rsidRDefault="00A81234" w:rsidP="005C4557">
      <w:pPr>
        <w:widowControl w:val="0"/>
        <w:spacing w:line="360" w:lineRule="auto"/>
        <w:ind w:left="385" w:hanging="385"/>
        <w:rPr>
          <w:lang w:val="pt-BR"/>
        </w:rPr>
      </w:pPr>
      <w:r>
        <w:t xml:space="preserve">Harkins, S. G., Williams, K. D., &amp; Burger, J. (2017) (Eds.) </w:t>
      </w:r>
      <w:r>
        <w:rPr>
          <w:i/>
        </w:rPr>
        <w:t>The Oxford Handbook of Social Influence</w:t>
      </w:r>
      <w:r>
        <w:t xml:space="preserve">. </w:t>
      </w:r>
      <w:r w:rsidRPr="005C4557">
        <w:rPr>
          <w:lang w:val="pt-BR"/>
        </w:rPr>
        <w:t xml:space="preserve">New York: Oxford </w:t>
      </w:r>
      <w:proofErr w:type="spellStart"/>
      <w:r w:rsidRPr="005C4557">
        <w:rPr>
          <w:lang w:val="pt-BR"/>
        </w:rPr>
        <w:t>University</w:t>
      </w:r>
      <w:proofErr w:type="spellEnd"/>
      <w:r w:rsidRPr="005C4557">
        <w:rPr>
          <w:lang w:val="pt-BR"/>
        </w:rPr>
        <w:t xml:space="preserve"> Press.</w:t>
      </w:r>
    </w:p>
    <w:p w:rsidR="00E51BA7" w:rsidRDefault="00A81234" w:rsidP="005C4557">
      <w:pPr>
        <w:widowControl w:val="0"/>
        <w:spacing w:line="360" w:lineRule="auto"/>
        <w:ind w:left="385" w:hanging="385"/>
      </w:pPr>
      <w:r w:rsidRPr="005C4557">
        <w:rPr>
          <w:lang w:val="pt-BR"/>
        </w:rPr>
        <w:t xml:space="preserve">Garcia-Marques, L. (2004). O inferno são os outros: o estudo da influência social. In Vala, J., &amp; Monteiro, M. </w:t>
      </w:r>
      <w:r w:rsidRPr="005C4557">
        <w:rPr>
          <w:lang w:val="pt-BR"/>
        </w:rPr>
        <w:t xml:space="preserve">B. (Eds.). </w:t>
      </w:r>
      <w:r w:rsidRPr="005C4557">
        <w:rPr>
          <w:i/>
          <w:lang w:val="pt-BR"/>
        </w:rPr>
        <w:t>Psicologia social</w:t>
      </w:r>
      <w:r w:rsidRPr="005C4557">
        <w:rPr>
          <w:lang w:val="pt-BR"/>
        </w:rPr>
        <w:t xml:space="preserve">. 6. ed. </w:t>
      </w:r>
      <w:proofErr w:type="spellStart"/>
      <w:r>
        <w:t>Lisboa</w:t>
      </w:r>
      <w:proofErr w:type="spellEnd"/>
      <w:r>
        <w:t xml:space="preserve">: </w:t>
      </w:r>
      <w:proofErr w:type="spellStart"/>
      <w:r>
        <w:t>Fundação</w:t>
      </w:r>
      <w:proofErr w:type="spellEnd"/>
      <w:r>
        <w:t xml:space="preserve"> </w:t>
      </w:r>
      <w:proofErr w:type="spellStart"/>
      <w:r>
        <w:t>Calouste</w:t>
      </w:r>
      <w:proofErr w:type="spellEnd"/>
      <w:r>
        <w:t xml:space="preserve"> </w:t>
      </w:r>
      <w:proofErr w:type="spellStart"/>
      <w:r>
        <w:t>Gulbenkian</w:t>
      </w:r>
      <w:proofErr w:type="spellEnd"/>
      <w:r>
        <w:t>, pp. 227-292.</w:t>
      </w:r>
    </w:p>
    <w:p w:rsidR="00E51BA7" w:rsidRDefault="00A81234" w:rsidP="005C4557">
      <w:pPr>
        <w:widowControl w:val="0"/>
        <w:spacing w:line="360" w:lineRule="auto"/>
        <w:ind w:left="385" w:hanging="385"/>
        <w:rPr>
          <w:highlight w:val="yellow"/>
        </w:rPr>
      </w:pPr>
      <w:r>
        <w:t xml:space="preserve">Gardikiotis, A. (2011) Minority Influence. </w:t>
      </w:r>
      <w:r>
        <w:rPr>
          <w:i/>
        </w:rPr>
        <w:t>Social and Personality Psychology Compass</w:t>
      </w:r>
      <w:r>
        <w:t>, 5, 679–693.</w:t>
      </w:r>
    </w:p>
    <w:p w:rsidR="00E51BA7" w:rsidRPr="005C4557" w:rsidRDefault="00A81234" w:rsidP="005C4557">
      <w:pPr>
        <w:widowControl w:val="0"/>
        <w:spacing w:line="360" w:lineRule="auto"/>
        <w:ind w:left="385" w:hanging="385"/>
        <w:rPr>
          <w:lang w:val="pt-BR"/>
        </w:rPr>
      </w:pPr>
      <w:r>
        <w:t>Moscovici, S. (1980). Toward a theory of conversion behavior. In L. Be</w:t>
      </w:r>
      <w:r>
        <w:t xml:space="preserve">rkowitz (Ed.), </w:t>
      </w:r>
      <w:r>
        <w:rPr>
          <w:i/>
        </w:rPr>
        <w:t>Advances in Experimental Social Psychology</w:t>
      </w:r>
      <w:r>
        <w:t xml:space="preserve">, 13, 209–239. </w:t>
      </w:r>
      <w:r w:rsidRPr="005C4557">
        <w:rPr>
          <w:lang w:val="pt-BR"/>
        </w:rPr>
        <w:t xml:space="preserve">New York: </w:t>
      </w:r>
      <w:proofErr w:type="spellStart"/>
      <w:r w:rsidRPr="005C4557">
        <w:rPr>
          <w:lang w:val="pt-BR"/>
        </w:rPr>
        <w:t>Academic</w:t>
      </w:r>
      <w:proofErr w:type="spellEnd"/>
      <w:r w:rsidRPr="005C4557">
        <w:rPr>
          <w:lang w:val="pt-BR"/>
        </w:rPr>
        <w:t xml:space="preserve"> Press.</w:t>
      </w:r>
    </w:p>
    <w:p w:rsidR="00E51BA7" w:rsidRPr="005C4557" w:rsidRDefault="00A81234" w:rsidP="005C4557">
      <w:pPr>
        <w:widowControl w:val="0"/>
        <w:spacing w:line="360" w:lineRule="auto"/>
        <w:ind w:left="385" w:hanging="385"/>
        <w:rPr>
          <w:lang w:val="pt-BR"/>
        </w:rPr>
      </w:pPr>
      <w:r w:rsidRPr="005C4557">
        <w:rPr>
          <w:lang w:val="pt-BR"/>
        </w:rPr>
        <w:t xml:space="preserve">Moscovici, S. (2011). </w:t>
      </w:r>
      <w:r w:rsidRPr="005C4557">
        <w:rPr>
          <w:i/>
          <w:lang w:val="pt-BR"/>
        </w:rPr>
        <w:t>Psicologia das minorias ativas</w:t>
      </w:r>
      <w:r w:rsidRPr="005C4557">
        <w:rPr>
          <w:lang w:val="pt-BR"/>
        </w:rPr>
        <w:t>. Petrópolis: Vozes.</w:t>
      </w:r>
    </w:p>
    <w:p w:rsidR="00E51BA7" w:rsidRDefault="00A81234" w:rsidP="005C4557">
      <w:pPr>
        <w:widowControl w:val="0"/>
        <w:spacing w:line="360" w:lineRule="auto"/>
        <w:ind w:left="385" w:hanging="385"/>
      </w:pPr>
      <w:r>
        <w:t>Moscovici, S., &amp;</w:t>
      </w:r>
      <w:r>
        <w:t xml:space="preserve"> Faucheux, C. (1972). Social Influence, Conformity Bias, and the Study of Active Minorities. In L. Berkowitz (Ed.), </w:t>
      </w:r>
      <w:r>
        <w:rPr>
          <w:i/>
        </w:rPr>
        <w:t>Advances in Experimental Social Psychology</w:t>
      </w:r>
      <w:r>
        <w:t>, vol. 6, London: Academic Press, pp. 149-202. DOI: 10.1016/S0065-2601(08)60027-1</w:t>
      </w:r>
    </w:p>
    <w:p w:rsidR="00E51BA7" w:rsidRPr="005C4557" w:rsidRDefault="00A81234" w:rsidP="005C4557">
      <w:pPr>
        <w:widowControl w:val="0"/>
        <w:spacing w:line="360" w:lineRule="auto"/>
        <w:ind w:left="385" w:hanging="385"/>
        <w:rPr>
          <w:lang w:val="fr-FR"/>
        </w:rPr>
      </w:pPr>
      <w:r>
        <w:t>Moscovici, S., &amp;</w:t>
      </w:r>
      <w:r>
        <w:t xml:space="preserve"> </w:t>
      </w:r>
      <w:proofErr w:type="spellStart"/>
      <w:r>
        <w:t>Lage</w:t>
      </w:r>
      <w:proofErr w:type="spellEnd"/>
      <w:r>
        <w:t xml:space="preserve">, E. (1976). Studies in social influence III: Majority versus minority influence in a group. </w:t>
      </w:r>
      <w:r w:rsidRPr="005C4557">
        <w:rPr>
          <w:i/>
          <w:lang w:val="fr-FR"/>
        </w:rPr>
        <w:t>European Journal Social Psychology</w:t>
      </w:r>
      <w:r w:rsidRPr="005C4557">
        <w:rPr>
          <w:lang w:val="fr-FR"/>
        </w:rPr>
        <w:t>, 6(2), 149-I74.</w:t>
      </w:r>
    </w:p>
    <w:p w:rsidR="00E51BA7" w:rsidRDefault="00A81234" w:rsidP="005C4557">
      <w:pPr>
        <w:widowControl w:val="0"/>
        <w:spacing w:line="360" w:lineRule="auto"/>
        <w:ind w:left="385" w:hanging="385"/>
      </w:pPr>
      <w:r w:rsidRPr="005C4557">
        <w:rPr>
          <w:lang w:val="fr-FR"/>
        </w:rPr>
        <w:t xml:space="preserve">Moscovici, S., Lage, E., &amp; Naffrechoux, M. (1969). </w:t>
      </w:r>
      <w:r>
        <w:t>Influence of a consistent minority on the responses of a</w:t>
      </w:r>
      <w:r>
        <w:t xml:space="preserve"> majority in a color perception task. </w:t>
      </w:r>
      <w:proofErr w:type="spellStart"/>
      <w:r>
        <w:rPr>
          <w:i/>
        </w:rPr>
        <w:t>Sociometry</w:t>
      </w:r>
      <w:proofErr w:type="spellEnd"/>
      <w:r>
        <w:t>, 32, 365–380.</w:t>
      </w:r>
    </w:p>
    <w:p w:rsidR="00E51BA7" w:rsidRDefault="00A81234" w:rsidP="005C4557">
      <w:pPr>
        <w:widowControl w:val="0"/>
        <w:spacing w:line="360" w:lineRule="auto"/>
        <w:ind w:left="385" w:hanging="385"/>
      </w:pPr>
      <w:r>
        <w:t xml:space="preserve">Moscovici, S., Mugny, G., &amp; Avermaet, E. V. (Eds.) (1985). </w:t>
      </w:r>
      <w:r>
        <w:rPr>
          <w:i/>
        </w:rPr>
        <w:t>Perspectives on minority influence</w:t>
      </w:r>
      <w:r>
        <w:t>. New York: Cambridge University Press.</w:t>
      </w:r>
    </w:p>
    <w:p w:rsidR="00E51BA7" w:rsidRDefault="00A81234" w:rsidP="005C4557">
      <w:pPr>
        <w:widowControl w:val="0"/>
        <w:spacing w:line="360" w:lineRule="auto"/>
        <w:ind w:left="385" w:hanging="385"/>
      </w:pPr>
      <w:r w:rsidRPr="005C4557">
        <w:rPr>
          <w:lang w:val="fr-FR"/>
        </w:rPr>
        <w:t xml:space="preserve">Moscovici, S., &amp; Pérez, J. A. (2007). </w:t>
      </w:r>
      <w:r>
        <w:t xml:space="preserve">A study of minorities </w:t>
      </w:r>
      <w:r>
        <w:t xml:space="preserve">as victims. </w:t>
      </w:r>
      <w:r>
        <w:rPr>
          <w:i/>
        </w:rPr>
        <w:t xml:space="preserve">European Journal of </w:t>
      </w:r>
      <w:r>
        <w:rPr>
          <w:i/>
        </w:rPr>
        <w:lastRenderedPageBreak/>
        <w:t>Social Psychology</w:t>
      </w:r>
      <w:r>
        <w:t>, 37, 725–746.</w:t>
      </w:r>
    </w:p>
    <w:p w:rsidR="00E51BA7" w:rsidRDefault="00A81234" w:rsidP="005C4557">
      <w:pPr>
        <w:widowControl w:val="0"/>
        <w:spacing w:line="360" w:lineRule="auto"/>
        <w:ind w:left="385" w:hanging="385"/>
      </w:pPr>
      <w:r>
        <w:t xml:space="preserve">Moscovici, S., &amp; Pérez, J. A. (2009). A new representation of minorities as victims. In F. </w:t>
      </w:r>
      <w:proofErr w:type="spellStart"/>
      <w:r>
        <w:t>Butera</w:t>
      </w:r>
      <w:proofErr w:type="spellEnd"/>
      <w:r>
        <w:t xml:space="preserve"> &amp; J. M. Levine (Eds.), </w:t>
      </w:r>
      <w:r>
        <w:rPr>
          <w:i/>
        </w:rPr>
        <w:t>Coping with minority status</w:t>
      </w:r>
      <w:r>
        <w:t xml:space="preserve">: Responses to exclusion and inclusion. New </w:t>
      </w:r>
      <w:r>
        <w:t>York: Cambridge University Press.</w:t>
      </w:r>
    </w:p>
    <w:p w:rsidR="00E51BA7" w:rsidRDefault="00A81234" w:rsidP="005C4557">
      <w:pPr>
        <w:widowControl w:val="0"/>
        <w:spacing w:line="360" w:lineRule="auto"/>
        <w:ind w:left="385" w:hanging="385"/>
      </w:pPr>
      <w:r>
        <w:t xml:space="preserve">Moscovici, S., Personnaz, B. (1980). Studies in Social Influence V. Minority Influence and Conversion Behavior in a Perceptual Task. </w:t>
      </w:r>
      <w:r>
        <w:rPr>
          <w:i/>
        </w:rPr>
        <w:t>Journal of Experimental Social Psychology</w:t>
      </w:r>
      <w:r>
        <w:t>, 16, 270-282.</w:t>
      </w:r>
    </w:p>
    <w:p w:rsidR="00E51BA7" w:rsidRDefault="00A81234" w:rsidP="005C4557">
      <w:pPr>
        <w:widowControl w:val="0"/>
        <w:spacing w:line="360" w:lineRule="auto"/>
        <w:ind w:left="385" w:hanging="385"/>
      </w:pPr>
      <w:r>
        <w:t xml:space="preserve">Mugny, G. (1982). </w:t>
      </w:r>
      <w:r>
        <w:rPr>
          <w:i/>
        </w:rPr>
        <w:t>The power of mi</w:t>
      </w:r>
      <w:r>
        <w:rPr>
          <w:i/>
        </w:rPr>
        <w:t>norities</w:t>
      </w:r>
      <w:r>
        <w:t>. London: Academic Press.</w:t>
      </w:r>
    </w:p>
    <w:p w:rsidR="00E51BA7" w:rsidRDefault="00A81234" w:rsidP="005C4557">
      <w:pPr>
        <w:widowControl w:val="0"/>
        <w:spacing w:line="360" w:lineRule="auto"/>
        <w:ind w:left="385" w:hanging="385"/>
      </w:pPr>
      <w:r>
        <w:t xml:space="preserve">Papastamou, S., Gardikiotis, A., &amp; Prodromitis, G. (2017) (Eds.). </w:t>
      </w:r>
      <w:r>
        <w:rPr>
          <w:i/>
        </w:rPr>
        <w:t>Majority and Minority Influence</w:t>
      </w:r>
      <w:r>
        <w:t>: Societal Meaning and Cognitive Elaboration. New York: Routledge.</w:t>
      </w:r>
    </w:p>
    <w:p w:rsidR="00E51BA7" w:rsidRDefault="00A81234" w:rsidP="005C4557">
      <w:pPr>
        <w:widowControl w:val="0"/>
        <w:spacing w:line="360" w:lineRule="auto"/>
        <w:ind w:left="385" w:hanging="385"/>
      </w:pPr>
      <w:r w:rsidRPr="005C4557">
        <w:rPr>
          <w:lang w:val="pt-BR"/>
        </w:rPr>
        <w:t>Papastamou, S., Gardikiotis, A., &amp; Prodromitis, G. (2017).</w:t>
      </w:r>
      <w:r w:rsidRPr="005C4557">
        <w:rPr>
          <w:lang w:val="pt-BR"/>
        </w:rPr>
        <w:t xml:space="preserve"> </w:t>
      </w:r>
      <w:r>
        <w:t xml:space="preserve">Conversion to active minorities: the chronicle of a successful theory and the uncertain result of a minority influence attempt. In S. Papastamou, A. Gardikiotis, &amp; G. Prodromitis (Eds.). </w:t>
      </w:r>
      <w:r>
        <w:rPr>
          <w:i/>
        </w:rPr>
        <w:t>Majority and Minority Influence</w:t>
      </w:r>
      <w:r>
        <w:t>: Societal Meaning and Cognitive Elab</w:t>
      </w:r>
      <w:r>
        <w:t>oration. New York: Routledge.</w:t>
      </w:r>
    </w:p>
    <w:p w:rsidR="00E51BA7" w:rsidRDefault="00A81234" w:rsidP="005C4557">
      <w:pPr>
        <w:widowControl w:val="0"/>
        <w:spacing w:line="360" w:lineRule="auto"/>
        <w:ind w:left="385" w:hanging="385"/>
      </w:pPr>
      <w:r>
        <w:t xml:space="preserve">Pérez, J. A., &amp; Molpeceres, M. A. (2018). The New Moral Power of Minorities. </w:t>
      </w:r>
      <w:r>
        <w:rPr>
          <w:i/>
        </w:rPr>
        <w:t>International Review of Social Psychology</w:t>
      </w:r>
      <w:r>
        <w:t>, 31:5, 1–10. DOI: 10.5334/irsp.18</w:t>
      </w:r>
    </w:p>
    <w:p w:rsidR="00E51BA7" w:rsidRPr="005C4557" w:rsidRDefault="00A81234" w:rsidP="005C4557">
      <w:pPr>
        <w:widowControl w:val="0"/>
        <w:spacing w:line="360" w:lineRule="auto"/>
        <w:ind w:left="385" w:hanging="385"/>
        <w:rPr>
          <w:lang w:val="fr-FR"/>
        </w:rPr>
      </w:pPr>
      <w:r>
        <w:t>Pérez, J. A., &amp; Mugny, G. (1987). Paradoxical effects of categorization i</w:t>
      </w:r>
      <w:r>
        <w:t xml:space="preserve">n minority influence: When being </w:t>
      </w:r>
      <w:proofErr w:type="gramStart"/>
      <w:r>
        <w:t>an outgroup</w:t>
      </w:r>
      <w:proofErr w:type="gramEnd"/>
      <w:r>
        <w:t xml:space="preserve"> is an advantage. </w:t>
      </w:r>
      <w:r w:rsidRPr="005C4557">
        <w:rPr>
          <w:i/>
          <w:lang w:val="fr-FR"/>
        </w:rPr>
        <w:t>European Journal of Social Psychology</w:t>
      </w:r>
      <w:r w:rsidRPr="005C4557">
        <w:rPr>
          <w:lang w:val="fr-FR"/>
        </w:rPr>
        <w:t>, 17, 157–169.</w:t>
      </w:r>
    </w:p>
    <w:p w:rsidR="00E51BA7" w:rsidRPr="005C4557" w:rsidRDefault="00A81234" w:rsidP="005C4557">
      <w:pPr>
        <w:widowControl w:val="0"/>
        <w:spacing w:line="360" w:lineRule="auto"/>
        <w:ind w:left="385" w:hanging="385"/>
        <w:rPr>
          <w:lang w:val="fr-FR"/>
        </w:rPr>
      </w:pPr>
      <w:r w:rsidRPr="005C4557">
        <w:rPr>
          <w:lang w:val="fr-FR"/>
        </w:rPr>
        <w:t xml:space="preserve">Pérez, J. A., &amp; Mugny, G. (1993). </w:t>
      </w:r>
      <w:r w:rsidRPr="005C4557">
        <w:rPr>
          <w:i/>
          <w:lang w:val="fr-FR"/>
        </w:rPr>
        <w:t>Influences sociales</w:t>
      </w:r>
      <w:r w:rsidRPr="005C4557">
        <w:rPr>
          <w:lang w:val="fr-FR"/>
        </w:rPr>
        <w:t>: la theorie de l’elaboration du conflit. Neuchâtel: Delachaux et Niestlé.</w:t>
      </w:r>
    </w:p>
    <w:p w:rsidR="00E51BA7" w:rsidRDefault="00A81234" w:rsidP="005C4557">
      <w:pPr>
        <w:widowControl w:val="0"/>
        <w:spacing w:line="360" w:lineRule="auto"/>
        <w:ind w:left="385" w:hanging="385"/>
      </w:pPr>
      <w:r w:rsidRPr="005C4557">
        <w:rPr>
          <w:lang w:val="fr-FR"/>
        </w:rPr>
        <w:t xml:space="preserve">Prislin, R., Crowder, M., &amp; Donnelly, K. (2017). </w:t>
      </w:r>
      <w:r>
        <w:t xml:space="preserve">A case for diversity in research on minority influence. In Papastamou, S., Gardikiotis, A., Prodromitis, G. (Eds.). </w:t>
      </w:r>
      <w:r>
        <w:rPr>
          <w:i/>
        </w:rPr>
        <w:t>Majority and Minority Influence</w:t>
      </w:r>
      <w:r>
        <w:t>: Societal Meaning and Cognitive Elaboration. New York: Rout</w:t>
      </w:r>
      <w:r>
        <w:t>ledge.</w:t>
      </w:r>
    </w:p>
    <w:p w:rsidR="00E51BA7" w:rsidRPr="005C4557" w:rsidRDefault="00A81234" w:rsidP="005C4557">
      <w:pPr>
        <w:widowControl w:val="0"/>
        <w:spacing w:line="360" w:lineRule="auto"/>
        <w:ind w:left="385" w:hanging="385"/>
        <w:rPr>
          <w:lang w:val="fr-FR"/>
        </w:rPr>
      </w:pPr>
      <w:r>
        <w:t xml:space="preserve">Souchet, L., Tafani, E., Codaccioni, C., &amp; Mugny, G. (2006). </w:t>
      </w:r>
      <w:r w:rsidRPr="005C4557">
        <w:rPr>
          <w:lang w:val="fr-FR"/>
        </w:rPr>
        <w:t xml:space="preserve">Influence sociale selon le statut numérique et l'appartenance sociale de la source: auto-catégorisation et élaboration du conflit. </w:t>
      </w:r>
      <w:r w:rsidRPr="005C4557">
        <w:rPr>
          <w:i/>
          <w:lang w:val="fr-FR"/>
        </w:rPr>
        <w:t>Revue internationale de psychologie sociale</w:t>
      </w:r>
      <w:r w:rsidRPr="005C4557">
        <w:rPr>
          <w:lang w:val="fr-FR"/>
        </w:rPr>
        <w:t>, 3(19), 35-67</w:t>
      </w:r>
      <w:r w:rsidRPr="005C4557">
        <w:rPr>
          <w:lang w:val="fr-FR"/>
        </w:rPr>
        <w:t>.</w:t>
      </w:r>
    </w:p>
    <w:p w:rsidR="00E51BA7" w:rsidRDefault="00A81234" w:rsidP="005C4557">
      <w:pPr>
        <w:widowControl w:val="0"/>
        <w:spacing w:line="360" w:lineRule="auto"/>
        <w:ind w:left="385" w:hanging="385"/>
      </w:pPr>
      <w:r w:rsidRPr="005C4557">
        <w:rPr>
          <w:lang w:val="fr-FR"/>
        </w:rPr>
        <w:t xml:space="preserve">Turner, J. C. (1991). </w:t>
      </w:r>
      <w:r w:rsidRPr="005C4557">
        <w:rPr>
          <w:i/>
          <w:lang w:val="fr-FR"/>
        </w:rPr>
        <w:t>Social influence</w:t>
      </w:r>
      <w:r w:rsidRPr="005C4557">
        <w:rPr>
          <w:lang w:val="fr-FR"/>
        </w:rPr>
        <w:t xml:space="preserve">. </w:t>
      </w:r>
      <w:r>
        <w:t>Pacific Grove: Brooks Cole.</w:t>
      </w:r>
    </w:p>
    <w:p w:rsidR="00E51BA7" w:rsidRDefault="00A81234">
      <w:pPr>
        <w:spacing w:line="360" w:lineRule="auto"/>
        <w:ind w:left="385"/>
        <w:rPr>
          <w:color w:val="000000"/>
        </w:rPr>
      </w:pPr>
      <w:r>
        <w:t xml:space="preserve">Wood, W., Lundgren, S., Ouellette, J. A., </w:t>
      </w:r>
      <w:proofErr w:type="spellStart"/>
      <w:r>
        <w:t>Busceme</w:t>
      </w:r>
      <w:proofErr w:type="spellEnd"/>
      <w:r>
        <w:t xml:space="preserve">, S., &amp; Blackstone, T. (1994). Minority influence: A meta-analytic review of social influence processes. </w:t>
      </w:r>
      <w:r>
        <w:rPr>
          <w:i/>
        </w:rPr>
        <w:t>Psychological Bulletin</w:t>
      </w:r>
      <w:r>
        <w:t>, 115, 323</w:t>
      </w:r>
      <w:r>
        <w:t>–345.</w:t>
      </w:r>
    </w:p>
    <w:sectPr w:rsidR="00E51BA7">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234" w:rsidRDefault="00A81234">
      <w:r>
        <w:separator/>
      </w:r>
    </w:p>
  </w:endnote>
  <w:endnote w:type="continuationSeparator" w:id="0">
    <w:p w:rsidR="00A81234" w:rsidRDefault="00A8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rdo">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A7" w:rsidRDefault="00A81234">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5C4557">
      <w:rPr>
        <w:rFonts w:ascii="Times" w:eastAsia="Times" w:hAnsi="Times" w:cs="Times"/>
        <w:color w:val="000000"/>
        <w:sz w:val="16"/>
        <w:szCs w:val="16"/>
      </w:rPr>
      <w:fldChar w:fldCharType="separate"/>
    </w:r>
    <w:r w:rsidR="005C4557">
      <w:rPr>
        <w:rFonts w:ascii="Times" w:eastAsia="Times" w:hAnsi="Times" w:cs="Times"/>
        <w:noProof/>
        <w:color w:val="000000"/>
        <w:sz w:val="16"/>
        <w:szCs w:val="16"/>
      </w:rPr>
      <w:t>2</w:t>
    </w:r>
    <w:r>
      <w:rPr>
        <w:rFonts w:ascii="Times" w:eastAsia="Times" w:hAnsi="Times" w:cs="Times"/>
        <w:color w:val="000000"/>
        <w:sz w:val="16"/>
        <w:szCs w:val="16"/>
      </w:rPr>
      <w:fldChar w:fldCharType="end"/>
    </w:r>
  </w:p>
  <w:p w:rsidR="00E51BA7" w:rsidRDefault="00E51B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A7" w:rsidRDefault="00A81234">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sidR="005C4557">
      <w:rPr>
        <w:rFonts w:ascii="Times" w:eastAsia="Times" w:hAnsi="Times" w:cs="Times"/>
        <w:color w:val="000000"/>
        <w:sz w:val="16"/>
        <w:szCs w:val="16"/>
      </w:rPr>
      <w:fldChar w:fldCharType="separate"/>
    </w:r>
    <w:r w:rsidR="005C4557">
      <w:rPr>
        <w:rFonts w:ascii="Times" w:eastAsia="Times" w:hAnsi="Times" w:cs="Times"/>
        <w:noProof/>
        <w:color w:val="000000"/>
        <w:sz w:val="16"/>
        <w:szCs w:val="16"/>
      </w:rPr>
      <w:t>1</w:t>
    </w:r>
    <w:r>
      <w:rPr>
        <w:rFonts w:ascii="Times" w:eastAsia="Times" w:hAnsi="Times" w:cs="Times"/>
        <w:color w:val="000000"/>
        <w:sz w:val="16"/>
        <w:szCs w:val="16"/>
      </w:rPr>
      <w:fldChar w:fldCharType="end"/>
    </w:r>
  </w:p>
  <w:p w:rsidR="00E51BA7" w:rsidRDefault="00E51BA7">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234" w:rsidRDefault="00A81234">
      <w:r>
        <w:separator/>
      </w:r>
    </w:p>
  </w:footnote>
  <w:footnote w:type="continuationSeparator" w:id="0">
    <w:p w:rsidR="00A81234" w:rsidRDefault="00A81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A7" w:rsidRDefault="00A81234">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BA7" w:rsidRPr="005C4557" w:rsidRDefault="00A81234">
    <w:pPr>
      <w:pBdr>
        <w:top w:val="nil"/>
        <w:left w:val="nil"/>
        <w:bottom w:val="nil"/>
        <w:right w:val="nil"/>
        <w:between w:val="nil"/>
      </w:pBdr>
      <w:tabs>
        <w:tab w:val="center" w:pos="4680"/>
        <w:tab w:val="right" w:pos="9360"/>
      </w:tabs>
      <w:jc w:val="right"/>
      <w:rPr>
        <w:rFonts w:ascii="Times" w:eastAsia="Times" w:hAnsi="Times" w:cs="Times"/>
        <w:i/>
        <w:color w:val="000000"/>
        <w:sz w:val="18"/>
        <w:szCs w:val="18"/>
        <w:lang w:val="pt-BR"/>
      </w:rPr>
    </w:pPr>
    <w:r w:rsidRPr="005C4557">
      <w:rPr>
        <w:rFonts w:ascii="Times" w:eastAsia="Times" w:hAnsi="Times" w:cs="Times"/>
        <w:b/>
        <w:i/>
        <w:color w:val="000000"/>
        <w:sz w:val="18"/>
        <w:szCs w:val="18"/>
        <w:lang w:val="pt-BR"/>
      </w:rPr>
      <w:t xml:space="preserve">Revista Interamericana de </w:t>
    </w:r>
    <w:proofErr w:type="spellStart"/>
    <w:r w:rsidRPr="005C4557">
      <w:rPr>
        <w:rFonts w:ascii="Times" w:eastAsia="Times" w:hAnsi="Times" w:cs="Times"/>
        <w:b/>
        <w:i/>
        <w:color w:val="000000"/>
        <w:sz w:val="18"/>
        <w:szCs w:val="18"/>
        <w:lang w:val="pt-BR"/>
      </w:rPr>
      <w:t>Psicología</w:t>
    </w:r>
    <w:proofErr w:type="spellEnd"/>
    <w:r w:rsidRPr="005C4557">
      <w:rPr>
        <w:rFonts w:ascii="Times" w:eastAsia="Times" w:hAnsi="Times" w:cs="Times"/>
        <w:b/>
        <w:i/>
        <w:color w:val="000000"/>
        <w:sz w:val="18"/>
        <w:szCs w:val="18"/>
        <w:lang w:val="pt-BR"/>
      </w:rPr>
      <w:t>/</w:t>
    </w:r>
    <w:proofErr w:type="spellStart"/>
    <w:r w:rsidRPr="005C4557">
      <w:rPr>
        <w:rFonts w:ascii="Times" w:eastAsia="Times" w:hAnsi="Times" w:cs="Times"/>
        <w:b/>
        <w:i/>
        <w:color w:val="000000"/>
        <w:sz w:val="18"/>
        <w:szCs w:val="18"/>
        <w:lang w:val="pt-BR"/>
      </w:rPr>
      <w:t>Interamerican</w:t>
    </w:r>
    <w:proofErr w:type="spellEnd"/>
    <w:r w:rsidRPr="005C4557">
      <w:rPr>
        <w:rFonts w:ascii="Times" w:eastAsia="Times" w:hAnsi="Times" w:cs="Times"/>
        <w:b/>
        <w:i/>
        <w:color w:val="000000"/>
        <w:sz w:val="18"/>
        <w:szCs w:val="18"/>
        <w:lang w:val="pt-BR"/>
      </w:rPr>
      <w:t xml:space="preserve"> </w:t>
    </w:r>
    <w:proofErr w:type="spellStart"/>
    <w:r w:rsidRPr="005C4557">
      <w:rPr>
        <w:rFonts w:ascii="Times" w:eastAsia="Times" w:hAnsi="Times" w:cs="Times"/>
        <w:b/>
        <w:i/>
        <w:color w:val="000000"/>
        <w:sz w:val="18"/>
        <w:szCs w:val="18"/>
        <w:lang w:val="pt-BR"/>
      </w:rPr>
      <w:t>Journal</w:t>
    </w:r>
    <w:proofErr w:type="spellEnd"/>
    <w:r w:rsidRPr="005C4557">
      <w:rPr>
        <w:rFonts w:ascii="Times" w:eastAsia="Times" w:hAnsi="Times" w:cs="Times"/>
        <w:b/>
        <w:i/>
        <w:color w:val="000000"/>
        <w:sz w:val="18"/>
        <w:szCs w:val="18"/>
        <w:lang w:val="pt-BR"/>
      </w:rPr>
      <w:t xml:space="preserve"> </w:t>
    </w:r>
    <w:proofErr w:type="spellStart"/>
    <w:r w:rsidRPr="005C4557">
      <w:rPr>
        <w:rFonts w:ascii="Times" w:eastAsia="Times" w:hAnsi="Times" w:cs="Times"/>
        <w:b/>
        <w:i/>
        <w:color w:val="000000"/>
        <w:sz w:val="18"/>
        <w:szCs w:val="18"/>
        <w:lang w:val="pt-BR"/>
      </w:rPr>
      <w:t>of</w:t>
    </w:r>
    <w:proofErr w:type="spellEnd"/>
    <w:r w:rsidRPr="005C4557">
      <w:rPr>
        <w:rFonts w:ascii="Times" w:eastAsia="Times" w:hAnsi="Times" w:cs="Times"/>
        <w:b/>
        <w:i/>
        <w:color w:val="000000"/>
        <w:sz w:val="18"/>
        <w:szCs w:val="18"/>
        <w:lang w:val="pt-BR"/>
      </w:rPr>
      <w:t xml:space="preserve"> </w:t>
    </w:r>
    <w:proofErr w:type="spellStart"/>
    <w:r w:rsidRPr="005C4557">
      <w:rPr>
        <w:rFonts w:ascii="Times" w:eastAsia="Times" w:hAnsi="Times" w:cs="Times"/>
        <w:b/>
        <w:i/>
        <w:color w:val="000000"/>
        <w:sz w:val="18"/>
        <w:szCs w:val="18"/>
        <w:lang w:val="pt-BR"/>
      </w:rPr>
      <w:t>Psychology</w:t>
    </w:r>
    <w:proofErr w:type="spellEnd"/>
    <w:r>
      <w:rPr>
        <w:noProof/>
        <w:lang w:val="pt-BR"/>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rsidR="00E51BA7" w:rsidRDefault="00A81234">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Manuscript submission model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A7"/>
    <w:rsid w:val="005C4557"/>
    <w:rsid w:val="00A81234"/>
    <w:rsid w:val="00E51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594CB0-B9F1-42F2-9C4B-0E4E9DD4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6858</Words>
  <Characters>37034</Characters>
  <DocSecurity>0</DocSecurity>
  <Lines>308</Lines>
  <Paragraphs>87</Paragraphs>
  <ScaleCrop>false</ScaleCrop>
  <Company/>
  <LinksUpToDate>false</LinksUpToDate>
  <CharactersWithSpaces>43805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2021-01-18T15:06:00Z</dcterms:created>
  <dcterms:modified xsi:type="dcterms:W3CDTF">2021-01-18T15:08:00Z</dcterms:modified>
</cp:coreProperties>
</file>