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C3221" w14:textId="0184B7B9" w:rsidR="009A2149" w:rsidRPr="00AE36FB" w:rsidRDefault="009A2149" w:rsidP="00226409">
      <w:pPr>
        <w:pStyle w:val="Ttulo1"/>
      </w:pPr>
      <w:r w:rsidRPr="00AE36FB">
        <w:t>Manuscrito</w:t>
      </w:r>
    </w:p>
    <w:p w14:paraId="091C10CE" w14:textId="77777777" w:rsidR="009A2149" w:rsidRPr="00AE36FB" w:rsidRDefault="009A2149" w:rsidP="00226409">
      <w:pPr>
        <w:pStyle w:val="Ttulo1"/>
      </w:pPr>
      <w:r w:rsidRPr="00AE36FB">
        <w:t>Título</w:t>
      </w:r>
    </w:p>
    <w:p w14:paraId="14BD6935" w14:textId="241BBBE2" w:rsidR="009A2149" w:rsidRPr="00AE36FB" w:rsidRDefault="00701742" w:rsidP="00186AFF">
      <w:bookmarkStart w:id="0" w:name="_Hlk58519885"/>
      <w:r>
        <w:t xml:space="preserve">El SA-18: </w:t>
      </w:r>
      <w:r w:rsidR="00186AFF">
        <w:t>una versión</w:t>
      </w:r>
      <w:r w:rsidR="007A7229">
        <w:t xml:space="preserve"> muy breve del </w:t>
      </w:r>
      <w:r>
        <w:t>SCL-90</w:t>
      </w:r>
    </w:p>
    <w:bookmarkEnd w:id="0"/>
    <w:p w14:paraId="4179DCD6" w14:textId="0F0DB9A2" w:rsidR="009A2149" w:rsidRDefault="009A2149" w:rsidP="00226409">
      <w:pPr>
        <w:pStyle w:val="Ttulo1"/>
      </w:pPr>
      <w:r w:rsidRPr="00AE36FB">
        <w:t>Resumen</w:t>
      </w:r>
    </w:p>
    <w:p w14:paraId="750133CC" w14:textId="62CE1C6F" w:rsidR="009D37C8" w:rsidRPr="00583EAA" w:rsidRDefault="00945463" w:rsidP="00653A8D">
      <w:r>
        <w:rPr>
          <w:iCs/>
        </w:rPr>
        <w:t xml:space="preserve">El </w:t>
      </w:r>
      <w:r w:rsidRPr="008E60DB">
        <w:rPr>
          <w:i/>
        </w:rPr>
        <w:t>SCL-90</w:t>
      </w:r>
      <w:r>
        <w:t xml:space="preserve"> es</w:t>
      </w:r>
      <w:r w:rsidRPr="00FD4F9B">
        <w:t xml:space="preserve"> uno de los </w:t>
      </w:r>
      <w:r>
        <w:t>instrumentos</w:t>
      </w:r>
      <w:r w:rsidRPr="00FD4F9B">
        <w:t xml:space="preserve"> más utilizados para </w:t>
      </w:r>
      <w:r>
        <w:t>la evaluación psicológica, pero su</w:t>
      </w:r>
      <w:r w:rsidRPr="00FD4F9B">
        <w:t xml:space="preserve"> frecuencia de</w:t>
      </w:r>
      <w:r>
        <w:t xml:space="preserve"> </w:t>
      </w:r>
      <w:r w:rsidRPr="00FD4F9B">
        <w:t xml:space="preserve">uso ha disminuido </w:t>
      </w:r>
      <w:r>
        <w:t xml:space="preserve">porque existen determinadas inconsistencias </w:t>
      </w:r>
      <w:r w:rsidR="00827A5D">
        <w:t>en</w:t>
      </w:r>
      <w:r>
        <w:t xml:space="preserve"> su estructura factorial. Debido a eso, numeros</w:t>
      </w:r>
      <w:r w:rsidR="00827A5D">
        <w:t>os</w:t>
      </w:r>
      <w:r>
        <w:t xml:space="preserve"> investigadores de hoy utilizan una de la</w:t>
      </w:r>
      <w:r w:rsidRPr="00FD4F9B">
        <w:t xml:space="preserve">s </w:t>
      </w:r>
      <w:r w:rsidR="0076652F">
        <w:t>formas abreviadas</w:t>
      </w:r>
      <w:r>
        <w:t xml:space="preserve"> del mismo. Una de estas versiones breves es el SA-45, pero este instrumento dispone de los mi</w:t>
      </w:r>
      <w:r w:rsidR="0030695F">
        <w:t>s</w:t>
      </w:r>
      <w:r>
        <w:t>mos conflictos que la versión extensa</w:t>
      </w:r>
      <w:r w:rsidR="00FB470B">
        <w:t>. Por eso,</w:t>
      </w:r>
      <w:r>
        <w:t xml:space="preserve"> el objetivo del presente estudio consistió </w:t>
      </w:r>
      <w:r w:rsidR="00FB470B">
        <w:t>no sólo</w:t>
      </w:r>
      <w:r>
        <w:t xml:space="preserve"> </w:t>
      </w:r>
      <w:r w:rsidR="00590487">
        <w:t>en</w:t>
      </w:r>
      <w:r>
        <w:t xml:space="preserve"> desarroll</w:t>
      </w:r>
      <w:r w:rsidR="006C5513">
        <w:t>ar</w:t>
      </w:r>
      <w:r w:rsidR="006354D7">
        <w:t xml:space="preserve"> una versión </w:t>
      </w:r>
      <w:r>
        <w:t>breve con sólo tres ítems por cada factor</w:t>
      </w:r>
      <w:r w:rsidR="00FB470B">
        <w:t xml:space="preserve">, sino también </w:t>
      </w:r>
      <w:r w:rsidR="00BE6FE9">
        <w:t>en minimizar las correlaciones de los ítems con respecto a las distintas dimensiones del cuestionario</w:t>
      </w:r>
      <w:r>
        <w:t xml:space="preserve">.  </w:t>
      </w:r>
      <w:r w:rsidR="007929FD" w:rsidRPr="007929FD">
        <w:t>La muestra (</w:t>
      </w:r>
      <w:r w:rsidR="00827A5D">
        <w:t>N</w:t>
      </w:r>
      <w:r w:rsidR="007929FD" w:rsidRPr="007929FD">
        <w:t xml:space="preserve"> = </w:t>
      </w:r>
      <w:r w:rsidR="00C50328">
        <w:t>361</w:t>
      </w:r>
      <w:r w:rsidR="007929FD" w:rsidRPr="007929FD">
        <w:t xml:space="preserve">) se recogió por Internet y </w:t>
      </w:r>
      <w:r w:rsidR="002B0545">
        <w:t>una medida de purificación</w:t>
      </w:r>
      <w:r w:rsidR="006354D7">
        <w:t xml:space="preserve"> basada en el índice de complejidad de Hofmann </w:t>
      </w:r>
      <w:r w:rsidR="00DE633A">
        <w:t>provocó una</w:t>
      </w:r>
      <w:r w:rsidR="002B0545">
        <w:t xml:space="preserve"> mejora</w:t>
      </w:r>
      <w:r w:rsidR="00DE633A">
        <w:t xml:space="preserve"> sustancial de</w:t>
      </w:r>
      <w:r w:rsidR="002B0545">
        <w:t xml:space="preserve"> las propiedades psicométricas. El instrumento resultante tiene una estructura bifactorial, por lo que puede utilizarse, además de</w:t>
      </w:r>
      <w:r w:rsidR="00653A8D">
        <w:t xml:space="preserve"> un </w:t>
      </w:r>
      <w:r w:rsidR="00653A8D">
        <w:rPr>
          <w:lang w:eastAsia="en-US"/>
        </w:rPr>
        <w:t xml:space="preserve">factor global que comprende los </w:t>
      </w:r>
      <w:r w:rsidR="00653A8D">
        <w:rPr>
          <w:i/>
          <w:iCs/>
          <w:lang w:eastAsia="en-US"/>
        </w:rPr>
        <w:t>síntomas en</w:t>
      </w:r>
      <w:r w:rsidR="00653A8D" w:rsidRPr="00C3317B">
        <w:rPr>
          <w:i/>
          <w:iCs/>
          <w:lang w:eastAsia="en-US"/>
        </w:rPr>
        <w:t xml:space="preserve"> general</w:t>
      </w:r>
      <w:r w:rsidR="00653A8D">
        <w:t xml:space="preserve">, </w:t>
      </w:r>
      <w:r w:rsidR="002B0545">
        <w:t xml:space="preserve">sus </w:t>
      </w:r>
      <w:r w:rsidR="006354D7">
        <w:t>seis</w:t>
      </w:r>
      <w:r w:rsidR="002B0545">
        <w:t xml:space="preserve"> dimensiones</w:t>
      </w:r>
      <w:r w:rsidR="006354D7">
        <w:t xml:space="preserve"> </w:t>
      </w:r>
      <w:r w:rsidR="006354D7" w:rsidRPr="00435BC9">
        <w:rPr>
          <w:i/>
          <w:iCs/>
          <w:lang w:eastAsia="en-US"/>
        </w:rPr>
        <w:t>ansiedad fóbica</w:t>
      </w:r>
      <w:r w:rsidR="006354D7">
        <w:rPr>
          <w:lang w:eastAsia="en-US"/>
        </w:rPr>
        <w:t xml:space="preserve">, </w:t>
      </w:r>
      <w:r w:rsidR="006354D7" w:rsidRPr="00435BC9">
        <w:rPr>
          <w:i/>
          <w:iCs/>
          <w:lang w:eastAsia="en-US"/>
        </w:rPr>
        <w:t>ideación paranoide</w:t>
      </w:r>
      <w:r w:rsidR="006354D7">
        <w:rPr>
          <w:lang w:eastAsia="en-US"/>
        </w:rPr>
        <w:t xml:space="preserve">, </w:t>
      </w:r>
      <w:r w:rsidR="006354D7" w:rsidRPr="00435BC9">
        <w:rPr>
          <w:i/>
          <w:iCs/>
          <w:lang w:eastAsia="en-US"/>
        </w:rPr>
        <w:t>somatización</w:t>
      </w:r>
      <w:r w:rsidR="006354D7">
        <w:rPr>
          <w:lang w:eastAsia="en-US"/>
        </w:rPr>
        <w:t xml:space="preserve">, </w:t>
      </w:r>
      <w:r w:rsidR="006354D7" w:rsidRPr="00435BC9">
        <w:rPr>
          <w:i/>
          <w:iCs/>
          <w:lang w:eastAsia="en-US"/>
        </w:rPr>
        <w:t>hostilidad</w:t>
      </w:r>
      <w:r w:rsidR="006354D7">
        <w:rPr>
          <w:lang w:eastAsia="en-US"/>
        </w:rPr>
        <w:t xml:space="preserve">, </w:t>
      </w:r>
      <w:r w:rsidR="006354D7" w:rsidRPr="00435BC9">
        <w:rPr>
          <w:i/>
          <w:iCs/>
          <w:lang w:eastAsia="en-US"/>
        </w:rPr>
        <w:t>depresión</w:t>
      </w:r>
      <w:r w:rsidR="006354D7">
        <w:rPr>
          <w:lang w:eastAsia="en-US"/>
        </w:rPr>
        <w:t xml:space="preserve"> e </w:t>
      </w:r>
      <w:r w:rsidR="006354D7" w:rsidRPr="00435BC9">
        <w:rPr>
          <w:i/>
          <w:iCs/>
          <w:lang w:eastAsia="en-US"/>
        </w:rPr>
        <w:t>in</w:t>
      </w:r>
      <w:r w:rsidR="006354D7">
        <w:rPr>
          <w:i/>
          <w:iCs/>
          <w:lang w:eastAsia="en-US"/>
        </w:rPr>
        <w:t>segur</w:t>
      </w:r>
      <w:r w:rsidR="006354D7" w:rsidRPr="00435BC9">
        <w:rPr>
          <w:i/>
          <w:iCs/>
          <w:lang w:eastAsia="en-US"/>
        </w:rPr>
        <w:t>idad</w:t>
      </w:r>
      <w:r w:rsidR="006354D7">
        <w:rPr>
          <w:i/>
          <w:iCs/>
          <w:lang w:eastAsia="en-US"/>
        </w:rPr>
        <w:t xml:space="preserve"> personal</w:t>
      </w:r>
      <w:r w:rsidR="006354D7">
        <w:rPr>
          <w:lang w:eastAsia="en-US"/>
        </w:rPr>
        <w:t>.</w:t>
      </w:r>
      <w:r w:rsidR="00653A8D">
        <w:t xml:space="preserve"> </w:t>
      </w:r>
      <w:r w:rsidR="00DF64C3">
        <w:t>A</w:t>
      </w:r>
      <w:r w:rsidR="000B7D32">
        <w:t xml:space="preserve"> </w:t>
      </w:r>
      <w:r w:rsidR="003B77BE">
        <w:t xml:space="preserve">pesar de </w:t>
      </w:r>
      <w:r w:rsidR="00DF64C3">
        <w:t>la</w:t>
      </w:r>
      <w:r w:rsidR="003B77BE">
        <w:t xml:space="preserve"> brevedad</w:t>
      </w:r>
      <w:r w:rsidR="00DF64C3">
        <w:t xml:space="preserve"> del instrumento</w:t>
      </w:r>
      <w:r w:rsidR="003B77BE">
        <w:t>,</w:t>
      </w:r>
      <w:r w:rsidR="004055B0">
        <w:t xml:space="preserve"> </w:t>
      </w:r>
      <w:r w:rsidR="002E309C">
        <w:t>l</w:t>
      </w:r>
      <w:r w:rsidR="004055B0">
        <w:t xml:space="preserve">as consistencias internas </w:t>
      </w:r>
      <w:r w:rsidR="002E309C">
        <w:t xml:space="preserve">obtuvieron unos valores </w:t>
      </w:r>
      <w:r w:rsidR="004055B0">
        <w:t xml:space="preserve">favorables </w:t>
      </w:r>
      <w:r w:rsidR="00DF64C3">
        <w:t>y, en el análisis</w:t>
      </w:r>
      <w:r w:rsidR="007929FD" w:rsidRPr="007929FD">
        <w:t xml:space="preserve"> </w:t>
      </w:r>
      <w:r w:rsidR="00DF64C3">
        <w:t>de</w:t>
      </w:r>
      <w:r w:rsidR="007929FD" w:rsidRPr="007929FD">
        <w:t xml:space="preserve"> validez convergente, se encontraron correlaciones significativas con</w:t>
      </w:r>
      <w:r w:rsidR="002E309C">
        <w:t xml:space="preserve"> </w:t>
      </w:r>
      <w:r w:rsidR="00DF64C3">
        <w:t>los rasgos de la personalidad</w:t>
      </w:r>
      <w:r w:rsidR="007929FD" w:rsidRPr="007929FD">
        <w:t>.</w:t>
      </w:r>
      <w:r w:rsidR="00AB7EE6">
        <w:t xml:space="preserve"> </w:t>
      </w:r>
    </w:p>
    <w:p w14:paraId="7B19DBA0" w14:textId="77777777" w:rsidR="009A2149" w:rsidRPr="00AE36FB" w:rsidRDefault="009A2149" w:rsidP="00226409">
      <w:pPr>
        <w:pStyle w:val="Ttulo1"/>
      </w:pPr>
      <w:r w:rsidRPr="00AE36FB">
        <w:t>Palabras claves</w:t>
      </w:r>
    </w:p>
    <w:p w14:paraId="2A0B79D2" w14:textId="6F67FA01" w:rsidR="009A2149" w:rsidRPr="00AE36FB" w:rsidRDefault="00460EC0" w:rsidP="00226409">
      <w:r>
        <w:t>Síntomas psicológicos</w:t>
      </w:r>
      <w:r w:rsidR="009A2149" w:rsidRPr="00AE36FB">
        <w:t xml:space="preserve"> – Análisis Factorial Confirmatorio – Validez convergente – Invarianza factorial</w:t>
      </w:r>
    </w:p>
    <w:p w14:paraId="276795C0" w14:textId="7710BCDD" w:rsidR="00827A5D" w:rsidRPr="00E458BA" w:rsidRDefault="00827A5D" w:rsidP="00226409">
      <w:pPr>
        <w:pStyle w:val="Ttulo1"/>
      </w:pPr>
      <w:proofErr w:type="spellStart"/>
      <w:r w:rsidRPr="00E458BA">
        <w:t>Title</w:t>
      </w:r>
      <w:proofErr w:type="spellEnd"/>
    </w:p>
    <w:p w14:paraId="582A58A8" w14:textId="06E984FD" w:rsidR="00827A5D" w:rsidRPr="00E458BA" w:rsidRDefault="00827A5D" w:rsidP="00827A5D">
      <w:proofErr w:type="spellStart"/>
      <w:r w:rsidRPr="00E458BA">
        <w:t>The</w:t>
      </w:r>
      <w:proofErr w:type="spellEnd"/>
      <w:r w:rsidRPr="00E458BA">
        <w:t xml:space="preserve"> SA-18: a </w:t>
      </w:r>
      <w:proofErr w:type="spellStart"/>
      <w:r w:rsidRPr="00E458BA">
        <w:t>very</w:t>
      </w:r>
      <w:proofErr w:type="spellEnd"/>
      <w:r w:rsidRPr="00E458BA">
        <w:t xml:space="preserve"> short </w:t>
      </w:r>
      <w:proofErr w:type="spellStart"/>
      <w:r w:rsidRPr="00E458BA">
        <w:t>version</w:t>
      </w:r>
      <w:proofErr w:type="spellEnd"/>
      <w:r w:rsidRPr="00E458BA">
        <w:t xml:space="preserve"> </w:t>
      </w:r>
      <w:proofErr w:type="spellStart"/>
      <w:r w:rsidRPr="00E458BA">
        <w:t>of</w:t>
      </w:r>
      <w:proofErr w:type="spellEnd"/>
      <w:r w:rsidRPr="00E458BA">
        <w:t xml:space="preserve"> </w:t>
      </w:r>
      <w:proofErr w:type="spellStart"/>
      <w:r w:rsidRPr="00E458BA">
        <w:t>the</w:t>
      </w:r>
      <w:proofErr w:type="spellEnd"/>
      <w:r w:rsidRPr="00E458BA">
        <w:t xml:space="preserve"> SCL-90</w:t>
      </w:r>
    </w:p>
    <w:p w14:paraId="154D27F6" w14:textId="1D8C38B1" w:rsidR="009A2149" w:rsidRDefault="009A2149" w:rsidP="00226409">
      <w:pPr>
        <w:pStyle w:val="Ttulo1"/>
        <w:rPr>
          <w:lang w:val="en-US"/>
        </w:rPr>
      </w:pPr>
      <w:r w:rsidRPr="000702F9">
        <w:rPr>
          <w:lang w:val="en-US"/>
        </w:rPr>
        <w:t>Abstract</w:t>
      </w:r>
    </w:p>
    <w:p w14:paraId="7A89E2F9" w14:textId="02C205F7" w:rsidR="00AC536E" w:rsidRPr="00AC536E" w:rsidRDefault="00306B0D" w:rsidP="00AC536E">
      <w:pPr>
        <w:rPr>
          <w:lang w:val="en-US"/>
        </w:rPr>
      </w:pPr>
      <w:r w:rsidRPr="00306B0D">
        <w:rPr>
          <w:lang w:val="en-US"/>
        </w:rPr>
        <w:t xml:space="preserve">The SCL-90 is one of the most widely used instruments for psychological evaluation, but its frequency of use has decreased considerably because there are certain inconsistencies </w:t>
      </w:r>
      <w:r w:rsidRPr="00306B0D">
        <w:rPr>
          <w:lang w:val="en-US"/>
        </w:rPr>
        <w:lastRenderedPageBreak/>
        <w:t xml:space="preserve">concerning its factorial structure. Because of that, </w:t>
      </w:r>
      <w:r w:rsidR="00F8696F" w:rsidRPr="00306B0D">
        <w:rPr>
          <w:lang w:val="en-US"/>
        </w:rPr>
        <w:t>many</w:t>
      </w:r>
      <w:r w:rsidRPr="00306B0D">
        <w:rPr>
          <w:lang w:val="en-US"/>
        </w:rPr>
        <w:t xml:space="preserve"> researchers today use one of the abbreviated forms of it. One of these short versions is the SA-45, but this instrument has the same conflicts as the long version. For this reason, the aim of this study was not only to develop a short version with only three items for each factor but also to minimize the correlations of the items concerning the different dimensions of the questionnaire. The sample (N = 361) was collected online and a measure of purification based on the Hofmann complexity index resulted in a substantial improvement in psychometric properties. The resulting instrument has a bifactorial structure, so it can be used, in addition to a </w:t>
      </w:r>
      <w:r w:rsidRPr="009045E9">
        <w:rPr>
          <w:i/>
          <w:iCs/>
          <w:lang w:val="en-US"/>
        </w:rPr>
        <w:t>global symptoms factor</w:t>
      </w:r>
      <w:r w:rsidRPr="00306B0D">
        <w:rPr>
          <w:lang w:val="en-US"/>
        </w:rPr>
        <w:t xml:space="preserve">, its six dimensions: </w:t>
      </w:r>
      <w:r w:rsidRPr="009045E9">
        <w:rPr>
          <w:i/>
          <w:iCs/>
          <w:lang w:val="en-US"/>
        </w:rPr>
        <w:t>phobic anxiety, paranoid ideation, somatization, hostility, depression</w:t>
      </w:r>
      <w:r w:rsidRPr="00306B0D">
        <w:rPr>
          <w:lang w:val="en-US"/>
        </w:rPr>
        <w:t xml:space="preserve">, and </w:t>
      </w:r>
      <w:r w:rsidRPr="009045E9">
        <w:rPr>
          <w:i/>
          <w:iCs/>
          <w:lang w:val="en-US"/>
        </w:rPr>
        <w:t>personal insecurity</w:t>
      </w:r>
      <w:r w:rsidRPr="00306B0D">
        <w:rPr>
          <w:lang w:val="en-US"/>
        </w:rPr>
        <w:t xml:space="preserve">. Despite the briefness of the instrument, internal consistencies obtained favorable </w:t>
      </w:r>
      <w:proofErr w:type="gramStart"/>
      <w:r w:rsidRPr="00306B0D">
        <w:rPr>
          <w:lang w:val="en-US"/>
        </w:rPr>
        <w:t>values</w:t>
      </w:r>
      <w:proofErr w:type="gramEnd"/>
      <w:r w:rsidRPr="00306B0D">
        <w:rPr>
          <w:lang w:val="en-US"/>
        </w:rPr>
        <w:t xml:space="preserve"> ​​and, in the convergent validity analysis, significant correlations were found with personality traits.</w:t>
      </w:r>
    </w:p>
    <w:p w14:paraId="4C02C476" w14:textId="77777777" w:rsidR="009A2149" w:rsidRPr="000702F9" w:rsidRDefault="009A2149" w:rsidP="00226409">
      <w:pPr>
        <w:pStyle w:val="Ttulo1"/>
        <w:rPr>
          <w:lang w:val="en-US"/>
        </w:rPr>
      </w:pPr>
      <w:r w:rsidRPr="000702F9">
        <w:rPr>
          <w:lang w:val="en-US"/>
        </w:rPr>
        <w:t>Keywords</w:t>
      </w:r>
    </w:p>
    <w:p w14:paraId="2137B045" w14:textId="657D8193" w:rsidR="009A2149" w:rsidRPr="000702F9" w:rsidRDefault="00306B0D" w:rsidP="00FE268B">
      <w:pPr>
        <w:rPr>
          <w:lang w:val="en-US"/>
        </w:rPr>
      </w:pPr>
      <w:r w:rsidRPr="00306B0D">
        <w:rPr>
          <w:noProof/>
          <w:lang w:val="en-US" w:eastAsia="en-US"/>
        </w:rPr>
        <w:t>Psychological symptoms</w:t>
      </w:r>
      <w:r w:rsidR="009A2149" w:rsidRPr="000702F9">
        <w:rPr>
          <w:lang w:val="en-US"/>
        </w:rPr>
        <w:t xml:space="preserve"> – Confirmatory Factor Analysis </w:t>
      </w:r>
      <w:r w:rsidR="00FE268B">
        <w:rPr>
          <w:lang w:val="en-US"/>
        </w:rPr>
        <w:t xml:space="preserve">– </w:t>
      </w:r>
      <w:r w:rsidR="009A2149" w:rsidRPr="000702F9">
        <w:rPr>
          <w:lang w:val="en-US"/>
        </w:rPr>
        <w:t>Convergent Validity – Measurement Invariance</w:t>
      </w:r>
    </w:p>
    <w:p w14:paraId="707212E4" w14:textId="722C24BE" w:rsidR="009A2149" w:rsidRPr="00AE36FB" w:rsidRDefault="009A2149" w:rsidP="00175041">
      <w:pPr>
        <w:pStyle w:val="Ttulo2"/>
      </w:pPr>
      <w:r w:rsidRPr="00AE36FB">
        <w:t>Introducción</w:t>
      </w:r>
    </w:p>
    <w:p w14:paraId="634BAE23" w14:textId="1DCDC971" w:rsidR="009A2149" w:rsidRPr="00AE36FB" w:rsidRDefault="00A143EC" w:rsidP="00175041">
      <w:pPr>
        <w:pStyle w:val="Ttulo3"/>
      </w:pPr>
      <w:r>
        <w:t>L</w:t>
      </w:r>
      <w:r w:rsidR="00BE0225">
        <w:t>os métodos de autoevaluación</w:t>
      </w:r>
      <w:r>
        <w:t xml:space="preserve"> </w:t>
      </w:r>
      <w:r w:rsidR="004E0519">
        <w:t>psicológica</w:t>
      </w:r>
    </w:p>
    <w:p w14:paraId="481284D1" w14:textId="04DD5314" w:rsidR="00042FD1" w:rsidRDefault="00BE0225" w:rsidP="00BE0225">
      <w:r>
        <w:t>El</w:t>
      </w:r>
      <w:r w:rsidRPr="00E15396">
        <w:t xml:space="preserve"> método de autoevaluación</w:t>
      </w:r>
      <w:r>
        <w:t xml:space="preserve"> </w:t>
      </w:r>
      <w:r w:rsidRPr="00E15396">
        <w:t>se conoce hoy</w:t>
      </w:r>
      <w:r>
        <w:t xml:space="preserve"> en día,</w:t>
      </w:r>
      <w:r w:rsidRPr="00E15396">
        <w:t xml:space="preserve"> </w:t>
      </w:r>
      <w:r>
        <w:t>dentro d</w:t>
      </w:r>
      <w:r w:rsidRPr="00E15396">
        <w:t xml:space="preserve">el </w:t>
      </w:r>
      <w:r>
        <w:t xml:space="preserve">ámbito del </w:t>
      </w:r>
      <w:r w:rsidRPr="00E15396">
        <w:t>diagnóstico psicológico</w:t>
      </w:r>
      <w:r>
        <w:t>,</w:t>
      </w:r>
      <w:r w:rsidRPr="00E15396">
        <w:t xml:space="preserve"> como</w:t>
      </w:r>
      <w:r>
        <w:t xml:space="preserve"> un</w:t>
      </w:r>
      <w:r w:rsidRPr="00E15396">
        <w:t xml:space="preserve"> enfoque </w:t>
      </w:r>
      <w:r>
        <w:t>en el que</w:t>
      </w:r>
      <w:r w:rsidRPr="00E15396">
        <w:t xml:space="preserve"> los pacientes, personas de prueba o clientes </w:t>
      </w:r>
      <w:r>
        <w:t xml:space="preserve">tienen </w:t>
      </w:r>
      <w:r w:rsidRPr="00E15396">
        <w:t xml:space="preserve">la oportunidad de </w:t>
      </w:r>
      <w:r>
        <w:t>realiza</w:t>
      </w:r>
      <w:r w:rsidRPr="00E15396">
        <w:t>r</w:t>
      </w:r>
      <w:r>
        <w:t>,</w:t>
      </w:r>
      <w:r w:rsidRPr="00E15396">
        <w:t xml:space="preserve"> </w:t>
      </w:r>
      <w:r>
        <w:t>de</w:t>
      </w:r>
      <w:r w:rsidRPr="00E15396">
        <w:t xml:space="preserve"> una forma estandarizada</w:t>
      </w:r>
      <w:r>
        <w:t>,</w:t>
      </w:r>
      <w:r w:rsidRPr="00E15396">
        <w:t xml:space="preserve"> declaraciones sobre su situación psicológica. El </w:t>
      </w:r>
      <w:r w:rsidR="00D047D2">
        <w:t xml:space="preserve">autor </w:t>
      </w:r>
      <w:r>
        <w:t>de este enfoque es Woodworth</w:t>
      </w:r>
      <w:r w:rsidRPr="00E15396">
        <w:t xml:space="preserve"> quien reflexionó en 1917 sobre la posibilidad de realizar</w:t>
      </w:r>
      <w:r>
        <w:t>, de forma rápida y sin gran esfuerzo,</w:t>
      </w:r>
      <w:r w:rsidRPr="00E15396">
        <w:t xml:space="preserve"> exámenes psiquiátricos </w:t>
      </w:r>
      <w:r>
        <w:t xml:space="preserve">en los potenciales reclutas y, por lo tanto, futuros </w:t>
      </w:r>
      <w:r w:rsidRPr="00E15396">
        <w:t>participantes en la Primera Guerra Mundial. Woo</w:t>
      </w:r>
      <w:r>
        <w:t xml:space="preserve">dworth </w:t>
      </w:r>
      <w:r w:rsidRPr="00E15396">
        <w:t>llegó a la conclusión de que todos po</w:t>
      </w:r>
      <w:r>
        <w:t>dían entrevistarse a sí mismos</w:t>
      </w:r>
      <w:r w:rsidRPr="00E15396">
        <w:t xml:space="preserve"> y </w:t>
      </w:r>
      <w:r>
        <w:t xml:space="preserve">así </w:t>
      </w:r>
      <w:r w:rsidRPr="00E15396">
        <w:t>desarroll</w:t>
      </w:r>
      <w:r>
        <w:t>ó</w:t>
      </w:r>
      <w:r w:rsidRPr="00E15396">
        <w:t xml:space="preserve"> el primer cuestionario de autoevaluación</w:t>
      </w:r>
      <w:r>
        <w:t xml:space="preserve">, el </w:t>
      </w:r>
      <w:r w:rsidRPr="00414572">
        <w:rPr>
          <w:i/>
          <w:noProof/>
        </w:rPr>
        <w:t>Personal Data Sheet</w:t>
      </w:r>
      <w:r w:rsidRPr="00E15396">
        <w:t xml:space="preserve">. La pieza central de sus consideraciones fue el enfoque teórico, </w:t>
      </w:r>
      <w:r>
        <w:t>según el cual es factible</w:t>
      </w:r>
      <w:r w:rsidRPr="00E15396">
        <w:t xml:space="preserve"> evaluar matemáticamente los datos obtenidos </w:t>
      </w:r>
      <w:r>
        <w:t>a través de</w:t>
      </w:r>
      <w:r w:rsidRPr="00E15396">
        <w:t xml:space="preserve"> </w:t>
      </w:r>
      <w:r>
        <w:t xml:space="preserve">una </w:t>
      </w:r>
      <w:r w:rsidRPr="00E15396">
        <w:t xml:space="preserve">autoevaluación </w:t>
      </w:r>
      <w:r>
        <w:t xml:space="preserve">sobre </w:t>
      </w:r>
      <w:r w:rsidRPr="00E15396">
        <w:t xml:space="preserve">el estrés sintomático </w:t>
      </w:r>
      <w:r>
        <w:t>y, con la ayuda de dichos datos, comparar los resultados</w:t>
      </w:r>
      <w:r w:rsidRPr="00E15396">
        <w:t xml:space="preserve"> </w:t>
      </w:r>
      <w:r>
        <w:t xml:space="preserve">de personas estresadas </w:t>
      </w:r>
      <w:r w:rsidRPr="00E15396">
        <w:t xml:space="preserve">y </w:t>
      </w:r>
      <w:r>
        <w:t xml:space="preserve">aquellas que no lo estén. </w:t>
      </w:r>
      <w:r w:rsidRPr="00E15396">
        <w:t>Tanto la Primera como la Segunda Guerra Mundial promovieron el desarrol</w:t>
      </w:r>
      <w:r>
        <w:t>lo del diagnóstico psiquiátrico</w:t>
      </w:r>
      <w:r w:rsidRPr="00E15396">
        <w:t xml:space="preserve"> y en 1952, poco después de la Segunda Guerra Mundial, el </w:t>
      </w:r>
      <w:proofErr w:type="spellStart"/>
      <w:r w:rsidRPr="00E15396">
        <w:t>dsm</w:t>
      </w:r>
      <w:proofErr w:type="spellEnd"/>
      <w:r w:rsidRPr="00E15396">
        <w:t xml:space="preserve">-i </w:t>
      </w:r>
      <w:r>
        <w:t xml:space="preserve">consistía en </w:t>
      </w:r>
      <w:r w:rsidRPr="00E15396">
        <w:t xml:space="preserve">el </w:t>
      </w:r>
      <w:r w:rsidRPr="00E15396">
        <w:lastRenderedPageBreak/>
        <w:t xml:space="preserve">primer </w:t>
      </w:r>
      <w:r>
        <w:t>instrumento esta</w:t>
      </w:r>
      <w:r w:rsidRPr="00E15396">
        <w:t>ndar</w:t>
      </w:r>
      <w:r>
        <w:t>izado</w:t>
      </w:r>
      <w:r w:rsidRPr="00E15396">
        <w:t xml:space="preserve"> </w:t>
      </w:r>
      <w:r>
        <w:t xml:space="preserve">que los </w:t>
      </w:r>
      <w:r w:rsidRPr="00E15396">
        <w:t>estadounidense</w:t>
      </w:r>
      <w:r>
        <w:t>s presentaron</w:t>
      </w:r>
      <w:r w:rsidRPr="00E15396">
        <w:t xml:space="preserve"> </w:t>
      </w:r>
      <w:r>
        <w:t>para realizar evaluaciones psicológicas</w:t>
      </w:r>
      <w:r w:rsidRPr="00E15396">
        <w:t xml:space="preserve">. </w:t>
      </w:r>
      <w:r>
        <w:t>A pesar de sus orígenes militares, e</w:t>
      </w:r>
      <w:r w:rsidRPr="00E15396">
        <w:t xml:space="preserve">s necesario </w:t>
      </w:r>
      <w:r>
        <w:t>considerar</w:t>
      </w:r>
      <w:r w:rsidRPr="00E15396">
        <w:t xml:space="preserve"> </w:t>
      </w:r>
      <w:r>
        <w:t>el psicodiagnóstico</w:t>
      </w:r>
      <w:r w:rsidRPr="00E15396">
        <w:t xml:space="preserve"> en el contexto histórico </w:t>
      </w:r>
      <w:r>
        <w:t xml:space="preserve">e independientemente de una opinión favorable o desfavorable de su utilización militar </w:t>
      </w:r>
      <w:r>
        <w:fldChar w:fldCharType="begin" w:fldLock="1"/>
      </w:r>
      <w:r w:rsidR="00990BD6">
        <w:instrText>ADDIN CSL_CITATION {"citationItems":[{"id":"ITEM-1","itemData":{"author":[{"dropping-particle":"","family":"Franke","given":"Gabriele Helga","non-dropping-particle":"","parse-names":false,"suffix":""}],"edition":"2","editor":[{"dropping-particle":"","family":"Baethke-Franke","given":"Ralf","non-dropping-particle":"","parse-names":false,"suffix":""}],"id":"ITEM-1","issued":{"date-parts":[["2002"]]},"publisher":"Beltz Test GmbH","publisher-place":"Göttingen","title":"Die Symptom-Checkliste von Derogatis (SCL-90-R) - Deutsche Version - Manual","type":"book"},"uris":["http://www.mendeley.com/documents/?uuid=c6cadf47-8191-4ddb-ac26-8aa1cf5bbdd9"]}],"mendeley":{"formattedCitation":"(Franke, 2002)","plainTextFormattedCitation":"(Franke, 2002)","previouslyFormattedCitation":"(Franke, 2002)"},"properties":{"noteIndex":0},"schema":"https://github.com/citation-style-language/schema/raw/master/csl-citation.json"}</w:instrText>
      </w:r>
      <w:r>
        <w:fldChar w:fldCharType="separate"/>
      </w:r>
      <w:r w:rsidRPr="00EC55EE">
        <w:rPr>
          <w:noProof/>
        </w:rPr>
        <w:t>(Franke, 2002)</w:t>
      </w:r>
      <w:r>
        <w:fldChar w:fldCharType="end"/>
      </w:r>
      <w:r w:rsidRPr="00E15396">
        <w:t>.</w:t>
      </w:r>
    </w:p>
    <w:p w14:paraId="48996A16" w14:textId="1E1B93A6" w:rsidR="009A2149" w:rsidRPr="00AE36FB" w:rsidRDefault="009A2149" w:rsidP="001C2130">
      <w:pPr>
        <w:pStyle w:val="Ttulo3"/>
      </w:pPr>
      <w:r w:rsidRPr="00AE36FB">
        <w:t>Instrumentos psicométricos para la evaluación de</w:t>
      </w:r>
      <w:r w:rsidR="004E0519">
        <w:t xml:space="preserve"> </w:t>
      </w:r>
      <w:r w:rsidRPr="00AE36FB">
        <w:t>l</w:t>
      </w:r>
      <w:r w:rsidR="004E0519">
        <w:t>os</w:t>
      </w:r>
      <w:r w:rsidRPr="00AE36FB">
        <w:t xml:space="preserve"> </w:t>
      </w:r>
      <w:r w:rsidR="004E0519">
        <w:t>síntomas psicológicos</w:t>
      </w:r>
      <w:r w:rsidR="00FE7441">
        <w:t>: el SCL-90</w:t>
      </w:r>
    </w:p>
    <w:p w14:paraId="5A00F41C" w14:textId="5DEE23F9" w:rsidR="00A16B0C" w:rsidRDefault="00DB2DA6" w:rsidP="00DB2DA6">
      <w:r>
        <w:t xml:space="preserve">La </w:t>
      </w:r>
      <w:r w:rsidRPr="00DB2DA6">
        <w:rPr>
          <w:i/>
          <w:iCs/>
          <w:noProof/>
        </w:rPr>
        <w:t>Hopkins Symptom Checklist</w:t>
      </w:r>
      <w:r>
        <w:t xml:space="preserve"> es un cuestionario autoadministrado bien establecido y sirve para </w:t>
      </w:r>
      <w:r w:rsidR="008A7957">
        <w:t>evalua</w:t>
      </w:r>
      <w:r>
        <w:t xml:space="preserve">r la angustia psicológica o el grado de angustia afectiva. El desarrollo del cuestionario se basó en el </w:t>
      </w:r>
      <w:r w:rsidRPr="00DB2DA6">
        <w:rPr>
          <w:i/>
          <w:iCs/>
        </w:rPr>
        <w:t>Cornell Medical Index</w:t>
      </w:r>
      <w:r>
        <w:rPr>
          <w:i/>
          <w:iCs/>
        </w:rPr>
        <w:t xml:space="preserve"> </w:t>
      </w:r>
      <w:r>
        <w:rPr>
          <w:i/>
          <w:iCs/>
        </w:rPr>
        <w:fldChar w:fldCharType="begin" w:fldLock="1"/>
      </w:r>
      <w:r w:rsidR="00C22A9D">
        <w:rPr>
          <w:i/>
          <w:iCs/>
        </w:rPr>
        <w:instrText>ADDIN CSL_CITATION {"citationItems":[{"id":"ITEM-1","itemData":{"DOI":"10.1001/jama.1949.02900410026007","ISSN":"0002-9955","author":[{"dropping-particle":"","family":"Brodman","given":"Keeve","non-dropping-particle":"","parse-names":false,"suffix":""}],"container-title":"Journal of the American Medical Association","id":"ITEM-1","issue":"6","issued":{"date-parts":[["1949","6","11"]]},"page":"530-534","title":"The Cornell Medical Index","type":"article-journal","volume":"140"},"uris":["http://www.mendeley.com/documents/?uuid=124d6679-605a-49e8-9510-0c12dc4f89cb"]}],"mendeley":{"formattedCitation":"(Brodman, 1949)","plainTextFormattedCitation":"(Brodman, 1949)","previouslyFormattedCitation":"(Brodman, 1949)"},"properties":{"noteIndex":0},"schema":"https://github.com/citation-style-language/schema/raw/master/csl-citation.json"}</w:instrText>
      </w:r>
      <w:r>
        <w:rPr>
          <w:i/>
          <w:iCs/>
        </w:rPr>
        <w:fldChar w:fldCharType="separate"/>
      </w:r>
      <w:r w:rsidRPr="00DB2DA6">
        <w:rPr>
          <w:iCs/>
          <w:noProof/>
        </w:rPr>
        <w:t>(Brodman, 1949)</w:t>
      </w:r>
      <w:r>
        <w:rPr>
          <w:i/>
          <w:iCs/>
        </w:rPr>
        <w:fldChar w:fldCharType="end"/>
      </w:r>
      <w:r>
        <w:t xml:space="preserve">. En ese momento, el propósito era desarrollar una escala de malestar </w:t>
      </w:r>
      <w:r w:rsidR="00B064D2">
        <w:t xml:space="preserve">como instrumento unidimensional del malestar neurótico </w:t>
      </w:r>
      <w:r w:rsidR="00C22A9D">
        <w:fldChar w:fldCharType="begin" w:fldLock="1"/>
      </w:r>
      <w:r w:rsidR="00A57F38">
        <w:instrText>ADDIN CSL_CITATION {"citationItems":[{"id":"ITEM-1","itemData":{"DOI":"10.1176/ajp.111.5.343","ISSN":"0002-953X","author":[{"dropping-particle":"","family":"Parloff","given":"Morris B.","non-dropping-particle":"","parse-names":false,"suffix":""},{"dropping-particle":"","family":"Kelman","given":"Herbert C.","non-dropping-particle":"","parse-names":false,"suffix":""},{"dropping-particle":"","family":"Frank","given":"Jerome D.","non-dropping-particle":"","parse-names":false,"suffix":""}],"container-title":"American Journal of Psychiatry","id":"ITEM-1","issue":"5","issued":{"date-parts":[["1954","11"]]},"page":"343-352","title":"Comfort, effectiveness, and self-awareness as criteria of improvement in psychotherapy","type":"article-journal","volume":"111"},"uris":["http://www.mendeley.com/documents/?uuid=5914d91c-28c8-41dd-a024-81f6aa478ecb"]}],"mendeley":{"formattedCitation":"(Parloff, Kelman, &amp; Frank, 1954)","plainTextFormattedCitation":"(Parloff, Kelman, &amp; Frank, 1954)","previouslyFormattedCitation":"(Parloff, Kelman, &amp; Frank, 1954)"},"properties":{"noteIndex":0},"schema":"https://github.com/citation-style-language/schema/raw/master/csl-citation.json"}</w:instrText>
      </w:r>
      <w:r w:rsidR="00C22A9D">
        <w:fldChar w:fldCharType="separate"/>
      </w:r>
      <w:r w:rsidR="00C22A9D" w:rsidRPr="00C22A9D">
        <w:rPr>
          <w:noProof/>
        </w:rPr>
        <w:t>(Parloff, Kelman, &amp; Frank, 1954)</w:t>
      </w:r>
      <w:r w:rsidR="00C22A9D">
        <w:fldChar w:fldCharType="end"/>
      </w:r>
      <w:r>
        <w:t xml:space="preserve">. Los desarrolladores de la </w:t>
      </w:r>
      <w:r w:rsidR="00C22A9D" w:rsidRPr="00DB2DA6">
        <w:rPr>
          <w:i/>
          <w:iCs/>
          <w:noProof/>
        </w:rPr>
        <w:t>Hopkins Symptom Checklist</w:t>
      </w:r>
      <w:r>
        <w:t xml:space="preserve"> recomendaron utilizar la puntuación sumada de </w:t>
      </w:r>
      <w:r w:rsidR="00A57F38">
        <w:t xml:space="preserve">todos </w:t>
      </w:r>
      <w:r>
        <w:t xml:space="preserve">los </w:t>
      </w:r>
      <w:r w:rsidR="00A57F38">
        <w:t>ítems</w:t>
      </w:r>
      <w:r>
        <w:t xml:space="preserve"> no solo en pacientes antes del tratamiento, sino también </w:t>
      </w:r>
      <w:r w:rsidR="00B064D2">
        <w:t>para evaluar</w:t>
      </w:r>
      <w:r>
        <w:t xml:space="preserve"> la mejoría durante el tratamiento</w:t>
      </w:r>
      <w:r w:rsidR="00A57F38">
        <w:t xml:space="preserve">. </w:t>
      </w:r>
      <w:bookmarkStart w:id="1" w:name="_Hlk59025439"/>
      <w:r w:rsidR="00A57F38">
        <w:t>Es</w:t>
      </w:r>
      <w:r w:rsidR="00A16B0C">
        <w:t>o</w:t>
      </w:r>
      <w:r w:rsidR="00A57F38">
        <w:t xml:space="preserve"> </w:t>
      </w:r>
      <w:r w:rsidR="00A16B0C">
        <w:t xml:space="preserve">se </w:t>
      </w:r>
      <w:r w:rsidR="00A57F38">
        <w:t>debía a que</w:t>
      </w:r>
      <w:r w:rsidR="00A16B0C">
        <w:t xml:space="preserve">, a veces, </w:t>
      </w:r>
      <w:r>
        <w:t>un paciente abandona</w:t>
      </w:r>
      <w:r w:rsidR="00EF75BA">
        <w:t>ba</w:t>
      </w:r>
      <w:r>
        <w:t xml:space="preserve"> un síntoma</w:t>
      </w:r>
      <w:r w:rsidR="00A16B0C">
        <w:t xml:space="preserve"> y</w:t>
      </w:r>
      <w:r>
        <w:t xml:space="preserve"> desarrolla</w:t>
      </w:r>
      <w:r w:rsidR="00EF75BA">
        <w:t>ba</w:t>
      </w:r>
      <w:r>
        <w:t xml:space="preserve"> otro para reemplazarlo. </w:t>
      </w:r>
      <w:r w:rsidR="00366573">
        <w:t>De esta manera, l</w:t>
      </w:r>
      <w:r>
        <w:t xml:space="preserve">a puntuación total mostraría </w:t>
      </w:r>
      <w:r w:rsidR="00763ADE">
        <w:t xml:space="preserve">solamente </w:t>
      </w:r>
      <w:r>
        <w:t>una mejora si hubo una disminución neta en número e intensidad de todos los síntomas</w:t>
      </w:r>
      <w:r w:rsidR="00B064D2">
        <w:t xml:space="preserve"> </w:t>
      </w:r>
      <w:r w:rsidR="00B064D2">
        <w:fldChar w:fldCharType="begin" w:fldLock="1"/>
      </w:r>
      <w:r w:rsidR="00B064D2">
        <w:instrText>ADDIN CSL_CITATION {"citationItems":[{"id":"ITEM-1","itemData":{"DOI":"10.1176/ajp.111.5.343","ISSN":"0002-953X","author":[{"dropping-particle":"","family":"Parloff","given":"Morris B.","non-dropping-particle":"","parse-names":false,"suffix":""},{"dropping-particle":"","family":"Kelman","given":"Herbert C.","non-dropping-particle":"","parse-names":false,"suffix":""},{"dropping-particle":"","family":"Frank","given":"Jerome D.","non-dropping-particle":"","parse-names":false,"suffix":""}],"container-title":"American Journal of Psychiatry","id":"ITEM-1","issue":"5","issued":{"date-parts":[["1954","11"]]},"page":"343-352","title":"Comfort, effectiveness, and self-awareness as criteria of improvement in psychotherapy","type":"article-journal","volume":"111"},"uris":["http://www.mendeley.com/documents/?uuid=5914d91c-28c8-41dd-a024-81f6aa478ecb"]}],"mendeley":{"formattedCitation":"(Parloff et al., 1954)","plainTextFormattedCitation":"(Parloff et al., 1954)","previouslyFormattedCitation":"(Parloff et al., 1954)"},"properties":{"noteIndex":0},"schema":"https://github.com/citation-style-language/schema/raw/master/csl-citation.json"}</w:instrText>
      </w:r>
      <w:r w:rsidR="00B064D2">
        <w:fldChar w:fldCharType="separate"/>
      </w:r>
      <w:r w:rsidR="00B064D2" w:rsidRPr="00A57F38">
        <w:rPr>
          <w:noProof/>
        </w:rPr>
        <w:t>(Parloff et al., 1954)</w:t>
      </w:r>
      <w:r w:rsidR="00B064D2">
        <w:fldChar w:fldCharType="end"/>
      </w:r>
      <w:r w:rsidR="00A16B0C">
        <w:t>.</w:t>
      </w:r>
      <w:r>
        <w:t xml:space="preserve"> </w:t>
      </w:r>
    </w:p>
    <w:bookmarkEnd w:id="1"/>
    <w:p w14:paraId="7B2404B7" w14:textId="7210C412" w:rsidR="00F10442" w:rsidRPr="00414572" w:rsidRDefault="00A16B0C" w:rsidP="00482DE3">
      <w:pPr>
        <w:rPr>
          <w:lang w:val="de-DE"/>
        </w:rPr>
      </w:pPr>
      <w:r>
        <w:t>E</w:t>
      </w:r>
      <w:r w:rsidR="00DB2DA6">
        <w:t xml:space="preserve">n 1965, el número de </w:t>
      </w:r>
      <w:r>
        <w:t>ítems</w:t>
      </w:r>
      <w:r w:rsidR="00DB2DA6">
        <w:t xml:space="preserve"> se incrementó de 41 a 58, y el nombre se cambió a </w:t>
      </w:r>
      <w:r w:rsidRPr="00A16B0C">
        <w:rPr>
          <w:i/>
          <w:iCs/>
          <w:noProof/>
        </w:rPr>
        <w:t>Symptom Distress Checklist</w:t>
      </w:r>
      <w:r w:rsidR="00D700EA">
        <w:rPr>
          <w:i/>
          <w:iCs/>
          <w:noProof/>
        </w:rPr>
        <w:t xml:space="preserve"> </w:t>
      </w:r>
      <w:r w:rsidR="00D700EA">
        <w:rPr>
          <w:i/>
          <w:iCs/>
          <w:noProof/>
        </w:rPr>
        <w:fldChar w:fldCharType="begin" w:fldLock="1"/>
      </w:r>
      <w:r w:rsidR="00CC747C">
        <w:rPr>
          <w:i/>
          <w:iCs/>
          <w:noProof/>
        </w:rPr>
        <w:instrText>ADDIN CSL_CITATION {"citationItems":[{"id":"ITEM-1","itemData":{"DOI":"10.1001/archpsyc.1969.01740210072009","ISSN":"0003-990X","author":[{"dropping-particle":"","family":"Lipman","given":"Ronald S.","non-dropping-particle":"","parse-names":false,"suffix":""},{"dropping-particle":"","family":"Chase","given":"Chevy","non-dropping-particle":"","parse-names":false,"suffix":""},{"dropping-particle":"","family":"Rickles","given":"Karl","non-dropping-particle":"","parse-names":false,"suffix":""},{"dropping-particle":"","family":"Covi","given":"Lino","non-dropping-particle":"","parse-names":false,"suffix":""},{"dropping-particle":"","family":"Derogatis","given":"Leonard R.","non-dropping-particle":"","parse-names":false,"suffix":""},{"dropping-particle":"","family":"Uhlenhut","given":"Eberhard H.","non-dropping-particle":"","parse-names":false,"suffix":""}],"container-title":"Archives of General Psychiatry","id":"ITEM-1","issue":"3","issued":{"date-parts":[["1969","9","1"]]},"page":"328-338","title":"Factors of Symptom Distress. Doctor Ratings of Anxious Neurotic Outpatients","type":"article-journal","volume":"21"},"uris":["http://www.mendeley.com/documents/?uuid=1567879a-3585-4ee7-b310-e3ee939cddf8"]}],"mendeley":{"formattedCitation":"(Lipman et al., 1969)","plainTextFormattedCitation":"(Lipman et al., 1969)","previouslyFormattedCitation":"(Lipman et al., 1969)"},"properties":{"noteIndex":0},"schema":"https://github.com/citation-style-language/schema/raw/master/csl-citation.json"}</w:instrText>
      </w:r>
      <w:r w:rsidR="00D700EA">
        <w:rPr>
          <w:i/>
          <w:iCs/>
          <w:noProof/>
        </w:rPr>
        <w:fldChar w:fldCharType="separate"/>
      </w:r>
      <w:r w:rsidR="00D700EA" w:rsidRPr="00D700EA">
        <w:rPr>
          <w:iCs/>
          <w:noProof/>
        </w:rPr>
        <w:t>(Lipman et al., 1969)</w:t>
      </w:r>
      <w:r w:rsidR="00D700EA">
        <w:rPr>
          <w:i/>
          <w:iCs/>
          <w:noProof/>
        </w:rPr>
        <w:fldChar w:fldCharType="end"/>
      </w:r>
      <w:r w:rsidR="00DB2DA6">
        <w:t xml:space="preserve">. </w:t>
      </w:r>
      <w:r w:rsidR="00861C55">
        <w:t>A raíz de este instrumento</w:t>
      </w:r>
      <w:r w:rsidR="00E55809">
        <w:t xml:space="preserve"> y varias modificaciones previas</w:t>
      </w:r>
      <w:r w:rsidR="00861C55">
        <w:t xml:space="preserve">, </w:t>
      </w:r>
      <w:r w:rsidR="00CC747C">
        <w:fldChar w:fldCharType="begin" w:fldLock="1"/>
      </w:r>
      <w:r w:rsidR="0054488E">
        <w:instrText>ADDIN CSL_CITATION {"citationItems":[{"id":"ITEM-1","itemData":{"DOI":"10.1002/1097-4679(197710)33:4&lt;981::AID-JCLP2270330412&gt;3.0.CO;2-0","ISSN":"00219762","author":[{"dropping-particle":"","family":"Derogatis","given":"Leonard R.","non-dropping-particle":"","parse-names":false,"suffix":""},{"dropping-particle":"","family":"Cleary","given":"Patricia A.","non-dropping-particle":"","parse-names":false,"suffix":""}],"container-title":"Journal of Clinical Psychology","id":"ITEM-1","issue":"4","issued":{"date-parts":[["1977","10"]]},"page":"981-989","title":"Confirmation of the dimensional structure of the scl-90: A study in construct validation","type":"article-journal","volume":"33"},"uris":["http://www.mendeley.com/documents/?uuid=a5c05fd0-ea81-4fdb-b6fe-5121dee2ba10"]}],"mendeley":{"formattedCitation":"(Derogatis &amp; Cleary, 1977)","manualFormatting":"Derogatis y Cleary (1977)","plainTextFormattedCitation":"(Derogatis &amp; Cleary, 1977)","previouslyFormattedCitation":"(Derogatis &amp; Cleary, 1977)"},"properties":{"noteIndex":0},"schema":"https://github.com/citation-style-language/schema/raw/master/csl-citation.json"}</w:instrText>
      </w:r>
      <w:r w:rsidR="00CC747C">
        <w:fldChar w:fldCharType="separate"/>
      </w:r>
      <w:r w:rsidR="00CC747C" w:rsidRPr="00CC747C">
        <w:rPr>
          <w:noProof/>
        </w:rPr>
        <w:t xml:space="preserve">Derogatis </w:t>
      </w:r>
      <w:r w:rsidR="00CC747C">
        <w:rPr>
          <w:noProof/>
        </w:rPr>
        <w:t>y</w:t>
      </w:r>
      <w:r w:rsidR="00CC747C" w:rsidRPr="00CC747C">
        <w:rPr>
          <w:noProof/>
        </w:rPr>
        <w:t xml:space="preserve"> Cleary </w:t>
      </w:r>
      <w:r w:rsidR="00CC747C">
        <w:rPr>
          <w:noProof/>
        </w:rPr>
        <w:t>(</w:t>
      </w:r>
      <w:r w:rsidR="00CC747C" w:rsidRPr="00CC747C">
        <w:rPr>
          <w:noProof/>
        </w:rPr>
        <w:t>1977)</w:t>
      </w:r>
      <w:r w:rsidR="00CC747C">
        <w:fldChar w:fldCharType="end"/>
      </w:r>
      <w:r w:rsidR="00CC747C">
        <w:t xml:space="preserve"> </w:t>
      </w:r>
      <w:r w:rsidR="00861C55">
        <w:t>desarroll</w:t>
      </w:r>
      <w:r w:rsidR="00CC747C">
        <w:t>aron</w:t>
      </w:r>
      <w:r w:rsidR="00861C55">
        <w:t xml:space="preserve"> el </w:t>
      </w:r>
      <w:r w:rsidR="00861C55" w:rsidRPr="00784692">
        <w:rPr>
          <w:i/>
        </w:rPr>
        <w:t>SCL-90</w:t>
      </w:r>
      <w:r w:rsidR="00861C55" w:rsidRPr="00861C55">
        <w:rPr>
          <w:iCs/>
        </w:rPr>
        <w:t xml:space="preserve">, </w:t>
      </w:r>
      <w:r w:rsidR="0054488E">
        <w:rPr>
          <w:iCs/>
        </w:rPr>
        <w:t xml:space="preserve">y posteriormente el </w:t>
      </w:r>
      <w:r w:rsidR="0054488E" w:rsidRPr="0054488E">
        <w:rPr>
          <w:i/>
        </w:rPr>
        <w:t>SCL-90-R</w:t>
      </w:r>
      <w:r w:rsidR="0054488E">
        <w:rPr>
          <w:iCs/>
        </w:rPr>
        <w:t xml:space="preserve"> </w:t>
      </w:r>
      <w:r w:rsidR="0054488E">
        <w:rPr>
          <w:iCs/>
        </w:rPr>
        <w:fldChar w:fldCharType="begin" w:fldLock="1"/>
      </w:r>
      <w:r w:rsidR="00231DE6">
        <w:rPr>
          <w:iCs/>
        </w:rPr>
        <w:instrText>ADDIN CSL_CITATION {"citationItems":[{"id":"ITEM-1","itemData":{"DOI":"10.1037/10522-079","author":[{"dropping-particle":"","family":"Derogatis","given":"Leonard R.","non-dropping-particle":"","parse-names":false,"suffix":""}],"container-title":"Encyclopedia of psychology, Vol. 7.","editor":[{"dropping-particle":"","family":"Kazdin","given":"Alan D.","non-dropping-particle":"","parse-names":false,"suffix":""}],"id":"ITEM-1","issued":{"date-parts":[["2000"]]},"page":"192-193","publisher":"Washington: American Psychological Association","publisher-place":"Washington","title":"SCL-90-R.","type":"chapter"},"uris":["http://www.mendeley.com/documents/?uuid=de14c116-03dd-4d18-9100-435929ab862e"]}],"mendeley":{"formattedCitation":"(Derogatis, 2000)","plainTextFormattedCitation":"(Derogatis, 2000)","previouslyFormattedCitation":"(Derogatis, 2000)"},"properties":{"noteIndex":0},"schema":"https://github.com/citation-style-language/schema/raw/master/csl-citation.json"}</w:instrText>
      </w:r>
      <w:r w:rsidR="0054488E">
        <w:rPr>
          <w:iCs/>
        </w:rPr>
        <w:fldChar w:fldCharType="separate"/>
      </w:r>
      <w:r w:rsidR="0054488E" w:rsidRPr="0054488E">
        <w:rPr>
          <w:iCs/>
          <w:noProof/>
        </w:rPr>
        <w:t>(Derogatis, 2000)</w:t>
      </w:r>
      <w:r w:rsidR="0054488E">
        <w:rPr>
          <w:iCs/>
        </w:rPr>
        <w:fldChar w:fldCharType="end"/>
      </w:r>
      <w:r w:rsidR="00482DE3">
        <w:rPr>
          <w:iCs/>
        </w:rPr>
        <w:t xml:space="preserve">. A pesar de que el </w:t>
      </w:r>
      <w:r w:rsidR="00482DE3" w:rsidRPr="008E60DB">
        <w:rPr>
          <w:i/>
        </w:rPr>
        <w:t>SCL-90</w:t>
      </w:r>
      <w:r w:rsidR="00482DE3">
        <w:t xml:space="preserve"> </w:t>
      </w:r>
      <w:r w:rsidR="00861C55">
        <w:t>consiste en</w:t>
      </w:r>
      <w:r w:rsidR="00861C55" w:rsidRPr="00FD4F9B">
        <w:t xml:space="preserve"> uno de los métodos de autoevaluación más utilizados para </w:t>
      </w:r>
      <w:r w:rsidR="00861C55">
        <w:t>la evaluación psicológica</w:t>
      </w:r>
      <w:r w:rsidR="00482DE3">
        <w:t xml:space="preserve">, </w:t>
      </w:r>
      <w:r w:rsidR="00482DE3" w:rsidRPr="00FD4F9B">
        <w:t>la frecuencia del uso de la versión completa ha disminuido considerablemente</w:t>
      </w:r>
      <w:r w:rsidR="00C4068E">
        <w:t xml:space="preserve"> </w:t>
      </w:r>
      <w:r w:rsidR="00C4068E">
        <w:fldChar w:fldCharType="begin" w:fldLock="1"/>
      </w:r>
      <w:r w:rsidR="00C4068E">
        <w:instrText>ADDIN CSL_CITATION {"citationItems":[{"id":"ITEM-1","itemData":{"author":[{"dropping-particle":"","family":"Koch","given":"Joachim","non-dropping-particle":"","parse-names":false,"suffix":""}],"container-title":"Deutsches Ärzteblatt International","id":"ITEM-1","issue":"8","issued":{"date-parts":[["2014","8","10"]]},"page":"361-364","title":"Psychologische Diagnostik: Testverfahren im Überblick","type":"article-journal","volume":"13"},"uris":["http://www.mendeley.com/documents/?uuid=df082faf-a9ae-38b9-b0e5-feecb50e1e71"]}],"mendeley":{"formattedCitation":"(Koch, 2014)","plainTextFormattedCitation":"(Koch, 2014)","previouslyFormattedCitation":"(Koch, 2014)"},"properties":{"noteIndex":0},"schema":"https://github.com/citation-style-language/schema/raw/master/csl-citation.json"}</w:instrText>
      </w:r>
      <w:r w:rsidR="00C4068E">
        <w:fldChar w:fldCharType="separate"/>
      </w:r>
      <w:r w:rsidR="00C4068E" w:rsidRPr="00EC55EE">
        <w:rPr>
          <w:noProof/>
        </w:rPr>
        <w:t>(Koch, 2014)</w:t>
      </w:r>
      <w:r w:rsidR="00C4068E">
        <w:fldChar w:fldCharType="end"/>
      </w:r>
      <w:r w:rsidR="00482DE3">
        <w:t>. Eso se debe a varios factores: por un lado,</w:t>
      </w:r>
      <w:r w:rsidR="00482DE3" w:rsidRPr="00FD4F9B">
        <w:t xml:space="preserve"> varios estudios</w:t>
      </w:r>
      <w:r w:rsidR="00482DE3">
        <w:t xml:space="preserve"> </w:t>
      </w:r>
      <w:r w:rsidR="00482DE3" w:rsidRPr="00FD4F9B">
        <w:t xml:space="preserve"> </w:t>
      </w:r>
      <w:r w:rsidR="00482DE3">
        <w:t>encontraro</w:t>
      </w:r>
      <w:r w:rsidR="00482DE3" w:rsidRPr="00FD4F9B">
        <w:t>n deficiencias psicométricas graves</w:t>
      </w:r>
      <w:r w:rsidR="00482DE3">
        <w:t xml:space="preserve">, pues </w:t>
      </w:r>
      <w:r w:rsidR="00482DE3" w:rsidRPr="001067FC">
        <w:t>algunos ítems mostraron correlaciones significativamente más altas con escalas externas que con la escala asociada</w:t>
      </w:r>
      <w:r w:rsidR="00482DE3">
        <w:t xml:space="preserve"> </w:t>
      </w:r>
      <w:r w:rsidR="00482DE3">
        <w:fldChar w:fldCharType="begin" w:fldLock="1"/>
      </w:r>
      <w:r w:rsidR="00482DE3">
        <w:instrText>ADDIN CSL_CITATION {"citationItems":[{"id":"ITEM-1","itemData":{"ISSN":"1090-3801","author":[{"dropping-particle":"","family":"Hardt","given":"Jochen","non-dropping-particle":"","parse-names":false,"suffix":""},{"dropping-particle":"","family":"Gerbershagen","given":"Hans U","non-dropping-particle":"","parse-names":false,"suffix":""},{"dropping-particle":"","family":"Franke","given":"Petra","non-dropping-particle":"","parse-names":false,"suffix":""}],"container-title":"European Journal of Pain","id":"ITEM-1","issue":"2","issued":{"date-parts":[["2000"]]},"page":"137-148","publisher":"Elsevier","title":"The symptom check-list, SCL-90-R: its use and characteristics in chronic pain patients","type":"article-journal","volume":"4"},"uris":["http://www.mendeley.com/documents/?uuid=9fa75a7b-a0fe-4a7f-9276-d7c9ccffeb99"]},{"id":"ITEM-2","itemData":{"ISSN":"0022-3891","author":[{"dropping-particle":"","family":"Cyr","given":"J J","non-dropping-particle":"","parse-names":false,"suffix":""},{"dropping-particle":"","family":"McKenna-Foley","given":"J M","non-dropping-particle":"","parse-names":false,"suffix":""},{"dropping-particle":"","family":"Peacock","given":"E","non-dropping-particle":"","parse-names":false,"suffix":""}],"container-title":"Journal of personality assessment","id":"ITEM-2","issue":"6","issued":{"date-parts":[["1985"]]},"page":"571-578","publisher":"Taylor &amp; Francis","title":"Factor structure of the SCL-90-R: is there one?","type":"article-journal","volume":"49"},"uris":["http://www.mendeley.com/documents/?uuid=14c85a96-cc3c-44ad-bcf8-aabade87f350"]}],"mendeley":{"formattedCitation":"(Cyr, McKenna-Foley, &amp; Peacock, 1985; Hardt, Gerbershagen, &amp; Franke, 2000)","plainTextFormattedCitation":"(Cyr, McKenna-Foley, &amp; Peacock, 1985; Hardt, Gerbershagen, &amp; Franke, 2000)","previouslyFormattedCitation":"(Cyr, McKenna-Foley, &amp; Peacock, 1985; Hardt, Gerbershagen, &amp; Franke, 2000)"},"properties":{"noteIndex":0},"schema":"https://github.com/citation-style-language/schema/raw/master/csl-citation.json"}</w:instrText>
      </w:r>
      <w:r w:rsidR="00482DE3">
        <w:fldChar w:fldCharType="separate"/>
      </w:r>
      <w:r w:rsidR="00482DE3" w:rsidRPr="00840524">
        <w:rPr>
          <w:noProof/>
        </w:rPr>
        <w:t>(Cyr, McKenna-Foley, &amp; Peacock, 1985; Hardt, Gerbershagen, &amp; Franke, 2000)</w:t>
      </w:r>
      <w:r w:rsidR="00482DE3">
        <w:fldChar w:fldCharType="end"/>
      </w:r>
      <w:r w:rsidR="00482DE3">
        <w:t xml:space="preserve">. Otros estudios </w:t>
      </w:r>
      <w:r w:rsidR="00BF2FFC">
        <w:t xml:space="preserve">no han tenido éxito a la hora de obtener resultado </w:t>
      </w:r>
      <w:r w:rsidR="00482DE3">
        <w:t xml:space="preserve">favorables </w:t>
      </w:r>
      <w:r w:rsidR="00BF2FFC">
        <w:t xml:space="preserve">en diferentes muestras, como en una población normal y otra de pacientes psicosomáticos </w:t>
      </w:r>
      <w:r w:rsidR="00BF2FFC">
        <w:fldChar w:fldCharType="begin" w:fldLock="1"/>
      </w:r>
      <w:r w:rsidR="00AC0E6D">
        <w:instrText>ADDIN CSL_CITATION {"citationItems":[{"id":"ITEM-1","itemData":{"DOI":"10.1026//0012-1924.47.1.27","author":[{"dropping-particle":"","family":"Hessel","given":"Aike","non-dropping-particle":"","parse-names":false,"suffix":""},{"dropping-particle":"","family":"Schumacher","given":"Jörg","non-dropping-particle":"","parse-names":false,"suffix":""},{"dropping-particle":"","family":"Geyer","given":"Michael","non-dropping-particle":"","parse-names":false,"suffix":""},{"dropping-particle":"","family":"Brähler","given":"Elmar","non-dropping-particle":"","parse-names":false,"suffix":""}],"container-title":"Diagnostica","id":"ITEM-1","issue":"1","issued":{"date-parts":[["2001"]]},"page":"27-39","title":"Symptom-Checkliste SCL-90-R: Testtheoretische Überprüfung und Normierung","type":"article-journal","volume":"47"},"uris":["http://www.mendeley.com/documents/?uuid=5b8c485f-2570-4ef3-b02a-f76fd6cb9301"]},{"id":"ITEM-2","itemData":{"author":[{"dropping-particle":"","family":"Rief","given":"W","non-dropping-particle":"","parse-names":false,"suffix":""},{"dropping-particle":"","family":"Greitemeyer","given":"M","non-dropping-particle":"","parse-names":false,"suffix":""},{"dropping-particle":"","family":"Fichter","given":"M M","non-dropping-particle":"","parse-names":false,"suffix":""}],"container-title":"Diagnostica","id":"ITEM-2","issue":"1","issued":{"date-parts":[["1991"]]},"page":"58-65","title":"Die Symptom Check List SCL-90-R: Überprüfung an 900 psychosomatischen Patienten","type":"article-journal","volume":"37"},"uris":["http://www.mendeley.com/documents/?uuid=da151edc-912a-46ca-a6d1-13ae538419ca"]},{"id":"ITEM-3","itemData":{"DOI":"10.1111/j.1600-0447.2004.00399.x","ISSN":"0001-690X","author":[{"dropping-particle":"","family":"Olsen","given":"Lis Raabæk","non-dropping-particle":"","parse-names":false,"suffix":""},{"dropping-particle":"","family":"Mortensen","given":"Erik Lykke","non-dropping-particle":"","parse-names":false,"suffix":""},{"dropping-particle":"","family":"Bech","given":"Per","non-dropping-particle":"","parse-names":false,"suffix":""}],"container-title":"Acta Psychiatrica Scandinavica","id":"ITEM-3","issue":"3","issued":{"date-parts":[["2004","9"]]},"page":"225-229","publisher":"Wiley Online Library","title":"The SCL-90 and SCL-90R versions validated by item response models in a Danish community sample","type":"article-journal","volume":"110"},"uris":["http://www.mendeley.com/documents/?uuid=98f40dcd-70f9-4a9e-aa3a-45cd4b511ed6"]},{"id":"ITEM-4","itemData":{"DOI":"10.1023/A:1008931926181","ISSN":"0962-9343","author":[{"dropping-particle":"","family":"Schmitz","given":"Norbert","non-dropping-particle":"","parse-names":false,"suffix":""},{"dropping-particle":"","family":"Hartkamp","given":"Norbert","non-dropp</w:instrText>
      </w:r>
      <w:r w:rsidR="00AC0E6D" w:rsidRPr="00414572">
        <w:rPr>
          <w:lang w:val="de-DE"/>
        </w:rPr>
        <w:instrText>ing-particle":"","parse-names":false,"suffix":""},{"dropping-particle":"","family":"Kiuse","given":"J","non-dropping-particle":"","parse-names":false,"suffix":""},{"dropping-particle":"","family":"Franke","given":"Gabriele Helga","non-dropping-particle":"","parse-names":false,"suffix":""},{"dropping-particle":"","family":"Reister","given":"G","non-dropping-particle":"","parse-names":false,"suffix":""},{"dropping-particle":"","family":"Tress","given":"Wolfgang","non-dropping-particle":"","parse-names":false,"suffix":""}],"container-title":"Quality of Life Research","id":"ITEM-4","issue":"2","issued":{"date-parts":[["2000"]]},"page":"185-193","publisher":"Springer","title":"The symptom check-list-90-R (SCL-90-R): A German validation study","type":"article-journal","volume":"9"},"uris":["http://www.mendeley.com/documents/?uuid=55ee7ff9-0170-4686-849e-025c7898167e"]}],"mendeley":{"formattedCitation":"(Hessel, Schumacher, Geyer, &amp; Brähler, 2001; Olsen, Mortensen, &amp; Bech, 2004; Rief, Greitemeyer, &amp; Fichter, 1991; Schmitz et al., 2000)","plainTextFormattedCitation":"(Hessel, Schumacher, Geyer, &amp; Brähler, 2001; Olsen, Mortensen, &amp; Bech, 2004; Rief, Greitemeyer, &amp; Fichter, 1991; Schmitz et al., 2000)","previouslyFormattedCitation":"(Hessel, Schumacher, Geyer, &amp; Brähler, 2001; Olsen, Mortensen, &amp; Bech, 2004; Rief, Greitemeyer, &amp; Fichter, 1991; Schmitz et al., 2000)"},"properties":{"noteIndex":0},"schema":"https://github.com/citation-style-language/schema/raw/master/csl-citation.json"}</w:instrText>
      </w:r>
      <w:r w:rsidR="00BF2FFC">
        <w:fldChar w:fldCharType="separate"/>
      </w:r>
      <w:r w:rsidR="00BF2FFC" w:rsidRPr="00414572">
        <w:rPr>
          <w:noProof/>
          <w:lang w:val="de-DE"/>
        </w:rPr>
        <w:t>(Hessel, Schumacher, Geyer, &amp; Brähler, 2001; Olsen, Mortensen, &amp; Bech, 2004; Rief, Greitemeyer, &amp; Fichter, 1991; Schmitz et al., 2000)</w:t>
      </w:r>
      <w:r w:rsidR="00BF2FFC">
        <w:fldChar w:fldCharType="end"/>
      </w:r>
      <w:r w:rsidR="00482DE3" w:rsidRPr="00414572">
        <w:rPr>
          <w:lang w:val="de-DE"/>
        </w:rPr>
        <w:t xml:space="preserve">. </w:t>
      </w:r>
    </w:p>
    <w:p w14:paraId="47A423AD" w14:textId="1AF3C983" w:rsidR="00BF2FFC" w:rsidRDefault="00BF2FFC" w:rsidP="00482DE3">
      <w:r>
        <w:lastRenderedPageBreak/>
        <w:t xml:space="preserve">Éste es el motivo por el que </w:t>
      </w:r>
      <w:r>
        <w:fldChar w:fldCharType="begin" w:fldLock="1"/>
      </w:r>
      <w:r w:rsidR="00F913E0">
        <w:instrText>ADDIN CSL_CITATION {"citationItems":[{"id":"ITEM-1","itemData":{"DOI":"10.1007/s10862-009-9141-5","ISSN":"0882-2689","author":[{"dropping-particle":"","family":"Müller","given":"Jörg Michael","non-dropping-particle":"","parse-names":false,"suffix":""},{"dropping-particle":"","family":"Postert","given":"Christian","non-dropping-particle":"","parse-names":false,"suffix":""},{"dropping-particle":"","family":"Beyer","given":"Thomas","non-dropping-particle":"","parse-names":false,"suffix":""},{"dropping-particle":"","family":"Furniss","given":"Tilman","non-dropping-particle":"","parse-names":false,"suffix":""},{"dropping-particle":"","family":"Achtergarde","given":"Sandra","non-dropping-particle":"","parse-names":false,"suffix":""}],"container-title":"Journal of Psychopathology and Behavioral Assessment","id":"ITEM-1","issue":"2","issued":{"date-parts":[["2010","6","9"]]},"page":"246-254","publisher":"Springer","title":"Comparison of Eleven Short Versions of the Symptom Checklist 90-Revised (SCL-90-R) for Use in the Assessment of General Psychopathology","type":"article-journal","volume":"32"},"uris":["http://www.mendeley.com/documents/?uuid=733fdb80-bcd7-3fc6-a107-eb18aa9c0659"]}],"mendeley":{"formattedCitation":"(Müller, Postert, Beyer, Furniss, &amp; Achtergarde, 2010)","manualFormatting":"Müller, Postert, Beyer, Furniss y Achtergarde (2010)","plainTextFormattedCitation":"(Müller, Postert, Beyer, Furniss, &amp; Achtergarde, 2010)","previouslyFormattedCitation":"(Müller, Postert, Beyer, Furniss, &amp; Achtergarde, 2010)"},"properties":{"noteIndex":0},"schema":"https://github.com/citation-style-language/schema/raw/master/csl-citation.json"}</w:instrText>
      </w:r>
      <w:r>
        <w:fldChar w:fldCharType="separate"/>
      </w:r>
      <w:r w:rsidRPr="00EC55EE">
        <w:rPr>
          <w:noProof/>
        </w:rPr>
        <w:t>Müller, Postert</w:t>
      </w:r>
      <w:r>
        <w:rPr>
          <w:noProof/>
        </w:rPr>
        <w:t>, Beyer, Furniss y Achtergarde</w:t>
      </w:r>
      <w:r w:rsidRPr="00EC55EE">
        <w:rPr>
          <w:noProof/>
        </w:rPr>
        <w:t xml:space="preserve"> </w:t>
      </w:r>
      <w:r>
        <w:rPr>
          <w:noProof/>
        </w:rPr>
        <w:t>(</w:t>
      </w:r>
      <w:r w:rsidRPr="00EC55EE">
        <w:rPr>
          <w:noProof/>
        </w:rPr>
        <w:t>2010)</w:t>
      </w:r>
      <w:r>
        <w:fldChar w:fldCharType="end"/>
      </w:r>
      <w:r>
        <w:t xml:space="preserve"> afirman que l</w:t>
      </w:r>
      <w:r w:rsidRPr="00FD4F9B">
        <w:t xml:space="preserve">a mayoría </w:t>
      </w:r>
      <w:r>
        <w:t>de los investigadores de hoy utilizan una de la</w:t>
      </w:r>
      <w:r w:rsidRPr="00FD4F9B">
        <w:t xml:space="preserve">s </w:t>
      </w:r>
      <w:r>
        <w:t>versiones breves del mismo u otros instrumentos.</w:t>
      </w:r>
      <w:r w:rsidR="00F913E0">
        <w:t xml:space="preserve"> </w:t>
      </w:r>
    </w:p>
    <w:p w14:paraId="515EE2B0" w14:textId="7F17FB4E" w:rsidR="00FE7441" w:rsidRDefault="00630253" w:rsidP="00293DE1">
      <w:pPr>
        <w:pStyle w:val="Ttulo3"/>
        <w:ind w:left="1416" w:hanging="1132"/>
      </w:pPr>
      <w:r>
        <w:t>Una de las versiones breves del SCL-90</w:t>
      </w:r>
      <w:r w:rsidR="00FE7441">
        <w:t>: el SA-45</w:t>
      </w:r>
    </w:p>
    <w:p w14:paraId="1AA54A05" w14:textId="77777777" w:rsidR="00E96F52" w:rsidRDefault="00231DE6" w:rsidP="00795FB0">
      <w:pPr>
        <w:rPr>
          <w:lang w:eastAsia="en-US"/>
        </w:rPr>
      </w:pPr>
      <w:r>
        <w:rPr>
          <w:lang w:eastAsia="en-US"/>
        </w:rPr>
        <w:t xml:space="preserve">A raíz de los conflictos descritos, </w:t>
      </w:r>
      <w:r>
        <w:rPr>
          <w:lang w:eastAsia="en-US"/>
        </w:rPr>
        <w:fldChar w:fldCharType="begin" w:fldLock="1"/>
      </w:r>
      <w:r w:rsidR="002168FA">
        <w:rPr>
          <w:lang w:eastAsia="en-US"/>
        </w:rPr>
        <w:instrText>ADDIN CSL_CITATION {"citationItems":[{"id":"ITEM-1","itemData":{"DOI":"10.1177/107319119700400306","ISSN":"1073-1911","abstract":"Preliminary reliability and validity data are reported on a new, brief measure of psychiatric symptomatology. The Symptom Assessment–45 Questionnaire (SA-45) is a 45-item, patient self-report symptom inventory derived from the original Symptom Checklist-90-R (SCL-90), using cluster analytic methods. The SA-45 consists of nine 5-item scales assessing each of the same symptom domains as its parent instrument with no item overlap across domains. The vast majority of the internal consistency reliabilities for the SA-45's nine scales were in the .70s and .80s across different age and patient status samples. As expected, both adolescent and adult patient samples generally differed significantly from nonpatient control samples, and patients at treatment follow-up differed significantly from patients at intake. Moreover, depressed patients with and without psychotic features differed significantly on three scales. A cluster analysis generally supported the nine-scale structure of the inventory, but it failed to consistently support the distinction between the Paranoid Ideation and Interpersonal Sensitivity scales. Limitations to the study are noted, but overall, the initial findings support the use of the SA-45 in clinical settings. Suggestions for needed future research are presented.","author":[{"dropping-particle":"","family":"Davison","given":"Mark L.","non-dropping-particle":"","parse-names":false,"suffix":""},{"dropping-particle":"","family":"Bershadsky","given":"Boris","non-dropping-particle":"","parse-names":false,"suffix":""},{"dropping-particle":"","family":"Bieber","given":"Jacque","non-dropping-particle":"","parse-names":false,"suffix":""},{"dropping-particle":"","family":"Silversmith","given":"Dan","non-dropping-particle":"","parse-names":false,"suffix":""},{"dropping-particle":"","family":"Maruish","given":"Mark E.","non-dropping-particle":"","parse-names":false,"suffix":""},{"dropping-particle":"","family":"Kane","given":"Robert L.","non-dropping-particle":"","parse-names":false,"suffix":""}],"container-title":"Assessment","id":"ITEM-1","issue":"3","issued":{"date-parts":[["1997","9","30"]]},"page":"259-276","title":"Development of a Brief, Multidimensional, Self-Report Instrument for Treatment Outcomes Assessment in Psychiatric Settings: Preliminary Findings","type":"article-journal","volume":"4"},"uris":["http://www.mendeley.com/documents/?uuid=2227a7b5-fe67-4527-ada1-1f2a7a4f75da"]}],"mendeley":{"formattedCitation":"(Davison et al., 1997)","manualFormatting":"Davison et al. (1997)","plainTextFormattedCitation":"(Davison et al., 1997)","previouslyFormattedCitation":"(Davison et al., 1997)"},"properties":{"noteIndex":0},"schema":"https://github.com/citation-style-language/schema/raw/master/csl-citation.json"}</w:instrText>
      </w:r>
      <w:r>
        <w:rPr>
          <w:lang w:eastAsia="en-US"/>
        </w:rPr>
        <w:fldChar w:fldCharType="separate"/>
      </w:r>
      <w:r w:rsidRPr="00231DE6">
        <w:rPr>
          <w:noProof/>
          <w:lang w:eastAsia="en-US"/>
        </w:rPr>
        <w:t xml:space="preserve">Davison et al. </w:t>
      </w:r>
      <w:r>
        <w:rPr>
          <w:noProof/>
          <w:lang w:eastAsia="en-US"/>
        </w:rPr>
        <w:t>(</w:t>
      </w:r>
      <w:r w:rsidRPr="00231DE6">
        <w:rPr>
          <w:noProof/>
          <w:lang w:eastAsia="en-US"/>
        </w:rPr>
        <w:t>1997)</w:t>
      </w:r>
      <w:r>
        <w:rPr>
          <w:lang w:eastAsia="en-US"/>
        </w:rPr>
        <w:fldChar w:fldCharType="end"/>
      </w:r>
      <w:r w:rsidRPr="00231DE6">
        <w:rPr>
          <w:lang w:eastAsia="en-US"/>
        </w:rPr>
        <w:t xml:space="preserve"> desarrollaron el </w:t>
      </w:r>
      <w:r w:rsidRPr="00414572">
        <w:rPr>
          <w:i/>
          <w:iCs/>
          <w:noProof/>
          <w:lang w:eastAsia="en-US"/>
        </w:rPr>
        <w:t>Symptom Assessment-45 Questionnaire</w:t>
      </w:r>
      <w:r w:rsidRPr="00231DE6">
        <w:rPr>
          <w:lang w:eastAsia="en-US"/>
        </w:rPr>
        <w:t xml:space="preserve"> (SA-45). </w:t>
      </w:r>
      <w:r>
        <w:rPr>
          <w:lang w:eastAsia="en-US"/>
        </w:rPr>
        <w:t xml:space="preserve">Su objetivo consistió en mantener la misma cantidad de dimensiones del </w:t>
      </w:r>
      <w:r w:rsidRPr="0030152B">
        <w:rPr>
          <w:i/>
          <w:iCs/>
          <w:lang w:eastAsia="en-US"/>
        </w:rPr>
        <w:t>SCL-90</w:t>
      </w:r>
      <w:r>
        <w:rPr>
          <w:lang w:eastAsia="en-US"/>
        </w:rPr>
        <w:t xml:space="preserve"> pero reduciendo la cantidad de ítems, igualando la cantidad de ítems que se asignan a cada factor, manteniendo una fiabilidad y validez similar y minimizando las correlaciones entre las dimensiones. </w:t>
      </w:r>
    </w:p>
    <w:p w14:paraId="1BADEF4A" w14:textId="318F1D15" w:rsidR="00231DE6" w:rsidRPr="00414572" w:rsidRDefault="002168FA" w:rsidP="00795FB0">
      <w:pPr>
        <w:rPr>
          <w:lang w:val="pt-BR" w:eastAsia="en-US"/>
        </w:rPr>
      </w:pPr>
      <w:r>
        <w:rPr>
          <w:lang w:eastAsia="en-US"/>
        </w:rPr>
        <w:t>A pesar de estas mejoras, puede observar</w:t>
      </w:r>
      <w:r w:rsidR="00542B9C">
        <w:rPr>
          <w:lang w:eastAsia="en-US"/>
        </w:rPr>
        <w:t>se</w:t>
      </w:r>
      <w:r>
        <w:rPr>
          <w:lang w:eastAsia="en-US"/>
        </w:rPr>
        <w:t xml:space="preserve"> que continúan existiendo conflictos con la estructura factorial, pues numerosos estudios reportan resultados contradictorios con relación a ella </w:t>
      </w:r>
      <w:r>
        <w:rPr>
          <w:lang w:eastAsia="en-US"/>
        </w:rPr>
        <w:fldChar w:fldCharType="begin" w:fldLock="1"/>
      </w:r>
      <w:r w:rsidR="00E61CBA">
        <w:rPr>
          <w:lang w:eastAsia="en-US"/>
        </w:rPr>
        <w:instrText>ADDIN CSL_CITATION {"citationItems":[{"id":"ITEM-1","itemData":{"DOI":"10.5944/ap.16.1.22048","ISSN":"2255-1271","abstract":"AbstractWe describe the internal structure of the Symptom Assessment-45 Questionnaire (SA-45; Davison et al., 1997) in a sample of non-clinical Spanish subjects. The scale was developed for treatment outcome assessment in psychiatric settings; however, many studies have examined its psychometric properties in non-clinical populations. The internal structure of these studies usually replicates the dimensionality proposed in the original study closely. In this work, the scale was administered to a sample of 823 participants. In order to analyse the dimensionality of the instrument in a non-clinical population, exploratory and confirmatory factor analyses using polychoric correlations were carried out. The results obtained, are similar to those obtained for the original model and replicated in later studies, but there are important nuances that should be taken into account in defining a measurement model for the sample used. These data confirm the need for further research in a non-clinical population. ResumenSe describe la estructura interna del Symptom Assess­ment-45 Questionnaire (SA-45; Davison et al., 1997) en una muestra española no clínica. La escala, fue desarro­llada para la evaluación de los tratamientos en entornos psiquiátricos. Sin embargo, muchos estudios han exami­nado sus propiedades psicométricas en población no clí­nica. La estructura interna en estos estudios, usualmente replica la dimensionalidad propuesta en el estudio origi­nal. En este trabajo, la escala fue administrada a una mues­tra de 358 participantes. Para analizar su dimensionalidad en población no clínica, se usó Análisis Factorial Explora­torio y Confirmatorio factorizando la matriz de correlacio­nes policóricas. Los resultados obtenidos, son similares a los del modelo original y replicados en algunos estudios, sin embargo, hay importantes matices que deben ser teni­dos en cuenta para definir el modelo en la muestra usada. Los resultados, confirman la necesidad de más investiga­ción en población no clínica","author":[{"dropping-particle":"","family":"Holgado Tello","given":"Francisco Pablo","non-dropping-particle":"","parse-names":false,"suffix":""},{"dropping-particle":"","family":"Vila Abad","given":"Enrique","non-dropping-particle":"","parse-names":false,"suffix":""},{"dropping-particle":"","family":"Barbero Garcia","given":"Mª Isabel","non-dropping-particle":"","parse-names":false,"suffix":""}],"container-title":"Acción Psicológica","id":"ITEM-1","issue":"1","issued":{"date-parts":[["2019","5","28"]]},"page":"31-42","title":"Factor Structure of the Symptom Assessment-45 Questionnaire (SA-45) [Estructura interna del Factor Structure of the Symptom Assessment-45 Questionnaire (SA-45)]","type":"article-journal","volume":"16"},"uris":["http://www.mendeley.com/documents/?uuid=0dfdb992-1675-46c2-88fb-71b8523250f8"]},{"id":"ITEM-2","itemData":{"DOI":"10.1177/107319119800500410","ISSN":"1073-1911","author":[{"dropping-particle":"","family":"Maruish","given":"Mark E.","non-dropping-particle":"","parse-names":false,"suffix":""},{"dropping-particle":"","family":"Bershadsky","given":"Boris","non-dropping-particle":"","parse-names":false,"suffix":""},{"dropping-particle":"","family":"Goldstein","given":"Leonard","non-dropping-particle":"","parse-names":false,"suffix":""}],"container-title":"Assessment","id":"ITEM-2","issue":"4","issued":{"date-parts":[["1998","12","26"]]},"page":"407-419","title":"Reliability and Validity of the SA-45: Further E</w:instrText>
      </w:r>
      <w:r w:rsidR="00E61CBA" w:rsidRPr="00414572">
        <w:rPr>
          <w:lang w:val="pt-BR" w:eastAsia="en-US"/>
        </w:rPr>
        <w:instrText>vidence from a Primary Care Setting","type":"article-journal","volume":"5"},"uris":["http://www.mendeley.com/documents/?uuid=0285c2a0-1f21-43a0-8e29-c07713d7623d"]},{"id":"ITEM-3","itemData":{"ISBN":"8461375890","author":[{"dropping-particle":"","family":"Prada","given":"Andrés Sánchez","non-dropping-particle":"","parse-names":false,"suffix":""},{"dropping-particle":"","family":"Vicario","given":"Beatriz Palacios","non-dropping-particle":"","parse-names":false,"suffix":""}],"container-title":"Actas del XI Congreso de Metodologías de las Ciencias Sociales y de la Salud: Málaga, 15-18 septiembre de 2009","id":"ITEM-3","issued":{"date-parts":[["2010"]]},"page":"387-393","publisher":"Universidad de Málaga (UMA)","title":"Validez y fiabilidad de una versión española del cuestionario SA-45: apoyo empírico preliminar","type":"paper-conference"},"uris":["http://www.mendeley.com/documents/?uuid=9dd3de90-86d5-41b1-9f5a-6b7d4108efc6"]}],"mendeley":{"formattedCitation":"(Holgado Tello, Vila Abad, &amp; Barbero Garcia, 2019; Maruish, Bershadsky, &amp; Goldstein, 1998; Prada &amp; Vicario, 2010)","plainTextFormattedCitation":"(Holgado Tello, Vila Abad, &amp; Barbero Garcia, 2019; Maruish, Bershadsky, &amp; Goldstein, 1998; Prada &amp; Vicario, 2010)","previouslyFormattedCitation":"(Holgado Tello, Vila Abad, &amp; Barbero Garcia, 2019; Maruish, Bershadsky, &amp; Goldstein, 1998; Prada &amp; Vicario, 2010)"},"properties":{"noteIndex":0},"schema":"https://github.com/citation-style-language/schema/raw/master/csl-citation.json"}</w:instrText>
      </w:r>
      <w:r>
        <w:rPr>
          <w:lang w:eastAsia="en-US"/>
        </w:rPr>
        <w:fldChar w:fldCharType="separate"/>
      </w:r>
      <w:r w:rsidR="00830748" w:rsidRPr="00414572">
        <w:rPr>
          <w:noProof/>
          <w:lang w:val="pt-BR" w:eastAsia="en-US"/>
        </w:rPr>
        <w:t>(Holgado Tello, Vila Abad, &amp; Barbero Garcia, 2019; Maruish, Bershadsky, &amp; Goldstein, 1998; Prada &amp; Vicario, 2010)</w:t>
      </w:r>
      <w:r>
        <w:rPr>
          <w:lang w:eastAsia="en-US"/>
        </w:rPr>
        <w:fldChar w:fldCharType="end"/>
      </w:r>
      <w:r w:rsidRPr="00414572">
        <w:rPr>
          <w:lang w:val="pt-BR" w:eastAsia="en-US"/>
        </w:rPr>
        <w:t>.</w:t>
      </w:r>
    </w:p>
    <w:p w14:paraId="2D783C7C" w14:textId="6CE4DC08" w:rsidR="009A2149" w:rsidRPr="00AE36FB" w:rsidRDefault="009A2149" w:rsidP="00293DE1">
      <w:pPr>
        <w:pStyle w:val="Ttulo3"/>
        <w:ind w:left="1416" w:hanging="1132"/>
      </w:pPr>
      <w:r w:rsidRPr="00AE36FB">
        <w:t>El presente estudio</w:t>
      </w:r>
    </w:p>
    <w:p w14:paraId="5F210BED" w14:textId="5695B290" w:rsidR="004862D1" w:rsidRDefault="00EA30D8" w:rsidP="00AE30D7">
      <w:r>
        <w:t>Aparentemente</w:t>
      </w:r>
      <w:r w:rsidRPr="00EA30D8">
        <w:t>, no existe un c</w:t>
      </w:r>
      <w:r w:rsidR="00AE30D7">
        <w:t xml:space="preserve">onsenso con relación a la estructura factorial del </w:t>
      </w:r>
      <w:r w:rsidR="00AE30D7" w:rsidRPr="00C960E5">
        <w:rPr>
          <w:i/>
          <w:iCs/>
        </w:rPr>
        <w:t>SA-45</w:t>
      </w:r>
      <w:r w:rsidR="00AE30D7">
        <w:t>. Debido a eso, la presente investigación comprendió</w:t>
      </w:r>
      <w:r w:rsidR="00AE30D7" w:rsidRPr="00AE30D7">
        <w:t xml:space="preserve"> </w:t>
      </w:r>
      <w:r w:rsidR="00043F14">
        <w:t>tres</w:t>
      </w:r>
      <w:r w:rsidR="00AE30D7">
        <w:t xml:space="preserve"> objetivos de estudio:</w:t>
      </w:r>
      <w:r w:rsidR="00043F14">
        <w:t xml:space="preserve"> (1) desarrollar un versión breve del </w:t>
      </w:r>
      <w:r w:rsidR="00043F14" w:rsidRPr="00043F14">
        <w:rPr>
          <w:i/>
          <w:iCs/>
        </w:rPr>
        <w:t>SA-45</w:t>
      </w:r>
      <w:r w:rsidR="00043F14">
        <w:t xml:space="preserve"> con tres ítems por cada factor</w:t>
      </w:r>
      <w:r w:rsidR="00AE30D7">
        <w:t xml:space="preserve"> (</w:t>
      </w:r>
      <w:r w:rsidR="00043F14">
        <w:t>2</w:t>
      </w:r>
      <w:r w:rsidR="00AE30D7">
        <w:t xml:space="preserve">) a través de una </w:t>
      </w:r>
      <w:r w:rsidR="00BA7BCA">
        <w:t>medida de purificación</w:t>
      </w:r>
      <w:r w:rsidR="00AE30D7">
        <w:t xml:space="preserve">, minimizar las correlaciones de los ítems con </w:t>
      </w:r>
      <w:r w:rsidR="00F36BED">
        <w:t xml:space="preserve">respecto a </w:t>
      </w:r>
      <w:r w:rsidR="00AE30D7">
        <w:t xml:space="preserve">las distintas dimensiones del </w:t>
      </w:r>
      <w:r w:rsidR="005A3D4C">
        <w:t>cuestionari</w:t>
      </w:r>
      <w:r w:rsidR="00AE30D7">
        <w:t>o y (</w:t>
      </w:r>
      <w:r w:rsidR="00043F14">
        <w:t>3</w:t>
      </w:r>
      <w:r w:rsidR="00AE30D7">
        <w:t xml:space="preserve">) evaluar la estructura factorial del instrumento y comparar el ajuste de </w:t>
      </w:r>
      <w:r w:rsidR="00F8225A">
        <w:t xml:space="preserve">(a) </w:t>
      </w:r>
      <w:r w:rsidR="00AE30D7">
        <w:t xml:space="preserve">un modelo </w:t>
      </w:r>
      <w:r w:rsidR="00485E01">
        <w:t>con</w:t>
      </w:r>
      <w:r w:rsidR="00AE30D7">
        <w:t xml:space="preserve"> factores correlacionados, </w:t>
      </w:r>
      <w:r w:rsidR="00F8225A">
        <w:t xml:space="preserve">(b) </w:t>
      </w:r>
      <w:r w:rsidR="00AE30D7">
        <w:t xml:space="preserve">un modelo unifactorial y </w:t>
      </w:r>
      <w:r w:rsidR="00F8225A">
        <w:t xml:space="preserve">(c) </w:t>
      </w:r>
      <w:r w:rsidR="00AE30D7">
        <w:t>un modelo bifactorial que evalúa los factores ind</w:t>
      </w:r>
      <w:r w:rsidR="00833487">
        <w:t>ividual</w:t>
      </w:r>
      <w:r w:rsidR="00AE30D7">
        <w:t xml:space="preserve">es y, simultáneamente, un factor global de síntomas en general. Como base </w:t>
      </w:r>
      <w:r w:rsidR="009B4B47">
        <w:t>para el</w:t>
      </w:r>
      <w:r w:rsidR="00AE30D7">
        <w:t xml:space="preserve"> desarrollo de una versión breve del </w:t>
      </w:r>
      <w:r w:rsidR="00AE30D7" w:rsidRPr="00AE30D7">
        <w:rPr>
          <w:i/>
          <w:iCs/>
        </w:rPr>
        <w:t>SA-45</w:t>
      </w:r>
      <w:r w:rsidR="00AE30D7">
        <w:t xml:space="preserve">, se utilizó la adaptación española que realizaron </w:t>
      </w:r>
      <w:r w:rsidR="00AE30D7">
        <w:fldChar w:fldCharType="begin" w:fldLock="1"/>
      </w:r>
      <w:r w:rsidR="0086129B">
        <w:instrText>ADDIN CSL_CITATION {"citationItems":[{"id":"ITEM-1","itemData":{"ISSN":"0214-9915","author":[{"dropping-particle":"","family":"Sandín","given":"Bonifacio","non-dropping-particle":"","parse-names":false,"suffix":""},{"dropping-particle":"","family":"Valiente","given":"Rosa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-1","issue":"2","issued":{"date-parts":[["2008"]]},"page":"290-296","publisher":"Colegio Oficial De Psicologos Del Principado De Asturias","title":"SA-45: forma abreviada del SCL-90","type":"article-journal","volume":"20"},"uris":["http://www.mendeley.com/documents/?uuid=c4b23ce2-96a3-34d1-8b39-2dc936d82379"]}],"mendeley":{"formattedCitation":"(Sandín, Valiente, Chorot, Santed, &amp; Lostao, 2008)","manualFormatting":"Sandín, Valiente, Chorot, Santed y Lostao (2008)","plainTextFormattedCitation":"(Sandín, Valiente, Chorot, Santed, &amp; Lostao, 2008)","previouslyFormattedCitation":"(Sandín, Valiente, Chorot, Santed, &amp; Lostao, 2008)"},"properties":{"noteIndex":0},"schema":"https://github.com/citation-style-language/schema/raw/master/csl-citation.json"}</w:instrText>
      </w:r>
      <w:r w:rsidR="00AE30D7">
        <w:fldChar w:fldCharType="separate"/>
      </w:r>
      <w:r w:rsidR="00AE30D7" w:rsidRPr="00AE30D7">
        <w:rPr>
          <w:noProof/>
        </w:rPr>
        <w:t>Sandín, Valiente, Chorot, Santed</w:t>
      </w:r>
      <w:r w:rsidR="00AE30D7">
        <w:rPr>
          <w:noProof/>
        </w:rPr>
        <w:t xml:space="preserve"> y</w:t>
      </w:r>
      <w:r w:rsidR="00AE30D7" w:rsidRPr="00AE30D7">
        <w:rPr>
          <w:noProof/>
        </w:rPr>
        <w:t xml:space="preserve"> Lostao </w:t>
      </w:r>
      <w:r w:rsidR="00AE30D7">
        <w:rPr>
          <w:noProof/>
        </w:rPr>
        <w:t>(</w:t>
      </w:r>
      <w:r w:rsidR="00AE30D7" w:rsidRPr="00AE30D7">
        <w:rPr>
          <w:noProof/>
        </w:rPr>
        <w:t>2008)</w:t>
      </w:r>
      <w:r w:rsidR="00AE30D7">
        <w:fldChar w:fldCharType="end"/>
      </w:r>
      <w:r w:rsidR="00CB2C88">
        <w:t>.</w:t>
      </w:r>
    </w:p>
    <w:p w14:paraId="5B676AB9" w14:textId="750AF4B4" w:rsidR="009A2149" w:rsidRDefault="009A2149" w:rsidP="00175041">
      <w:pPr>
        <w:pStyle w:val="Ttulo2"/>
      </w:pPr>
      <w:r w:rsidRPr="00AE36FB">
        <w:t>Metodología</w:t>
      </w:r>
    </w:p>
    <w:p w14:paraId="405AA550" w14:textId="316E6238" w:rsidR="003B333A" w:rsidRPr="003B333A" w:rsidRDefault="003B333A" w:rsidP="003B333A">
      <w:pPr>
        <w:pStyle w:val="Ttulo3"/>
      </w:pPr>
      <w:r>
        <w:t>Diseño</w:t>
      </w:r>
    </w:p>
    <w:p w14:paraId="6DC140CD" w14:textId="66423C6E" w:rsidR="002A2BE8" w:rsidRPr="002A2BE8" w:rsidRDefault="002A2BE8" w:rsidP="002A2BE8">
      <w:pPr>
        <w:rPr>
          <w:lang w:eastAsia="en-US"/>
        </w:rPr>
      </w:pPr>
      <w:r>
        <w:rPr>
          <w:lang w:eastAsia="en-US"/>
        </w:rPr>
        <w:t xml:space="preserve">Siguiendo la clasificación de </w:t>
      </w:r>
      <w:r>
        <w:rPr>
          <w:lang w:eastAsia="en-US"/>
        </w:rPr>
        <w:fldChar w:fldCharType="begin" w:fldLock="1"/>
      </w:r>
      <w:r w:rsidR="009D2B0F">
        <w:rPr>
          <w:lang w:eastAsia="en-US"/>
        </w:rPr>
        <w:instrText>ADDIN CSL_CITATION {"citationItems":[{"id":"ITEM-1","itemData":{"ISSN":"1697-2600","author":[{"dropping-particle":"","family":"Montero","given":"Ignacio","non-dropping-particle":"","parse-names":false,"suffix":""},{"dropping-particle":"","family":"León","given":"Orfelio G","non-dropping-particle":"","parse-names":false,"suffix":""}],"container-title":"International Journal of clinical and Health psychology","id":"ITEM-1","issue":"3","issued":{"date-parts":[["2007"]]},"page":"847-862","publisher":"Asociación Española de Psicología Conductual","title":"A guide for naming research studies in Psychology","type":"article-journal","volume":"7"},"uris":["http://www.mendeley.com/documents/?uuid=771ab5ac-a56f-4a59-8d85-2223e343da5c"]}],"mendeley":{"formattedCitation":"(Montero &amp; León, 2007)","manualFormatting":"Montero y León (2007)","plainTextFormattedCitation":"(Montero &amp; León, 2007)","previouslyFormattedCitation":"(Montero &amp; León, 2007)"},"properties":{"noteIndex":0},"schema":"https://github.com/citation-style-language/schema/raw/master/csl-citation.json"}</w:instrText>
      </w:r>
      <w:r>
        <w:rPr>
          <w:lang w:eastAsia="en-US"/>
        </w:rPr>
        <w:fldChar w:fldCharType="separate"/>
      </w:r>
      <w:r w:rsidRPr="002A2BE8">
        <w:rPr>
          <w:noProof/>
          <w:lang w:eastAsia="en-US"/>
        </w:rPr>
        <w:t xml:space="preserve">Montero </w:t>
      </w:r>
      <w:r w:rsidR="005A6C54">
        <w:rPr>
          <w:noProof/>
          <w:lang w:eastAsia="en-US"/>
        </w:rPr>
        <w:t>y</w:t>
      </w:r>
      <w:r w:rsidRPr="002A2BE8">
        <w:rPr>
          <w:noProof/>
          <w:lang w:eastAsia="en-US"/>
        </w:rPr>
        <w:t xml:space="preserve"> León </w:t>
      </w:r>
      <w:r>
        <w:rPr>
          <w:noProof/>
          <w:lang w:eastAsia="en-US"/>
        </w:rPr>
        <w:t>(</w:t>
      </w:r>
      <w:r w:rsidRPr="002A2BE8">
        <w:rPr>
          <w:noProof/>
          <w:lang w:eastAsia="en-US"/>
        </w:rPr>
        <w:t>2007)</w:t>
      </w:r>
      <w:r>
        <w:rPr>
          <w:lang w:eastAsia="en-US"/>
        </w:rPr>
        <w:fldChar w:fldCharType="end"/>
      </w:r>
      <w:r>
        <w:rPr>
          <w:lang w:eastAsia="en-US"/>
        </w:rPr>
        <w:t xml:space="preserve">, se realizó un estudio </w:t>
      </w:r>
      <w:r w:rsidR="00076D1B">
        <w:rPr>
          <w:lang w:eastAsia="en-US"/>
        </w:rPr>
        <w:t xml:space="preserve">instrumental, </w:t>
      </w:r>
      <w:r w:rsidR="00300F84" w:rsidRPr="00300F84">
        <w:rPr>
          <w:lang w:eastAsia="en-US"/>
        </w:rPr>
        <w:t xml:space="preserve">descriptivo </w:t>
      </w:r>
      <w:r w:rsidR="00300F84">
        <w:rPr>
          <w:lang w:eastAsia="en-US"/>
        </w:rPr>
        <w:t xml:space="preserve">y transversal </w:t>
      </w:r>
      <w:r w:rsidR="00300F84" w:rsidRPr="00300F84">
        <w:rPr>
          <w:lang w:eastAsia="en-US"/>
        </w:rPr>
        <w:t xml:space="preserve">de </w:t>
      </w:r>
      <w:r w:rsidR="00300F84">
        <w:rPr>
          <w:lang w:eastAsia="en-US"/>
        </w:rPr>
        <w:t xml:space="preserve">una población </w:t>
      </w:r>
      <w:r w:rsidR="00300F84" w:rsidRPr="00300F84">
        <w:rPr>
          <w:lang w:eastAsia="en-US"/>
        </w:rPr>
        <w:t xml:space="preserve">mediante encuesta con </w:t>
      </w:r>
      <w:r w:rsidR="00300F84">
        <w:rPr>
          <w:lang w:eastAsia="en-US"/>
        </w:rPr>
        <w:t xml:space="preserve">una </w:t>
      </w:r>
      <w:r w:rsidR="00300F84" w:rsidRPr="00300F84">
        <w:rPr>
          <w:lang w:eastAsia="en-US"/>
        </w:rPr>
        <w:t xml:space="preserve">muestra </w:t>
      </w:r>
      <w:r w:rsidR="00076D1B">
        <w:rPr>
          <w:lang w:eastAsia="en-US"/>
        </w:rPr>
        <w:t xml:space="preserve">no </w:t>
      </w:r>
      <w:r w:rsidR="00300F84" w:rsidRPr="00300F84">
        <w:rPr>
          <w:lang w:eastAsia="en-US"/>
        </w:rPr>
        <w:t>probabilística</w:t>
      </w:r>
      <w:r w:rsidR="00300F84">
        <w:rPr>
          <w:lang w:eastAsia="en-US"/>
        </w:rPr>
        <w:t xml:space="preserve">. </w:t>
      </w:r>
    </w:p>
    <w:p w14:paraId="0B0F908E" w14:textId="77777777" w:rsidR="0044041C" w:rsidRDefault="0044041C" w:rsidP="0044041C">
      <w:pPr>
        <w:pStyle w:val="Ttulo3"/>
        <w:numPr>
          <w:ilvl w:val="1"/>
          <w:numId w:val="16"/>
        </w:numPr>
        <w:ind w:left="1135" w:hanging="851"/>
      </w:pPr>
      <w:r w:rsidRPr="00090298">
        <w:t xml:space="preserve">Cumplimiento </w:t>
      </w:r>
      <w:r>
        <w:t>con</w:t>
      </w:r>
      <w:r w:rsidRPr="00090298">
        <w:t xml:space="preserve"> estándares éticos</w:t>
      </w:r>
    </w:p>
    <w:p w14:paraId="6F2941C5" w14:textId="77777777" w:rsidR="0044041C" w:rsidRPr="004E2992" w:rsidRDefault="0044041C" w:rsidP="0044041C">
      <w:pPr>
        <w:rPr>
          <w:lang w:eastAsia="en-US"/>
        </w:rPr>
      </w:pPr>
      <w:r>
        <w:lastRenderedPageBreak/>
        <w:t>Esta investigación fue aprobada por el Comité de Conductas Responsables de la Universidad de Buenos Aires, Argentina.</w:t>
      </w:r>
    </w:p>
    <w:p w14:paraId="29761A71" w14:textId="5EE85A16" w:rsidR="009A2149" w:rsidRPr="00AE36FB" w:rsidRDefault="00406392" w:rsidP="00175041">
      <w:pPr>
        <w:pStyle w:val="Ttulo3"/>
      </w:pPr>
      <w:r>
        <w:t>Procedimiento y m</w:t>
      </w:r>
      <w:r w:rsidR="009A2149" w:rsidRPr="00AE36FB">
        <w:t>uestra</w:t>
      </w:r>
    </w:p>
    <w:p w14:paraId="110A2348" w14:textId="401B62F9" w:rsidR="00467550" w:rsidRPr="00AE36FB" w:rsidRDefault="00406392" w:rsidP="00226409">
      <w:r>
        <w:t>Para la recolección de datos, s</w:t>
      </w:r>
      <w:r w:rsidRPr="00AE36FB">
        <w:t>e utilizó la plataforma digital de Google Forms</w:t>
      </w:r>
      <w:r w:rsidRPr="005A68C8">
        <w:rPr>
          <w:vertAlign w:val="superscript"/>
        </w:rPr>
        <w:t>©</w:t>
      </w:r>
      <w:r w:rsidRPr="00AE36FB">
        <w:t xml:space="preserve">. </w:t>
      </w:r>
      <w:r w:rsidR="004F48D7">
        <w:t xml:space="preserve">En la página inicial del cuestionario, se informó sobre la posibilidad </w:t>
      </w:r>
      <w:r w:rsidR="004F48D7" w:rsidRPr="004F48D7">
        <w:t>de retirarse en cualquier momento de la investigación</w:t>
      </w:r>
      <w:r w:rsidR="004F48D7">
        <w:t xml:space="preserve"> y, después</w:t>
      </w:r>
      <w:r w:rsidR="004F48D7" w:rsidRPr="00AE36FB">
        <w:t xml:space="preserve"> de aceptar participar mediante el consentimiento informado, se presentaron los cuestionarios</w:t>
      </w:r>
      <w:r w:rsidR="004F48D7">
        <w:t xml:space="preserve">. </w:t>
      </w:r>
      <w:r w:rsidR="004F48D7" w:rsidRPr="00AE36FB">
        <w:t xml:space="preserve">En caso de que los </w:t>
      </w:r>
      <w:r w:rsidR="00B94BC9">
        <w:t>participantes</w:t>
      </w:r>
      <w:r w:rsidR="004F48D7" w:rsidRPr="00AE36FB">
        <w:t xml:space="preserve"> tuvieran inconvenientes o dudas durante las respuestas, se dejó </w:t>
      </w:r>
      <w:r w:rsidR="004F48D7">
        <w:t>el email de contacto del investigador</w:t>
      </w:r>
      <w:r w:rsidR="004F48D7" w:rsidRPr="00AE36FB">
        <w:t>.</w:t>
      </w:r>
      <w:r w:rsidR="0070708B" w:rsidRPr="0070708B">
        <w:t xml:space="preserve"> </w:t>
      </w:r>
      <w:r w:rsidR="0070708B" w:rsidRPr="00AE36FB">
        <w:t>El reclutamiento</w:t>
      </w:r>
      <w:r w:rsidR="0070708B">
        <w:t xml:space="preserve"> de l</w:t>
      </w:r>
      <w:r w:rsidR="0070708B" w:rsidRPr="00AE36FB">
        <w:t xml:space="preserve">os participantes </w:t>
      </w:r>
      <w:r w:rsidR="0070708B">
        <w:t>se realizó</w:t>
      </w:r>
      <w:r w:rsidR="0070708B" w:rsidRPr="00AE36FB">
        <w:t xml:space="preserve"> a través de las redes sociales de Facebook, Instagram y WhatsApp</w:t>
      </w:r>
      <w:r w:rsidR="00D00554">
        <w:t xml:space="preserve"> y, c</w:t>
      </w:r>
      <w:r w:rsidR="00467550">
        <w:t xml:space="preserve">on el fin de asegurar una realización satisfactoria de la encuesta, se </w:t>
      </w:r>
      <w:r w:rsidR="00A44C8A">
        <w:t>llevó a cabo</w:t>
      </w:r>
      <w:r w:rsidR="00467550">
        <w:t xml:space="preserve"> una prueba piloto con 30 individuos.</w:t>
      </w:r>
    </w:p>
    <w:p w14:paraId="32E135B9" w14:textId="5AAE71DE" w:rsidR="009A2149" w:rsidRDefault="0070708B" w:rsidP="00226409">
      <w:r w:rsidRPr="00AE36FB">
        <w:t xml:space="preserve">Se realizó un muestreo intencional y por bola de nieve. </w:t>
      </w:r>
      <w:r w:rsidR="009A2149" w:rsidRPr="00AE36FB">
        <w:t xml:space="preserve">La muestra se recolectó entre el 02 de octubre </w:t>
      </w:r>
      <w:r w:rsidR="00C657EF">
        <w:t>y</w:t>
      </w:r>
      <w:r w:rsidR="009A2149" w:rsidRPr="00AE36FB">
        <w:t xml:space="preserve"> el 05 de noviembre de 2020 y estuvo conformada por 361 adultos (M edad= 41.01, DS= 15.58, femenino= 203) residentes en Argentina, compuesto por 30% de la Ciudad Autónoma de Buenos Aires, 22% de Gran Buenos Aires, 11% de la Provincia de Buenos Aires y 38% de otras provincias de Argentina. El 72% eran de nivel universitario incompleto o superior.</w:t>
      </w:r>
    </w:p>
    <w:p w14:paraId="1C112FEA" w14:textId="77777777" w:rsidR="00AE36FB" w:rsidRPr="00AE36FB" w:rsidRDefault="009A2149" w:rsidP="00175041">
      <w:pPr>
        <w:pStyle w:val="Ttulo3"/>
      </w:pPr>
      <w:r w:rsidRPr="00AE36FB">
        <w:t>Instrumentos</w:t>
      </w:r>
    </w:p>
    <w:p w14:paraId="3C47936F" w14:textId="4B654C7E" w:rsidR="009A2149" w:rsidRPr="006A2AD6" w:rsidRDefault="00EF5EE9" w:rsidP="006A2AD6">
      <w:pPr>
        <w:pStyle w:val="Ttulo4"/>
      </w:pPr>
      <w:bookmarkStart w:id="2" w:name="_Hlk58441047"/>
      <w:r w:rsidRPr="00EF5EE9">
        <w:t>Symptom Assessment-45 Questionnaire</w:t>
      </w:r>
    </w:p>
    <w:bookmarkEnd w:id="2"/>
    <w:p w14:paraId="30979AA4" w14:textId="6729C66B" w:rsidR="00E85BF0" w:rsidRDefault="00002B1F" w:rsidP="00E85BF0">
      <w:r>
        <w:rPr>
          <w:lang w:eastAsia="en-US"/>
        </w:rPr>
        <w:t>E</w:t>
      </w:r>
      <w:r w:rsidR="00104AB0">
        <w:rPr>
          <w:lang w:eastAsia="en-US"/>
        </w:rPr>
        <w:t xml:space="preserve">l </w:t>
      </w:r>
      <w:r w:rsidR="00104AB0" w:rsidRPr="00002B1F">
        <w:rPr>
          <w:i/>
          <w:iCs/>
          <w:noProof/>
          <w:lang w:eastAsia="en-US"/>
        </w:rPr>
        <w:t>Symptom Assessment-45 Questionnaire</w:t>
      </w:r>
      <w:r w:rsidR="00104AB0" w:rsidRPr="0011261E">
        <w:rPr>
          <w:i/>
          <w:iCs/>
          <w:lang w:eastAsia="en-US"/>
        </w:rPr>
        <w:t xml:space="preserve"> (SA-45)</w:t>
      </w:r>
      <w:r w:rsidR="00104AB0">
        <w:rPr>
          <w:lang w:eastAsia="en-US"/>
        </w:rPr>
        <w:t xml:space="preserve"> de </w:t>
      </w:r>
      <w:r w:rsidR="00104AB0">
        <w:rPr>
          <w:lang w:eastAsia="en-US"/>
        </w:rPr>
        <w:fldChar w:fldCharType="begin" w:fldLock="1"/>
      </w:r>
      <w:r w:rsidR="0086129B">
        <w:rPr>
          <w:lang w:eastAsia="en-US"/>
        </w:rPr>
        <w:instrText>ADDIN CSL_CITATION {"citationItems":[{"id":"ITEM-1","itemData":{"ISSN":"0214-9915","author":[{"dropping-particle":"","family":"Sandín","given":"Bonifacio","non-dropping-particle":"","parse-names":false,"suffix":""},{"dropping-particle":"","family":"Valiente","given":"Rosa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-1","issue":"2","issued":{"date-parts":[["2008"]]},"page":"290-296","publisher":"Colegio Oficial De Psicologos Del Principado De Asturias","title":"SA-45: forma abreviada del SCL-90","type":"article-journal","volume":"20"},"uris":["http://www.mendeley.com/documents/?uuid=c4b23ce2-96a3-34d1-8b39-2dc936d82379"]}],"mendeley":{"formattedCitation":"(Sandín et al., 2008)","manualFormatting":"Sandín et al. (2008)","plainTextFormattedCitation":"(Sandín et al., 2008)","previouslyFormattedCitation":"(Sandín et al., 2008)"},"properties":{"noteIndex":0},"schema":"https://github.com/citation-style-language/schema/raw/master/csl-citation.json"}</w:instrText>
      </w:r>
      <w:r w:rsidR="00104AB0">
        <w:rPr>
          <w:lang w:eastAsia="en-US"/>
        </w:rPr>
        <w:fldChar w:fldCharType="separate"/>
      </w:r>
      <w:r w:rsidR="00104AB0" w:rsidRPr="00D35F65">
        <w:rPr>
          <w:noProof/>
          <w:lang w:eastAsia="en-US"/>
        </w:rPr>
        <w:t xml:space="preserve">Sandín et al. </w:t>
      </w:r>
      <w:r w:rsidR="00104AB0">
        <w:rPr>
          <w:noProof/>
          <w:lang w:eastAsia="en-US"/>
        </w:rPr>
        <w:t>(</w:t>
      </w:r>
      <w:r w:rsidR="00104AB0" w:rsidRPr="00D35F65">
        <w:rPr>
          <w:noProof/>
          <w:lang w:eastAsia="en-US"/>
        </w:rPr>
        <w:t>2008)</w:t>
      </w:r>
      <w:r w:rsidR="00104AB0">
        <w:rPr>
          <w:lang w:eastAsia="en-US"/>
        </w:rPr>
        <w:fldChar w:fldCharType="end"/>
      </w:r>
      <w:r>
        <w:rPr>
          <w:lang w:eastAsia="en-US"/>
        </w:rPr>
        <w:t xml:space="preserve"> d</w:t>
      </w:r>
      <w:r w:rsidR="00104AB0">
        <w:rPr>
          <w:lang w:eastAsia="en-US"/>
        </w:rPr>
        <w:t xml:space="preserve">ispone de un total de 45 ítems que corresponden a nueve dimensiones: </w:t>
      </w:r>
      <w:r w:rsidR="00104AB0" w:rsidRPr="009D0BA8">
        <w:rPr>
          <w:i/>
          <w:iCs/>
          <w:lang w:eastAsia="en-US"/>
        </w:rPr>
        <w:t>somatización</w:t>
      </w:r>
      <w:r w:rsidR="00104AB0">
        <w:rPr>
          <w:lang w:eastAsia="en-US"/>
        </w:rPr>
        <w:t xml:space="preserve">, </w:t>
      </w:r>
      <w:r w:rsidR="00104AB0" w:rsidRPr="009D0BA8">
        <w:rPr>
          <w:i/>
          <w:iCs/>
          <w:lang w:eastAsia="en-US"/>
        </w:rPr>
        <w:t>obsesión-compulsión</w:t>
      </w:r>
      <w:r w:rsidR="00104AB0">
        <w:rPr>
          <w:lang w:eastAsia="en-US"/>
        </w:rPr>
        <w:t xml:space="preserve">, </w:t>
      </w:r>
      <w:r w:rsidR="00104AB0" w:rsidRPr="009D0BA8">
        <w:rPr>
          <w:i/>
          <w:iCs/>
          <w:lang w:eastAsia="en-US"/>
        </w:rPr>
        <w:t>sensibilidad interpersonal</w:t>
      </w:r>
      <w:r w:rsidR="00104AB0">
        <w:rPr>
          <w:lang w:eastAsia="en-US"/>
        </w:rPr>
        <w:t xml:space="preserve">, </w:t>
      </w:r>
      <w:r w:rsidR="00104AB0" w:rsidRPr="009D0BA8">
        <w:rPr>
          <w:i/>
          <w:iCs/>
          <w:lang w:eastAsia="en-US"/>
        </w:rPr>
        <w:t>depresión</w:t>
      </w:r>
      <w:r w:rsidR="00104AB0">
        <w:rPr>
          <w:lang w:eastAsia="en-US"/>
        </w:rPr>
        <w:t xml:space="preserve">, </w:t>
      </w:r>
      <w:r w:rsidR="00104AB0" w:rsidRPr="009D0BA8">
        <w:rPr>
          <w:i/>
          <w:iCs/>
          <w:lang w:eastAsia="en-US"/>
        </w:rPr>
        <w:t>ansiedad</w:t>
      </w:r>
      <w:r w:rsidR="00104AB0">
        <w:rPr>
          <w:lang w:eastAsia="en-US"/>
        </w:rPr>
        <w:t xml:space="preserve">, </w:t>
      </w:r>
      <w:r w:rsidR="00104AB0" w:rsidRPr="009D0BA8">
        <w:rPr>
          <w:i/>
          <w:iCs/>
          <w:lang w:eastAsia="en-US"/>
        </w:rPr>
        <w:t>hostilidad</w:t>
      </w:r>
      <w:r w:rsidR="00104AB0">
        <w:rPr>
          <w:lang w:eastAsia="en-US"/>
        </w:rPr>
        <w:t xml:space="preserve">, </w:t>
      </w:r>
      <w:r w:rsidR="00104AB0" w:rsidRPr="009D0BA8">
        <w:rPr>
          <w:i/>
          <w:iCs/>
          <w:lang w:eastAsia="en-US"/>
        </w:rPr>
        <w:t>ansiedad fóbica</w:t>
      </w:r>
      <w:r w:rsidR="00104AB0">
        <w:rPr>
          <w:lang w:eastAsia="en-US"/>
        </w:rPr>
        <w:t xml:space="preserve">, </w:t>
      </w:r>
      <w:r w:rsidR="00104AB0" w:rsidRPr="009D0BA8">
        <w:rPr>
          <w:i/>
          <w:iCs/>
          <w:lang w:eastAsia="en-US"/>
        </w:rPr>
        <w:t>ideación paranoide</w:t>
      </w:r>
      <w:r w:rsidR="00104AB0">
        <w:rPr>
          <w:lang w:eastAsia="en-US"/>
        </w:rPr>
        <w:t xml:space="preserve"> y </w:t>
      </w:r>
      <w:r w:rsidR="00104AB0" w:rsidRPr="009D0BA8">
        <w:rPr>
          <w:i/>
          <w:iCs/>
          <w:lang w:eastAsia="en-US"/>
        </w:rPr>
        <w:t>psicoticismo</w:t>
      </w:r>
      <w:r w:rsidR="00104AB0">
        <w:rPr>
          <w:lang w:eastAsia="en-US"/>
        </w:rPr>
        <w:t>.</w:t>
      </w:r>
      <w:r w:rsidR="00E85BF0" w:rsidRPr="00E85BF0">
        <w:rPr>
          <w:lang w:eastAsia="en-US"/>
        </w:rPr>
        <w:t xml:space="preserve"> </w:t>
      </w:r>
      <w:r w:rsidR="00E85BF0">
        <w:rPr>
          <w:lang w:eastAsia="en-US"/>
        </w:rPr>
        <w:t xml:space="preserve">Para la contestación, se utiliza una escala Likert de cinco puntos (0 = </w:t>
      </w:r>
      <w:r w:rsidR="00E85BF0" w:rsidRPr="00FD2F72">
        <w:rPr>
          <w:i/>
          <w:iCs/>
          <w:lang w:eastAsia="en-US"/>
        </w:rPr>
        <w:t>Nada en absoluto</w:t>
      </w:r>
      <w:r w:rsidR="00E85BF0">
        <w:rPr>
          <w:lang w:eastAsia="en-US"/>
        </w:rPr>
        <w:t xml:space="preserve"> hasta 4 = </w:t>
      </w:r>
      <w:r w:rsidR="00E85BF0" w:rsidRPr="00FD2F72">
        <w:rPr>
          <w:i/>
          <w:iCs/>
          <w:lang w:eastAsia="en-US"/>
        </w:rPr>
        <w:t>Mucho o extremadamente</w:t>
      </w:r>
      <w:r w:rsidR="00E85BF0">
        <w:rPr>
          <w:lang w:eastAsia="en-US"/>
        </w:rPr>
        <w:t>) y</w:t>
      </w:r>
      <w:r w:rsidR="00104AB0">
        <w:rPr>
          <w:lang w:eastAsia="en-US"/>
        </w:rPr>
        <w:t xml:space="preserve">, en el mencionado estudio de validación en lengua española, se obtuvieron unas consistencias internas </w:t>
      </w:r>
      <w:r w:rsidR="00104AB0">
        <w:t>entre .63 ≤ α ≤ .85</w:t>
      </w:r>
      <w:r w:rsidR="00104AB0">
        <w:rPr>
          <w:lang w:eastAsia="en-US"/>
        </w:rPr>
        <w:t>.</w:t>
      </w:r>
      <w:r w:rsidR="00E85BF0">
        <w:t xml:space="preserve"> </w:t>
      </w:r>
    </w:p>
    <w:p w14:paraId="5C058458" w14:textId="77777777" w:rsidR="008844F6" w:rsidRDefault="008844F6" w:rsidP="006A2AD6">
      <w:pPr>
        <w:pStyle w:val="Ttulo4"/>
      </w:pPr>
      <w:r>
        <w:t>Mini-IPIP</w:t>
      </w:r>
    </w:p>
    <w:p w14:paraId="5AB313C3" w14:textId="62F8837C" w:rsidR="008844F6" w:rsidRDefault="008844F6" w:rsidP="00744E4B">
      <w:pPr>
        <w:rPr>
          <w:lang w:eastAsia="en-US"/>
        </w:rPr>
      </w:pPr>
      <w:r>
        <w:rPr>
          <w:lang w:eastAsia="en-US"/>
        </w:rPr>
        <w:t>Se utilizó la validación argentina que</w:t>
      </w:r>
      <w:r w:rsidR="00744E4B">
        <w:rPr>
          <w:lang w:eastAsia="en-US"/>
        </w:rPr>
        <w:t xml:space="preserve"> </w:t>
      </w:r>
      <w:r w:rsidR="00744E4B">
        <w:rPr>
          <w:lang w:eastAsia="en-US"/>
        </w:rPr>
        <w:fldChar w:fldCharType="begin" w:fldLock="1"/>
      </w:r>
      <w:r w:rsidR="00835147">
        <w:rPr>
          <w:lang w:eastAsia="en-US"/>
        </w:rPr>
        <w:instrText>ADDIN CSL_CITATION {"citationItems":[{"id":"ITEM-1","itemData":{"DOI":"10.24265/liberabit.2020.v26n1.02","ISSN":"17294827","author":[{"dropping-particle":"","family":"Simkin","given":"Hugo","non-dropping-particle":"","parse-names":false,"suffix":""},{"dropping-particle":"","family":"Borchardt Dutera","given":"Lucrecia","non-dropping-particle":"","parse-names":false,"suffix":""},{"dropping-particle":"","family":"Azzollini","given":"Susana","non-dropping-particle":"","parse-names":false,"suffix":""}],"container-title":"Liberabit: Revista Peruana de Psicología","id":"ITEM-1","issue":"1","issued":{"date-parts":[["2020","3","2"]]},"page":"1-23","title":"Evidencias de validez del Compendio Internacional de Ítems de Personalidad Abreviado","type":"article-journal","volume":"26"},"uris":["http://www.mendeley.com/documents/?uuid=fbf281ae-c9d4-4f67-a5e1-f5cd6c18b94d"]}],"mendeley":{"formattedCitation":"(Simkin, Borchardt Dutera, &amp; Azzollini, 2020)","manualFormatting":"Simkin, Borchardt Dutera y Azzollini (2020)","plainTextFormattedCitation":"(Simkin, Borchardt Dutera, &amp; Azzollini, 2020)","previouslyFormattedCitation":"(Simkin, Borchardt Dutera, &amp; Azzollini, 2020)"},"properties":{"noteIndex":0},"schema":"https://github.com/citation-style-language/schema/raw/master/csl-citation.json"}</w:instrText>
      </w:r>
      <w:r w:rsidR="00744E4B">
        <w:rPr>
          <w:lang w:eastAsia="en-US"/>
        </w:rPr>
        <w:fldChar w:fldCharType="separate"/>
      </w:r>
      <w:r w:rsidR="00744E4B" w:rsidRPr="00744E4B">
        <w:rPr>
          <w:noProof/>
          <w:lang w:eastAsia="en-US"/>
        </w:rPr>
        <w:t>Simkin, Borchardt Dutera</w:t>
      </w:r>
      <w:r w:rsidR="00744E4B">
        <w:rPr>
          <w:noProof/>
          <w:lang w:eastAsia="en-US"/>
        </w:rPr>
        <w:t xml:space="preserve"> y</w:t>
      </w:r>
      <w:r w:rsidR="00744E4B" w:rsidRPr="00744E4B">
        <w:rPr>
          <w:noProof/>
          <w:lang w:eastAsia="en-US"/>
        </w:rPr>
        <w:t xml:space="preserve"> Azzollini </w:t>
      </w:r>
      <w:r w:rsidR="00744E4B">
        <w:rPr>
          <w:noProof/>
          <w:lang w:eastAsia="en-US"/>
        </w:rPr>
        <w:t>(</w:t>
      </w:r>
      <w:r w:rsidR="00744E4B" w:rsidRPr="00744E4B">
        <w:rPr>
          <w:noProof/>
          <w:lang w:eastAsia="en-US"/>
        </w:rPr>
        <w:t>2020)</w:t>
      </w:r>
      <w:r w:rsidR="00744E4B">
        <w:rPr>
          <w:lang w:eastAsia="en-US"/>
        </w:rPr>
        <w:fldChar w:fldCharType="end"/>
      </w:r>
      <w:r w:rsidR="00744E4B">
        <w:rPr>
          <w:lang w:eastAsia="en-US"/>
        </w:rPr>
        <w:t xml:space="preserve"> </w:t>
      </w:r>
      <w:r>
        <w:rPr>
          <w:lang w:eastAsia="en-US"/>
        </w:rPr>
        <w:t>realizaron del Compendio Internacional de Ítems de Personalidad Abreviado (</w:t>
      </w:r>
      <w:r w:rsidRPr="00057A23">
        <w:rPr>
          <w:i/>
          <w:iCs/>
          <w:lang w:eastAsia="en-US"/>
        </w:rPr>
        <w:t>Mini International Personality Item Pool, Mini-IPIP</w:t>
      </w:r>
      <w:r>
        <w:rPr>
          <w:lang w:eastAsia="en-US"/>
        </w:rPr>
        <w:t xml:space="preserve">). </w:t>
      </w:r>
      <w:r w:rsidR="00535102">
        <w:rPr>
          <w:lang w:eastAsia="en-US"/>
        </w:rPr>
        <w:t>El</w:t>
      </w:r>
      <w:r>
        <w:rPr>
          <w:lang w:eastAsia="en-US"/>
        </w:rPr>
        <w:t xml:space="preserve"> instrumento </w:t>
      </w:r>
      <w:r w:rsidR="008E261C">
        <w:rPr>
          <w:lang w:eastAsia="en-US"/>
        </w:rPr>
        <w:t>tien</w:t>
      </w:r>
      <w:r>
        <w:rPr>
          <w:lang w:eastAsia="en-US"/>
        </w:rPr>
        <w:t xml:space="preserve">e 20 ítems que </w:t>
      </w:r>
      <w:r>
        <w:rPr>
          <w:lang w:eastAsia="en-US"/>
        </w:rPr>
        <w:lastRenderedPageBreak/>
        <w:t xml:space="preserve">corresponden a cinco rasgos de la personalidad. Para su contestación, se utiliza una escala Likert de cinco puntos (1 = </w:t>
      </w:r>
      <w:r w:rsidRPr="00057A23">
        <w:rPr>
          <w:i/>
          <w:iCs/>
          <w:lang w:eastAsia="en-US"/>
        </w:rPr>
        <w:t>Completamente en desacuerdo</w:t>
      </w:r>
      <w:r>
        <w:rPr>
          <w:lang w:eastAsia="en-US"/>
        </w:rPr>
        <w:t xml:space="preserve"> hasta 5 = </w:t>
      </w:r>
      <w:r w:rsidRPr="00057A23">
        <w:rPr>
          <w:i/>
          <w:iCs/>
          <w:lang w:eastAsia="en-US"/>
        </w:rPr>
        <w:t>Completamente de acuerdo</w:t>
      </w:r>
      <w:r>
        <w:rPr>
          <w:lang w:eastAsia="en-US"/>
        </w:rPr>
        <w:t>).</w:t>
      </w:r>
      <w:r w:rsidR="00313F6F">
        <w:rPr>
          <w:lang w:eastAsia="en-US"/>
        </w:rPr>
        <w:t xml:space="preserve"> </w:t>
      </w:r>
      <w:r>
        <w:rPr>
          <w:lang w:eastAsia="en-US"/>
        </w:rPr>
        <w:t xml:space="preserve">Los autores del mencionado estudio obtuvieron consistencias </w:t>
      </w:r>
      <w:r w:rsidR="009A2992">
        <w:rPr>
          <w:lang w:eastAsia="en-US"/>
        </w:rPr>
        <w:t xml:space="preserve">internas </w:t>
      </w:r>
      <w:r>
        <w:rPr>
          <w:lang w:eastAsia="en-US"/>
        </w:rPr>
        <w:t xml:space="preserve">entre </w:t>
      </w:r>
      <w:r w:rsidR="009C4751">
        <w:rPr>
          <w:lang w:eastAsia="en-US"/>
        </w:rPr>
        <w:t>0,</w:t>
      </w:r>
      <w:r>
        <w:rPr>
          <w:lang w:eastAsia="en-US"/>
        </w:rPr>
        <w:t>77</w:t>
      </w:r>
      <w:r w:rsidRPr="00592927">
        <w:rPr>
          <w:lang w:eastAsia="en-US"/>
        </w:rPr>
        <w:t xml:space="preserve"> ≤ </w:t>
      </w:r>
      <w:r>
        <w:rPr>
          <w:lang w:eastAsia="en-US"/>
        </w:rPr>
        <w:t>ω</w:t>
      </w:r>
      <w:r w:rsidRPr="00592927">
        <w:rPr>
          <w:lang w:eastAsia="en-US"/>
        </w:rPr>
        <w:t xml:space="preserve"> ≤ </w:t>
      </w:r>
      <w:r w:rsidR="009C4751">
        <w:rPr>
          <w:lang w:eastAsia="en-US"/>
        </w:rPr>
        <w:t>0,</w:t>
      </w:r>
      <w:r w:rsidRPr="00592927">
        <w:rPr>
          <w:lang w:eastAsia="en-US"/>
        </w:rPr>
        <w:t>8</w:t>
      </w:r>
      <w:r>
        <w:rPr>
          <w:lang w:eastAsia="en-US"/>
        </w:rPr>
        <w:t xml:space="preserve">8 y, en el presente estudio, éstas alcanzaron los siguientes valores: </w:t>
      </w:r>
      <w:r w:rsidRPr="008335C7">
        <w:rPr>
          <w:i/>
          <w:iCs/>
          <w:lang w:eastAsia="en-US"/>
        </w:rPr>
        <w:t>apertura a la experiencia</w:t>
      </w:r>
      <w:r>
        <w:rPr>
          <w:lang w:eastAsia="en-US"/>
        </w:rPr>
        <w:t xml:space="preserve"> </w:t>
      </w:r>
      <w:r w:rsidRPr="001001B3">
        <w:rPr>
          <w:lang w:eastAsia="en-US"/>
        </w:rPr>
        <w:t>(</w:t>
      </w:r>
      <w:r>
        <w:rPr>
          <w:lang w:eastAsia="en-US"/>
        </w:rPr>
        <w:t>ω</w:t>
      </w:r>
      <w:r w:rsidRPr="001001B3">
        <w:rPr>
          <w:lang w:eastAsia="en-US"/>
        </w:rPr>
        <w:t xml:space="preserve"> = 0</w:t>
      </w:r>
      <w:r w:rsidR="009C4751">
        <w:rPr>
          <w:lang w:eastAsia="en-US"/>
        </w:rPr>
        <w:t>,</w:t>
      </w:r>
      <w:r>
        <w:rPr>
          <w:lang w:eastAsia="en-US"/>
        </w:rPr>
        <w:t>7</w:t>
      </w:r>
      <w:r w:rsidR="00F13404">
        <w:rPr>
          <w:lang w:eastAsia="en-US"/>
        </w:rPr>
        <w:t>3</w:t>
      </w:r>
      <w:r w:rsidRPr="001001B3">
        <w:rPr>
          <w:lang w:eastAsia="en-US"/>
        </w:rPr>
        <w:t>)</w:t>
      </w:r>
      <w:r>
        <w:rPr>
          <w:lang w:eastAsia="en-US"/>
        </w:rPr>
        <w:t xml:space="preserve">, </w:t>
      </w:r>
      <w:r w:rsidRPr="008335C7">
        <w:rPr>
          <w:i/>
          <w:iCs/>
          <w:lang w:eastAsia="en-US"/>
        </w:rPr>
        <w:t>responsabilidad</w:t>
      </w:r>
      <w:r>
        <w:rPr>
          <w:lang w:eastAsia="en-US"/>
        </w:rPr>
        <w:t xml:space="preserve"> </w:t>
      </w:r>
      <w:r w:rsidRPr="001001B3">
        <w:rPr>
          <w:lang w:eastAsia="en-US"/>
        </w:rPr>
        <w:t>(</w:t>
      </w:r>
      <w:r>
        <w:rPr>
          <w:lang w:eastAsia="en-US"/>
        </w:rPr>
        <w:t>ω</w:t>
      </w:r>
      <w:r w:rsidRPr="001001B3">
        <w:rPr>
          <w:lang w:eastAsia="en-US"/>
        </w:rPr>
        <w:t xml:space="preserve"> = 0</w:t>
      </w:r>
      <w:r w:rsidR="009C4751">
        <w:rPr>
          <w:lang w:eastAsia="en-US"/>
        </w:rPr>
        <w:t>,</w:t>
      </w:r>
      <w:r>
        <w:rPr>
          <w:lang w:eastAsia="en-US"/>
        </w:rPr>
        <w:t>7</w:t>
      </w:r>
      <w:r w:rsidR="005E65F3">
        <w:rPr>
          <w:lang w:eastAsia="en-US"/>
        </w:rPr>
        <w:t>7</w:t>
      </w:r>
      <w:r w:rsidRPr="001001B3">
        <w:rPr>
          <w:lang w:eastAsia="en-US"/>
        </w:rPr>
        <w:t>)</w:t>
      </w:r>
      <w:r>
        <w:rPr>
          <w:lang w:eastAsia="en-US"/>
        </w:rPr>
        <w:t xml:space="preserve">, </w:t>
      </w:r>
      <w:r w:rsidRPr="008335C7">
        <w:rPr>
          <w:i/>
          <w:iCs/>
          <w:lang w:eastAsia="en-US"/>
        </w:rPr>
        <w:t>extraversión</w:t>
      </w:r>
      <w:r>
        <w:rPr>
          <w:lang w:eastAsia="en-US"/>
        </w:rPr>
        <w:t xml:space="preserve"> </w:t>
      </w:r>
      <w:r w:rsidRPr="001001B3">
        <w:rPr>
          <w:lang w:eastAsia="en-US"/>
        </w:rPr>
        <w:t>(</w:t>
      </w:r>
      <w:r>
        <w:rPr>
          <w:lang w:eastAsia="en-US"/>
        </w:rPr>
        <w:t>ω</w:t>
      </w:r>
      <w:r w:rsidRPr="001001B3">
        <w:rPr>
          <w:lang w:eastAsia="en-US"/>
        </w:rPr>
        <w:t xml:space="preserve"> = 0</w:t>
      </w:r>
      <w:r w:rsidR="009C4751">
        <w:rPr>
          <w:lang w:eastAsia="en-US"/>
        </w:rPr>
        <w:t>,</w:t>
      </w:r>
      <w:r>
        <w:rPr>
          <w:lang w:eastAsia="en-US"/>
        </w:rPr>
        <w:t>7</w:t>
      </w:r>
      <w:r w:rsidR="00925F62">
        <w:rPr>
          <w:lang w:eastAsia="en-US"/>
        </w:rPr>
        <w:t>3</w:t>
      </w:r>
      <w:r w:rsidRPr="001001B3">
        <w:rPr>
          <w:lang w:eastAsia="en-US"/>
        </w:rPr>
        <w:t>)</w:t>
      </w:r>
      <w:r>
        <w:rPr>
          <w:lang w:eastAsia="en-US"/>
        </w:rPr>
        <w:t xml:space="preserve">, </w:t>
      </w:r>
      <w:r w:rsidRPr="008335C7">
        <w:rPr>
          <w:i/>
          <w:iCs/>
          <w:lang w:eastAsia="en-US"/>
        </w:rPr>
        <w:t>amabilidad</w:t>
      </w:r>
      <w:r>
        <w:rPr>
          <w:lang w:eastAsia="en-US"/>
        </w:rPr>
        <w:t xml:space="preserve"> </w:t>
      </w:r>
      <w:r w:rsidRPr="001001B3">
        <w:rPr>
          <w:lang w:eastAsia="en-US"/>
        </w:rPr>
        <w:t>(</w:t>
      </w:r>
      <w:r>
        <w:rPr>
          <w:lang w:eastAsia="en-US"/>
        </w:rPr>
        <w:t>ω</w:t>
      </w:r>
      <w:r w:rsidRPr="001001B3">
        <w:rPr>
          <w:lang w:eastAsia="en-US"/>
        </w:rPr>
        <w:t xml:space="preserve"> = 0</w:t>
      </w:r>
      <w:r w:rsidR="009C4751">
        <w:rPr>
          <w:lang w:eastAsia="en-US"/>
        </w:rPr>
        <w:t>,</w:t>
      </w:r>
      <w:r>
        <w:rPr>
          <w:lang w:eastAsia="en-US"/>
        </w:rPr>
        <w:t>8</w:t>
      </w:r>
      <w:r w:rsidR="00925F62">
        <w:rPr>
          <w:lang w:eastAsia="en-US"/>
        </w:rPr>
        <w:t>2</w:t>
      </w:r>
      <w:r w:rsidRPr="001001B3">
        <w:rPr>
          <w:lang w:eastAsia="en-US"/>
        </w:rPr>
        <w:t>)</w:t>
      </w:r>
      <w:r>
        <w:rPr>
          <w:lang w:eastAsia="en-US"/>
        </w:rPr>
        <w:t xml:space="preserve"> y </w:t>
      </w:r>
      <w:r w:rsidRPr="008335C7">
        <w:rPr>
          <w:i/>
          <w:iCs/>
          <w:lang w:eastAsia="en-US"/>
        </w:rPr>
        <w:t>neuroticismo</w:t>
      </w:r>
      <w:r>
        <w:rPr>
          <w:lang w:eastAsia="en-US"/>
        </w:rPr>
        <w:t xml:space="preserve"> </w:t>
      </w:r>
      <w:r w:rsidRPr="001001B3">
        <w:rPr>
          <w:lang w:eastAsia="en-US"/>
        </w:rPr>
        <w:t>(</w:t>
      </w:r>
      <w:r>
        <w:rPr>
          <w:lang w:eastAsia="en-US"/>
        </w:rPr>
        <w:t>ω</w:t>
      </w:r>
      <w:r w:rsidRPr="001001B3">
        <w:rPr>
          <w:lang w:eastAsia="en-US"/>
        </w:rPr>
        <w:t xml:space="preserve"> = 0</w:t>
      </w:r>
      <w:r w:rsidR="009C4751">
        <w:rPr>
          <w:lang w:eastAsia="en-US"/>
        </w:rPr>
        <w:t>,</w:t>
      </w:r>
      <w:r>
        <w:rPr>
          <w:lang w:eastAsia="en-US"/>
        </w:rPr>
        <w:t>7</w:t>
      </w:r>
      <w:r w:rsidR="004E0F82">
        <w:rPr>
          <w:lang w:eastAsia="en-US"/>
        </w:rPr>
        <w:t>8</w:t>
      </w:r>
      <w:r w:rsidRPr="001001B3">
        <w:rPr>
          <w:lang w:eastAsia="en-US"/>
        </w:rPr>
        <w:t>)</w:t>
      </w:r>
      <w:r>
        <w:rPr>
          <w:lang w:eastAsia="en-US"/>
        </w:rPr>
        <w:t>.</w:t>
      </w:r>
    </w:p>
    <w:p w14:paraId="0D9D5934" w14:textId="43556CCF" w:rsidR="009A2149" w:rsidRPr="00AE36FB" w:rsidRDefault="009A2149" w:rsidP="00175041">
      <w:pPr>
        <w:pStyle w:val="Ttulo3"/>
      </w:pPr>
      <w:r w:rsidRPr="00AE36FB">
        <w:t>Análisis de datos</w:t>
      </w:r>
    </w:p>
    <w:p w14:paraId="6873E100" w14:textId="76F094B7" w:rsidR="009A2149" w:rsidRPr="00AE36FB" w:rsidRDefault="00A26260" w:rsidP="00A26260">
      <w:r>
        <w:t>A través del paquete</w:t>
      </w:r>
      <w:r w:rsidRPr="009F30CB">
        <w:rPr>
          <w:i/>
          <w:iCs/>
        </w:rPr>
        <w:t xml:space="preserve"> </w:t>
      </w:r>
      <w:r w:rsidRPr="00FE4049">
        <w:rPr>
          <w:i/>
          <w:iCs/>
        </w:rPr>
        <w:t>MASS</w:t>
      </w:r>
      <w:r>
        <w:t xml:space="preserve"> de </w:t>
      </w:r>
      <w:r>
        <w:fldChar w:fldCharType="begin" w:fldLock="1"/>
      </w:r>
      <w:r w:rsidR="00AC0E6D">
        <w:instrText>ADDIN CSL_CITATION {"citationItems":[{"id":"ITEM-1","itemData":{"DOI":"10.1007/978-0-387-21706-2","ISBN":"978-1-4419-3008-8","author":[{"dropping-particle":"","family":"Venables","given":"W. N.","non-dropping-particle":"","parse-names":false,"suffix":""},{"dropping-particle":"","family":"Ripley","given":"B. D.","non-dropping-particle":"","parse-names":false,"suffix":""}],"collection-title":"Statistics and Computing","id":"ITEM-1","issued":{"date-parts":[["2002"]]},"publisher":"Springer","publisher-place":"New York, NY","title":"Modern Applied Statistics with S","type":"book"},"uris":["http://www.mendeley.com/documents/?uuid=822b2692-58a7-44f0-8f4e-28969329ad7d"]}],"mendeley":{"formattedCitation":"(Venables &amp; Ripley, 2002)","manualFormatting":"Venables y Ripley (2002)","plainTextFormattedCitation":"(Venables &amp; Ripley, 2002)","previouslyFormattedCitation":"(Venables &amp; Ripley, 2002)"},"properties":{"noteIndex":0},"schema":"https://github.com/citation-style-language/schema/raw/master/csl-citation.json"}</w:instrText>
      </w:r>
      <w:r>
        <w:fldChar w:fldCharType="separate"/>
      </w:r>
      <w:r w:rsidRPr="00FE4049">
        <w:rPr>
          <w:noProof/>
        </w:rPr>
        <w:t xml:space="preserve">Venables </w:t>
      </w:r>
      <w:r>
        <w:rPr>
          <w:noProof/>
        </w:rPr>
        <w:t>y</w:t>
      </w:r>
      <w:r w:rsidRPr="00FE4049">
        <w:rPr>
          <w:noProof/>
        </w:rPr>
        <w:t xml:space="preserve"> Ripley </w:t>
      </w:r>
      <w:r>
        <w:rPr>
          <w:noProof/>
        </w:rPr>
        <w:t>(</w:t>
      </w:r>
      <w:r w:rsidRPr="00FE4049">
        <w:rPr>
          <w:noProof/>
        </w:rPr>
        <w:t>2002)</w:t>
      </w:r>
      <w:r>
        <w:fldChar w:fldCharType="end"/>
      </w:r>
      <w:r>
        <w:t xml:space="preserve">, se utilizó </w:t>
      </w:r>
      <w:r w:rsidR="009F30CB">
        <w:t xml:space="preserve">el método </w:t>
      </w:r>
      <w:r w:rsidR="009F30CB" w:rsidRPr="00FE4049">
        <w:rPr>
          <w:i/>
          <w:iCs/>
        </w:rPr>
        <w:t>Minimum Covariance Determinant</w:t>
      </w:r>
      <w:r w:rsidR="009F30CB">
        <w:t xml:space="preserve"> </w:t>
      </w:r>
      <w:r>
        <w:t>de</w:t>
      </w:r>
      <w:r w:rsidR="00835147">
        <w:t xml:space="preserve"> </w:t>
      </w:r>
      <w:r w:rsidR="00835147">
        <w:fldChar w:fldCharType="begin" w:fldLock="1"/>
      </w:r>
      <w:r w:rsidR="00835147">
        <w:instrText>ADDIN CSL_CITATION {"citationItems":[{"id":"ITEM-1","itemData":{"DOI":"10.1016/j.jesp.2017.09.011","ISSN":"00221031","author":[{"dropping-particle":"","family":"Leys","given":"Christophe","non-dropping-particle":"","parse-names":false,"suffix":""},{"dropping-particle":"","family":"Klein","given":"Olivier","non-dropping-particle":"","parse-names":false,"suffix":""},{"dropping-particle":"","family":"Dominicy","given":"Yves","non-dropping-particle":"","parse-names":false,"suffix":""},{"dropping-particle":"","family":"Ley","given":"Christophe","non-dropping-particle":"","parse-names":false,"suffix":""}],"container-title":"Journal of Experimental Social Psychology","id":"ITEM-1","issued":{"date-parts":[["2018","1"]]},"page":"150-156","publisher":"Elsevier","title":"Detecting multivariate outliers: Use a robust variant of the Mahalanobis distance","type":"article-journal","volume":"74"},"uris":["http://www.mendeley.com/documents/?uuid=c8664a0a-ffb7-4ba5-b698-f25e85fbfa3d"]}],"mendeley":{"formattedCitation":"(Leys, Klein, Dominicy, &amp; Ley, 2018)","manualFormatting":"Leys, Klein, Dominicy y Ley (2018)","plainTextFormattedCitation":"(Leys, Klein, Dominicy, &amp; Ley, 2018)","previouslyFormattedCitation":"(Leys, Klein, Dominicy, &amp; Ley, 2018)"},"properties":{"noteIndex":0},"schema":"https://github.com/citation-style-language/schema/raw/master/csl-citation.json"}</w:instrText>
      </w:r>
      <w:r w:rsidR="00835147">
        <w:fldChar w:fldCharType="separate"/>
      </w:r>
      <w:r w:rsidR="00835147" w:rsidRPr="00835147">
        <w:rPr>
          <w:noProof/>
        </w:rPr>
        <w:t>Leys, Klein, Dominicy</w:t>
      </w:r>
      <w:r w:rsidR="00835147">
        <w:rPr>
          <w:noProof/>
        </w:rPr>
        <w:t xml:space="preserve"> y</w:t>
      </w:r>
      <w:r w:rsidR="00835147" w:rsidRPr="00835147">
        <w:rPr>
          <w:noProof/>
        </w:rPr>
        <w:t xml:space="preserve"> Ley </w:t>
      </w:r>
      <w:r w:rsidR="00835147">
        <w:rPr>
          <w:noProof/>
        </w:rPr>
        <w:t>(</w:t>
      </w:r>
      <w:r w:rsidR="00835147" w:rsidRPr="00835147">
        <w:rPr>
          <w:noProof/>
        </w:rPr>
        <w:t>2018)</w:t>
      </w:r>
      <w:r w:rsidR="00835147">
        <w:fldChar w:fldCharType="end"/>
      </w:r>
      <w:r>
        <w:t xml:space="preserve"> para poder detectar</w:t>
      </w:r>
      <w:r w:rsidR="009F30CB">
        <w:t xml:space="preserve"> </w:t>
      </w:r>
      <w:r>
        <w:t>los</w:t>
      </w:r>
      <w:r w:rsidR="009F30CB">
        <w:t xml:space="preserve"> valores atípicos multivariante.</w:t>
      </w:r>
      <w:r>
        <w:t xml:space="preserve"> Con el </w:t>
      </w:r>
      <w:r w:rsidRPr="00B62E6C">
        <w:rPr>
          <w:i/>
          <w:iCs/>
        </w:rPr>
        <w:t>MVN</w:t>
      </w:r>
      <w:r>
        <w:t xml:space="preserve"> de </w:t>
      </w:r>
      <w:r>
        <w:fldChar w:fldCharType="begin" w:fldLock="1"/>
      </w:r>
      <w:r>
        <w:instrText>ADDIN CSL_CITATION {"citationItems":[{"id":"ITEM-1","itemData":{"DOI":"10.32614/RJ-2014-031","ISSN":"2073-4859","author":[{"dropping-particle":"","family":"Korkmaz","given":"Selcuk","non-dropping-particle":"","parse-names":false,"suffix":""},{"dropping-particle":"","family":"Goksuluk","given":"Dincer","non-dropping-particle":"","parse-names":false,"suffix":""},{"dropping-particle":"","family":"Zararsiz","given":"Gokmen","non-dropping-particle":"","parse-names":false,"suffix":""}],"container-title":"The R Journal","id":"ITEM-1","issue":"2","issued":{"date-parts":[["2014"]]},"page":"151-162","title":"MVN: An R Package for Assessing Multivariate Normality","type":"article-journal","volume":"6"},"uris":["http://www.mendeley.com/documents/?uuid=fa6df60b-645d-45c5-8502-ae14b7c5c3b5"]}],"mendeley":{"formattedCitation":"(Korkmaz, Goksuluk, &amp; Zararsiz, 2014)","manualFormatting":"Korkmaz, Goksuluk y Zararsiz (2014)","plainTextFormattedCitation":"(Korkmaz, Goksuluk, &amp; Zararsiz, 2014)","previouslyFormattedCitation":"(Korkmaz, Goksuluk, &amp; Zararsiz, 2014)"},"properties":{"noteIndex":0},"schema":"https://github.com/citation-style-language/schema/raw/master/csl-citation.json"}</w:instrText>
      </w:r>
      <w:r>
        <w:fldChar w:fldCharType="separate"/>
      </w:r>
      <w:r w:rsidRPr="00835147">
        <w:rPr>
          <w:noProof/>
        </w:rPr>
        <w:t>Korkmaz, Goksuluk</w:t>
      </w:r>
      <w:r>
        <w:rPr>
          <w:noProof/>
        </w:rPr>
        <w:t xml:space="preserve"> y</w:t>
      </w:r>
      <w:r w:rsidRPr="00835147">
        <w:rPr>
          <w:noProof/>
        </w:rPr>
        <w:t xml:space="preserve"> Zararsiz </w:t>
      </w:r>
      <w:r>
        <w:rPr>
          <w:noProof/>
        </w:rPr>
        <w:t>(</w:t>
      </w:r>
      <w:r w:rsidRPr="00835147">
        <w:rPr>
          <w:noProof/>
        </w:rPr>
        <w:t>2014)</w:t>
      </w:r>
      <w:r>
        <w:fldChar w:fldCharType="end"/>
      </w:r>
      <w:r>
        <w:t xml:space="preserve"> se comprobó la normalidad multivariante </w:t>
      </w:r>
      <w:r>
        <w:fldChar w:fldCharType="begin" w:fldLock="1"/>
      </w:r>
      <w:r w:rsidR="00C52CB0">
        <w:instrText>ADDIN CSL_CITATION {"citationItems":[{"id":"ITEM-1","itemData":{"DOI":"10.1093/biomet/57.3.519","ISSN":"0006-3444","author":[{"dropping-particle":"V.","family":"Mardia","given":"Kanti","non-dropping-particle":"","parse-names":false,"suffix":""}],"container-title":"Biometrika","id":"ITEM-1","issue":"3","issued":{"date-parts":[["1970"]]},"page":"519-530","publisher":"Oxford University Press","title":"Measures of multivariate skewness and kurtosis with applications","type":"article-journal","volume":"57"},"uris":["http://www.mendeley.com/documents/?uuid=65523a21-f279-4799-93f9-e300f8108acf"]}],"mendeley":{"formattedCitation":"(Mardia, 1970)","plainTextFormattedCitation":"(Mardia, 1970)","previouslyFormattedCitation":"(Mardia, 1970)"},"properties":{"noteIndex":0},"schema":"https://github.com/citation-style-language/schema/raw/master/csl-citation.json"}</w:instrText>
      </w:r>
      <w:r>
        <w:fldChar w:fldCharType="separate"/>
      </w:r>
      <w:r w:rsidRPr="00A26260">
        <w:rPr>
          <w:noProof/>
        </w:rPr>
        <w:t>(Mardia, 1970)</w:t>
      </w:r>
      <w:r>
        <w:fldChar w:fldCharType="end"/>
      </w:r>
      <w:r>
        <w:t xml:space="preserve"> y, a través del paquete</w:t>
      </w:r>
      <w:r w:rsidR="00740640">
        <w:t xml:space="preserve"> </w:t>
      </w:r>
      <w:r w:rsidR="00740640" w:rsidRPr="00B62E6C">
        <w:rPr>
          <w:i/>
          <w:iCs/>
        </w:rPr>
        <w:t>psych</w:t>
      </w:r>
      <w:r w:rsidR="00740640">
        <w:t xml:space="preserve"> de </w:t>
      </w:r>
      <w:r w:rsidR="00740640">
        <w:fldChar w:fldCharType="begin" w:fldLock="1"/>
      </w:r>
      <w:r w:rsidR="00740640">
        <w:instrText>ADDIN CSL_CITATION {"citationItems":[{"id":"ITEM-1","itemData":{"author":[{"dropping-particle":"","family":"Revelle","given":"William","non-dropping-particle":"","parse-names":false,"suffix":""}],"id":"ITEM-1","issued":{"date-parts":[["2019"]]},"title":"psych: Procedures for personality and psychological research","type":"article"},"uris":["http://www.mendeley.com/documents/?uuid=8a1819fc-41d8-4b96-a8f0-3f345000016a"]}],"mendeley":{"formattedCitation":"(Revelle, 2019)","manualFormatting":"Revelle (2019)","plainTextFormattedCitation":"(Revelle, 2019)","previouslyFormattedCitation":"(Revelle, 2019)"},"properties":{"noteIndex":0},"schema":"https://github.com/citation-style-language/schema/raw/master/csl-citation.json"}</w:instrText>
      </w:r>
      <w:r w:rsidR="00740640">
        <w:fldChar w:fldCharType="separate"/>
      </w:r>
      <w:r w:rsidR="00740640" w:rsidRPr="00FD26EB">
        <w:rPr>
          <w:noProof/>
        </w:rPr>
        <w:t xml:space="preserve">Revelle </w:t>
      </w:r>
      <w:r w:rsidR="00740640">
        <w:rPr>
          <w:noProof/>
        </w:rPr>
        <w:t>(</w:t>
      </w:r>
      <w:r w:rsidR="00740640" w:rsidRPr="00FD26EB">
        <w:rPr>
          <w:noProof/>
        </w:rPr>
        <w:t>2019)</w:t>
      </w:r>
      <w:r w:rsidR="00740640">
        <w:fldChar w:fldCharType="end"/>
      </w:r>
      <w:r w:rsidR="00740640">
        <w:t xml:space="preserve">, se </w:t>
      </w:r>
      <w:r>
        <w:t>llevaron a cabo</w:t>
      </w:r>
      <w:r w:rsidR="00C52CB0">
        <w:t xml:space="preserve"> los análisis factoriales exploratorios</w:t>
      </w:r>
      <w:r w:rsidR="002D6F80">
        <w:t xml:space="preserve"> (EFA)</w:t>
      </w:r>
      <w:r w:rsidR="00C52CB0">
        <w:t>,</w:t>
      </w:r>
      <w:r>
        <w:t xml:space="preserve"> los cálculos</w:t>
      </w:r>
      <w:r w:rsidR="005C65F6">
        <w:t xml:space="preserve"> </w:t>
      </w:r>
      <w:r w:rsidR="00FD26EB">
        <w:t xml:space="preserve">de </w:t>
      </w:r>
      <w:r w:rsidR="00C52CB0">
        <w:t xml:space="preserve">los índices de </w:t>
      </w:r>
      <w:r w:rsidR="00C52CB0">
        <w:fldChar w:fldCharType="begin" w:fldLock="1"/>
      </w:r>
      <w:r w:rsidR="00574043">
        <w:instrText>ADDIN CSL_CITATION {"citationItems":[{"id":"ITEM-1","itemData":{"DOI":"10.1207/s15327906mbr1302_9","ISSN":"0027-3171","author":[{"dropping-particle":"","family":"Hofmann","given":"Richard J.","non-dropping-particle":"","parse-names":false,"suffix":""}],"container-title":"Multivariate Behavioral Research","id":"ITEM-1","issue":"2","issued":{"date-parts":[["1978","4","10"]]},"page":"247-250","title":"Complexity And Simplicity As Objective Indices Descriptive Of Factor Solutions","type":"article-journal","volume":"13"},"uris":["http://www.mendeley.com/documents/?uuid=832843f7-ab03-459c-b5be-09dace7ff0be"]}],"mendeley":{"formattedCitation":"(Hofmann, 1978)","manualFormatting":"Hofmann (1978)","plainTextFormattedCitation":"(Hofmann, 1978)","previouslyFormattedCitation":"(Hofmann, 1978)"},"properties":{"noteIndex":0},"schema":"https://github.com/citation-style-language/schema/raw/master/csl-citation.json"}</w:instrText>
      </w:r>
      <w:r w:rsidR="00C52CB0">
        <w:fldChar w:fldCharType="separate"/>
      </w:r>
      <w:r w:rsidR="00C52CB0" w:rsidRPr="00C52CB0">
        <w:rPr>
          <w:noProof/>
        </w:rPr>
        <w:t xml:space="preserve">Hofmann </w:t>
      </w:r>
      <w:r w:rsidR="00C52CB0">
        <w:rPr>
          <w:noProof/>
        </w:rPr>
        <w:t>(</w:t>
      </w:r>
      <w:r w:rsidR="00C52CB0" w:rsidRPr="00C52CB0">
        <w:rPr>
          <w:noProof/>
        </w:rPr>
        <w:t>1978)</w:t>
      </w:r>
      <w:r w:rsidR="00C52CB0">
        <w:fldChar w:fldCharType="end"/>
      </w:r>
      <w:r w:rsidR="00C52CB0">
        <w:t xml:space="preserve">, de </w:t>
      </w:r>
      <w:r w:rsidR="00FD26EB">
        <w:t>las consistencias internas (α</w:t>
      </w:r>
      <w:r w:rsidR="00F422F2">
        <w:t xml:space="preserve"> y ω</w:t>
      </w:r>
      <w:r w:rsidR="00FD26EB">
        <w:t>) y de las correlaciones</w:t>
      </w:r>
      <w:r w:rsidR="00FC0C7A">
        <w:t xml:space="preserve"> </w:t>
      </w:r>
      <w:r w:rsidR="00FD26EB">
        <w:t>de Spearman</w:t>
      </w:r>
      <w:r w:rsidR="00740640">
        <w:t xml:space="preserve">. </w:t>
      </w:r>
      <w:r>
        <w:t>Así mismo, se utilizó el</w:t>
      </w:r>
      <w:r w:rsidR="00280895">
        <w:t xml:space="preserve"> </w:t>
      </w:r>
      <w:r w:rsidR="00280895" w:rsidRPr="00B62E6C">
        <w:rPr>
          <w:i/>
          <w:iCs/>
        </w:rPr>
        <w:t>lavaan</w:t>
      </w:r>
      <w:r w:rsidR="00280895">
        <w:t xml:space="preserve"> de </w:t>
      </w:r>
      <w:r w:rsidR="00280895">
        <w:fldChar w:fldCharType="begin" w:fldLock="1"/>
      </w:r>
      <w:r w:rsidR="00280895">
        <w:instrText>ADDIN CSL_CITATION {"citationItems":[{"id":"ITEM-1","itemData":{"DOI":"10.18637/jss.v048.i02","ISSN":"1548-7660","author":[{"dropping-particle":"","family":"Rosseel","given":"Yves","non-dropping-particle":"","parse-names":false,"suffix":""}],"container-title":"Journal of Statistical Software","id":"ITEM-1","issue":"2","issued":{"date-parts":[["2012"]]},"page":"1-36","title":"lavaan : An R Package for Structural Equation Modeling","type":"article-journal","volume":"48"},"uris":["http://www.mendeley.com/documents/?uuid=9ad85698-6779-4bbc-8426-8ac4912e73b2"]}],"mendeley":{"formattedCitation":"(Rosseel, 2012)","manualFormatting":"Rosseel (2012)","plainTextFormattedCitation":"(Rosseel, 2012)","previouslyFormattedCitation":"(Rosseel, 2012)"},"properties":{"noteIndex":0},"schema":"https://github.com/citation-style-language/schema/raw/master/csl-citation.json"}</w:instrText>
      </w:r>
      <w:r w:rsidR="00280895">
        <w:fldChar w:fldCharType="separate"/>
      </w:r>
      <w:r w:rsidR="00280895" w:rsidRPr="00740640">
        <w:rPr>
          <w:noProof/>
        </w:rPr>
        <w:t xml:space="preserve">Rosseel </w:t>
      </w:r>
      <w:r w:rsidR="00280895">
        <w:rPr>
          <w:noProof/>
        </w:rPr>
        <w:t>(</w:t>
      </w:r>
      <w:r w:rsidR="00280895" w:rsidRPr="00740640">
        <w:rPr>
          <w:noProof/>
        </w:rPr>
        <w:t>2012)</w:t>
      </w:r>
      <w:r w:rsidR="00280895">
        <w:fldChar w:fldCharType="end"/>
      </w:r>
      <w:r>
        <w:t xml:space="preserve"> para realizar</w:t>
      </w:r>
      <w:r w:rsidR="00280895">
        <w:t xml:space="preserve"> e</w:t>
      </w:r>
      <w:r w:rsidR="00740640">
        <w:t xml:space="preserve">l análisis factorial confirmatorio y </w:t>
      </w:r>
      <w:r>
        <w:t xml:space="preserve">para la comprobación de </w:t>
      </w:r>
      <w:r w:rsidR="00740640">
        <w:t xml:space="preserve">la invarianza factorial. </w:t>
      </w:r>
      <w:r w:rsidR="00F01C4B">
        <w:t xml:space="preserve">Los tests de </w:t>
      </w:r>
      <w:r w:rsidR="00F01C4B">
        <w:fldChar w:fldCharType="begin" w:fldLock="1"/>
      </w:r>
      <w:r w:rsidR="00FE7441">
        <w:instrText>ADDIN CSL_CITATION {"citationItems":[{"id":"ITEM-1","itemData":{"DOI":"10.1214/aoms/1177730491","ISSN":"0003-4851","author":[{"dropping-particle":"","family":"Mann","given":"H. B.","non-dropping-particle":"","parse-names":false,"suffix":""},{"dropping-particle":"","family":"Whitney","given":"D. R.","non-dropping-particle":"","parse-names":false,"suffix":""}],"container-title":"The Annals of Mathematical Statistics","id":"ITEM-1","issue":"1","issued":{"date-parts":[["1947","3"]]},"page":"50-60","title":"On a Test of Whether one of Two Random Variables is Stochastically Larger than the Other","type":"article-journal","volume":"18"},"uris":["http://www.mendeley.com/documents/?uuid=c8f2d45f-2561-4e00-96c6-2e6b66c6ba3d"]}],"mendeley":{"formattedCitation":"(Mann &amp; Whitney, 1947)","manualFormatting":"Mann y Whitney (1947)","plainTextFormattedCitation":"(Mann &amp; Whitney, 1947)","previouslyFormattedCitation":"(Mann &amp; Whitney, 1947)"},"properties":{"noteIndex":0},"schema":"https://github.com/citation-style-language/schema/raw/master/csl-citation.json"}</w:instrText>
      </w:r>
      <w:r w:rsidR="00F01C4B">
        <w:fldChar w:fldCharType="separate"/>
      </w:r>
      <w:r w:rsidR="00F01C4B" w:rsidRPr="00F01C4B">
        <w:rPr>
          <w:noProof/>
        </w:rPr>
        <w:t xml:space="preserve">Mann </w:t>
      </w:r>
      <w:r w:rsidR="00F01C4B">
        <w:rPr>
          <w:noProof/>
        </w:rPr>
        <w:t>y</w:t>
      </w:r>
      <w:r w:rsidR="00F01C4B" w:rsidRPr="00F01C4B">
        <w:rPr>
          <w:noProof/>
        </w:rPr>
        <w:t xml:space="preserve"> Whitney </w:t>
      </w:r>
      <w:r w:rsidR="00F01C4B">
        <w:rPr>
          <w:noProof/>
        </w:rPr>
        <w:t>(</w:t>
      </w:r>
      <w:r w:rsidR="00F01C4B" w:rsidRPr="00F01C4B">
        <w:rPr>
          <w:noProof/>
        </w:rPr>
        <w:t>1947)</w:t>
      </w:r>
      <w:r w:rsidR="00F01C4B">
        <w:fldChar w:fldCharType="end"/>
      </w:r>
      <w:r w:rsidR="00F01C4B">
        <w:t xml:space="preserve"> se llevaron a cabo con </w:t>
      </w:r>
      <w:r w:rsidR="00F01C4B" w:rsidRPr="00FE7441">
        <w:rPr>
          <w:i/>
          <w:iCs/>
          <w:noProof/>
        </w:rPr>
        <w:t>rstatix</w:t>
      </w:r>
      <w:r w:rsidR="00F01C4B">
        <w:t xml:space="preserve"> de </w:t>
      </w:r>
      <w:r w:rsidR="00FE7441">
        <w:fldChar w:fldCharType="begin" w:fldLock="1"/>
      </w:r>
      <w:r w:rsidR="00BF2FFC">
        <w:instrText>ADDIN CSL_CITATION {"citationItems":[{"id":"ITEM-1","itemData":{"author":[{"dropping-particle":"","family":"Kassambara","given":"Alboukadel","non-dropping-particle":"","parse-names":false,"suffix":""}],"id":"ITEM-1","issued":{"date-parts":[["2020"]]},"title":"rstatix: pipe-friendly framework for basic statistical tests. R package version 0.6. 0","type":"article"},"uris":["http://www.mendeley.com/documents/?uuid=5069effa-a74b-4b61-9b8f-e510aa851f59"]}],"mendeley":{"formattedCitation":"(Kassambara, 2020)","manualFormatting":"Kassambara (2020)","plainTextFormattedCitation":"(Kassambara, 2020)","previouslyFormattedCitation":"(Kassambara, 2020)"},"properties":{"noteIndex":0},"schema":"https://github.com/citation-style-language/schema/raw/master/csl-citation.json"}</w:instrText>
      </w:r>
      <w:r w:rsidR="00FE7441">
        <w:fldChar w:fldCharType="separate"/>
      </w:r>
      <w:r w:rsidR="00FE7441" w:rsidRPr="00FE7441">
        <w:rPr>
          <w:noProof/>
        </w:rPr>
        <w:t xml:space="preserve">Kassambara </w:t>
      </w:r>
      <w:r w:rsidR="00FE7441">
        <w:rPr>
          <w:noProof/>
        </w:rPr>
        <w:t>(</w:t>
      </w:r>
      <w:r w:rsidR="00FE7441" w:rsidRPr="00FE7441">
        <w:rPr>
          <w:noProof/>
        </w:rPr>
        <w:t>2020)</w:t>
      </w:r>
      <w:r w:rsidR="00FE7441">
        <w:fldChar w:fldCharType="end"/>
      </w:r>
      <w:r w:rsidR="00F01C4B">
        <w:t xml:space="preserve">. </w:t>
      </w:r>
      <w:r>
        <w:t>Estos</w:t>
      </w:r>
      <w:r w:rsidR="00B62E6C">
        <w:t xml:space="preserve"> paquetes </w:t>
      </w:r>
      <w:r>
        <w:t>consisten en extensiones del</w:t>
      </w:r>
      <w:r w:rsidR="00B62E6C">
        <w:t xml:space="preserve"> software R de </w:t>
      </w:r>
      <w:r w:rsidR="00B62E6C">
        <w:fldChar w:fldCharType="begin" w:fldLock="1"/>
      </w:r>
      <w:r w:rsidR="00810D58">
        <w:instrText>ADDIN CSL_CITATION {"citationItems":[{"id":"ITEM-1","itemData":{"author":[{"dropping-particle":"","family":"Core Team","given":"","non-dropping-particle":"","parse-names":false,"suffix":""}],"id":"ITEM-1","issued":{"date-parts":[["2020"]]},"publisher":"Vienna, Austria","title":"R: A language and environment for statistical computing","type":"report"},"uris":["http://www.mendeley.com/documents/?uuid=41d9fffd-fe12-42d4-86d7-0108594e9d2d"]}],"mendeley":{"formattedCitation":"(Core Team, 2020)","manualFormatting":"Core Team (2020)","plainTextFormattedCitation":"(Core Team, 2020)","previouslyFormattedCitation":"(Core Team, 2020)"},"properties":{"noteIndex":0},"schema":"https://github.com/citation-style-language/schema/raw/master/csl-citation.json"}</w:instrText>
      </w:r>
      <w:r w:rsidR="00B62E6C">
        <w:fldChar w:fldCharType="separate"/>
      </w:r>
      <w:r w:rsidR="00B62E6C" w:rsidRPr="00B62E6C">
        <w:rPr>
          <w:noProof/>
        </w:rPr>
        <w:t xml:space="preserve">Core Team </w:t>
      </w:r>
      <w:r w:rsidR="00810D58">
        <w:rPr>
          <w:noProof/>
        </w:rPr>
        <w:t>(</w:t>
      </w:r>
      <w:r w:rsidR="00B62E6C" w:rsidRPr="00B62E6C">
        <w:rPr>
          <w:noProof/>
        </w:rPr>
        <w:t>2020)</w:t>
      </w:r>
      <w:r w:rsidR="00B62E6C">
        <w:fldChar w:fldCharType="end"/>
      </w:r>
      <w:r w:rsidR="00B62E6C">
        <w:t xml:space="preserve"> y, </w:t>
      </w:r>
      <w:r>
        <w:t>con el fin de realizar todos los cálculos mencionados</w:t>
      </w:r>
      <w:r w:rsidR="00740640">
        <w:t xml:space="preserve">, se utilizó el valor de probabilidad </w:t>
      </w:r>
      <w:r w:rsidR="00740640" w:rsidRPr="00740640">
        <w:rPr>
          <w:i/>
          <w:iCs/>
        </w:rPr>
        <w:t>p</w:t>
      </w:r>
      <w:r w:rsidR="00740640">
        <w:t xml:space="preserve"> </w:t>
      </w:r>
      <w:r w:rsidR="000E63F8">
        <w:t>≤</w:t>
      </w:r>
      <w:r w:rsidR="00740640">
        <w:t xml:space="preserve"> .05.</w:t>
      </w:r>
    </w:p>
    <w:p w14:paraId="408BB749" w14:textId="7DE8115A" w:rsidR="009A2149" w:rsidRPr="00AE36FB" w:rsidRDefault="009A2149" w:rsidP="00175041">
      <w:pPr>
        <w:pStyle w:val="Ttulo2"/>
      </w:pPr>
      <w:r w:rsidRPr="00AE36FB">
        <w:t>Resultados</w:t>
      </w:r>
    </w:p>
    <w:p w14:paraId="4B032FC7" w14:textId="16725F23" w:rsidR="009A2149" w:rsidRDefault="009A2149" w:rsidP="00175041">
      <w:pPr>
        <w:pStyle w:val="Ttulo3"/>
      </w:pPr>
      <w:r w:rsidRPr="00AE36FB">
        <w:t>Valores atípicos y normalidad multivariante</w:t>
      </w:r>
    </w:p>
    <w:p w14:paraId="3CB8830E" w14:textId="180FADCF" w:rsidR="002E164F" w:rsidRPr="002E164F" w:rsidRDefault="0001432E" w:rsidP="00226409">
      <w:pPr>
        <w:rPr>
          <w:lang w:eastAsia="en-US"/>
        </w:rPr>
      </w:pPr>
      <w:r>
        <w:rPr>
          <w:lang w:eastAsia="en-US"/>
        </w:rPr>
        <w:t xml:space="preserve">Se </w:t>
      </w:r>
      <w:r w:rsidR="007234B3">
        <w:rPr>
          <w:lang w:eastAsia="en-US"/>
        </w:rPr>
        <w:t>detecta</w:t>
      </w:r>
      <w:r>
        <w:rPr>
          <w:lang w:eastAsia="en-US"/>
        </w:rPr>
        <w:t>ron</w:t>
      </w:r>
      <w:r w:rsidR="00DD0AEE">
        <w:rPr>
          <w:lang w:eastAsia="en-US"/>
        </w:rPr>
        <w:t xml:space="preserve"> </w:t>
      </w:r>
      <w:r>
        <w:rPr>
          <w:lang w:eastAsia="en-US"/>
        </w:rPr>
        <w:t>8</w:t>
      </w:r>
      <w:r w:rsidR="00CA7848">
        <w:rPr>
          <w:lang w:eastAsia="en-US"/>
        </w:rPr>
        <w:t>3</w:t>
      </w:r>
      <w:r w:rsidR="00DD0AEE">
        <w:rPr>
          <w:lang w:eastAsia="en-US"/>
        </w:rPr>
        <w:t xml:space="preserve"> valores atípicos</w:t>
      </w:r>
      <w:r>
        <w:rPr>
          <w:lang w:eastAsia="en-US"/>
        </w:rPr>
        <w:t xml:space="preserve"> severos que fueron excluidos de la muestra</w:t>
      </w:r>
      <w:r w:rsidR="00EC4F07">
        <w:rPr>
          <w:lang w:eastAsia="en-US"/>
        </w:rPr>
        <w:t xml:space="preserve">, por lo que </w:t>
      </w:r>
      <w:r>
        <w:rPr>
          <w:lang w:eastAsia="en-US"/>
        </w:rPr>
        <w:t>ésta quedó</w:t>
      </w:r>
      <w:r w:rsidR="00DD0AEE">
        <w:rPr>
          <w:lang w:eastAsia="en-US"/>
        </w:rPr>
        <w:t xml:space="preserve"> en </w:t>
      </w:r>
      <w:r>
        <w:rPr>
          <w:lang w:eastAsia="en-US"/>
        </w:rPr>
        <w:t>27</w:t>
      </w:r>
      <w:r w:rsidR="004E20FA">
        <w:rPr>
          <w:lang w:eastAsia="en-US"/>
        </w:rPr>
        <w:t>8</w:t>
      </w:r>
      <w:r w:rsidR="00DD0AEE">
        <w:rPr>
          <w:lang w:eastAsia="en-US"/>
        </w:rPr>
        <w:t xml:space="preserve"> </w:t>
      </w:r>
      <w:r w:rsidR="00B94BC9">
        <w:rPr>
          <w:lang w:eastAsia="en-US"/>
        </w:rPr>
        <w:t>participantes</w:t>
      </w:r>
      <w:r w:rsidR="00DD0AEE">
        <w:rPr>
          <w:lang w:eastAsia="en-US"/>
        </w:rPr>
        <w:t xml:space="preserve"> (1</w:t>
      </w:r>
      <w:r>
        <w:rPr>
          <w:lang w:eastAsia="en-US"/>
        </w:rPr>
        <w:t>50</w:t>
      </w:r>
      <w:r w:rsidR="00DD0AEE">
        <w:rPr>
          <w:lang w:eastAsia="en-US"/>
        </w:rPr>
        <w:t xml:space="preserve"> del género femenino)</w:t>
      </w:r>
      <w:r>
        <w:rPr>
          <w:lang w:eastAsia="en-US"/>
        </w:rPr>
        <w:t>. E</w:t>
      </w:r>
      <w:r w:rsidR="00CA7848">
        <w:rPr>
          <w:lang w:eastAsia="en-US"/>
        </w:rPr>
        <w:t>l t</w:t>
      </w:r>
      <w:r w:rsidR="009136A9">
        <w:rPr>
          <w:lang w:eastAsia="en-US"/>
        </w:rPr>
        <w:t xml:space="preserve">est de </w:t>
      </w:r>
      <w:r w:rsidR="009136A9">
        <w:rPr>
          <w:lang w:eastAsia="en-US"/>
        </w:rPr>
        <w:fldChar w:fldCharType="begin" w:fldLock="1"/>
      </w:r>
      <w:r w:rsidR="00C56481">
        <w:rPr>
          <w:lang w:eastAsia="en-US"/>
        </w:rPr>
        <w:instrText>ADDIN CSL_CITATION {"citationItems":[{"id":"ITEM-1","itemData":{"DOI":"10.1093/biomet/57.3.519","ISSN":"0006-3444","author":[{"dropping-particle":"V.","family":"Mardia","given":"Kanti","non-dropping-particle":"","parse-names":false,"suffix":""}],"container-title":"Biometrika","id":"ITEM-1","issue":"3","issued":{"date-parts":[["1970"]]},"page":"519-530","publisher":"Oxford University Press","title":"Measures of multivariate skewness and kurtosis with applications","type":"article-journal","volume":"57"},"uris":["http://www.mendeley.com/documents/?uuid=65523a21-f279-4799-93f9-e300f8108acf"]}],"mendeley":{"formattedCitation":"(Mardia, 1970)","manualFormatting":"Mardia (1970)","plainTextFormattedCitation":"(Mardia, 1970)","previouslyFormattedCitation":"(Mardia, 1970)"},"properties":{"noteIndex":0},"schema":"https://github.com/citation-style-language/schema/raw/master/csl-citation.json"}</w:instrText>
      </w:r>
      <w:r w:rsidR="009136A9">
        <w:rPr>
          <w:lang w:eastAsia="en-US"/>
        </w:rPr>
        <w:fldChar w:fldCharType="separate"/>
      </w:r>
      <w:r w:rsidR="009136A9" w:rsidRPr="009136A9">
        <w:rPr>
          <w:noProof/>
          <w:lang w:eastAsia="en-US"/>
        </w:rPr>
        <w:t xml:space="preserve">Mardia </w:t>
      </w:r>
      <w:r w:rsidR="009136A9">
        <w:rPr>
          <w:noProof/>
          <w:lang w:eastAsia="en-US"/>
        </w:rPr>
        <w:t>(</w:t>
      </w:r>
      <w:r w:rsidR="009136A9" w:rsidRPr="009136A9">
        <w:rPr>
          <w:noProof/>
          <w:lang w:eastAsia="en-US"/>
        </w:rPr>
        <w:t>1970)</w:t>
      </w:r>
      <w:r w:rsidR="009136A9">
        <w:rPr>
          <w:lang w:eastAsia="en-US"/>
        </w:rPr>
        <w:fldChar w:fldCharType="end"/>
      </w:r>
      <w:r>
        <w:rPr>
          <w:lang w:eastAsia="en-US"/>
        </w:rPr>
        <w:t xml:space="preserve"> evidenció </w:t>
      </w:r>
      <w:r w:rsidR="009136A9">
        <w:rPr>
          <w:lang w:eastAsia="en-US"/>
        </w:rPr>
        <w:t>que los ítems no representaban una normalidad multivariante</w:t>
      </w:r>
      <w:r>
        <w:rPr>
          <w:lang w:eastAsia="en-US"/>
        </w:rPr>
        <w:t xml:space="preserve"> (curtosis= </w:t>
      </w:r>
      <w:r w:rsidR="00AC3F41">
        <w:rPr>
          <w:lang w:eastAsia="en-US"/>
        </w:rPr>
        <w:t xml:space="preserve">46,22 </w:t>
      </w:r>
      <w:r>
        <w:rPr>
          <w:lang w:eastAsia="en-US"/>
        </w:rPr>
        <w:t xml:space="preserve">, </w:t>
      </w:r>
      <w:r w:rsidRPr="0001432E">
        <w:rPr>
          <w:i/>
          <w:iCs/>
          <w:lang w:eastAsia="en-US"/>
        </w:rPr>
        <w:t>p</w:t>
      </w:r>
      <w:r>
        <w:rPr>
          <w:lang w:eastAsia="en-US"/>
        </w:rPr>
        <w:t xml:space="preserve"> &lt; 0,001)</w:t>
      </w:r>
      <w:r w:rsidR="009136A9">
        <w:rPr>
          <w:lang w:eastAsia="en-US"/>
        </w:rPr>
        <w:t xml:space="preserve">. </w:t>
      </w:r>
    </w:p>
    <w:p w14:paraId="42D19F9B" w14:textId="257C58DA" w:rsidR="00AC3F41" w:rsidRDefault="00A54FA7" w:rsidP="00AC3F41">
      <w:pPr>
        <w:pStyle w:val="Ttulo3"/>
      </w:pPr>
      <w:r>
        <w:t>Análisis Factorial Exploratorio</w:t>
      </w:r>
    </w:p>
    <w:p w14:paraId="063A86C3" w14:textId="10D51500" w:rsidR="00B052BB" w:rsidRDefault="003F781A" w:rsidP="006E48A1">
      <w:pPr>
        <w:rPr>
          <w:lang w:eastAsia="en-US"/>
        </w:rPr>
      </w:pPr>
      <w:r>
        <w:rPr>
          <w:lang w:eastAsia="en-US"/>
        </w:rPr>
        <w:t xml:space="preserve">Teniendo en cuenta que los 45 ítems iniciales incumplían con el supuesto de normalidad multivariante, se efectuó </w:t>
      </w:r>
      <w:r w:rsidR="00171BBE">
        <w:rPr>
          <w:lang w:eastAsia="en-US"/>
        </w:rPr>
        <w:t>el</w:t>
      </w:r>
      <w:r>
        <w:rPr>
          <w:lang w:eastAsia="en-US"/>
        </w:rPr>
        <w:t xml:space="preserve"> EFA con el método de los ejes principales, siguiendo así las sugerencias de </w:t>
      </w:r>
      <w:r>
        <w:rPr>
          <w:lang w:eastAsia="en-US"/>
        </w:rPr>
        <w:fldChar w:fldCharType="begin" w:fldLock="1"/>
      </w:r>
      <w:r w:rsidR="00574043">
        <w:rPr>
          <w:lang w:eastAsia="en-US"/>
        </w:rPr>
        <w:instrText>ADDIN CSL_CITATION {"citationItems":[{"id":"ITEM-1","itemData":{"DOI":"10.1037/1082-989X.4.3.272","ISSN":"1939-1463","author":[{"dropping-particle":"","family":"Fabrigar","given":"Leandre R.","non-dropping-particle":"","parse-names":false,"suffix":""},{"dropping-particle":"","family":"Wegener","given":"Duane T.","non-dropping-particle":"","parse-names":false,"suffix":""},{"dropping-particle":"","family":"MacCallum","given":"Robert C.","non-dropping-particle":"","parse-names":false,"suffix":""},{"dropping-particle":"","family":"Strahan","given":"Erin J.","non-dropping-particle":"","parse-names":false,"suffix":""}],"container-title":"Psychological Methods","id":"ITEM-1","issue":"3","issued":{"date-parts":[["1999","9"]]},"page":"272-299","title":"Evaluating the use of exploratory factor analysis in psychological research.","type":"article-journal","volume":"4"},"uris":["http://www.mendeley.com/documents/?uuid=85d5ab2b-7d11-4c20-9d91-f8efcaa2358d"]}],"mendeley":{"formattedCitation":"(Fabrigar, Wegener, MacCallum, &amp; Strahan, 1999)","manualFormatting":"Fabrigar et al. (1999)","plainTextFormattedCitation":"(Fabrigar, Wegener, MacCallum, &amp; Strahan, 1999)","previouslyFormattedCitation":"(Fabrigar, Wegener, MacCallum, &amp; Strahan, 1999)"},"properties":{"noteIndex":0},"schema":"https://github.com/citation-style-language/schema/raw/master/csl-citation.json"}</w:instrText>
      </w:r>
      <w:r>
        <w:rPr>
          <w:lang w:eastAsia="en-US"/>
        </w:rPr>
        <w:fldChar w:fldCharType="separate"/>
      </w:r>
      <w:r w:rsidRPr="00C56481">
        <w:rPr>
          <w:noProof/>
          <w:lang w:eastAsia="en-US"/>
        </w:rPr>
        <w:t xml:space="preserve">Fabrigar et al. </w:t>
      </w:r>
      <w:r>
        <w:rPr>
          <w:noProof/>
          <w:lang w:eastAsia="en-US"/>
        </w:rPr>
        <w:t>(</w:t>
      </w:r>
      <w:r w:rsidRPr="00C56481">
        <w:rPr>
          <w:noProof/>
          <w:lang w:eastAsia="en-US"/>
        </w:rPr>
        <w:t>1999)</w:t>
      </w:r>
      <w:r>
        <w:rPr>
          <w:lang w:eastAsia="en-US"/>
        </w:rPr>
        <w:fldChar w:fldCharType="end"/>
      </w:r>
      <w:r>
        <w:rPr>
          <w:lang w:eastAsia="en-US"/>
        </w:rPr>
        <w:t xml:space="preserve">. De acuerdo a las indicaciones de </w:t>
      </w:r>
      <w:r>
        <w:rPr>
          <w:lang w:eastAsia="en-US"/>
        </w:rPr>
        <w:fldChar w:fldCharType="begin" w:fldLock="1"/>
      </w:r>
      <w:r>
        <w:rPr>
          <w:lang w:eastAsia="en-US"/>
        </w:rPr>
        <w:instrText>ADDIN CSL_CITATION {"citationItems":[{"id":"ITEM-1","itemData":{"DOI":"10.7275/jyj1-4868","ISSN":"1531-7714","author":[{"dropping-particle":"","family":"Costello","given":"Anna","non-dropping-particle":"","parse-names":false,"suffix":""},{"dropping-particle":"","family":"Osborne","given":"Jason","non-dropping-particle":"","parse-names":false,"suffix":""}],"container-title":"Practical assessment, research, and evaluation","id":"ITEM-1","issue":"7","issued":{"date-parts":[["2005"]]},"page":"1-9","title":"Best practices in exploratory factor analysis: Four recommendations for getting the most from your analysis","type":"article-journal","volume":"10"},"uris":["http://www.mendeley.com/documents/?uuid=7c168521-a1c3-41f2-a41d-02f3eda75228"]}],"mendeley":{"formattedCitation":"(Costello &amp; Osborne, 2005)","manualFormatting":"Costello y Osborne (2005)","plainTextFormattedCitation":"(Costello &amp; Osborne, 2005)","previouslyFormattedCitation":"(Costello &amp; Osborne, 2005)"},"properties":{"noteIndex":0},"schema":"https://github.com/citation-style-language/schema/raw/master/csl-citation.json"}</w:instrText>
      </w:r>
      <w:r>
        <w:rPr>
          <w:lang w:eastAsia="en-US"/>
        </w:rPr>
        <w:fldChar w:fldCharType="separate"/>
      </w:r>
      <w:r w:rsidRPr="00C56481">
        <w:rPr>
          <w:noProof/>
          <w:lang w:eastAsia="en-US"/>
        </w:rPr>
        <w:t xml:space="preserve">Costello </w:t>
      </w:r>
      <w:r>
        <w:rPr>
          <w:noProof/>
          <w:lang w:eastAsia="en-US"/>
        </w:rPr>
        <w:t>y</w:t>
      </w:r>
      <w:r w:rsidRPr="00C56481">
        <w:rPr>
          <w:noProof/>
          <w:lang w:eastAsia="en-US"/>
        </w:rPr>
        <w:t xml:space="preserve"> Osborne </w:t>
      </w:r>
      <w:r>
        <w:rPr>
          <w:noProof/>
          <w:lang w:eastAsia="en-US"/>
        </w:rPr>
        <w:t>(</w:t>
      </w:r>
      <w:r w:rsidRPr="00C56481">
        <w:rPr>
          <w:noProof/>
          <w:lang w:eastAsia="en-US"/>
        </w:rPr>
        <w:t>2005)</w:t>
      </w:r>
      <w:r>
        <w:rPr>
          <w:lang w:eastAsia="en-US"/>
        </w:rPr>
        <w:fldChar w:fldCharType="end"/>
      </w:r>
      <w:r>
        <w:rPr>
          <w:lang w:eastAsia="en-US"/>
        </w:rPr>
        <w:t xml:space="preserve">, se utilizó un análisis paralelo con método de rotación Oblimin. La evaluación del </w:t>
      </w:r>
      <w:r w:rsidRPr="002A7E8F">
        <w:rPr>
          <w:i/>
          <w:iCs/>
          <w:lang w:eastAsia="en-US"/>
        </w:rPr>
        <w:t>Scree Plot</w:t>
      </w:r>
      <w:r>
        <w:rPr>
          <w:lang w:eastAsia="en-US"/>
        </w:rPr>
        <w:t xml:space="preserve"> relacionado al EFA inicial justificó la extracción de seis factores, lo cual no estaba en </w:t>
      </w:r>
      <w:r>
        <w:rPr>
          <w:lang w:eastAsia="en-US"/>
        </w:rPr>
        <w:lastRenderedPageBreak/>
        <w:t xml:space="preserve">consonancia con </w:t>
      </w:r>
      <w:r w:rsidR="00574043">
        <w:rPr>
          <w:lang w:eastAsia="en-US"/>
        </w:rPr>
        <w:fldChar w:fldCharType="begin" w:fldLock="1"/>
      </w:r>
      <w:r w:rsidR="00A546FC">
        <w:rPr>
          <w:lang w:eastAsia="en-US"/>
        </w:rPr>
        <w:instrText>ADDIN CSL_CITATION {"citationItems":[{"id":"ITEM-1","itemData":{"ISSN":"0214-9915","author":[{"dropping-particle":"","family":"Sandín","given":"Bonifacio","non-dropping-particle":"","parse-names":false,"suffix":""},{"dropping-particle":"","family":"Valiente","given":"Rosa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-1","issue":"2","issued":{"date-parts":[["2008"]]},"page":"290-296","publisher":"Colegio Oficial De Psicologos Del Principado De Asturias","title":"SA-45: forma abreviada del SCL-90","type":"article-journal","volume":"20"},"uris":["http://www.mendeley.com/documents/?uuid=c4b23ce2-96a3-34d1-8b39-2dc936d82379"]}],"mendeley":{"formattedCitation":"(Sandín et al., 2008)","manualFormatting":"Sandín et al. (2008)","plainTextFormattedCitation":"(Sandín et al., 2008)","previouslyFormattedCitation":"(Sandín et al., 2008)"},"properties":{"noteIndex":0},"schema":"https://github.com/citation-style-language/schema/raw/master/csl-citation.json"}</w:instrText>
      </w:r>
      <w:r w:rsidR="00574043">
        <w:rPr>
          <w:lang w:eastAsia="en-US"/>
        </w:rPr>
        <w:fldChar w:fldCharType="separate"/>
      </w:r>
      <w:r w:rsidR="00574043" w:rsidRPr="00574043">
        <w:rPr>
          <w:noProof/>
          <w:lang w:eastAsia="en-US"/>
        </w:rPr>
        <w:t xml:space="preserve">Sandín et al. </w:t>
      </w:r>
      <w:r w:rsidR="00574043">
        <w:rPr>
          <w:noProof/>
          <w:lang w:eastAsia="en-US"/>
        </w:rPr>
        <w:t>(</w:t>
      </w:r>
      <w:r w:rsidR="00574043" w:rsidRPr="00574043">
        <w:rPr>
          <w:noProof/>
          <w:lang w:eastAsia="en-US"/>
        </w:rPr>
        <w:t>2008)</w:t>
      </w:r>
      <w:r w:rsidR="00574043">
        <w:rPr>
          <w:lang w:eastAsia="en-US"/>
        </w:rPr>
        <w:fldChar w:fldCharType="end"/>
      </w:r>
      <w:r w:rsidR="00574043">
        <w:rPr>
          <w:lang w:eastAsia="en-US"/>
        </w:rPr>
        <w:t>, ya que proponen la utilización de nueve dimensiones. Con el fin de contrastar</w:t>
      </w:r>
      <w:r>
        <w:rPr>
          <w:lang w:eastAsia="en-US"/>
        </w:rPr>
        <w:t xml:space="preserve"> </w:t>
      </w:r>
      <w:r w:rsidR="00B60F58">
        <w:rPr>
          <w:lang w:eastAsia="en-US"/>
        </w:rPr>
        <w:t>ambas estructuras factoriales</w:t>
      </w:r>
      <w:r w:rsidR="00574043">
        <w:rPr>
          <w:lang w:eastAsia="en-US"/>
        </w:rPr>
        <w:t xml:space="preserve">, se realizó otro EFA forzando la asignación de ítems </w:t>
      </w:r>
      <w:r w:rsidR="002A54E6">
        <w:rPr>
          <w:lang w:eastAsia="en-US"/>
        </w:rPr>
        <w:t>a un total de</w:t>
      </w:r>
      <w:r w:rsidR="00574043">
        <w:rPr>
          <w:lang w:eastAsia="en-US"/>
        </w:rPr>
        <w:t xml:space="preserve"> nueve factores. </w:t>
      </w:r>
      <w:r w:rsidR="002A54E6">
        <w:rPr>
          <w:lang w:eastAsia="en-US"/>
        </w:rPr>
        <w:t xml:space="preserve">Al realizar este análisis, se comprobó </w:t>
      </w:r>
      <w:r w:rsidR="00922967">
        <w:rPr>
          <w:lang w:eastAsia="en-US"/>
        </w:rPr>
        <w:t xml:space="preserve">que uno de los nueve factores </w:t>
      </w:r>
      <w:r w:rsidR="00B052BB">
        <w:rPr>
          <w:lang w:eastAsia="en-US"/>
        </w:rPr>
        <w:t>hubiera comprendido</w:t>
      </w:r>
      <w:r w:rsidR="00922967">
        <w:rPr>
          <w:lang w:eastAsia="en-US"/>
        </w:rPr>
        <w:t xml:space="preserve"> un solo ítem</w:t>
      </w:r>
      <w:r w:rsidR="002A54E6">
        <w:rPr>
          <w:lang w:eastAsia="en-US"/>
        </w:rPr>
        <w:t>, lo cual no estaba en sintonía con la teoría para la construcción de escalas</w:t>
      </w:r>
      <w:r w:rsidR="00A546FC">
        <w:rPr>
          <w:lang w:eastAsia="en-US"/>
        </w:rPr>
        <w:t xml:space="preserve"> </w:t>
      </w:r>
      <w:r w:rsidR="00A546FC">
        <w:rPr>
          <w:lang w:eastAsia="en-US"/>
        </w:rPr>
        <w:fldChar w:fldCharType="begin" w:fldLock="1"/>
      </w:r>
      <w:r w:rsidR="00990BD6">
        <w:rPr>
          <w:lang w:eastAsia="en-US"/>
        </w:rPr>
        <w:instrText>ADDIN CSL_CITATION {"citationItems":[{"id":"ITEM-1","itemData":{"author":[{"dropping-particle":"","family":"Hair","given":"Joseph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E","non-dropping-particle":"","parse-names":false,"suffix":""}],"edition":"7","id":"ITEM-1","issued":{"date-parts":[["2010"]]},"publisher":"Prentice Hall","publisher-place":"New York","title":"Multivariate data analysis","type":"book"},"uris":["http://www.mendeley.com/documents/?uuid=35e40205-0831-4fde-a276-1650cab2e6cd"]}],"mendeley":{"formattedCitation":"(Hair, Black, Babin, &amp; Anderson, 2010)","plainTextFormattedCitation":"(Hair, Black, Babin, &amp; Anderson, 2010)","previouslyFormattedCitation":"(Hair, Black, Babin, &amp; Anderson, 2010)"},"properties":{"noteIndex":0},"schema":"https://github.com/citation-style-language/schema/raw/master/csl-citation.json"}</w:instrText>
      </w:r>
      <w:r w:rsidR="00A546FC">
        <w:rPr>
          <w:lang w:eastAsia="en-US"/>
        </w:rPr>
        <w:fldChar w:fldCharType="separate"/>
      </w:r>
      <w:r w:rsidR="00A546FC" w:rsidRPr="00A546FC">
        <w:rPr>
          <w:noProof/>
          <w:lang w:eastAsia="en-US"/>
        </w:rPr>
        <w:t>(Hair, Black, Babin, &amp; Anderson, 2010)</w:t>
      </w:r>
      <w:r w:rsidR="00A546FC">
        <w:rPr>
          <w:lang w:eastAsia="en-US"/>
        </w:rPr>
        <w:fldChar w:fldCharType="end"/>
      </w:r>
      <w:r w:rsidR="00A546FC">
        <w:rPr>
          <w:lang w:eastAsia="en-US"/>
        </w:rPr>
        <w:t>.</w:t>
      </w:r>
      <w:r w:rsidR="00DE20C1">
        <w:rPr>
          <w:lang w:eastAsia="en-US"/>
        </w:rPr>
        <w:t xml:space="preserve"> A continuación, se llevó a cabo el mismo análisis con </w:t>
      </w:r>
      <w:r w:rsidR="006E48A1">
        <w:rPr>
          <w:lang w:eastAsia="en-US"/>
        </w:rPr>
        <w:t>ocho</w:t>
      </w:r>
      <w:r w:rsidR="00205ACD">
        <w:rPr>
          <w:lang w:eastAsia="en-US"/>
        </w:rPr>
        <w:t xml:space="preserve"> dimensiones</w:t>
      </w:r>
      <w:r w:rsidR="00DE20C1">
        <w:rPr>
          <w:lang w:eastAsia="en-US"/>
        </w:rPr>
        <w:t>, pero</w:t>
      </w:r>
      <w:r w:rsidR="00205ACD">
        <w:rPr>
          <w:lang w:eastAsia="en-US"/>
        </w:rPr>
        <w:t xml:space="preserve"> </w:t>
      </w:r>
      <w:r w:rsidR="00B052BB">
        <w:rPr>
          <w:lang w:eastAsia="en-US"/>
        </w:rPr>
        <w:t xml:space="preserve">todas las cargas factoriales correspondientes a uno de </w:t>
      </w:r>
      <w:r w:rsidR="00205ACD">
        <w:rPr>
          <w:lang w:eastAsia="en-US"/>
        </w:rPr>
        <w:t>sus</w:t>
      </w:r>
      <w:r w:rsidR="00B052BB">
        <w:rPr>
          <w:lang w:eastAsia="en-US"/>
        </w:rPr>
        <w:t xml:space="preserve"> factores incumplían con el criterio de ≥ 0,50 </w:t>
      </w:r>
      <w:r w:rsidR="00B052BB">
        <w:rPr>
          <w:lang w:eastAsia="en-US"/>
        </w:rPr>
        <w:fldChar w:fldCharType="begin" w:fldLock="1"/>
      </w:r>
      <w:r w:rsidR="00990BD6">
        <w:rPr>
          <w:lang w:eastAsia="en-US"/>
        </w:rPr>
        <w:instrText>ADDIN CSL_CITATION {"citationItems":[{"id":"ITEM-1","itemData":{"author":[{"dropping-particle":"","family":"Hair","given":"Joseph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E","non-dropping-particle":"","parse-names":false,"suffix":""}],"edition":"7","id":"ITEM-1","issued":{"date-parts":[["2010"]]},"publisher":"Prentice Hall","publisher-place":"New York","title":"Multivariate data analysis","type":"book"},"uris":["http://www.mendeley.com/documents/?uuid=35e40205-0831-4fde-a276-1650cab2e6cd"]}],"mendeley":{"formattedCitation":"(Hair et al., 2010)","plainTextFormattedCitation":"(Hair et al., 2010)","previouslyFormattedCitation":"(Hair et al., 2010)"},"properties":{"noteIndex":0},"schema":"https://github.com/citation-style-language/schema/raw/master/csl-citation.json"}</w:instrText>
      </w:r>
      <w:r w:rsidR="00B052BB">
        <w:rPr>
          <w:lang w:eastAsia="en-US"/>
        </w:rPr>
        <w:fldChar w:fldCharType="separate"/>
      </w:r>
      <w:r w:rsidR="00B052BB" w:rsidRPr="00DE20C1">
        <w:rPr>
          <w:noProof/>
          <w:lang w:eastAsia="en-US"/>
        </w:rPr>
        <w:t>(Hair et al., 2010)</w:t>
      </w:r>
      <w:r w:rsidR="00B052BB">
        <w:rPr>
          <w:lang w:eastAsia="en-US"/>
        </w:rPr>
        <w:fldChar w:fldCharType="end"/>
      </w:r>
      <w:r w:rsidR="00B052BB">
        <w:rPr>
          <w:lang w:eastAsia="en-US"/>
        </w:rPr>
        <w:t xml:space="preserve">. </w:t>
      </w:r>
      <w:r w:rsidR="00205ACD">
        <w:rPr>
          <w:lang w:eastAsia="en-US"/>
        </w:rPr>
        <w:t>Posteriormente, se llevó a cabo en análisis con siete factores, pero el resultado era similar al anterior.</w:t>
      </w:r>
    </w:p>
    <w:p w14:paraId="1AEC8DA0" w14:textId="6362FA57" w:rsidR="00B964C8" w:rsidRDefault="00B964C8" w:rsidP="00B964C8">
      <w:pPr>
        <w:pStyle w:val="Ttulo3"/>
      </w:pPr>
      <w:r>
        <w:t>Análisis Factorial Confirmatorio</w:t>
      </w:r>
    </w:p>
    <w:p w14:paraId="6FCCCFEC" w14:textId="5F392D1E" w:rsidR="00B964C8" w:rsidRDefault="00B964C8" w:rsidP="00B964C8">
      <w:r>
        <w:t>Debido al incumplimiento con el supuesto de normalidad multivariante, se utilizaron los índices ajustados S-</w:t>
      </w:r>
      <w:r w:rsidRPr="00200E90">
        <w:t>Bχ2</w:t>
      </w:r>
      <w:r>
        <w:t xml:space="preserve"> de </w:t>
      </w:r>
      <w:r>
        <w:fldChar w:fldCharType="begin" w:fldLock="1"/>
      </w:r>
      <w:r>
        <w:instrText>ADDIN CSL_CITATION {"citationItems":[{"id":"ITEM-1","itemData":{"DOI":"10.2139/ssrn.199064","ISSN":"1556-5068","author":[{"dropping-particle":"","family":"Satorra","given":"Albert","non-dropping-particle":"","parse-names":false,"suffix":""},{"dropping-particle":"","family":"Bentler","given":"Peter M","non-dropping-particle":"","parse-names":false,"suffix":""}],"container-title":"SSRN Electronic Journal","id":"ITEM-1","issue":"4","issued":{"date-parts":[["2000"]]},"page":"507-514","publisher":"Springer","title":"A Scaled Difference Chi-Square Test Statistic for Moment Structure Analysis","type":"article-journal","volume":"66"},"uris":["http://www.mendeley.com/documents/?uuid=9ae62f87-29fd-4931-a8ef-4a920eaf8d3e"]}],"mendeley":{"formattedCitation":"(Satorra &amp; Bentler, 2000)","manualFormatting":"Satorra y Bentler (2000)","plainTextFormattedCitation":"(Satorra &amp; Bentler, 2000)","previouslyFormattedCitation":"(Satorra &amp; Bentler, 2000)"},"properties":{"noteIndex":0},"schema":"https://github.com/citation-style-language/schema/raw/master/csl-citation.json"}</w:instrText>
      </w:r>
      <w:r>
        <w:fldChar w:fldCharType="separate"/>
      </w:r>
      <w:r>
        <w:rPr>
          <w:noProof/>
        </w:rPr>
        <w:t>Satorra y Bentler</w:t>
      </w:r>
      <w:r w:rsidRPr="00E57D4A">
        <w:rPr>
          <w:noProof/>
        </w:rPr>
        <w:t xml:space="preserve"> </w:t>
      </w:r>
      <w:r>
        <w:rPr>
          <w:noProof/>
        </w:rPr>
        <w:t>(</w:t>
      </w:r>
      <w:r w:rsidRPr="00E57D4A">
        <w:rPr>
          <w:noProof/>
        </w:rPr>
        <w:t>2000)</w:t>
      </w:r>
      <w:r>
        <w:fldChar w:fldCharType="end"/>
      </w:r>
      <w:r>
        <w:t xml:space="preserve"> (MLM) para la evaluación de los modelos, ya que éstos utilizan un error estándar robusto </w:t>
      </w:r>
      <w:r>
        <w:fldChar w:fldCharType="begin" w:fldLock="1"/>
      </w:r>
      <w:r>
        <w:instrText>ADDIN CSL_CITATION {"citationItems":[{"id":"ITEM-1","itemData":{"author":[{"dropping-particle":"","family":"Yu","given":"Ching-Yun","non-dropping-particle":"","parse-names":false,"suffix":""}],"id":"ITEM-1","issued":{"date-parts":[["2002"]]},"publisher":"University of California, Los Angeles Los Angeles, CA","title":"Evaluating cutoff criteria of model fit indices for latent variable models with binary and continuous outcomes","type":"thesis"},"uris":["http://www.mendeley.com/documents/?uuid=ae0d5540-4b18-41e9-a2ab-3656237bed89"]}],"mendeley":{"formattedCitation":"(Yu, 2002)","plainTextFormattedCitation":"(Yu, 2002)","previouslyFormattedCitation":"(Yu, 2002)"},"properties":{"noteIndex":0},"schema":"https://github.com/citation-style-language/schema/raw/master/csl-citation.json"}</w:instrText>
      </w:r>
      <w:r>
        <w:fldChar w:fldCharType="separate"/>
      </w:r>
      <w:r w:rsidRPr="00DC1969">
        <w:rPr>
          <w:noProof/>
        </w:rPr>
        <w:t>(Yu, 2002)</w:t>
      </w:r>
      <w:r>
        <w:fldChar w:fldCharType="end"/>
      </w:r>
      <w:r>
        <w:t>.</w:t>
      </w:r>
      <w:r w:rsidRPr="00DC1969">
        <w:t xml:space="preserve"> </w:t>
      </w:r>
      <w:r w:rsidR="001B2F3C">
        <w:t>Aunque</w:t>
      </w:r>
      <w:r>
        <w:t xml:space="preserve"> </w:t>
      </w:r>
      <w:r>
        <w:fldChar w:fldCharType="begin" w:fldLock="1"/>
      </w:r>
      <w:r>
        <w:instrText>ADDIN CSL_CITATION {"citationItems":[{"id":"ITEM-1","itemData":{"DOI":"10.1080/10705519909540118","ISSN":"1070-5511","author":[{"dropping-particle":"","family":"Hu","given":"Li</w:instrText>
      </w:r>
      <w:r>
        <w:rPr>
          <w:rFonts w:ascii="Cambria Math" w:hAnsi="Cambria Math" w:cs="Cambria Math"/>
        </w:rPr>
        <w:instrText>‐</w:instrText>
      </w:r>
      <w:r>
        <w:instrText>tze","non-dropping-particle":"","parse-names":false,"suffix":""},{"dropping-particle":"","family":"Bentler","given":"Peter M","non-dropping-particle":"","parse-names":false,"suffix":""}],"container-title":"Structural Equation Modeling: A Multidisciplinary Journal","id":"ITEM-1","issue":"1","issued":{"date-parts":[["1999","1"]]},"page":"1-55","publisher":"Taylor &amp; Francis","title":"Cutoff criteria for fit indexes in covariance structure analysis: Conventional criteria versus new alternatives","type":"article-journal","volume":"6"},"uris":["http://www.mendeley.com/documents/?uuid=2a3bbb08-2b8c-3ce4-9341-f21480e05add"]}],"mendeley":{"formattedCitation":"(Hu &amp; Bentler, 1999)","manualFormatting":"Hu y Bentler (1999)","plainTextFormattedCitation":"(Hu &amp; Bentler, 1999)","previouslyFormattedCitation":"(Hu &amp; Bentler, 1999)"},"properties":{"noteIndex":0},"schema":"https://github.com/citation-style-language/schema/raw/master/csl-citation.json"}</w:instrText>
      </w:r>
      <w:r>
        <w:fldChar w:fldCharType="separate"/>
      </w:r>
      <w:r>
        <w:rPr>
          <w:noProof/>
        </w:rPr>
        <w:t>Hu y Bentler</w:t>
      </w:r>
      <w:r w:rsidRPr="00681AC1">
        <w:rPr>
          <w:noProof/>
        </w:rPr>
        <w:t xml:space="preserve"> </w:t>
      </w:r>
      <w:r>
        <w:rPr>
          <w:noProof/>
        </w:rPr>
        <w:t>(</w:t>
      </w:r>
      <w:r w:rsidRPr="00681AC1">
        <w:rPr>
          <w:noProof/>
        </w:rPr>
        <w:t>1999)</w:t>
      </w:r>
      <w:r>
        <w:fldChar w:fldCharType="end"/>
      </w:r>
      <w:r w:rsidR="001B2F3C">
        <w:t xml:space="preserve"> sugieren</w:t>
      </w:r>
      <w:r>
        <w:t xml:space="preserve"> </w:t>
      </w:r>
      <w:r w:rsidR="001B2F3C">
        <w:t xml:space="preserve">que </w:t>
      </w:r>
      <w:r>
        <w:t xml:space="preserve">los siguientes valores representan un ajuste adecuado: </w:t>
      </w:r>
      <w:r w:rsidRPr="00200E90">
        <w:t>χ2</w:t>
      </w:r>
      <w:r>
        <w:t xml:space="preserve">/df ≤ 3, </w:t>
      </w:r>
      <w:r w:rsidRPr="006801BF">
        <w:rPr>
          <w:i/>
        </w:rPr>
        <w:t xml:space="preserve">RMSEA </w:t>
      </w:r>
      <w:r>
        <w:t xml:space="preserve">≤ .06, </w:t>
      </w:r>
      <w:r w:rsidRPr="007C1A27">
        <w:rPr>
          <w:i/>
          <w:iCs/>
        </w:rPr>
        <w:t>SRMR</w:t>
      </w:r>
      <w:r w:rsidRPr="006801BF">
        <w:rPr>
          <w:i/>
        </w:rPr>
        <w:t xml:space="preserve"> </w:t>
      </w:r>
      <w:r>
        <w:t xml:space="preserve">≤ .08, </w:t>
      </w:r>
      <w:r w:rsidRPr="006801BF">
        <w:rPr>
          <w:i/>
        </w:rPr>
        <w:t>CFI</w:t>
      </w:r>
      <w:r>
        <w:t xml:space="preserve"> ≥ .95, </w:t>
      </w:r>
      <w:r w:rsidRPr="006801BF">
        <w:rPr>
          <w:i/>
        </w:rPr>
        <w:t>TLI</w:t>
      </w:r>
      <w:r>
        <w:t xml:space="preserve"> ≥ .95</w:t>
      </w:r>
      <w:r w:rsidR="001B2F3C">
        <w:t>, se utiliz</w:t>
      </w:r>
      <w:r w:rsidR="001F0C4B">
        <w:t>aron</w:t>
      </w:r>
      <w:r w:rsidR="001B2F3C">
        <w:t xml:space="preserve"> </w:t>
      </w:r>
      <w:r w:rsidR="001B2F3C" w:rsidRPr="006801BF">
        <w:rPr>
          <w:i/>
        </w:rPr>
        <w:t xml:space="preserve">RMSEA </w:t>
      </w:r>
      <w:r w:rsidR="001B2F3C">
        <w:t xml:space="preserve">≤ .05 y </w:t>
      </w:r>
      <w:r w:rsidR="001B2F3C" w:rsidRPr="006801BF">
        <w:rPr>
          <w:i/>
        </w:rPr>
        <w:t>CFI</w:t>
      </w:r>
      <w:r w:rsidR="001B2F3C">
        <w:t xml:space="preserve"> ≥ .9</w:t>
      </w:r>
      <w:r w:rsidR="001F0C4B">
        <w:t>5</w:t>
      </w:r>
      <w:r w:rsidR="001B2F3C">
        <w:t>. La decisión de utilizar un</w:t>
      </w:r>
      <w:r w:rsidR="005E16AC">
        <w:t>os</w:t>
      </w:r>
      <w:r w:rsidR="001B2F3C">
        <w:t xml:space="preserve"> valores más restrictivo</w:t>
      </w:r>
      <w:r w:rsidR="005E16AC">
        <w:t>s</w:t>
      </w:r>
      <w:r w:rsidR="001B2F3C">
        <w:t xml:space="preserve"> se basó en la</w:t>
      </w:r>
      <w:r>
        <w:t xml:space="preserve"> presencia de una muestra de </w:t>
      </w:r>
      <w:r w:rsidR="00F31B2D">
        <w:t xml:space="preserve">aproximadamente </w:t>
      </w:r>
      <w:r>
        <w:t xml:space="preserve">250 </w:t>
      </w:r>
      <w:r w:rsidR="00B94BC9">
        <w:t>participante</w:t>
      </w:r>
      <w:r>
        <w:t>s, unos datos que se aleja</w:t>
      </w:r>
      <w:r w:rsidR="001B2F3C">
        <w:t>ba</w:t>
      </w:r>
      <w:r>
        <w:t>n gravem</w:t>
      </w:r>
      <w:r w:rsidR="001B2F3C">
        <w:t>ente</w:t>
      </w:r>
      <w:r>
        <w:t xml:space="preserve"> de una distribución normal</w:t>
      </w:r>
      <w:r w:rsidR="001B2F3C">
        <w:t>,</w:t>
      </w:r>
      <w:r>
        <w:t xml:space="preserve"> la utilización del MLM</w:t>
      </w:r>
      <w:bookmarkStart w:id="3" w:name="_GoBack"/>
      <w:bookmarkEnd w:id="3"/>
      <w:r w:rsidR="001B2F3C">
        <w:t xml:space="preserve"> y las recomendaciones que</w:t>
      </w:r>
      <w:r>
        <w:t xml:space="preserve"> </w:t>
      </w:r>
      <w:r>
        <w:fldChar w:fldCharType="begin" w:fldLock="1"/>
      </w:r>
      <w:r w:rsidR="00435BC9">
        <w:instrText>ADDIN CSL_CITATION {"citationItems":[{"id":"ITEM-1","itemData":{"author":[{"dropping-particle":"","family":"Yu","given":"Ching-Yun","non-dropping-particle":"","parse-names":false,"suffix":""}],"id":"ITEM-1","issued":{"date-parts":[["2002"]]},"publisher":"University of California, Los Angeles Los Angeles, CA","title":"Evaluating cutoff criteria of model fit indices for latent variable models with binary and continuous outcomes","type":"thesis"},"uris":["http://www.mendeley.com/documents/?uuid=ae0d5540-4b18-41e9-a2ab-3656237bed89"]}],"mendeley":{"formattedCitation":"(Yu, 2002)","manualFormatting":"Yu (2002)","plainTextFormattedCitation":"(Yu, 2002)","previouslyFormattedCitation":"(Yu, 2002)"},"properties":{"noteIndex":0},"schema":"https://github.com/citation-style-language/schema/raw/master/csl-citation.json"}</w:instrText>
      </w:r>
      <w:r>
        <w:fldChar w:fldCharType="separate"/>
      </w:r>
      <w:r w:rsidRPr="00B964C8">
        <w:rPr>
          <w:noProof/>
        </w:rPr>
        <w:t xml:space="preserve">Yu </w:t>
      </w:r>
      <w:r>
        <w:rPr>
          <w:noProof/>
        </w:rPr>
        <w:t>(</w:t>
      </w:r>
      <w:r w:rsidRPr="00B964C8">
        <w:rPr>
          <w:noProof/>
        </w:rPr>
        <w:t>2002)</w:t>
      </w:r>
      <w:r>
        <w:fldChar w:fldCharType="end"/>
      </w:r>
      <w:r>
        <w:t xml:space="preserve"> </w:t>
      </w:r>
      <w:r w:rsidR="005E16AC">
        <w:t>ofrece</w:t>
      </w:r>
      <w:r w:rsidR="001B2F3C">
        <w:t xml:space="preserve"> para las condiciones específicas del presente estudio</w:t>
      </w:r>
      <w:r w:rsidR="00C27980">
        <w:t xml:space="preserve">. </w:t>
      </w:r>
    </w:p>
    <w:p w14:paraId="07C9E7F3" w14:textId="7EB38C89" w:rsidR="00992DBB" w:rsidRDefault="00B964C8" w:rsidP="00992DBB">
      <w:pPr>
        <w:rPr>
          <w:lang w:eastAsia="en-US"/>
        </w:rPr>
      </w:pPr>
      <w:r>
        <w:t xml:space="preserve">Teniendo en cuenta estos </w:t>
      </w:r>
      <w:r w:rsidR="00284E66">
        <w:t>índices de ajuste</w:t>
      </w:r>
      <w:r>
        <w:t xml:space="preserve">, se puede observar en la </w:t>
      </w:r>
      <w:r w:rsidR="005E16AC">
        <w:fldChar w:fldCharType="begin"/>
      </w:r>
      <w:r w:rsidR="005E16AC">
        <w:instrText xml:space="preserve"> REF _Ref58850930 \h </w:instrText>
      </w:r>
      <w:r w:rsidR="005E16AC">
        <w:fldChar w:fldCharType="separate"/>
      </w:r>
      <w:r w:rsidR="005E16AC">
        <w:t xml:space="preserve">Tabla </w:t>
      </w:r>
      <w:r w:rsidR="005E16AC">
        <w:rPr>
          <w:noProof/>
        </w:rPr>
        <w:t>1</w:t>
      </w:r>
      <w:r w:rsidR="005E16AC">
        <w:fldChar w:fldCharType="end"/>
      </w:r>
      <w:r w:rsidR="005E16AC">
        <w:t xml:space="preserve"> </w:t>
      </w:r>
      <w:r>
        <w:t xml:space="preserve">que </w:t>
      </w:r>
      <w:r w:rsidR="00284E66">
        <w:rPr>
          <w:lang w:eastAsia="en-US"/>
        </w:rPr>
        <w:t xml:space="preserve">todos los modelos de 45 ítems que fueron evaluados se </w:t>
      </w:r>
      <w:r>
        <w:t xml:space="preserve">encontraron por debajo de los valores </w:t>
      </w:r>
      <w:r w:rsidR="00AB359A">
        <w:t xml:space="preserve">que </w:t>
      </w:r>
      <w:r w:rsidR="00AB359A">
        <w:fldChar w:fldCharType="begin" w:fldLock="1"/>
      </w:r>
      <w:r w:rsidR="00AB359A">
        <w:instrText>ADDIN CSL_CITATION {"citationItems":[{"id":"ITEM-1","itemData":{"author":[{"dropping-particle":"","family":"Yu","given":"Ching-Yun","non-dropping-particle":"","parse-names":false,"suffix":""}],"id":"ITEM-1","issued":{"date-parts":[["2002"]]},"publisher":"University of California, Los Angeles Los Angeles, CA","title":"Evaluating cutoff criteria of model fit indices for latent variable models with binary and continuous outcomes","type":"thesis"},"uris":["http://www.mendeley.com/documents/?uuid=ae0d5540-4b18-41e9-a2ab-3656237bed89"]}],"mendeley":{"formattedCitation":"(Yu, 2002)","manualFormatting":"Yu (2002)","plainTextFormattedCitation":"(Yu, 2002)","previouslyFormattedCitation":"(Yu, 2002)"},"properties":{"noteIndex":0},"schema":"https://github.com/citation-style-language/schema/raw/master/csl-citation.json"}</w:instrText>
      </w:r>
      <w:r w:rsidR="00AB359A">
        <w:fldChar w:fldCharType="separate"/>
      </w:r>
      <w:r w:rsidR="00AB359A" w:rsidRPr="00B964C8">
        <w:rPr>
          <w:noProof/>
        </w:rPr>
        <w:t xml:space="preserve">Yu </w:t>
      </w:r>
      <w:r w:rsidR="00AB359A">
        <w:rPr>
          <w:noProof/>
        </w:rPr>
        <w:t>(</w:t>
      </w:r>
      <w:r w:rsidR="00AB359A" w:rsidRPr="00B964C8">
        <w:rPr>
          <w:noProof/>
        </w:rPr>
        <w:t>2002)</w:t>
      </w:r>
      <w:r w:rsidR="00AB359A">
        <w:fldChar w:fldCharType="end"/>
      </w:r>
      <w:r w:rsidR="00AB359A">
        <w:t xml:space="preserve"> </w:t>
      </w:r>
      <w:r>
        <w:t>sug</w:t>
      </w:r>
      <w:r w:rsidR="00AB359A">
        <w:t>iere</w:t>
      </w:r>
      <w:r>
        <w:t>.</w:t>
      </w:r>
      <w:r w:rsidR="00284E66">
        <w:t xml:space="preserve"> </w:t>
      </w:r>
      <w:r w:rsidR="009372B3">
        <w:t>Por otro lado</w:t>
      </w:r>
      <w:r w:rsidR="00284E66">
        <w:t xml:space="preserve">, </w:t>
      </w:r>
      <w:r w:rsidR="009372B3">
        <w:t xml:space="preserve">se advirtió que </w:t>
      </w:r>
      <w:r w:rsidR="00992DBB">
        <w:rPr>
          <w:lang w:eastAsia="en-US"/>
        </w:rPr>
        <w:t xml:space="preserve">el modelo según la estructura factorial propuesta por </w:t>
      </w:r>
      <w:r w:rsidR="00992DBB">
        <w:rPr>
          <w:lang w:eastAsia="en-US"/>
        </w:rPr>
        <w:fldChar w:fldCharType="begin" w:fldLock="1"/>
      </w:r>
      <w:r w:rsidR="00992DBB">
        <w:rPr>
          <w:lang w:eastAsia="en-US"/>
        </w:rPr>
        <w:instrText>ADDIN CSL_CITATION {"citationItems":[{"id":"ITEM-1","itemData":{"ISSN":"0214-9915","author":[{"dropping-particle":"","family":"Sandín","given":"Bonifacio","non-dropping-particle":"","parse-names":false,"suffix":""},{"dropping-particle":"","family":"Valiente","given":"Rosa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-1","issue":"2","issued":{"date-parts":[["2008"]]},"page":"290-296","publisher":"Colegio Oficial De Psicologos Del Principado De Asturias","title":"SA-45: forma abreviada del SCL-90","type":"article-journal","volume":"20"},"uris":["http://www.mendeley.com/documents/?uuid=c4b23ce2-96a3-34d1-8b39-2dc936d82379"]}],"mendeley":{"formattedCitation":"(Sandín et al., 2008)","manualFormatting":"Sandín et al. (2008)","plainTextFormattedCitation":"(Sandín et al., 2008)","previouslyFormattedCitation":"(Sandín et al., 2008)"},"properties":{"noteIndex":0},"schema":"https://github.com/citation-style-language/schema/raw/master/csl-citation.json"}</w:instrText>
      </w:r>
      <w:r w:rsidR="00992DBB">
        <w:rPr>
          <w:lang w:eastAsia="en-US"/>
        </w:rPr>
        <w:fldChar w:fldCharType="separate"/>
      </w:r>
      <w:r w:rsidR="00992DBB" w:rsidRPr="00574043">
        <w:rPr>
          <w:noProof/>
          <w:lang w:eastAsia="en-US"/>
        </w:rPr>
        <w:t xml:space="preserve">Sandín et al. </w:t>
      </w:r>
      <w:r w:rsidR="00992DBB">
        <w:rPr>
          <w:noProof/>
          <w:lang w:eastAsia="en-US"/>
        </w:rPr>
        <w:t>(</w:t>
      </w:r>
      <w:r w:rsidR="00992DBB" w:rsidRPr="00574043">
        <w:rPr>
          <w:noProof/>
          <w:lang w:eastAsia="en-US"/>
        </w:rPr>
        <w:t>2008)</w:t>
      </w:r>
      <w:r w:rsidR="00992DBB">
        <w:rPr>
          <w:lang w:eastAsia="en-US"/>
        </w:rPr>
        <w:fldChar w:fldCharType="end"/>
      </w:r>
      <w:r w:rsidR="00992DBB">
        <w:rPr>
          <w:lang w:eastAsia="en-US"/>
        </w:rPr>
        <w:t xml:space="preserve"> (</w:t>
      </w:r>
      <w:r w:rsidR="00992DBB" w:rsidRPr="0004612F">
        <w:rPr>
          <w:lang w:eastAsia="en-US"/>
        </w:rPr>
        <w:t xml:space="preserve">SA-45 - 9F </w:t>
      </w:r>
      <w:r w:rsidR="001A26DE">
        <w:rPr>
          <w:lang w:eastAsia="en-US"/>
        </w:rPr>
        <w:t>-</w:t>
      </w:r>
      <w:r w:rsidR="00992DBB" w:rsidRPr="0004612F">
        <w:rPr>
          <w:lang w:eastAsia="en-US"/>
        </w:rPr>
        <w:t xml:space="preserve"> Orig</w:t>
      </w:r>
      <w:r w:rsidR="00992DBB">
        <w:rPr>
          <w:lang w:eastAsia="en-US"/>
        </w:rPr>
        <w:t>), el modelo resultante del EFA forzando una estructura de nueve factores (</w:t>
      </w:r>
      <w:r w:rsidR="00992DBB" w:rsidRPr="0004612F">
        <w:rPr>
          <w:lang w:eastAsia="en-US"/>
        </w:rPr>
        <w:t xml:space="preserve">SA-45 - 9F </w:t>
      </w:r>
      <w:r w:rsidR="001A26DE">
        <w:rPr>
          <w:lang w:eastAsia="en-US"/>
        </w:rPr>
        <w:t>-</w:t>
      </w:r>
      <w:r w:rsidR="00992DBB" w:rsidRPr="0004612F">
        <w:rPr>
          <w:lang w:eastAsia="en-US"/>
        </w:rPr>
        <w:t xml:space="preserve"> EFA</w:t>
      </w:r>
      <w:r w:rsidR="00992DBB">
        <w:rPr>
          <w:lang w:eastAsia="en-US"/>
        </w:rPr>
        <w:t>) y el modelo de seis factores, el cual representa</w:t>
      </w:r>
      <w:r w:rsidR="00043F14">
        <w:rPr>
          <w:lang w:eastAsia="en-US"/>
        </w:rPr>
        <w:t>ba</w:t>
      </w:r>
      <w:r w:rsidR="00992DBB">
        <w:rPr>
          <w:lang w:eastAsia="en-US"/>
        </w:rPr>
        <w:t xml:space="preserve"> el resultado de la evaluación del </w:t>
      </w:r>
      <w:r w:rsidR="00992DBB" w:rsidRPr="0004612F">
        <w:rPr>
          <w:i/>
          <w:iCs/>
          <w:lang w:eastAsia="en-US"/>
        </w:rPr>
        <w:t>Scree Plot</w:t>
      </w:r>
      <w:r w:rsidR="00992DBB">
        <w:rPr>
          <w:lang w:eastAsia="en-US"/>
        </w:rPr>
        <w:t xml:space="preserve"> (</w:t>
      </w:r>
      <w:r w:rsidR="00992DBB" w:rsidRPr="0004612F">
        <w:rPr>
          <w:lang w:eastAsia="en-US"/>
        </w:rPr>
        <w:t xml:space="preserve">SA-45 - 6F </w:t>
      </w:r>
      <w:r w:rsidR="001A26DE">
        <w:rPr>
          <w:lang w:eastAsia="en-US"/>
        </w:rPr>
        <w:t>-</w:t>
      </w:r>
      <w:r w:rsidR="00992DBB" w:rsidRPr="0004612F">
        <w:rPr>
          <w:lang w:eastAsia="en-US"/>
        </w:rPr>
        <w:t xml:space="preserve"> EFA</w:t>
      </w:r>
      <w:r w:rsidR="00992DBB">
        <w:rPr>
          <w:lang w:eastAsia="en-US"/>
        </w:rPr>
        <w:t xml:space="preserve">), obtuvieron unos índices de ajuste similares. </w:t>
      </w:r>
    </w:p>
    <w:p w14:paraId="67D408D3" w14:textId="4E767ADD" w:rsidR="00992DBB" w:rsidRDefault="00992DBB" w:rsidP="00992DBB">
      <w:pPr>
        <w:pStyle w:val="Descripcin"/>
        <w:keepNext/>
      </w:pPr>
      <w:bookmarkStart w:id="4" w:name="_Ref58850930"/>
      <w:r>
        <w:t xml:space="preserve">Tabla </w:t>
      </w:r>
      <w:r w:rsidR="003A675A">
        <w:fldChar w:fldCharType="begin"/>
      </w:r>
      <w:r w:rsidR="003A675A">
        <w:instrText xml:space="preserve"> SEQ Tabla \* ARABIC </w:instrText>
      </w:r>
      <w:r w:rsidR="003A675A">
        <w:fldChar w:fldCharType="separate"/>
      </w:r>
      <w:r w:rsidR="00D83C2C">
        <w:rPr>
          <w:noProof/>
        </w:rPr>
        <w:t>1</w:t>
      </w:r>
      <w:r w:rsidR="003A675A">
        <w:rPr>
          <w:noProof/>
        </w:rPr>
        <w:fldChar w:fldCharType="end"/>
      </w:r>
      <w:bookmarkEnd w:id="4"/>
    </w:p>
    <w:tbl>
      <w:tblPr>
        <w:tblW w:w="5000" w:type="pct"/>
        <w:tblCellMar>
          <w:left w:w="70" w:type="dxa"/>
          <w:right w:w="70" w:type="dxa"/>
        </w:tblCellMar>
        <w:tblLook w:val="04A0" w:firstRow="1" w:lastRow="0" w:firstColumn="1" w:lastColumn="0" w:noHBand="0" w:noVBand="1"/>
      </w:tblPr>
      <w:tblGrid>
        <w:gridCol w:w="1743"/>
        <w:gridCol w:w="808"/>
        <w:gridCol w:w="407"/>
        <w:gridCol w:w="541"/>
        <w:gridCol w:w="665"/>
        <w:gridCol w:w="541"/>
        <w:gridCol w:w="1635"/>
        <w:gridCol w:w="612"/>
        <w:gridCol w:w="541"/>
        <w:gridCol w:w="541"/>
        <w:gridCol w:w="1036"/>
      </w:tblGrid>
      <w:tr w:rsidR="00992DBB" w:rsidRPr="003F52D4" w14:paraId="210B534D" w14:textId="77777777" w:rsidTr="00A130DF">
        <w:trPr>
          <w:trHeight w:val="240"/>
        </w:trPr>
        <w:tc>
          <w:tcPr>
            <w:tcW w:w="5000" w:type="pct"/>
            <w:gridSpan w:val="11"/>
            <w:tcBorders>
              <w:top w:val="nil"/>
              <w:left w:val="nil"/>
              <w:bottom w:val="single" w:sz="4" w:space="0" w:color="auto"/>
              <w:right w:val="nil"/>
            </w:tcBorders>
            <w:shd w:val="clear" w:color="auto" w:fill="auto"/>
            <w:vAlign w:val="center"/>
            <w:hideMark/>
          </w:tcPr>
          <w:p w14:paraId="4C6385A8" w14:textId="77777777" w:rsidR="00992DBB" w:rsidRPr="003F52D4" w:rsidRDefault="00992DBB" w:rsidP="00A130DF">
            <w:pPr>
              <w:spacing w:after="0" w:line="240" w:lineRule="auto"/>
              <w:ind w:firstLine="0"/>
              <w:jc w:val="left"/>
              <w:rPr>
                <w:rFonts w:ascii="Arial" w:hAnsi="Arial" w:cs="Arial"/>
                <w:i/>
                <w:iCs/>
                <w:color w:val="000000"/>
                <w:sz w:val="16"/>
                <w:szCs w:val="16"/>
              </w:rPr>
            </w:pPr>
            <w:r w:rsidRPr="003F52D4">
              <w:rPr>
                <w:rFonts w:ascii="Arial" w:hAnsi="Arial" w:cs="Arial"/>
                <w:i/>
                <w:iCs/>
                <w:color w:val="000000"/>
                <w:sz w:val="16"/>
                <w:szCs w:val="16"/>
              </w:rPr>
              <w:t>Índices de ajuste de todos los modelos competidores</w:t>
            </w:r>
          </w:p>
        </w:tc>
      </w:tr>
      <w:tr w:rsidR="00992DBB" w:rsidRPr="004B1B70" w14:paraId="6C9E87BE" w14:textId="77777777" w:rsidTr="00A130DF">
        <w:trPr>
          <w:trHeight w:val="480"/>
        </w:trPr>
        <w:tc>
          <w:tcPr>
            <w:tcW w:w="996" w:type="pct"/>
            <w:tcBorders>
              <w:top w:val="nil"/>
              <w:left w:val="nil"/>
              <w:bottom w:val="single" w:sz="4" w:space="0" w:color="auto"/>
              <w:right w:val="nil"/>
            </w:tcBorders>
            <w:shd w:val="clear" w:color="auto" w:fill="auto"/>
            <w:vAlign w:val="center"/>
            <w:hideMark/>
          </w:tcPr>
          <w:p w14:paraId="4A877F92" w14:textId="77777777" w:rsidR="00992DBB" w:rsidRPr="003F52D4" w:rsidRDefault="00992DBB" w:rsidP="00A130DF">
            <w:pPr>
              <w:spacing w:after="0" w:line="240" w:lineRule="auto"/>
              <w:ind w:firstLine="0"/>
              <w:jc w:val="left"/>
              <w:rPr>
                <w:rFonts w:ascii="Arial" w:hAnsi="Arial" w:cs="Arial"/>
                <w:color w:val="000000"/>
                <w:sz w:val="16"/>
                <w:szCs w:val="16"/>
              </w:rPr>
            </w:pPr>
            <w:r w:rsidRPr="003F52D4">
              <w:rPr>
                <w:rFonts w:ascii="Arial" w:hAnsi="Arial" w:cs="Arial"/>
                <w:color w:val="000000"/>
                <w:sz w:val="16"/>
                <w:szCs w:val="16"/>
              </w:rPr>
              <w:t>Modelos competidores</w:t>
            </w:r>
          </w:p>
        </w:tc>
        <w:tc>
          <w:tcPr>
            <w:tcW w:w="436" w:type="pct"/>
            <w:tcBorders>
              <w:top w:val="nil"/>
              <w:left w:val="nil"/>
              <w:bottom w:val="single" w:sz="4" w:space="0" w:color="auto"/>
              <w:right w:val="nil"/>
            </w:tcBorders>
            <w:shd w:val="clear" w:color="auto" w:fill="auto"/>
            <w:noWrap/>
            <w:vAlign w:val="center"/>
            <w:hideMark/>
          </w:tcPr>
          <w:p w14:paraId="4B35F2A2"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 xml:space="preserve">χ2 </w:t>
            </w:r>
            <w:r w:rsidRPr="003F52D4">
              <w:rPr>
                <w:rFonts w:ascii="Arial" w:hAnsi="Arial" w:cs="Arial"/>
                <w:color w:val="000000"/>
                <w:sz w:val="16"/>
                <w:szCs w:val="16"/>
                <w:vertAlign w:val="superscript"/>
              </w:rPr>
              <w:t>MLM</w:t>
            </w:r>
          </w:p>
        </w:tc>
        <w:tc>
          <w:tcPr>
            <w:tcW w:w="220" w:type="pct"/>
            <w:tcBorders>
              <w:top w:val="nil"/>
              <w:left w:val="nil"/>
              <w:bottom w:val="single" w:sz="4" w:space="0" w:color="auto"/>
              <w:right w:val="nil"/>
            </w:tcBorders>
            <w:shd w:val="clear" w:color="auto" w:fill="auto"/>
            <w:noWrap/>
            <w:vAlign w:val="center"/>
            <w:hideMark/>
          </w:tcPr>
          <w:p w14:paraId="6FAA0E96"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df</w:t>
            </w:r>
          </w:p>
        </w:tc>
        <w:tc>
          <w:tcPr>
            <w:tcW w:w="292" w:type="pct"/>
            <w:tcBorders>
              <w:top w:val="nil"/>
              <w:left w:val="nil"/>
              <w:bottom w:val="single" w:sz="4" w:space="0" w:color="auto"/>
              <w:right w:val="nil"/>
            </w:tcBorders>
            <w:shd w:val="clear" w:color="auto" w:fill="auto"/>
            <w:noWrap/>
            <w:vAlign w:val="center"/>
            <w:hideMark/>
          </w:tcPr>
          <w:p w14:paraId="69FE733F"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χ2/df</w:t>
            </w:r>
          </w:p>
        </w:tc>
        <w:tc>
          <w:tcPr>
            <w:tcW w:w="359" w:type="pct"/>
            <w:tcBorders>
              <w:top w:val="nil"/>
              <w:left w:val="nil"/>
              <w:bottom w:val="single" w:sz="4" w:space="0" w:color="auto"/>
              <w:right w:val="nil"/>
            </w:tcBorders>
            <w:shd w:val="clear" w:color="auto" w:fill="auto"/>
            <w:noWrap/>
            <w:vAlign w:val="center"/>
            <w:hideMark/>
          </w:tcPr>
          <w:p w14:paraId="6198214F"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Scaling</w:t>
            </w:r>
          </w:p>
        </w:tc>
        <w:tc>
          <w:tcPr>
            <w:tcW w:w="292" w:type="pct"/>
            <w:tcBorders>
              <w:top w:val="nil"/>
              <w:left w:val="nil"/>
              <w:bottom w:val="single" w:sz="4" w:space="0" w:color="auto"/>
              <w:right w:val="nil"/>
            </w:tcBorders>
            <w:shd w:val="clear" w:color="auto" w:fill="auto"/>
            <w:noWrap/>
            <w:vAlign w:val="center"/>
            <w:hideMark/>
          </w:tcPr>
          <w:p w14:paraId="2442C358"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p</w:t>
            </w:r>
          </w:p>
        </w:tc>
        <w:tc>
          <w:tcPr>
            <w:tcW w:w="884" w:type="pct"/>
            <w:tcBorders>
              <w:top w:val="nil"/>
              <w:left w:val="nil"/>
              <w:bottom w:val="single" w:sz="4" w:space="0" w:color="auto"/>
              <w:right w:val="nil"/>
            </w:tcBorders>
            <w:shd w:val="clear" w:color="auto" w:fill="auto"/>
            <w:noWrap/>
            <w:vAlign w:val="center"/>
            <w:hideMark/>
          </w:tcPr>
          <w:p w14:paraId="304CD32C"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RMSEA (90% CI)</w:t>
            </w:r>
          </w:p>
        </w:tc>
        <w:tc>
          <w:tcPr>
            <w:tcW w:w="331" w:type="pct"/>
            <w:tcBorders>
              <w:top w:val="nil"/>
              <w:left w:val="nil"/>
              <w:bottom w:val="single" w:sz="4" w:space="0" w:color="auto"/>
              <w:right w:val="nil"/>
            </w:tcBorders>
            <w:shd w:val="clear" w:color="auto" w:fill="auto"/>
            <w:noWrap/>
            <w:vAlign w:val="center"/>
            <w:hideMark/>
          </w:tcPr>
          <w:p w14:paraId="0E4E0E69"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SRMR</w:t>
            </w:r>
          </w:p>
        </w:tc>
        <w:tc>
          <w:tcPr>
            <w:tcW w:w="292" w:type="pct"/>
            <w:tcBorders>
              <w:top w:val="nil"/>
              <w:left w:val="nil"/>
              <w:bottom w:val="single" w:sz="4" w:space="0" w:color="auto"/>
              <w:right w:val="nil"/>
            </w:tcBorders>
            <w:shd w:val="clear" w:color="auto" w:fill="auto"/>
            <w:noWrap/>
            <w:vAlign w:val="center"/>
            <w:hideMark/>
          </w:tcPr>
          <w:p w14:paraId="638B9A4C"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CFI</w:t>
            </w:r>
          </w:p>
        </w:tc>
        <w:tc>
          <w:tcPr>
            <w:tcW w:w="292" w:type="pct"/>
            <w:tcBorders>
              <w:top w:val="nil"/>
              <w:left w:val="nil"/>
              <w:bottom w:val="single" w:sz="4" w:space="0" w:color="auto"/>
              <w:right w:val="nil"/>
            </w:tcBorders>
            <w:shd w:val="clear" w:color="auto" w:fill="auto"/>
            <w:noWrap/>
            <w:vAlign w:val="center"/>
            <w:hideMark/>
          </w:tcPr>
          <w:p w14:paraId="7DAB52BC"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TLI</w:t>
            </w:r>
          </w:p>
        </w:tc>
        <w:tc>
          <w:tcPr>
            <w:tcW w:w="605" w:type="pct"/>
            <w:tcBorders>
              <w:top w:val="nil"/>
              <w:left w:val="nil"/>
              <w:bottom w:val="single" w:sz="4" w:space="0" w:color="auto"/>
              <w:right w:val="nil"/>
            </w:tcBorders>
            <w:shd w:val="clear" w:color="auto" w:fill="auto"/>
            <w:vAlign w:val="center"/>
            <w:hideMark/>
          </w:tcPr>
          <w:p w14:paraId="3092038A"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Media de ICH</w:t>
            </w:r>
          </w:p>
        </w:tc>
      </w:tr>
      <w:tr w:rsidR="00992DBB" w:rsidRPr="004B1B70" w14:paraId="258CEDE5" w14:textId="77777777" w:rsidTr="00A130DF">
        <w:trPr>
          <w:trHeight w:val="240"/>
        </w:trPr>
        <w:tc>
          <w:tcPr>
            <w:tcW w:w="996" w:type="pct"/>
            <w:tcBorders>
              <w:top w:val="single" w:sz="4" w:space="0" w:color="auto"/>
              <w:left w:val="nil"/>
              <w:bottom w:val="nil"/>
              <w:right w:val="nil"/>
            </w:tcBorders>
            <w:shd w:val="clear" w:color="auto" w:fill="auto"/>
            <w:vAlign w:val="center"/>
          </w:tcPr>
          <w:p w14:paraId="18CA7039" w14:textId="202CADC2" w:rsidR="00992DBB" w:rsidRPr="004B1B70" w:rsidRDefault="00992DBB" w:rsidP="00A130DF">
            <w:pPr>
              <w:spacing w:after="0" w:line="240" w:lineRule="auto"/>
              <w:ind w:firstLine="0"/>
              <w:jc w:val="left"/>
              <w:rPr>
                <w:rFonts w:ascii="Arial" w:hAnsi="Arial" w:cs="Arial"/>
                <w:color w:val="000000"/>
                <w:sz w:val="16"/>
                <w:szCs w:val="16"/>
              </w:rPr>
            </w:pPr>
            <w:r w:rsidRPr="004B1B70">
              <w:rPr>
                <w:rFonts w:ascii="Arial" w:hAnsi="Arial" w:cs="Arial"/>
                <w:color w:val="000000"/>
                <w:sz w:val="16"/>
                <w:szCs w:val="16"/>
              </w:rPr>
              <w:t xml:space="preserve">SA-45 - 9F </w:t>
            </w:r>
            <w:r w:rsidR="001A26DE">
              <w:rPr>
                <w:rFonts w:ascii="Arial" w:hAnsi="Arial" w:cs="Arial"/>
                <w:color w:val="000000"/>
                <w:sz w:val="16"/>
                <w:szCs w:val="16"/>
              </w:rPr>
              <w:t>-</w:t>
            </w:r>
            <w:r w:rsidRPr="004B1B70">
              <w:rPr>
                <w:rFonts w:ascii="Arial" w:hAnsi="Arial" w:cs="Arial"/>
                <w:color w:val="000000"/>
                <w:sz w:val="16"/>
                <w:szCs w:val="16"/>
              </w:rPr>
              <w:t xml:space="preserve"> Orig</w:t>
            </w:r>
          </w:p>
        </w:tc>
        <w:tc>
          <w:tcPr>
            <w:tcW w:w="436" w:type="pct"/>
            <w:tcBorders>
              <w:top w:val="single" w:sz="4" w:space="0" w:color="auto"/>
              <w:left w:val="nil"/>
              <w:bottom w:val="nil"/>
              <w:right w:val="nil"/>
            </w:tcBorders>
            <w:shd w:val="clear" w:color="auto" w:fill="auto"/>
            <w:noWrap/>
            <w:vAlign w:val="center"/>
          </w:tcPr>
          <w:p w14:paraId="293FF946"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1985,252</w:t>
            </w:r>
          </w:p>
        </w:tc>
        <w:tc>
          <w:tcPr>
            <w:tcW w:w="220" w:type="pct"/>
            <w:tcBorders>
              <w:top w:val="single" w:sz="4" w:space="0" w:color="auto"/>
              <w:left w:val="nil"/>
              <w:bottom w:val="nil"/>
              <w:right w:val="nil"/>
            </w:tcBorders>
            <w:shd w:val="clear" w:color="auto" w:fill="auto"/>
            <w:noWrap/>
            <w:vAlign w:val="center"/>
          </w:tcPr>
          <w:p w14:paraId="164ABF9C"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909</w:t>
            </w:r>
          </w:p>
        </w:tc>
        <w:tc>
          <w:tcPr>
            <w:tcW w:w="292" w:type="pct"/>
            <w:tcBorders>
              <w:top w:val="single" w:sz="4" w:space="0" w:color="auto"/>
              <w:left w:val="nil"/>
              <w:bottom w:val="nil"/>
              <w:right w:val="nil"/>
            </w:tcBorders>
            <w:shd w:val="clear" w:color="auto" w:fill="auto"/>
            <w:noWrap/>
            <w:vAlign w:val="center"/>
          </w:tcPr>
          <w:p w14:paraId="4CA57A98"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2,184</w:t>
            </w:r>
          </w:p>
        </w:tc>
        <w:tc>
          <w:tcPr>
            <w:tcW w:w="359" w:type="pct"/>
            <w:tcBorders>
              <w:top w:val="single" w:sz="4" w:space="0" w:color="auto"/>
              <w:left w:val="nil"/>
              <w:bottom w:val="nil"/>
              <w:right w:val="nil"/>
            </w:tcBorders>
            <w:shd w:val="clear" w:color="auto" w:fill="auto"/>
            <w:noWrap/>
            <w:vAlign w:val="center"/>
          </w:tcPr>
          <w:p w14:paraId="035CF888"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1,205</w:t>
            </w:r>
          </w:p>
        </w:tc>
        <w:tc>
          <w:tcPr>
            <w:tcW w:w="292" w:type="pct"/>
            <w:tcBorders>
              <w:top w:val="single" w:sz="4" w:space="0" w:color="auto"/>
              <w:left w:val="nil"/>
              <w:bottom w:val="nil"/>
              <w:right w:val="nil"/>
            </w:tcBorders>
            <w:shd w:val="clear" w:color="auto" w:fill="auto"/>
            <w:noWrap/>
            <w:vAlign w:val="center"/>
          </w:tcPr>
          <w:p w14:paraId="20B72EAF"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0,000</w:t>
            </w:r>
          </w:p>
        </w:tc>
        <w:tc>
          <w:tcPr>
            <w:tcW w:w="884" w:type="pct"/>
            <w:tcBorders>
              <w:top w:val="single" w:sz="4" w:space="0" w:color="auto"/>
              <w:left w:val="nil"/>
              <w:bottom w:val="nil"/>
              <w:right w:val="nil"/>
            </w:tcBorders>
            <w:shd w:val="clear" w:color="auto" w:fill="auto"/>
            <w:noWrap/>
            <w:vAlign w:val="center"/>
          </w:tcPr>
          <w:p w14:paraId="2E86A8AC"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0,072 (0,067 - 0,076)</w:t>
            </w:r>
          </w:p>
        </w:tc>
        <w:tc>
          <w:tcPr>
            <w:tcW w:w="331" w:type="pct"/>
            <w:tcBorders>
              <w:top w:val="single" w:sz="4" w:space="0" w:color="auto"/>
              <w:left w:val="nil"/>
              <w:bottom w:val="nil"/>
              <w:right w:val="nil"/>
            </w:tcBorders>
            <w:shd w:val="clear" w:color="auto" w:fill="auto"/>
            <w:noWrap/>
            <w:vAlign w:val="center"/>
          </w:tcPr>
          <w:p w14:paraId="7F0191B1"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0,070</w:t>
            </w:r>
          </w:p>
        </w:tc>
        <w:tc>
          <w:tcPr>
            <w:tcW w:w="292" w:type="pct"/>
            <w:tcBorders>
              <w:top w:val="single" w:sz="4" w:space="0" w:color="auto"/>
              <w:left w:val="nil"/>
              <w:bottom w:val="nil"/>
              <w:right w:val="nil"/>
            </w:tcBorders>
            <w:shd w:val="clear" w:color="auto" w:fill="auto"/>
            <w:noWrap/>
            <w:vAlign w:val="center"/>
          </w:tcPr>
          <w:p w14:paraId="7A3F30E1"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0,819</w:t>
            </w:r>
          </w:p>
        </w:tc>
        <w:tc>
          <w:tcPr>
            <w:tcW w:w="292" w:type="pct"/>
            <w:tcBorders>
              <w:top w:val="single" w:sz="4" w:space="0" w:color="auto"/>
              <w:left w:val="nil"/>
              <w:bottom w:val="nil"/>
              <w:right w:val="nil"/>
            </w:tcBorders>
            <w:shd w:val="clear" w:color="auto" w:fill="auto"/>
            <w:noWrap/>
            <w:vAlign w:val="center"/>
          </w:tcPr>
          <w:p w14:paraId="6543120F" w14:textId="77777777" w:rsidR="00992DBB" w:rsidRPr="004B1B70"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0,803</w:t>
            </w:r>
          </w:p>
        </w:tc>
        <w:tc>
          <w:tcPr>
            <w:tcW w:w="605" w:type="pct"/>
            <w:tcBorders>
              <w:top w:val="single" w:sz="4" w:space="0" w:color="auto"/>
              <w:left w:val="nil"/>
              <w:bottom w:val="nil"/>
              <w:right w:val="nil"/>
            </w:tcBorders>
            <w:shd w:val="clear" w:color="auto" w:fill="auto"/>
            <w:noWrap/>
            <w:vAlign w:val="center"/>
          </w:tcPr>
          <w:p w14:paraId="5918C00F" w14:textId="77777777" w:rsidR="00992DBB" w:rsidRPr="004B1B70"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w:t>
            </w:r>
          </w:p>
        </w:tc>
      </w:tr>
      <w:tr w:rsidR="00992DBB" w:rsidRPr="004B1B70" w14:paraId="3591B012" w14:textId="77777777" w:rsidTr="00A130DF">
        <w:trPr>
          <w:trHeight w:val="240"/>
        </w:trPr>
        <w:tc>
          <w:tcPr>
            <w:tcW w:w="996" w:type="pct"/>
            <w:tcBorders>
              <w:left w:val="nil"/>
              <w:bottom w:val="nil"/>
              <w:right w:val="nil"/>
            </w:tcBorders>
            <w:shd w:val="clear" w:color="auto" w:fill="auto"/>
            <w:vAlign w:val="center"/>
            <w:hideMark/>
          </w:tcPr>
          <w:p w14:paraId="2A8F39FE" w14:textId="7E070CB5" w:rsidR="00992DBB" w:rsidRPr="003F52D4" w:rsidRDefault="00992DBB" w:rsidP="00A130DF">
            <w:pPr>
              <w:spacing w:after="0" w:line="240" w:lineRule="auto"/>
              <w:ind w:firstLine="0"/>
              <w:jc w:val="left"/>
              <w:rPr>
                <w:rFonts w:ascii="Arial" w:hAnsi="Arial" w:cs="Arial"/>
                <w:color w:val="000000"/>
                <w:sz w:val="16"/>
                <w:szCs w:val="16"/>
              </w:rPr>
            </w:pPr>
            <w:r w:rsidRPr="003F52D4">
              <w:rPr>
                <w:rFonts w:ascii="Arial" w:hAnsi="Arial" w:cs="Arial"/>
                <w:color w:val="000000"/>
                <w:sz w:val="16"/>
                <w:szCs w:val="16"/>
              </w:rPr>
              <w:t>SA-45 - 9F</w:t>
            </w:r>
            <w:r w:rsidRPr="004B1B70">
              <w:rPr>
                <w:rFonts w:ascii="Arial" w:hAnsi="Arial" w:cs="Arial"/>
                <w:color w:val="000000"/>
                <w:sz w:val="16"/>
                <w:szCs w:val="16"/>
              </w:rPr>
              <w:t xml:space="preserve"> </w:t>
            </w:r>
            <w:r w:rsidR="001A26DE">
              <w:rPr>
                <w:rFonts w:ascii="Arial" w:hAnsi="Arial" w:cs="Arial"/>
                <w:color w:val="000000"/>
                <w:sz w:val="16"/>
                <w:szCs w:val="16"/>
              </w:rPr>
              <w:t>-</w:t>
            </w:r>
            <w:r w:rsidRPr="004B1B70">
              <w:rPr>
                <w:rFonts w:ascii="Arial" w:hAnsi="Arial" w:cs="Arial"/>
                <w:color w:val="000000"/>
                <w:sz w:val="16"/>
                <w:szCs w:val="16"/>
              </w:rPr>
              <w:t xml:space="preserve"> EFA</w:t>
            </w:r>
          </w:p>
        </w:tc>
        <w:tc>
          <w:tcPr>
            <w:tcW w:w="436" w:type="pct"/>
            <w:tcBorders>
              <w:left w:val="nil"/>
              <w:bottom w:val="nil"/>
              <w:right w:val="nil"/>
            </w:tcBorders>
            <w:shd w:val="clear" w:color="auto" w:fill="auto"/>
            <w:noWrap/>
            <w:vAlign w:val="center"/>
          </w:tcPr>
          <w:p w14:paraId="53B089E8"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1898,500</w:t>
            </w:r>
          </w:p>
        </w:tc>
        <w:tc>
          <w:tcPr>
            <w:tcW w:w="220" w:type="pct"/>
            <w:tcBorders>
              <w:left w:val="nil"/>
              <w:bottom w:val="nil"/>
              <w:right w:val="nil"/>
            </w:tcBorders>
            <w:shd w:val="clear" w:color="auto" w:fill="auto"/>
            <w:noWrap/>
            <w:vAlign w:val="center"/>
          </w:tcPr>
          <w:p w14:paraId="36A771CF"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910</w:t>
            </w:r>
          </w:p>
        </w:tc>
        <w:tc>
          <w:tcPr>
            <w:tcW w:w="292" w:type="pct"/>
            <w:tcBorders>
              <w:left w:val="nil"/>
              <w:bottom w:val="nil"/>
              <w:right w:val="nil"/>
            </w:tcBorders>
            <w:shd w:val="clear" w:color="auto" w:fill="auto"/>
            <w:noWrap/>
            <w:vAlign w:val="center"/>
          </w:tcPr>
          <w:p w14:paraId="50C5D496"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2,086</w:t>
            </w:r>
          </w:p>
        </w:tc>
        <w:tc>
          <w:tcPr>
            <w:tcW w:w="359" w:type="pct"/>
            <w:tcBorders>
              <w:left w:val="nil"/>
              <w:bottom w:val="nil"/>
              <w:right w:val="nil"/>
            </w:tcBorders>
            <w:shd w:val="clear" w:color="auto" w:fill="auto"/>
            <w:noWrap/>
            <w:vAlign w:val="center"/>
          </w:tcPr>
          <w:p w14:paraId="507955C8"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1,203</w:t>
            </w:r>
          </w:p>
        </w:tc>
        <w:tc>
          <w:tcPr>
            <w:tcW w:w="292" w:type="pct"/>
            <w:tcBorders>
              <w:left w:val="nil"/>
              <w:bottom w:val="nil"/>
              <w:right w:val="nil"/>
            </w:tcBorders>
            <w:shd w:val="clear" w:color="auto" w:fill="auto"/>
            <w:noWrap/>
            <w:vAlign w:val="center"/>
          </w:tcPr>
          <w:p w14:paraId="59DCCAF2"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0,000</w:t>
            </w:r>
          </w:p>
        </w:tc>
        <w:tc>
          <w:tcPr>
            <w:tcW w:w="884" w:type="pct"/>
            <w:tcBorders>
              <w:left w:val="nil"/>
              <w:bottom w:val="nil"/>
              <w:right w:val="nil"/>
            </w:tcBorders>
            <w:shd w:val="clear" w:color="auto" w:fill="auto"/>
            <w:noWrap/>
            <w:vAlign w:val="center"/>
          </w:tcPr>
          <w:p w14:paraId="06629855"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0,069 (0,064 - 0,073)</w:t>
            </w:r>
          </w:p>
        </w:tc>
        <w:tc>
          <w:tcPr>
            <w:tcW w:w="331" w:type="pct"/>
            <w:tcBorders>
              <w:left w:val="nil"/>
              <w:bottom w:val="nil"/>
              <w:right w:val="nil"/>
            </w:tcBorders>
            <w:shd w:val="clear" w:color="auto" w:fill="auto"/>
            <w:noWrap/>
            <w:vAlign w:val="center"/>
          </w:tcPr>
          <w:p w14:paraId="0F7AB65F"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0,069</w:t>
            </w:r>
          </w:p>
        </w:tc>
        <w:tc>
          <w:tcPr>
            <w:tcW w:w="292" w:type="pct"/>
            <w:tcBorders>
              <w:left w:val="nil"/>
              <w:bottom w:val="nil"/>
              <w:right w:val="nil"/>
            </w:tcBorders>
            <w:shd w:val="clear" w:color="auto" w:fill="auto"/>
            <w:noWrap/>
            <w:vAlign w:val="center"/>
          </w:tcPr>
          <w:p w14:paraId="71B3048B"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0,834</w:t>
            </w:r>
          </w:p>
        </w:tc>
        <w:tc>
          <w:tcPr>
            <w:tcW w:w="292" w:type="pct"/>
            <w:tcBorders>
              <w:left w:val="nil"/>
              <w:bottom w:val="nil"/>
              <w:right w:val="nil"/>
            </w:tcBorders>
            <w:shd w:val="clear" w:color="auto" w:fill="auto"/>
            <w:noWrap/>
            <w:vAlign w:val="center"/>
          </w:tcPr>
          <w:p w14:paraId="7BC244E0"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0,820</w:t>
            </w:r>
          </w:p>
        </w:tc>
        <w:tc>
          <w:tcPr>
            <w:tcW w:w="605" w:type="pct"/>
            <w:tcBorders>
              <w:left w:val="nil"/>
              <w:bottom w:val="nil"/>
              <w:right w:val="nil"/>
            </w:tcBorders>
            <w:shd w:val="clear" w:color="auto" w:fill="auto"/>
            <w:noWrap/>
            <w:vAlign w:val="center"/>
            <w:hideMark/>
          </w:tcPr>
          <w:p w14:paraId="66D9334B" w14:textId="77777777" w:rsidR="00992DBB" w:rsidRPr="003F52D4" w:rsidRDefault="00992DBB" w:rsidP="00A130DF">
            <w:pPr>
              <w:spacing w:after="0" w:line="240" w:lineRule="auto"/>
              <w:ind w:firstLine="0"/>
              <w:jc w:val="center"/>
              <w:rPr>
                <w:rFonts w:ascii="Arial" w:hAnsi="Arial" w:cs="Arial"/>
                <w:color w:val="000000"/>
                <w:sz w:val="16"/>
                <w:szCs w:val="16"/>
              </w:rPr>
            </w:pPr>
            <w:r w:rsidRPr="004B1B70">
              <w:rPr>
                <w:rFonts w:ascii="Arial" w:hAnsi="Arial" w:cs="Arial"/>
                <w:color w:val="000000"/>
                <w:sz w:val="16"/>
                <w:szCs w:val="16"/>
              </w:rPr>
              <w:t>2,260</w:t>
            </w:r>
          </w:p>
        </w:tc>
      </w:tr>
      <w:tr w:rsidR="00992DBB" w:rsidRPr="004B1B70" w14:paraId="6DAFD293" w14:textId="77777777" w:rsidTr="00A130DF">
        <w:trPr>
          <w:trHeight w:val="240"/>
        </w:trPr>
        <w:tc>
          <w:tcPr>
            <w:tcW w:w="996" w:type="pct"/>
            <w:tcBorders>
              <w:top w:val="nil"/>
              <w:left w:val="nil"/>
              <w:bottom w:val="nil"/>
              <w:right w:val="nil"/>
            </w:tcBorders>
            <w:shd w:val="clear" w:color="auto" w:fill="auto"/>
            <w:vAlign w:val="center"/>
            <w:hideMark/>
          </w:tcPr>
          <w:p w14:paraId="311C64A1" w14:textId="06B24F8D" w:rsidR="00992DBB" w:rsidRPr="003F52D4" w:rsidRDefault="00992DBB" w:rsidP="00A130DF">
            <w:pPr>
              <w:spacing w:after="0" w:line="240" w:lineRule="auto"/>
              <w:ind w:firstLine="0"/>
              <w:jc w:val="left"/>
              <w:rPr>
                <w:rFonts w:ascii="Arial" w:hAnsi="Arial" w:cs="Arial"/>
                <w:color w:val="000000"/>
                <w:sz w:val="16"/>
                <w:szCs w:val="16"/>
              </w:rPr>
            </w:pPr>
            <w:bookmarkStart w:id="5" w:name="_Hlk58851598"/>
            <w:r w:rsidRPr="003F52D4">
              <w:rPr>
                <w:rFonts w:ascii="Arial" w:hAnsi="Arial" w:cs="Arial"/>
                <w:color w:val="000000"/>
                <w:sz w:val="16"/>
                <w:szCs w:val="16"/>
              </w:rPr>
              <w:t xml:space="preserve">SA-45 - 6F </w:t>
            </w:r>
            <w:r w:rsidR="001A26DE">
              <w:rPr>
                <w:rFonts w:ascii="Arial" w:hAnsi="Arial" w:cs="Arial"/>
                <w:color w:val="000000"/>
                <w:sz w:val="16"/>
                <w:szCs w:val="16"/>
              </w:rPr>
              <w:t>-</w:t>
            </w:r>
            <w:r w:rsidRPr="003F52D4">
              <w:rPr>
                <w:rFonts w:ascii="Arial" w:hAnsi="Arial" w:cs="Arial"/>
                <w:color w:val="000000"/>
                <w:sz w:val="16"/>
                <w:szCs w:val="16"/>
              </w:rPr>
              <w:t xml:space="preserve"> EFA</w:t>
            </w:r>
            <w:bookmarkEnd w:id="5"/>
          </w:p>
        </w:tc>
        <w:tc>
          <w:tcPr>
            <w:tcW w:w="436" w:type="pct"/>
            <w:tcBorders>
              <w:top w:val="nil"/>
              <w:left w:val="nil"/>
              <w:bottom w:val="nil"/>
              <w:right w:val="nil"/>
            </w:tcBorders>
            <w:shd w:val="clear" w:color="auto" w:fill="auto"/>
            <w:noWrap/>
            <w:vAlign w:val="center"/>
            <w:hideMark/>
          </w:tcPr>
          <w:p w14:paraId="294D2FE8"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1967,805</w:t>
            </w:r>
          </w:p>
        </w:tc>
        <w:tc>
          <w:tcPr>
            <w:tcW w:w="220" w:type="pct"/>
            <w:tcBorders>
              <w:top w:val="nil"/>
              <w:left w:val="nil"/>
              <w:bottom w:val="nil"/>
              <w:right w:val="nil"/>
            </w:tcBorders>
            <w:shd w:val="clear" w:color="auto" w:fill="auto"/>
            <w:noWrap/>
            <w:vAlign w:val="center"/>
            <w:hideMark/>
          </w:tcPr>
          <w:p w14:paraId="1133B2B2"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930</w:t>
            </w:r>
          </w:p>
        </w:tc>
        <w:tc>
          <w:tcPr>
            <w:tcW w:w="292" w:type="pct"/>
            <w:tcBorders>
              <w:top w:val="nil"/>
              <w:left w:val="nil"/>
              <w:bottom w:val="nil"/>
              <w:right w:val="nil"/>
            </w:tcBorders>
            <w:shd w:val="clear" w:color="auto" w:fill="auto"/>
            <w:noWrap/>
            <w:vAlign w:val="center"/>
            <w:hideMark/>
          </w:tcPr>
          <w:p w14:paraId="075B2139"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2,116</w:t>
            </w:r>
          </w:p>
        </w:tc>
        <w:tc>
          <w:tcPr>
            <w:tcW w:w="359" w:type="pct"/>
            <w:tcBorders>
              <w:top w:val="nil"/>
              <w:left w:val="nil"/>
              <w:bottom w:val="nil"/>
              <w:right w:val="nil"/>
            </w:tcBorders>
            <w:shd w:val="clear" w:color="auto" w:fill="auto"/>
            <w:noWrap/>
            <w:vAlign w:val="center"/>
            <w:hideMark/>
          </w:tcPr>
          <w:p w14:paraId="4E1630EB"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1,207</w:t>
            </w:r>
          </w:p>
        </w:tc>
        <w:tc>
          <w:tcPr>
            <w:tcW w:w="292" w:type="pct"/>
            <w:tcBorders>
              <w:top w:val="nil"/>
              <w:left w:val="nil"/>
              <w:bottom w:val="nil"/>
              <w:right w:val="nil"/>
            </w:tcBorders>
            <w:shd w:val="clear" w:color="auto" w:fill="auto"/>
            <w:noWrap/>
            <w:vAlign w:val="center"/>
            <w:hideMark/>
          </w:tcPr>
          <w:p w14:paraId="445F7D77"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0,000</w:t>
            </w:r>
          </w:p>
        </w:tc>
        <w:tc>
          <w:tcPr>
            <w:tcW w:w="884" w:type="pct"/>
            <w:tcBorders>
              <w:top w:val="nil"/>
              <w:left w:val="nil"/>
              <w:bottom w:val="nil"/>
              <w:right w:val="nil"/>
            </w:tcBorders>
            <w:shd w:val="clear" w:color="auto" w:fill="auto"/>
            <w:noWrap/>
            <w:vAlign w:val="center"/>
            <w:hideMark/>
          </w:tcPr>
          <w:p w14:paraId="1E5D0CC2"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0,070 (0,065 - 0,074)</w:t>
            </w:r>
          </w:p>
        </w:tc>
        <w:tc>
          <w:tcPr>
            <w:tcW w:w="331" w:type="pct"/>
            <w:tcBorders>
              <w:top w:val="nil"/>
              <w:left w:val="nil"/>
              <w:bottom w:val="nil"/>
              <w:right w:val="nil"/>
            </w:tcBorders>
            <w:shd w:val="clear" w:color="auto" w:fill="auto"/>
            <w:noWrap/>
            <w:vAlign w:val="center"/>
            <w:hideMark/>
          </w:tcPr>
          <w:p w14:paraId="72BF2FBD"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0,070</w:t>
            </w:r>
          </w:p>
        </w:tc>
        <w:tc>
          <w:tcPr>
            <w:tcW w:w="292" w:type="pct"/>
            <w:tcBorders>
              <w:top w:val="nil"/>
              <w:left w:val="nil"/>
              <w:bottom w:val="nil"/>
              <w:right w:val="nil"/>
            </w:tcBorders>
            <w:shd w:val="clear" w:color="auto" w:fill="auto"/>
            <w:noWrap/>
            <w:vAlign w:val="center"/>
            <w:hideMark/>
          </w:tcPr>
          <w:p w14:paraId="2B974785"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0,825</w:t>
            </w:r>
          </w:p>
        </w:tc>
        <w:tc>
          <w:tcPr>
            <w:tcW w:w="292" w:type="pct"/>
            <w:tcBorders>
              <w:top w:val="nil"/>
              <w:left w:val="nil"/>
              <w:bottom w:val="nil"/>
              <w:right w:val="nil"/>
            </w:tcBorders>
            <w:shd w:val="clear" w:color="auto" w:fill="auto"/>
            <w:noWrap/>
            <w:vAlign w:val="center"/>
            <w:hideMark/>
          </w:tcPr>
          <w:p w14:paraId="659F757B"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0,814</w:t>
            </w:r>
          </w:p>
        </w:tc>
        <w:tc>
          <w:tcPr>
            <w:tcW w:w="605" w:type="pct"/>
            <w:tcBorders>
              <w:top w:val="nil"/>
              <w:left w:val="nil"/>
              <w:bottom w:val="nil"/>
              <w:right w:val="nil"/>
            </w:tcBorders>
            <w:shd w:val="clear" w:color="auto" w:fill="auto"/>
            <w:vAlign w:val="center"/>
            <w:hideMark/>
          </w:tcPr>
          <w:p w14:paraId="316AEA6B" w14:textId="77777777" w:rsidR="00992DBB" w:rsidRPr="003F52D4" w:rsidRDefault="00992DBB" w:rsidP="00A130D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1,854</w:t>
            </w:r>
          </w:p>
        </w:tc>
      </w:tr>
      <w:tr w:rsidR="00992DBB" w:rsidRPr="003F52D4" w14:paraId="4403643B" w14:textId="77777777" w:rsidTr="00A130DF">
        <w:trPr>
          <w:trHeight w:val="735"/>
        </w:trPr>
        <w:tc>
          <w:tcPr>
            <w:tcW w:w="5000" w:type="pct"/>
            <w:gridSpan w:val="11"/>
            <w:tcBorders>
              <w:top w:val="single" w:sz="4" w:space="0" w:color="auto"/>
              <w:left w:val="nil"/>
              <w:bottom w:val="nil"/>
              <w:right w:val="nil"/>
            </w:tcBorders>
            <w:shd w:val="clear" w:color="auto" w:fill="auto"/>
            <w:vAlign w:val="center"/>
            <w:hideMark/>
          </w:tcPr>
          <w:p w14:paraId="0D2E4B17" w14:textId="77777777" w:rsidR="00992DBB" w:rsidRPr="003F52D4" w:rsidRDefault="00992DBB" w:rsidP="00A130DF">
            <w:pPr>
              <w:spacing w:after="0" w:line="240" w:lineRule="auto"/>
              <w:ind w:firstLine="0"/>
              <w:jc w:val="left"/>
              <w:rPr>
                <w:rFonts w:ascii="Arial" w:hAnsi="Arial" w:cs="Arial"/>
                <w:color w:val="000000"/>
                <w:sz w:val="16"/>
                <w:szCs w:val="16"/>
              </w:rPr>
            </w:pPr>
            <w:r w:rsidRPr="003F52D4">
              <w:rPr>
                <w:rFonts w:ascii="Arial" w:hAnsi="Arial" w:cs="Arial"/>
                <w:color w:val="000000"/>
                <w:sz w:val="16"/>
                <w:szCs w:val="16"/>
              </w:rPr>
              <w:lastRenderedPageBreak/>
              <w:t xml:space="preserve">Notas. n = 338; χ2 </w:t>
            </w:r>
            <w:r w:rsidRPr="003F52D4">
              <w:rPr>
                <w:rFonts w:ascii="Arial" w:hAnsi="Arial" w:cs="Arial"/>
                <w:color w:val="000000"/>
                <w:sz w:val="16"/>
                <w:szCs w:val="16"/>
                <w:vertAlign w:val="superscript"/>
              </w:rPr>
              <w:t>MLM</w:t>
            </w:r>
            <w:r w:rsidRPr="003F52D4">
              <w:rPr>
                <w:rFonts w:ascii="Arial" w:hAnsi="Arial" w:cs="Arial"/>
                <w:color w:val="000000"/>
                <w:sz w:val="16"/>
                <w:szCs w:val="16"/>
              </w:rPr>
              <w:t xml:space="preserve"> - Chi-cuadrado utilizando el método de máxima verosimilitud con errores estándares robustos (MLM); df, grados de libertad; Scaling, factor de ajuste de la corrección de Satorra-Bentler; RMSEA, error cuadrático medio de aproximación; SRMR, residuo estandarizado cuadrático medio, CFI, índice de ajuste comparativo; TLI, Tucker Lewis Index;</w:t>
            </w:r>
            <w:r w:rsidRPr="004B1B70">
              <w:rPr>
                <w:rFonts w:ascii="Arial" w:hAnsi="Arial" w:cs="Arial"/>
                <w:color w:val="000000"/>
                <w:sz w:val="16"/>
                <w:szCs w:val="16"/>
              </w:rPr>
              <w:t xml:space="preserve"> F, factores;</w:t>
            </w:r>
            <w:r w:rsidRPr="003F52D4">
              <w:rPr>
                <w:rFonts w:ascii="Arial" w:hAnsi="Arial" w:cs="Arial"/>
                <w:color w:val="000000"/>
                <w:sz w:val="16"/>
                <w:szCs w:val="16"/>
              </w:rPr>
              <w:t xml:space="preserve"> ICH, índice de complejidad de Hofmann (1978).</w:t>
            </w:r>
          </w:p>
        </w:tc>
      </w:tr>
    </w:tbl>
    <w:p w14:paraId="51291216" w14:textId="77777777" w:rsidR="00992DBB" w:rsidRDefault="00992DBB" w:rsidP="00992DBB">
      <w:pPr>
        <w:rPr>
          <w:lang w:eastAsia="en-US"/>
        </w:rPr>
      </w:pPr>
    </w:p>
    <w:p w14:paraId="200BB4B5" w14:textId="3E8206E2" w:rsidR="00992DBB" w:rsidRDefault="00B964C8" w:rsidP="00992DBB">
      <w:pPr>
        <w:pStyle w:val="Ttulo3"/>
      </w:pPr>
      <w:r>
        <w:t>Medida de purificación</w:t>
      </w:r>
      <w:r w:rsidR="00143AEA">
        <w:t xml:space="preserve"> y comparación de posibles estructuras factoriales</w:t>
      </w:r>
    </w:p>
    <w:p w14:paraId="20118BF1" w14:textId="4520B3F3" w:rsidR="00E150DD" w:rsidRDefault="00C22477" w:rsidP="00E150DD">
      <w:pPr>
        <w:rPr>
          <w:lang w:eastAsia="en-US"/>
        </w:rPr>
      </w:pPr>
      <w:r>
        <w:rPr>
          <w:lang w:eastAsia="en-US"/>
        </w:rPr>
        <w:t>Como c</w:t>
      </w:r>
      <w:r w:rsidR="00826092">
        <w:rPr>
          <w:lang w:eastAsia="en-US"/>
        </w:rPr>
        <w:t>r</w:t>
      </w:r>
      <w:r>
        <w:rPr>
          <w:lang w:eastAsia="en-US"/>
        </w:rPr>
        <w:t>iterio</w:t>
      </w:r>
      <w:r w:rsidR="00826092">
        <w:rPr>
          <w:lang w:eastAsia="en-US"/>
        </w:rPr>
        <w:t xml:space="preserve"> </w:t>
      </w:r>
      <w:r>
        <w:rPr>
          <w:lang w:eastAsia="en-US"/>
        </w:rPr>
        <w:t xml:space="preserve">para realizar la medida de purificación, se utilizó el índice de complejidad de </w:t>
      </w:r>
      <w:r>
        <w:rPr>
          <w:lang w:eastAsia="en-US"/>
        </w:rPr>
        <w:fldChar w:fldCharType="begin" w:fldLock="1"/>
      </w:r>
      <w:r>
        <w:rPr>
          <w:lang w:eastAsia="en-US"/>
        </w:rPr>
        <w:instrText>ADDIN CSL_CITATION {"citationItems":[{"id":"ITEM-1","itemData":{"DOI":"10.1207/s15327906mbr1302_9","ISSN":"0027-3171","author":[{"dropping-particle":"","family":"Hofmann","given":"Richard J.","non-dropping-particle":"","parse-names":false,"suffix":""}],"container-title":"Multivariate Behavioral Research","id":"ITEM-1","issue":"2","issued":{"date-parts":[["1978","4","10"]]},"page":"247-250","title":"Complexity And Simplicity As Objective Indices Descriptive Of Factor Solutions","type":"article-journal","volume":"13"},"uris":["http://www.mendeley.com/documents/?uuid=832843f7-ab03-459c-b5be-09dace7ff0be"]}],"mendeley":{"formattedCitation":"(Hofmann, 1978)","manualFormatting":"Hofmann (1978)","plainTextFormattedCitation":"(Hofmann, 1978)","previouslyFormattedCitation":"(Hofmann, 1978)"},"properties":{"noteIndex":0},"schema":"https://github.com/citation-style-language/schema/raw/master/csl-citation.json"}</w:instrText>
      </w:r>
      <w:r>
        <w:rPr>
          <w:lang w:eastAsia="en-US"/>
        </w:rPr>
        <w:fldChar w:fldCharType="separate"/>
      </w:r>
      <w:r w:rsidRPr="006550E9">
        <w:rPr>
          <w:noProof/>
          <w:lang w:eastAsia="en-US"/>
        </w:rPr>
        <w:t xml:space="preserve">Hofmann </w:t>
      </w:r>
      <w:r>
        <w:rPr>
          <w:noProof/>
          <w:lang w:eastAsia="en-US"/>
        </w:rPr>
        <w:t>(</w:t>
      </w:r>
      <w:r w:rsidRPr="006550E9">
        <w:rPr>
          <w:noProof/>
          <w:lang w:eastAsia="en-US"/>
        </w:rPr>
        <w:t>1978)</w:t>
      </w:r>
      <w:r>
        <w:rPr>
          <w:lang w:eastAsia="en-US"/>
        </w:rPr>
        <w:fldChar w:fldCharType="end"/>
      </w:r>
      <w:r>
        <w:rPr>
          <w:lang w:eastAsia="en-US"/>
        </w:rPr>
        <w:t xml:space="preserve">. </w:t>
      </w:r>
      <w:r w:rsidR="00E03BD1">
        <w:rPr>
          <w:lang w:eastAsia="en-US"/>
        </w:rPr>
        <w:t>Este índice</w:t>
      </w:r>
      <w:r w:rsidR="00B964C8">
        <w:rPr>
          <w:lang w:eastAsia="en-US"/>
        </w:rPr>
        <w:t xml:space="preserve"> </w:t>
      </w:r>
      <w:r w:rsidR="00B964C8" w:rsidRPr="00062DC7">
        <w:rPr>
          <w:lang w:eastAsia="en-US"/>
        </w:rPr>
        <w:t xml:space="preserve">representa el número promedio de variables latentes </w:t>
      </w:r>
      <w:r w:rsidR="00B964C8">
        <w:rPr>
          <w:lang w:eastAsia="en-US"/>
        </w:rPr>
        <w:t xml:space="preserve">que se </w:t>
      </w:r>
      <w:r w:rsidR="00B964C8" w:rsidRPr="00062DC7">
        <w:rPr>
          <w:lang w:eastAsia="en-US"/>
        </w:rPr>
        <w:t>neces</w:t>
      </w:r>
      <w:r w:rsidR="00B964C8">
        <w:rPr>
          <w:lang w:eastAsia="en-US"/>
        </w:rPr>
        <w:t>itan</w:t>
      </w:r>
      <w:r w:rsidR="00B964C8" w:rsidRPr="00062DC7">
        <w:rPr>
          <w:lang w:eastAsia="en-US"/>
        </w:rPr>
        <w:t xml:space="preserve"> para explicar las variables manifiestas</w:t>
      </w:r>
      <w:r w:rsidR="00B964C8">
        <w:rPr>
          <w:lang w:eastAsia="en-US"/>
        </w:rPr>
        <w:t xml:space="preserve">. Debido a eso, </w:t>
      </w:r>
      <w:r w:rsidR="00B964C8" w:rsidRPr="00062DC7">
        <w:rPr>
          <w:lang w:eastAsia="en-US"/>
        </w:rPr>
        <w:t xml:space="preserve">una solución de estructura simple perfecta tiene una complejidad de </w:t>
      </w:r>
      <w:r w:rsidR="00B964C8">
        <w:rPr>
          <w:lang w:eastAsia="en-US"/>
        </w:rPr>
        <w:t xml:space="preserve">valor </w:t>
      </w:r>
      <w:r w:rsidR="00B964C8" w:rsidRPr="00062DC7">
        <w:rPr>
          <w:lang w:eastAsia="en-US"/>
        </w:rPr>
        <w:t>uno</w:t>
      </w:r>
      <w:r w:rsidR="00B964C8">
        <w:rPr>
          <w:lang w:eastAsia="en-US"/>
        </w:rPr>
        <w:t>, ya</w:t>
      </w:r>
      <w:r w:rsidR="00B964C8" w:rsidRPr="00062DC7">
        <w:rPr>
          <w:lang w:eastAsia="en-US"/>
        </w:rPr>
        <w:t xml:space="preserve"> que cada </w:t>
      </w:r>
      <w:r w:rsidR="00B964C8">
        <w:rPr>
          <w:lang w:eastAsia="en-US"/>
        </w:rPr>
        <w:t>ítem</w:t>
      </w:r>
      <w:r w:rsidR="00B964C8" w:rsidRPr="00062DC7">
        <w:rPr>
          <w:lang w:eastAsia="en-US"/>
        </w:rPr>
        <w:t xml:space="preserve"> carga</w:t>
      </w:r>
      <w:r w:rsidR="00B964C8">
        <w:rPr>
          <w:lang w:eastAsia="en-US"/>
        </w:rPr>
        <w:t xml:space="preserve"> solamente</w:t>
      </w:r>
      <w:r w:rsidR="00B964C8" w:rsidRPr="00062DC7">
        <w:rPr>
          <w:lang w:eastAsia="en-US"/>
        </w:rPr>
        <w:t xml:space="preserve"> en un </w:t>
      </w:r>
      <w:r w:rsidR="00B964C8">
        <w:rPr>
          <w:lang w:eastAsia="en-US"/>
        </w:rPr>
        <w:t xml:space="preserve">único </w:t>
      </w:r>
      <w:r w:rsidR="00B964C8" w:rsidRPr="00062DC7">
        <w:rPr>
          <w:lang w:eastAsia="en-US"/>
        </w:rPr>
        <w:t>factor</w:t>
      </w:r>
      <w:r w:rsidR="00B964C8">
        <w:rPr>
          <w:lang w:eastAsia="en-US"/>
        </w:rPr>
        <w:t>.</w:t>
      </w:r>
      <w:r w:rsidR="00B964C8" w:rsidRPr="00062DC7">
        <w:rPr>
          <w:lang w:eastAsia="en-US"/>
        </w:rPr>
        <w:t xml:space="preserve"> </w:t>
      </w:r>
      <w:r w:rsidR="00EC5CB2">
        <w:rPr>
          <w:lang w:eastAsia="en-US"/>
        </w:rPr>
        <w:t>Cuando un ítem carga simultáneamente en varios factores,</w:t>
      </w:r>
      <w:r w:rsidR="00B964C8">
        <w:rPr>
          <w:lang w:eastAsia="en-US"/>
        </w:rPr>
        <w:t xml:space="preserve"> </w:t>
      </w:r>
      <w:r w:rsidR="00EC5CB2">
        <w:rPr>
          <w:lang w:eastAsia="en-US"/>
        </w:rPr>
        <w:t>su</w:t>
      </w:r>
      <w:r w:rsidR="00B964C8">
        <w:rPr>
          <w:lang w:eastAsia="en-US"/>
        </w:rPr>
        <w:t xml:space="preserve"> índice de </w:t>
      </w:r>
      <w:r w:rsidR="00B964C8" w:rsidRPr="00062DC7">
        <w:rPr>
          <w:lang w:eastAsia="en-US"/>
        </w:rPr>
        <w:t xml:space="preserve">complejidad </w:t>
      </w:r>
      <w:r w:rsidR="00DE7A43">
        <w:rPr>
          <w:lang w:eastAsia="en-US"/>
        </w:rPr>
        <w:t xml:space="preserve">(ICH) </w:t>
      </w:r>
      <w:r w:rsidR="00B964C8">
        <w:rPr>
          <w:lang w:eastAsia="en-US"/>
        </w:rPr>
        <w:t xml:space="preserve">será </w:t>
      </w:r>
      <w:r w:rsidR="00B964C8" w:rsidRPr="00062DC7">
        <w:rPr>
          <w:lang w:eastAsia="en-US"/>
        </w:rPr>
        <w:t xml:space="preserve">mayor </w:t>
      </w:r>
      <w:r w:rsidR="00B964C8">
        <w:rPr>
          <w:lang w:eastAsia="en-US"/>
        </w:rPr>
        <w:t>a uno</w:t>
      </w:r>
      <w:r w:rsidR="004F6C40">
        <w:rPr>
          <w:lang w:eastAsia="en-US"/>
        </w:rPr>
        <w:t>.</w:t>
      </w:r>
      <w:r w:rsidR="00C87BA7">
        <w:rPr>
          <w:lang w:eastAsia="en-US"/>
        </w:rPr>
        <w:t xml:space="preserve"> </w:t>
      </w:r>
      <w:r w:rsidR="00987E6D">
        <w:rPr>
          <w:lang w:eastAsia="en-US"/>
        </w:rPr>
        <w:t>L</w:t>
      </w:r>
      <w:r w:rsidR="00B964C8">
        <w:rPr>
          <w:lang w:eastAsia="en-US"/>
        </w:rPr>
        <w:t xml:space="preserve">a </w:t>
      </w:r>
      <w:r w:rsidR="00B964C8">
        <w:rPr>
          <w:lang w:eastAsia="en-US"/>
        </w:rPr>
        <w:fldChar w:fldCharType="begin"/>
      </w:r>
      <w:r w:rsidR="00B964C8">
        <w:rPr>
          <w:lang w:eastAsia="en-US"/>
        </w:rPr>
        <w:instrText xml:space="preserve"> REF _Ref58850930 \h </w:instrText>
      </w:r>
      <w:r w:rsidR="00B964C8">
        <w:rPr>
          <w:lang w:eastAsia="en-US"/>
        </w:rPr>
      </w:r>
      <w:r w:rsidR="00B964C8">
        <w:rPr>
          <w:lang w:eastAsia="en-US"/>
        </w:rPr>
        <w:fldChar w:fldCharType="separate"/>
      </w:r>
      <w:r w:rsidR="00B964C8">
        <w:t xml:space="preserve">Tabla </w:t>
      </w:r>
      <w:r w:rsidR="00B964C8">
        <w:rPr>
          <w:noProof/>
        </w:rPr>
        <w:t>1</w:t>
      </w:r>
      <w:r w:rsidR="00B964C8">
        <w:rPr>
          <w:lang w:eastAsia="en-US"/>
        </w:rPr>
        <w:fldChar w:fldCharType="end"/>
      </w:r>
      <w:r w:rsidR="00B964C8">
        <w:rPr>
          <w:lang w:eastAsia="en-US"/>
        </w:rPr>
        <w:t xml:space="preserve"> muestra que el modelo de seis factores </w:t>
      </w:r>
      <w:r w:rsidR="00347882">
        <w:rPr>
          <w:lang w:eastAsia="en-US"/>
        </w:rPr>
        <w:t>(</w:t>
      </w:r>
      <w:r w:rsidR="00347882" w:rsidRPr="0004612F">
        <w:rPr>
          <w:lang w:eastAsia="en-US"/>
        </w:rPr>
        <w:t xml:space="preserve">SA-45 - 6F </w:t>
      </w:r>
      <w:r w:rsidR="00453270">
        <w:rPr>
          <w:lang w:eastAsia="en-US"/>
        </w:rPr>
        <w:t>-</w:t>
      </w:r>
      <w:r w:rsidR="00347882" w:rsidRPr="0004612F">
        <w:rPr>
          <w:lang w:eastAsia="en-US"/>
        </w:rPr>
        <w:t xml:space="preserve"> EFA</w:t>
      </w:r>
      <w:r w:rsidR="00347882">
        <w:rPr>
          <w:lang w:eastAsia="en-US"/>
        </w:rPr>
        <w:t xml:space="preserve">) </w:t>
      </w:r>
      <w:r w:rsidR="00B964C8">
        <w:rPr>
          <w:lang w:eastAsia="en-US"/>
        </w:rPr>
        <w:t xml:space="preserve">obtuvo el mejor resultado con relación a la media de todos los </w:t>
      </w:r>
      <w:r w:rsidR="00DE7A43">
        <w:rPr>
          <w:lang w:eastAsia="en-US"/>
        </w:rPr>
        <w:t>ICH</w:t>
      </w:r>
      <w:r w:rsidR="00E150DD">
        <w:rPr>
          <w:lang w:eastAsia="en-US"/>
        </w:rPr>
        <w:t>, por lo que</w:t>
      </w:r>
      <w:r w:rsidR="00992DBB">
        <w:rPr>
          <w:lang w:eastAsia="en-US"/>
        </w:rPr>
        <w:t xml:space="preserve"> se realizó la medida de purificación </w:t>
      </w:r>
      <w:r w:rsidR="004006F9">
        <w:rPr>
          <w:lang w:eastAsia="en-US"/>
        </w:rPr>
        <w:t xml:space="preserve">sobre </w:t>
      </w:r>
      <w:r w:rsidR="00E150DD">
        <w:rPr>
          <w:lang w:eastAsia="en-US"/>
        </w:rPr>
        <w:t>este</w:t>
      </w:r>
      <w:r w:rsidR="004006F9">
        <w:rPr>
          <w:lang w:eastAsia="en-US"/>
        </w:rPr>
        <w:t xml:space="preserve"> modelo</w:t>
      </w:r>
      <w:r w:rsidR="00992DBB">
        <w:rPr>
          <w:lang w:eastAsia="en-US"/>
        </w:rPr>
        <w:t xml:space="preserve">. </w:t>
      </w:r>
    </w:p>
    <w:p w14:paraId="47D2CAE7" w14:textId="6A13658A" w:rsidR="00435BC9" w:rsidRDefault="006D58A1" w:rsidP="00E150DD">
      <w:pPr>
        <w:rPr>
          <w:lang w:eastAsia="en-US"/>
        </w:rPr>
      </w:pPr>
      <w:r>
        <w:rPr>
          <w:lang w:eastAsia="en-US"/>
        </w:rPr>
        <w:t>Se</w:t>
      </w:r>
      <w:r w:rsidR="00A54FA7">
        <w:rPr>
          <w:lang w:eastAsia="en-US"/>
        </w:rPr>
        <w:t xml:space="preserve"> elimin</w:t>
      </w:r>
      <w:r w:rsidR="00C65729">
        <w:rPr>
          <w:lang w:eastAsia="en-US"/>
        </w:rPr>
        <w:t>ó</w:t>
      </w:r>
      <w:r w:rsidR="00A54FA7">
        <w:rPr>
          <w:lang w:eastAsia="en-US"/>
        </w:rPr>
        <w:t xml:space="preserve"> aquel ítem que mayor </w:t>
      </w:r>
      <w:r w:rsidR="007E67C6">
        <w:rPr>
          <w:lang w:eastAsia="en-US"/>
        </w:rPr>
        <w:t>ICH</w:t>
      </w:r>
      <w:r w:rsidR="00A54FA7">
        <w:rPr>
          <w:lang w:eastAsia="en-US"/>
        </w:rPr>
        <w:t xml:space="preserve"> </w:t>
      </w:r>
      <w:r w:rsidR="00A77860">
        <w:rPr>
          <w:lang w:eastAsia="en-US"/>
        </w:rPr>
        <w:t>exhibió</w:t>
      </w:r>
      <w:r w:rsidR="00A54FA7">
        <w:rPr>
          <w:lang w:eastAsia="en-US"/>
        </w:rPr>
        <w:t xml:space="preserve"> </w:t>
      </w:r>
      <w:r w:rsidR="00C65729">
        <w:rPr>
          <w:lang w:eastAsia="en-US"/>
        </w:rPr>
        <w:t xml:space="preserve">en el EFA inicial </w:t>
      </w:r>
      <w:r w:rsidR="00A54FA7">
        <w:rPr>
          <w:lang w:eastAsia="en-US"/>
        </w:rPr>
        <w:t>y, posteriormente, se realiz</w:t>
      </w:r>
      <w:r w:rsidR="007E67C6">
        <w:rPr>
          <w:lang w:eastAsia="en-US"/>
        </w:rPr>
        <w:t>ó</w:t>
      </w:r>
      <w:r w:rsidR="00A54FA7">
        <w:rPr>
          <w:lang w:eastAsia="en-US"/>
        </w:rPr>
        <w:t xml:space="preserve"> otro </w:t>
      </w:r>
      <w:r w:rsidR="00C65729">
        <w:rPr>
          <w:lang w:eastAsia="en-US"/>
        </w:rPr>
        <w:t>EFA</w:t>
      </w:r>
      <w:r w:rsidR="00A54FA7">
        <w:rPr>
          <w:lang w:eastAsia="en-US"/>
        </w:rPr>
        <w:t xml:space="preserve"> para poder determinar el siguiente ítem a eliminar. A través de la aplicación </w:t>
      </w:r>
      <w:r w:rsidR="007E67C6">
        <w:rPr>
          <w:lang w:eastAsia="en-US"/>
        </w:rPr>
        <w:t xml:space="preserve">repetida </w:t>
      </w:r>
      <w:r w:rsidR="00A54FA7">
        <w:rPr>
          <w:lang w:eastAsia="en-US"/>
        </w:rPr>
        <w:t xml:space="preserve">de </w:t>
      </w:r>
      <w:r w:rsidR="009B7690">
        <w:rPr>
          <w:lang w:eastAsia="en-US"/>
        </w:rPr>
        <w:t>este</w:t>
      </w:r>
      <w:r w:rsidR="00A54FA7">
        <w:rPr>
          <w:lang w:eastAsia="en-US"/>
        </w:rPr>
        <w:t xml:space="preserve"> método, se prosiguió hasta alcanzar la cantidad de </w:t>
      </w:r>
      <w:r w:rsidR="0005496D">
        <w:rPr>
          <w:lang w:eastAsia="en-US"/>
        </w:rPr>
        <w:t>tres</w:t>
      </w:r>
      <w:r w:rsidR="00A54FA7">
        <w:rPr>
          <w:lang w:eastAsia="en-US"/>
        </w:rPr>
        <w:t xml:space="preserve"> ítems por cada factor</w:t>
      </w:r>
      <w:r w:rsidR="003F52D4">
        <w:rPr>
          <w:lang w:eastAsia="en-US"/>
        </w:rPr>
        <w:t xml:space="preserve">. </w:t>
      </w:r>
      <w:r w:rsidR="00E74356">
        <w:rPr>
          <w:lang w:eastAsia="en-US"/>
        </w:rPr>
        <w:t>De esta manera, e</w:t>
      </w:r>
      <w:r w:rsidR="00435BC9">
        <w:rPr>
          <w:lang w:eastAsia="en-US"/>
        </w:rPr>
        <w:t>l instrumento final comprend</w:t>
      </w:r>
      <w:r w:rsidR="00991076">
        <w:rPr>
          <w:lang w:eastAsia="en-US"/>
        </w:rPr>
        <w:t>e</w:t>
      </w:r>
      <w:r w:rsidR="00435BC9">
        <w:rPr>
          <w:lang w:eastAsia="en-US"/>
        </w:rPr>
        <w:t xml:space="preserve"> un total de 18 ítems que correspond</w:t>
      </w:r>
      <w:r w:rsidR="00991076">
        <w:rPr>
          <w:lang w:eastAsia="en-US"/>
        </w:rPr>
        <w:t>e</w:t>
      </w:r>
      <w:r w:rsidR="00435BC9">
        <w:rPr>
          <w:lang w:eastAsia="en-US"/>
        </w:rPr>
        <w:t xml:space="preserve">n a los siguientes seis factores: </w:t>
      </w:r>
      <w:r w:rsidR="00435BC9" w:rsidRPr="00435BC9">
        <w:rPr>
          <w:i/>
          <w:iCs/>
          <w:lang w:eastAsia="en-US"/>
        </w:rPr>
        <w:t>ansiedad fóbica</w:t>
      </w:r>
      <w:r w:rsidR="00435BC9">
        <w:rPr>
          <w:lang w:eastAsia="en-US"/>
        </w:rPr>
        <w:t xml:space="preserve"> (ítems 3, 22, 24), </w:t>
      </w:r>
      <w:r w:rsidR="00435BC9" w:rsidRPr="00435BC9">
        <w:rPr>
          <w:i/>
          <w:iCs/>
          <w:lang w:eastAsia="en-US"/>
        </w:rPr>
        <w:t xml:space="preserve">ideación paranoide </w:t>
      </w:r>
      <w:r w:rsidR="00435BC9" w:rsidRPr="00435BC9">
        <w:rPr>
          <w:lang w:eastAsia="en-US"/>
        </w:rPr>
        <w:t>(</w:t>
      </w:r>
      <w:r w:rsidR="00435BC9">
        <w:rPr>
          <w:lang w:eastAsia="en-US"/>
        </w:rPr>
        <w:t xml:space="preserve">ítems 5, 40, 44), </w:t>
      </w:r>
      <w:r w:rsidR="00435BC9" w:rsidRPr="00435BC9">
        <w:rPr>
          <w:i/>
          <w:iCs/>
          <w:lang w:eastAsia="en-US"/>
        </w:rPr>
        <w:t>somatización</w:t>
      </w:r>
      <w:r w:rsidR="00435BC9">
        <w:rPr>
          <w:lang w:eastAsia="en-US"/>
        </w:rPr>
        <w:t xml:space="preserve"> (ítems 26, 29, 31), </w:t>
      </w:r>
      <w:r w:rsidR="00435BC9" w:rsidRPr="00435BC9">
        <w:rPr>
          <w:i/>
          <w:iCs/>
          <w:lang w:eastAsia="en-US"/>
        </w:rPr>
        <w:t>hostilidad</w:t>
      </w:r>
      <w:r w:rsidR="00435BC9">
        <w:rPr>
          <w:lang w:eastAsia="en-US"/>
        </w:rPr>
        <w:t xml:space="preserve"> (ítems 7, 35, 43), </w:t>
      </w:r>
      <w:r w:rsidR="00435BC9" w:rsidRPr="00435BC9">
        <w:rPr>
          <w:i/>
          <w:iCs/>
          <w:lang w:eastAsia="en-US"/>
        </w:rPr>
        <w:t>depresión</w:t>
      </w:r>
      <w:r w:rsidR="00435BC9">
        <w:rPr>
          <w:lang w:eastAsia="en-US"/>
        </w:rPr>
        <w:t xml:space="preserve"> (ítems 9, 10, 12), </w:t>
      </w:r>
      <w:r w:rsidR="00435BC9" w:rsidRPr="00435BC9">
        <w:rPr>
          <w:i/>
          <w:iCs/>
          <w:lang w:eastAsia="en-US"/>
        </w:rPr>
        <w:t>in</w:t>
      </w:r>
      <w:r w:rsidR="00411BC2">
        <w:rPr>
          <w:i/>
          <w:iCs/>
          <w:lang w:eastAsia="en-US"/>
        </w:rPr>
        <w:t>segur</w:t>
      </w:r>
      <w:r w:rsidR="00435BC9" w:rsidRPr="00435BC9">
        <w:rPr>
          <w:i/>
          <w:iCs/>
          <w:lang w:eastAsia="en-US"/>
        </w:rPr>
        <w:t>idad</w:t>
      </w:r>
      <w:r w:rsidR="00276BF1">
        <w:rPr>
          <w:i/>
          <w:iCs/>
          <w:lang w:eastAsia="en-US"/>
        </w:rPr>
        <w:t xml:space="preserve"> personal</w:t>
      </w:r>
      <w:r w:rsidR="00435BC9">
        <w:rPr>
          <w:lang w:eastAsia="en-US"/>
        </w:rPr>
        <w:t xml:space="preserve"> (ítems 17, 21, 42). </w:t>
      </w:r>
    </w:p>
    <w:p w14:paraId="72FC50A6" w14:textId="01ABAA78" w:rsidR="008836E7" w:rsidRDefault="00BE04B4" w:rsidP="001304CC">
      <w:pPr>
        <w:rPr>
          <w:lang w:eastAsia="en-US"/>
        </w:rPr>
      </w:pPr>
      <w:r>
        <w:rPr>
          <w:lang w:eastAsia="en-US"/>
        </w:rPr>
        <w:t>En este punto, deben</w:t>
      </w:r>
      <w:r w:rsidR="00435BC9">
        <w:rPr>
          <w:lang w:eastAsia="en-US"/>
        </w:rPr>
        <w:t xml:space="preserve"> resaltar</w:t>
      </w:r>
      <w:r>
        <w:rPr>
          <w:lang w:eastAsia="en-US"/>
        </w:rPr>
        <w:t>se</w:t>
      </w:r>
      <w:r w:rsidR="00435BC9">
        <w:rPr>
          <w:lang w:eastAsia="en-US"/>
        </w:rPr>
        <w:t xml:space="preserve"> </w:t>
      </w:r>
      <w:r>
        <w:rPr>
          <w:lang w:eastAsia="en-US"/>
        </w:rPr>
        <w:t>las siguientes diferencias con respecto al instrumento original: (1)</w:t>
      </w:r>
      <w:r w:rsidR="00435BC9">
        <w:rPr>
          <w:lang w:eastAsia="en-US"/>
        </w:rPr>
        <w:t xml:space="preserve"> </w:t>
      </w:r>
      <w:r>
        <w:rPr>
          <w:lang w:eastAsia="en-US"/>
        </w:rPr>
        <w:t xml:space="preserve">debido a los elevados ICH de los ítems correspondientes a la </w:t>
      </w:r>
      <w:r w:rsidRPr="00BE04B4">
        <w:rPr>
          <w:i/>
          <w:iCs/>
          <w:lang w:eastAsia="en-US"/>
        </w:rPr>
        <w:t>sensibilidad interpersonal</w:t>
      </w:r>
      <w:r>
        <w:rPr>
          <w:lang w:eastAsia="en-US"/>
        </w:rPr>
        <w:t>,</w:t>
      </w:r>
      <w:r w:rsidR="00903425">
        <w:rPr>
          <w:lang w:eastAsia="en-US"/>
        </w:rPr>
        <w:t xml:space="preserve"> la</w:t>
      </w:r>
      <w:r>
        <w:rPr>
          <w:lang w:eastAsia="en-US"/>
        </w:rPr>
        <w:t xml:space="preserve"> </w:t>
      </w:r>
      <w:r w:rsidRPr="00BE04B4">
        <w:rPr>
          <w:i/>
          <w:iCs/>
          <w:lang w:eastAsia="en-US"/>
        </w:rPr>
        <w:t>ansiedad</w:t>
      </w:r>
      <w:r w:rsidR="006936F9">
        <w:rPr>
          <w:lang w:eastAsia="en-US"/>
        </w:rPr>
        <w:t>,</w:t>
      </w:r>
      <w:r w:rsidR="00903425">
        <w:rPr>
          <w:lang w:eastAsia="en-US"/>
        </w:rPr>
        <w:t xml:space="preserve"> la</w:t>
      </w:r>
      <w:r w:rsidR="006936F9">
        <w:rPr>
          <w:lang w:eastAsia="en-US"/>
        </w:rPr>
        <w:t xml:space="preserve"> </w:t>
      </w:r>
      <w:r w:rsidR="006936F9" w:rsidRPr="006936F9">
        <w:rPr>
          <w:i/>
          <w:iCs/>
          <w:lang w:eastAsia="en-US"/>
        </w:rPr>
        <w:t>compulsión-obsesión</w:t>
      </w:r>
      <w:r w:rsidR="006936F9">
        <w:rPr>
          <w:lang w:eastAsia="en-US"/>
        </w:rPr>
        <w:t xml:space="preserve"> </w:t>
      </w:r>
      <w:r>
        <w:rPr>
          <w:lang w:eastAsia="en-US"/>
        </w:rPr>
        <w:t xml:space="preserve">y el </w:t>
      </w:r>
      <w:r w:rsidRPr="00BE04B4">
        <w:rPr>
          <w:i/>
          <w:iCs/>
          <w:lang w:eastAsia="en-US"/>
        </w:rPr>
        <w:t>psicoticismo</w:t>
      </w:r>
      <w:r>
        <w:rPr>
          <w:lang w:eastAsia="en-US"/>
        </w:rPr>
        <w:t xml:space="preserve">, estas dimensiones </w:t>
      </w:r>
      <w:r w:rsidR="00903425">
        <w:rPr>
          <w:lang w:eastAsia="en-US"/>
        </w:rPr>
        <w:t>fueron excluidas</w:t>
      </w:r>
      <w:r w:rsidR="00DF6060">
        <w:rPr>
          <w:lang w:eastAsia="en-US"/>
        </w:rPr>
        <w:t>;</w:t>
      </w:r>
      <w:r w:rsidR="00903425">
        <w:rPr>
          <w:lang w:eastAsia="en-US"/>
        </w:rPr>
        <w:t xml:space="preserve"> </w:t>
      </w:r>
      <w:r>
        <w:rPr>
          <w:lang w:eastAsia="en-US"/>
        </w:rPr>
        <w:t xml:space="preserve">(2) la nueva asignación de ítems de la </w:t>
      </w:r>
      <w:r w:rsidRPr="00435BC9">
        <w:rPr>
          <w:i/>
          <w:iCs/>
          <w:lang w:eastAsia="en-US"/>
        </w:rPr>
        <w:t>depresión</w:t>
      </w:r>
      <w:r>
        <w:rPr>
          <w:lang w:eastAsia="en-US"/>
        </w:rPr>
        <w:t xml:space="preserve"> no </w:t>
      </w:r>
      <w:r w:rsidR="00F9598E">
        <w:rPr>
          <w:lang w:eastAsia="en-US"/>
        </w:rPr>
        <w:t>coincide con la</w:t>
      </w:r>
      <w:r>
        <w:rPr>
          <w:lang w:eastAsia="en-US"/>
        </w:rPr>
        <w:t xml:space="preserve"> que propusieron </w:t>
      </w:r>
      <w:r>
        <w:rPr>
          <w:lang w:eastAsia="en-US"/>
        </w:rPr>
        <w:fldChar w:fldCharType="begin" w:fldLock="1"/>
      </w:r>
      <w:r w:rsidR="009D7084">
        <w:rPr>
          <w:lang w:eastAsia="en-US"/>
        </w:rPr>
        <w:instrText>ADDIN CSL_CITATION {"citationItems":[{"id":"ITEM-1","itemData":{"ISSN":"0214-9915","author":[{"dropping-particle":"","family":"Sandín","given":"Bonifacio","non-dropping-particle":"","parse-names":false,"suffix":""},{"dropping-particle":"","family":"Valiente","given":"Rosa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-1","issue":"2","issued":{"date-parts":[["2008"]]},"page":"290-296","publisher":"Colegio Oficial De Psicologos Del Principado De Asturias","title":"SA-45: forma abreviada del SCL-90","type":"article-journal","volume":"20"},"uris":["http://www.mendeley.com/documents/?uuid=c4b23ce2-96a3-34d1-8b39-2dc936d82379"]}],"mendeley":{"formattedCitation":"(Sandín et al., 2008)","manualFormatting":"Sandín et al. (2008)","plainTextFormattedCitation":"(Sandín et al., 2008)","previouslyFormattedCitation":"(Sandín et al., 2008)"},"properties":{"noteIndex":0},"schema":"https://github.com/citation-style-language/schema/raw/master/csl-citation.json"}</w:instrText>
      </w:r>
      <w:r>
        <w:rPr>
          <w:lang w:eastAsia="en-US"/>
        </w:rPr>
        <w:fldChar w:fldCharType="separate"/>
      </w:r>
      <w:r w:rsidRPr="00435BC9">
        <w:rPr>
          <w:noProof/>
          <w:lang w:eastAsia="en-US"/>
        </w:rPr>
        <w:t xml:space="preserve">Sandín et al. </w:t>
      </w:r>
      <w:r>
        <w:rPr>
          <w:noProof/>
          <w:lang w:eastAsia="en-US"/>
        </w:rPr>
        <w:t>(</w:t>
      </w:r>
      <w:r w:rsidRPr="00435BC9">
        <w:rPr>
          <w:noProof/>
          <w:lang w:eastAsia="en-US"/>
        </w:rPr>
        <w:t>2008)</w:t>
      </w:r>
      <w:r>
        <w:rPr>
          <w:lang w:eastAsia="en-US"/>
        </w:rPr>
        <w:fldChar w:fldCharType="end"/>
      </w:r>
      <w:r>
        <w:rPr>
          <w:lang w:eastAsia="en-US"/>
        </w:rPr>
        <w:t>, pues el ítem 12 (“</w:t>
      </w:r>
      <w:r w:rsidRPr="00435BC9">
        <w:rPr>
          <w:lang w:eastAsia="en-US"/>
        </w:rPr>
        <w:t>Sentirse nervioso/a</w:t>
      </w:r>
      <w:r>
        <w:rPr>
          <w:lang w:eastAsia="en-US"/>
        </w:rPr>
        <w:t xml:space="preserve">”) correspondía al factor </w:t>
      </w:r>
      <w:r w:rsidRPr="00435BC9">
        <w:rPr>
          <w:i/>
          <w:iCs/>
          <w:lang w:eastAsia="en-US"/>
        </w:rPr>
        <w:t>ansiedad</w:t>
      </w:r>
      <w:r w:rsidR="00DF6060">
        <w:rPr>
          <w:lang w:eastAsia="en-US"/>
        </w:rPr>
        <w:t>; (3</w:t>
      </w:r>
      <w:r>
        <w:rPr>
          <w:lang w:eastAsia="en-US"/>
        </w:rPr>
        <w:t>)</w:t>
      </w:r>
      <w:r w:rsidR="00DF6060">
        <w:rPr>
          <w:lang w:eastAsia="en-US"/>
        </w:rPr>
        <w:t xml:space="preserve"> el factor </w:t>
      </w:r>
      <w:r w:rsidR="00DF6060" w:rsidRPr="00DF6060">
        <w:rPr>
          <w:i/>
          <w:iCs/>
          <w:lang w:eastAsia="en-US"/>
        </w:rPr>
        <w:t>in</w:t>
      </w:r>
      <w:r w:rsidR="00E2039A">
        <w:rPr>
          <w:i/>
          <w:iCs/>
          <w:lang w:eastAsia="en-US"/>
        </w:rPr>
        <w:t>seguridad</w:t>
      </w:r>
      <w:r w:rsidR="00276BF1">
        <w:rPr>
          <w:i/>
          <w:iCs/>
          <w:lang w:eastAsia="en-US"/>
        </w:rPr>
        <w:t xml:space="preserve"> personal</w:t>
      </w:r>
      <w:r w:rsidR="00DF6060">
        <w:rPr>
          <w:lang w:eastAsia="en-US"/>
        </w:rPr>
        <w:t xml:space="preserve"> no existía en </w:t>
      </w:r>
      <w:r w:rsidR="00991076">
        <w:rPr>
          <w:lang w:eastAsia="en-US"/>
        </w:rPr>
        <w:t>el</w:t>
      </w:r>
      <w:r w:rsidR="00DF6060">
        <w:rPr>
          <w:lang w:eastAsia="en-US"/>
        </w:rPr>
        <w:t xml:space="preserve"> instrumento original y está compuesto por ítems que </w:t>
      </w:r>
      <w:r w:rsidR="00615F4F">
        <w:rPr>
          <w:lang w:eastAsia="en-US"/>
        </w:rPr>
        <w:t>pertenecían</w:t>
      </w:r>
      <w:r w:rsidR="00DF6060">
        <w:rPr>
          <w:lang w:eastAsia="en-US"/>
        </w:rPr>
        <w:t xml:space="preserve"> a tres dimensiones distintas: ítem 17 (“</w:t>
      </w:r>
      <w:r w:rsidR="00DF6060" w:rsidRPr="00DF6060">
        <w:rPr>
          <w:lang w:eastAsia="en-US"/>
        </w:rPr>
        <w:t>Sentirse inferior</w:t>
      </w:r>
      <w:r w:rsidR="00DF6060">
        <w:rPr>
          <w:lang w:eastAsia="en-US"/>
        </w:rPr>
        <w:t xml:space="preserve">”) </w:t>
      </w:r>
      <w:r w:rsidR="00DF6060" w:rsidRPr="00DF6060">
        <w:rPr>
          <w:i/>
          <w:iCs/>
          <w:lang w:eastAsia="en-US"/>
        </w:rPr>
        <w:t>sensibilidad interpersonal</w:t>
      </w:r>
      <w:r w:rsidR="00DF6060">
        <w:rPr>
          <w:lang w:eastAsia="en-US"/>
        </w:rPr>
        <w:t>, ítem 21 (“</w:t>
      </w:r>
      <w:r w:rsidR="00AD5062" w:rsidRPr="00AD5062">
        <w:rPr>
          <w:lang w:eastAsia="en-US"/>
        </w:rPr>
        <w:t>Dificultad para tomar decisiones</w:t>
      </w:r>
      <w:r w:rsidR="00DF6060">
        <w:rPr>
          <w:lang w:eastAsia="en-US"/>
        </w:rPr>
        <w:t xml:space="preserve">”) </w:t>
      </w:r>
      <w:r w:rsidR="00AD5062" w:rsidRPr="00AD5062">
        <w:rPr>
          <w:i/>
          <w:iCs/>
          <w:lang w:eastAsia="en-US"/>
        </w:rPr>
        <w:t>obsesión-compulsión</w:t>
      </w:r>
      <w:r w:rsidR="00DF6060">
        <w:rPr>
          <w:lang w:eastAsia="en-US"/>
        </w:rPr>
        <w:t>, ítem 42 (“</w:t>
      </w:r>
      <w:r w:rsidR="00AD5062" w:rsidRPr="00AD5062">
        <w:rPr>
          <w:lang w:eastAsia="en-US"/>
        </w:rPr>
        <w:t>La sensación de ser un/a inútil</w:t>
      </w:r>
      <w:r w:rsidR="00DF6060">
        <w:rPr>
          <w:lang w:eastAsia="en-US"/>
        </w:rPr>
        <w:t>”)</w:t>
      </w:r>
      <w:r w:rsidR="00AD5062">
        <w:rPr>
          <w:lang w:eastAsia="en-US"/>
        </w:rPr>
        <w:t xml:space="preserve"> </w:t>
      </w:r>
      <w:r w:rsidR="00AD5062" w:rsidRPr="00AD5062">
        <w:rPr>
          <w:i/>
          <w:iCs/>
          <w:lang w:eastAsia="en-US"/>
        </w:rPr>
        <w:t>depresión</w:t>
      </w:r>
      <w:r w:rsidR="00DF6060">
        <w:rPr>
          <w:lang w:eastAsia="en-US"/>
        </w:rPr>
        <w:t>.</w:t>
      </w:r>
      <w:r>
        <w:rPr>
          <w:lang w:eastAsia="en-US"/>
        </w:rPr>
        <w:t xml:space="preserve"> </w:t>
      </w:r>
      <w:r w:rsidR="009D7084">
        <w:rPr>
          <w:lang w:eastAsia="en-US"/>
        </w:rPr>
        <w:t xml:space="preserve">La </w:t>
      </w:r>
      <w:r w:rsidR="008836E7">
        <w:rPr>
          <w:lang w:eastAsia="en-US"/>
        </w:rPr>
        <w:fldChar w:fldCharType="begin"/>
      </w:r>
      <w:r w:rsidR="008836E7">
        <w:rPr>
          <w:lang w:eastAsia="en-US"/>
        </w:rPr>
        <w:instrText xml:space="preserve"> REF _Ref58917774 \h </w:instrText>
      </w:r>
      <w:r w:rsidR="008836E7">
        <w:rPr>
          <w:lang w:eastAsia="en-US"/>
        </w:rPr>
      </w:r>
      <w:r w:rsidR="008836E7">
        <w:rPr>
          <w:lang w:eastAsia="en-US"/>
        </w:rPr>
        <w:fldChar w:fldCharType="separate"/>
      </w:r>
      <w:r w:rsidR="008836E7">
        <w:t xml:space="preserve">Tabla </w:t>
      </w:r>
      <w:r w:rsidR="008836E7">
        <w:rPr>
          <w:noProof/>
        </w:rPr>
        <w:t>2</w:t>
      </w:r>
      <w:r w:rsidR="008836E7">
        <w:rPr>
          <w:lang w:eastAsia="en-US"/>
        </w:rPr>
        <w:fldChar w:fldCharType="end"/>
      </w:r>
      <w:r w:rsidR="008836E7">
        <w:rPr>
          <w:lang w:eastAsia="en-US"/>
        </w:rPr>
        <w:t xml:space="preserve"> </w:t>
      </w:r>
      <w:r w:rsidR="009D7084">
        <w:rPr>
          <w:lang w:eastAsia="en-US"/>
        </w:rPr>
        <w:t>muestra las cargas factoriales</w:t>
      </w:r>
      <w:r w:rsidR="002C6E46">
        <w:rPr>
          <w:lang w:eastAsia="en-US"/>
        </w:rPr>
        <w:t xml:space="preserve"> (CF)</w:t>
      </w:r>
      <w:r w:rsidR="009D7084">
        <w:rPr>
          <w:lang w:eastAsia="en-US"/>
        </w:rPr>
        <w:t>, los coeficientes de homogeneidad corregidos</w:t>
      </w:r>
      <w:r w:rsidR="002C6E46">
        <w:rPr>
          <w:lang w:eastAsia="en-US"/>
        </w:rPr>
        <w:t xml:space="preserve"> (CHC)</w:t>
      </w:r>
      <w:r w:rsidR="009D7084">
        <w:rPr>
          <w:lang w:eastAsia="en-US"/>
        </w:rPr>
        <w:t xml:space="preserve"> y los índices de complejidad de </w:t>
      </w:r>
      <w:r w:rsidR="009D7084">
        <w:rPr>
          <w:lang w:eastAsia="en-US"/>
        </w:rPr>
        <w:fldChar w:fldCharType="begin" w:fldLock="1"/>
      </w:r>
      <w:r w:rsidR="002C6E46">
        <w:rPr>
          <w:lang w:eastAsia="en-US"/>
        </w:rPr>
        <w:instrText>ADDIN CSL_CITATION {"citationItems":[{"id":"ITEM-1","itemData":{"DOI":"10.1207/s15327906mbr1302_9","ISSN":"0027-3171","author":[{"dropping-particle":"","family":"Hofmann","given":"Richard J.","non-dropping-particle":"","parse-names":false,"suffix":""}],"container-title":"Multivariate Behavioral Research","id":"ITEM-1","issue":"2","issued":{"date-parts":[["1978","4","10"]]},"page":"247-250","title":"Complexity And Simplicity As Objective Indices Descriptive Of Factor Solutions","type":"article-journal","volume":"13"},"uris":["http://www.mendeley.com/documents/?uuid=832843f7-ab03-459c-b5be-09dace7ff0be"]}],"mendeley":{"formattedCitation":"(Hofmann, 1978)","manualFormatting":"Hofmann (1978)","plainTextFormattedCitation":"(Hofmann, 1978)","previouslyFormattedCitation":"(Hofmann, 1978)"},"properties":{"noteIndex":0},"schema":"https://github.com/citation-style-language/schema/raw/master/csl-citation.json"}</w:instrText>
      </w:r>
      <w:r w:rsidR="009D7084">
        <w:rPr>
          <w:lang w:eastAsia="en-US"/>
        </w:rPr>
        <w:fldChar w:fldCharType="separate"/>
      </w:r>
      <w:r w:rsidR="009D7084" w:rsidRPr="009D7084">
        <w:rPr>
          <w:noProof/>
          <w:lang w:eastAsia="en-US"/>
        </w:rPr>
        <w:t xml:space="preserve">Hofmann </w:t>
      </w:r>
      <w:r w:rsidR="009D7084">
        <w:rPr>
          <w:noProof/>
          <w:lang w:eastAsia="en-US"/>
        </w:rPr>
        <w:t>(</w:t>
      </w:r>
      <w:r w:rsidR="009D7084" w:rsidRPr="009D7084">
        <w:rPr>
          <w:noProof/>
          <w:lang w:eastAsia="en-US"/>
        </w:rPr>
        <w:t>1978)</w:t>
      </w:r>
      <w:r w:rsidR="009D7084">
        <w:rPr>
          <w:lang w:eastAsia="en-US"/>
        </w:rPr>
        <w:fldChar w:fldCharType="end"/>
      </w:r>
      <w:r w:rsidR="009D7084">
        <w:rPr>
          <w:lang w:eastAsia="en-US"/>
        </w:rPr>
        <w:t xml:space="preserve"> de la versión final tras la medida de purificación.</w:t>
      </w:r>
      <w:r w:rsidR="002C6E46">
        <w:rPr>
          <w:lang w:eastAsia="en-US"/>
        </w:rPr>
        <w:t xml:space="preserve"> Con relación a los C</w:t>
      </w:r>
      <w:r w:rsidR="006055CE">
        <w:rPr>
          <w:lang w:eastAsia="en-US"/>
        </w:rPr>
        <w:t>H</w:t>
      </w:r>
      <w:r w:rsidR="002C6E46">
        <w:rPr>
          <w:lang w:eastAsia="en-US"/>
        </w:rPr>
        <w:t xml:space="preserve">C, se observa </w:t>
      </w:r>
      <w:r w:rsidR="002C6E46">
        <w:rPr>
          <w:lang w:eastAsia="en-US"/>
        </w:rPr>
        <w:lastRenderedPageBreak/>
        <w:t>que todos los valores se encontraron con ≥ 0,30  en unos rangos adecuados</w:t>
      </w:r>
      <w:r w:rsidR="00C41D15">
        <w:rPr>
          <w:lang w:eastAsia="en-US"/>
        </w:rPr>
        <w:t xml:space="preserve"> </w:t>
      </w:r>
      <w:r w:rsidR="002C6E46">
        <w:rPr>
          <w:lang w:eastAsia="en-US"/>
        </w:rPr>
        <w:fldChar w:fldCharType="begin" w:fldLock="1"/>
      </w:r>
      <w:r w:rsidR="002C6E46">
        <w:rPr>
          <w:lang w:eastAsia="en-US"/>
        </w:rPr>
        <w:instrText>ADDIN CSL_CITATION {"citationItems":[{"id":"ITEM-1","itemData":{"DOI":"10.4324/9781315797298","ISBN":"9781315797298","author":[{"dropping-particle":"","family":"Hinton","given":"Perry","non-dropping-particle":"","parse-names":false,"suffix":""}],"id":"ITEM-1","issued":{"date-parts":[["2014","3","21"]]},"publisher":"Routledge","title":"SPSS Explained","type":"book"},"uris":["http://www.mendeley.com/documents/?uuid=bad07210-b223-3e6d-a9da-0374e09ba961"]}],"mendeley":{"formattedCitation":"(Hinton, 2014)","plainTextFormattedCitation":"(Hinton, 2014)","previouslyFormattedCitation":"(Hinton, 2014)"},"properties":{"noteIndex":0},"schema":"https://github.com/citation-style-language/schema/raw/master/csl-citation.json"}</w:instrText>
      </w:r>
      <w:r w:rsidR="002C6E46">
        <w:rPr>
          <w:lang w:eastAsia="en-US"/>
        </w:rPr>
        <w:fldChar w:fldCharType="separate"/>
      </w:r>
      <w:r w:rsidR="002C6E46" w:rsidRPr="002C6E46">
        <w:rPr>
          <w:noProof/>
          <w:lang w:eastAsia="en-US"/>
        </w:rPr>
        <w:t>(Hinton, 2014)</w:t>
      </w:r>
      <w:r w:rsidR="002C6E46">
        <w:rPr>
          <w:lang w:eastAsia="en-US"/>
        </w:rPr>
        <w:fldChar w:fldCharType="end"/>
      </w:r>
      <w:r w:rsidR="002C6E46">
        <w:rPr>
          <w:lang w:eastAsia="en-US"/>
        </w:rPr>
        <w:t xml:space="preserve">. Aun así, se advirtió que la dimensión </w:t>
      </w:r>
      <w:r w:rsidR="002C6E46" w:rsidRPr="002C6E46">
        <w:rPr>
          <w:i/>
          <w:iCs/>
          <w:lang w:eastAsia="en-US"/>
        </w:rPr>
        <w:t>ideación paranoide</w:t>
      </w:r>
      <w:r w:rsidR="002C6E46">
        <w:rPr>
          <w:lang w:eastAsia="en-US"/>
        </w:rPr>
        <w:t xml:space="preserve"> obtuvo </w:t>
      </w:r>
      <w:r w:rsidR="008D4267">
        <w:rPr>
          <w:lang w:eastAsia="en-US"/>
        </w:rPr>
        <w:t>un</w:t>
      </w:r>
      <w:r w:rsidR="002C6E46">
        <w:rPr>
          <w:lang w:eastAsia="en-US"/>
        </w:rPr>
        <w:t xml:space="preserve">os valores </w:t>
      </w:r>
      <w:r w:rsidR="008D4267">
        <w:rPr>
          <w:lang w:eastAsia="en-US"/>
        </w:rPr>
        <w:t xml:space="preserve">notablemente </w:t>
      </w:r>
      <w:r w:rsidR="002C6E46">
        <w:rPr>
          <w:lang w:eastAsia="en-US"/>
        </w:rPr>
        <w:t xml:space="preserve">más bajos. Todas las </w:t>
      </w:r>
      <w:r w:rsidR="00BC3072">
        <w:rPr>
          <w:lang w:eastAsia="en-US"/>
        </w:rPr>
        <w:t>CF</w:t>
      </w:r>
      <w:r w:rsidR="002C6E46">
        <w:rPr>
          <w:lang w:eastAsia="en-US"/>
        </w:rPr>
        <w:t xml:space="preserve"> se encontr</w:t>
      </w:r>
      <w:r w:rsidR="00014109">
        <w:rPr>
          <w:lang w:eastAsia="en-US"/>
        </w:rPr>
        <w:t>aro</w:t>
      </w:r>
      <w:r w:rsidR="002C6E46">
        <w:rPr>
          <w:lang w:eastAsia="en-US"/>
        </w:rPr>
        <w:t xml:space="preserve">n con ≥ 0,50 en unos niveles favorables </w:t>
      </w:r>
      <w:r w:rsidR="002C6E46">
        <w:rPr>
          <w:lang w:eastAsia="en-US"/>
        </w:rPr>
        <w:fldChar w:fldCharType="begin" w:fldLock="1"/>
      </w:r>
      <w:r w:rsidR="00990BD6">
        <w:rPr>
          <w:lang w:eastAsia="en-US"/>
        </w:rPr>
        <w:instrText>ADDIN CSL_CITATION {"citationItems":[{"id":"ITEM-1","itemData":{"author":[{"dropping-particle":"","family":"Hair","given":"Joseph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E","non-dropping-particle":"","parse-names":false,"suffix":""}],"edition":"7","id":"ITEM-1","issued":{"date-parts":[["2010"]]},"publisher":"Prentice Hall","publisher-place":"New York","title":"Multivariate data analysis","type":"book"},"uris":["http://www.mendeley.com/documents/?uuid=35e40205-0831-4fde-a276-1650cab2e6cd"]}],"mendeley":{"formattedCitation":"(Hair et al., 2010)","plainTextFormattedCitation":"(Hair et al., 2010)","previouslyFormattedCitation":"(Hair et al., 2010)"},"properties":{"noteIndex":0},"schema":"https://github.com/citation-style-language/schema/raw/master/csl-citation.json"}</w:instrText>
      </w:r>
      <w:r w:rsidR="002C6E46">
        <w:rPr>
          <w:lang w:eastAsia="en-US"/>
        </w:rPr>
        <w:fldChar w:fldCharType="separate"/>
      </w:r>
      <w:r w:rsidR="002C6E46" w:rsidRPr="002C6E46">
        <w:rPr>
          <w:noProof/>
          <w:lang w:eastAsia="en-US"/>
        </w:rPr>
        <w:t>(Hair et al., 2010)</w:t>
      </w:r>
      <w:r w:rsidR="002C6E46">
        <w:rPr>
          <w:lang w:eastAsia="en-US"/>
        </w:rPr>
        <w:fldChar w:fldCharType="end"/>
      </w:r>
      <w:r w:rsidR="002C6E46">
        <w:rPr>
          <w:lang w:eastAsia="en-US"/>
        </w:rPr>
        <w:t xml:space="preserve"> y, con re</w:t>
      </w:r>
      <w:r w:rsidR="004C4EE4">
        <w:rPr>
          <w:lang w:eastAsia="en-US"/>
        </w:rPr>
        <w:t>lación</w:t>
      </w:r>
      <w:r w:rsidR="002C6E46">
        <w:rPr>
          <w:lang w:eastAsia="en-US"/>
        </w:rPr>
        <w:t xml:space="preserve"> a los ICH, se observa que el factor </w:t>
      </w:r>
      <w:r w:rsidR="002C6E46" w:rsidRPr="002C6E46">
        <w:rPr>
          <w:i/>
          <w:iCs/>
          <w:lang w:eastAsia="en-US"/>
        </w:rPr>
        <w:t>ideación paranoide</w:t>
      </w:r>
      <w:r w:rsidR="002C6E46">
        <w:rPr>
          <w:i/>
          <w:iCs/>
          <w:lang w:eastAsia="en-US"/>
        </w:rPr>
        <w:t xml:space="preserve"> </w:t>
      </w:r>
      <w:r w:rsidR="002C6E46">
        <w:rPr>
          <w:lang w:eastAsia="en-US"/>
        </w:rPr>
        <w:t>obtuvo los valores menos</w:t>
      </w:r>
      <w:r w:rsidR="00ED64D4" w:rsidRPr="00ED64D4">
        <w:rPr>
          <w:lang w:eastAsia="en-US"/>
        </w:rPr>
        <w:t xml:space="preserve"> </w:t>
      </w:r>
      <w:r w:rsidR="00ED64D4">
        <w:rPr>
          <w:lang w:eastAsia="en-US"/>
        </w:rPr>
        <w:t>adecuados</w:t>
      </w:r>
      <w:r w:rsidR="002C6E46">
        <w:rPr>
          <w:lang w:eastAsia="en-US"/>
        </w:rPr>
        <w:t xml:space="preserve">. </w:t>
      </w:r>
      <w:r w:rsidR="00787D1C">
        <w:rPr>
          <w:lang w:eastAsia="en-US"/>
        </w:rPr>
        <w:t xml:space="preserve">En su conjunto, el instrumento explica el 62,9% de su varianza, de los cuales 11,7% corresponden a </w:t>
      </w:r>
      <w:r w:rsidR="00787D1C" w:rsidRPr="00787D1C">
        <w:rPr>
          <w:i/>
          <w:iCs/>
          <w:lang w:eastAsia="en-US"/>
        </w:rPr>
        <w:t>ansiedad fóbica</w:t>
      </w:r>
      <w:r w:rsidR="00787D1C">
        <w:rPr>
          <w:lang w:eastAsia="en-US"/>
        </w:rPr>
        <w:t xml:space="preserve">, 11,6% </w:t>
      </w:r>
      <w:r w:rsidR="00787D1C" w:rsidRPr="00787D1C">
        <w:rPr>
          <w:i/>
          <w:iCs/>
          <w:lang w:eastAsia="en-US"/>
        </w:rPr>
        <w:t>a somatización</w:t>
      </w:r>
      <w:r w:rsidR="00787D1C">
        <w:rPr>
          <w:lang w:eastAsia="en-US"/>
        </w:rPr>
        <w:t xml:space="preserve">, 11,3% a </w:t>
      </w:r>
      <w:r w:rsidR="00787D1C" w:rsidRPr="00787D1C">
        <w:rPr>
          <w:i/>
          <w:iCs/>
          <w:lang w:eastAsia="en-US"/>
        </w:rPr>
        <w:t>inseguridad personal</w:t>
      </w:r>
      <w:r w:rsidR="00787D1C">
        <w:rPr>
          <w:lang w:eastAsia="en-US"/>
        </w:rPr>
        <w:t xml:space="preserve">, 10,2% a </w:t>
      </w:r>
      <w:r w:rsidR="00787D1C" w:rsidRPr="00787D1C">
        <w:rPr>
          <w:i/>
          <w:iCs/>
          <w:lang w:eastAsia="en-US"/>
        </w:rPr>
        <w:t>hostilidad</w:t>
      </w:r>
      <w:r w:rsidR="00787D1C">
        <w:rPr>
          <w:lang w:eastAsia="en-US"/>
        </w:rPr>
        <w:t xml:space="preserve">, 10,7% a </w:t>
      </w:r>
      <w:r w:rsidR="00787D1C" w:rsidRPr="00787D1C">
        <w:rPr>
          <w:i/>
          <w:iCs/>
          <w:lang w:eastAsia="en-US"/>
        </w:rPr>
        <w:t>depresión</w:t>
      </w:r>
      <w:r w:rsidR="00787D1C">
        <w:rPr>
          <w:lang w:eastAsia="en-US"/>
        </w:rPr>
        <w:t xml:space="preserve"> y 0,75% a </w:t>
      </w:r>
      <w:r w:rsidR="00787D1C" w:rsidRPr="00787D1C">
        <w:rPr>
          <w:i/>
          <w:iCs/>
          <w:lang w:eastAsia="en-US"/>
        </w:rPr>
        <w:t>ideación paranoide</w:t>
      </w:r>
      <w:r w:rsidR="00787D1C">
        <w:rPr>
          <w:lang w:eastAsia="en-US"/>
        </w:rPr>
        <w:t xml:space="preserve">. </w:t>
      </w:r>
    </w:p>
    <w:p w14:paraId="10814A99" w14:textId="6DBB510B" w:rsidR="008836E7" w:rsidRDefault="008836E7" w:rsidP="008836E7">
      <w:pPr>
        <w:pStyle w:val="Descripcin"/>
        <w:keepNext/>
      </w:pPr>
      <w:bookmarkStart w:id="6" w:name="_Ref58917774"/>
      <w:r>
        <w:t xml:space="preserve">Tabla </w:t>
      </w:r>
      <w:r w:rsidR="003A675A">
        <w:fldChar w:fldCharType="begin"/>
      </w:r>
      <w:r w:rsidR="003A675A">
        <w:instrText xml:space="preserve"> SEQ Tabla </w:instrText>
      </w:r>
      <w:r w:rsidR="003A675A">
        <w:instrText xml:space="preserve">\* ARABIC </w:instrText>
      </w:r>
      <w:r w:rsidR="003A675A">
        <w:fldChar w:fldCharType="separate"/>
      </w:r>
      <w:r w:rsidR="00D83C2C">
        <w:rPr>
          <w:noProof/>
        </w:rPr>
        <w:t>2</w:t>
      </w:r>
      <w:r w:rsidR="003A675A">
        <w:rPr>
          <w:noProof/>
        </w:rPr>
        <w:fldChar w:fldCharType="end"/>
      </w:r>
      <w:bookmarkEnd w:id="6"/>
    </w:p>
    <w:tbl>
      <w:tblPr>
        <w:tblW w:w="0" w:type="auto"/>
        <w:tblLayout w:type="fixed"/>
        <w:tblCellMar>
          <w:left w:w="70" w:type="dxa"/>
          <w:right w:w="70" w:type="dxa"/>
        </w:tblCellMar>
        <w:tblLook w:val="04A0" w:firstRow="1" w:lastRow="0" w:firstColumn="1" w:lastColumn="0" w:noHBand="0" w:noVBand="1"/>
      </w:tblPr>
      <w:tblGrid>
        <w:gridCol w:w="1592"/>
        <w:gridCol w:w="818"/>
        <w:gridCol w:w="771"/>
        <w:gridCol w:w="771"/>
        <w:gridCol w:w="772"/>
      </w:tblGrid>
      <w:tr w:rsidR="008836E7" w:rsidRPr="008836E7" w14:paraId="7BA78146" w14:textId="77777777" w:rsidTr="008836E7">
        <w:trPr>
          <w:trHeight w:val="240"/>
        </w:trPr>
        <w:tc>
          <w:tcPr>
            <w:tcW w:w="4724" w:type="dxa"/>
            <w:gridSpan w:val="5"/>
            <w:tcBorders>
              <w:top w:val="nil"/>
              <w:left w:val="nil"/>
              <w:bottom w:val="single" w:sz="4" w:space="0" w:color="auto"/>
              <w:right w:val="nil"/>
            </w:tcBorders>
            <w:shd w:val="clear" w:color="auto" w:fill="auto"/>
            <w:noWrap/>
            <w:vAlign w:val="center"/>
            <w:hideMark/>
          </w:tcPr>
          <w:p w14:paraId="512B0D3B" w14:textId="77777777" w:rsidR="008836E7" w:rsidRPr="008836E7" w:rsidRDefault="008836E7" w:rsidP="008836E7">
            <w:pPr>
              <w:spacing w:after="0" w:line="240" w:lineRule="auto"/>
              <w:ind w:firstLine="0"/>
              <w:jc w:val="left"/>
              <w:rPr>
                <w:rFonts w:ascii="Arial" w:hAnsi="Arial" w:cs="Arial"/>
                <w:i/>
                <w:iCs/>
                <w:color w:val="000000"/>
                <w:sz w:val="18"/>
                <w:szCs w:val="18"/>
              </w:rPr>
            </w:pPr>
            <w:r w:rsidRPr="008836E7">
              <w:rPr>
                <w:rFonts w:ascii="Arial" w:hAnsi="Arial" w:cs="Arial"/>
                <w:i/>
                <w:iCs/>
                <w:color w:val="000000"/>
                <w:sz w:val="18"/>
                <w:szCs w:val="18"/>
              </w:rPr>
              <w:t>Cargas factoriales, coeficientes de homogeneidad corregidos e índices de complejidad de Hofmann (1978) del modelo final tras la medida de purificación</w:t>
            </w:r>
          </w:p>
        </w:tc>
      </w:tr>
      <w:tr w:rsidR="008836E7" w:rsidRPr="008836E7" w14:paraId="64668FDE" w14:textId="77777777" w:rsidTr="008836E7">
        <w:trPr>
          <w:trHeight w:val="480"/>
        </w:trPr>
        <w:tc>
          <w:tcPr>
            <w:tcW w:w="1592" w:type="dxa"/>
            <w:tcBorders>
              <w:top w:val="nil"/>
              <w:left w:val="nil"/>
              <w:bottom w:val="single" w:sz="4" w:space="0" w:color="auto"/>
              <w:right w:val="nil"/>
            </w:tcBorders>
            <w:shd w:val="clear" w:color="auto" w:fill="auto"/>
            <w:noWrap/>
            <w:vAlign w:val="center"/>
            <w:hideMark/>
          </w:tcPr>
          <w:p w14:paraId="64174966"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Dimensión</w:t>
            </w:r>
          </w:p>
        </w:tc>
        <w:tc>
          <w:tcPr>
            <w:tcW w:w="818" w:type="dxa"/>
            <w:tcBorders>
              <w:top w:val="nil"/>
              <w:left w:val="nil"/>
              <w:bottom w:val="single" w:sz="4" w:space="0" w:color="auto"/>
              <w:right w:val="nil"/>
            </w:tcBorders>
            <w:shd w:val="clear" w:color="auto" w:fill="auto"/>
            <w:vAlign w:val="center"/>
            <w:hideMark/>
          </w:tcPr>
          <w:p w14:paraId="6C67A857"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Número ítem</w:t>
            </w:r>
          </w:p>
        </w:tc>
        <w:tc>
          <w:tcPr>
            <w:tcW w:w="771" w:type="dxa"/>
            <w:tcBorders>
              <w:top w:val="nil"/>
              <w:left w:val="nil"/>
              <w:bottom w:val="single" w:sz="4" w:space="0" w:color="auto"/>
              <w:right w:val="nil"/>
            </w:tcBorders>
            <w:shd w:val="clear" w:color="auto" w:fill="auto"/>
            <w:vAlign w:val="center"/>
            <w:hideMark/>
          </w:tcPr>
          <w:p w14:paraId="5FB20D16"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CF</w:t>
            </w:r>
          </w:p>
        </w:tc>
        <w:tc>
          <w:tcPr>
            <w:tcW w:w="771" w:type="dxa"/>
            <w:tcBorders>
              <w:top w:val="nil"/>
              <w:left w:val="nil"/>
              <w:bottom w:val="single" w:sz="4" w:space="0" w:color="auto"/>
              <w:right w:val="nil"/>
            </w:tcBorders>
            <w:shd w:val="clear" w:color="auto" w:fill="auto"/>
            <w:vAlign w:val="center"/>
            <w:hideMark/>
          </w:tcPr>
          <w:p w14:paraId="4CACEC05"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CHC</w:t>
            </w:r>
          </w:p>
        </w:tc>
        <w:tc>
          <w:tcPr>
            <w:tcW w:w="771" w:type="dxa"/>
            <w:tcBorders>
              <w:top w:val="nil"/>
              <w:left w:val="nil"/>
              <w:bottom w:val="single" w:sz="4" w:space="0" w:color="auto"/>
              <w:right w:val="nil"/>
            </w:tcBorders>
            <w:shd w:val="clear" w:color="auto" w:fill="auto"/>
            <w:noWrap/>
            <w:vAlign w:val="center"/>
            <w:hideMark/>
          </w:tcPr>
          <w:p w14:paraId="20E74C4B"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ICH</w:t>
            </w:r>
          </w:p>
        </w:tc>
      </w:tr>
      <w:tr w:rsidR="008836E7" w:rsidRPr="008836E7" w14:paraId="1F291259" w14:textId="77777777" w:rsidTr="008836E7">
        <w:trPr>
          <w:trHeight w:val="240"/>
        </w:trPr>
        <w:tc>
          <w:tcPr>
            <w:tcW w:w="2410" w:type="dxa"/>
            <w:gridSpan w:val="2"/>
            <w:tcBorders>
              <w:top w:val="nil"/>
              <w:left w:val="nil"/>
              <w:bottom w:val="nil"/>
              <w:right w:val="nil"/>
            </w:tcBorders>
            <w:shd w:val="clear" w:color="auto" w:fill="auto"/>
            <w:noWrap/>
            <w:vAlign w:val="center"/>
            <w:hideMark/>
          </w:tcPr>
          <w:p w14:paraId="4DAA2172"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Ansiedad fóbica</w:t>
            </w:r>
          </w:p>
        </w:tc>
        <w:tc>
          <w:tcPr>
            <w:tcW w:w="771" w:type="dxa"/>
            <w:tcBorders>
              <w:top w:val="nil"/>
              <w:left w:val="nil"/>
              <w:bottom w:val="nil"/>
              <w:right w:val="nil"/>
            </w:tcBorders>
            <w:shd w:val="clear" w:color="auto" w:fill="auto"/>
            <w:noWrap/>
            <w:vAlign w:val="center"/>
            <w:hideMark/>
          </w:tcPr>
          <w:p w14:paraId="12D1FE8A" w14:textId="77777777" w:rsidR="008836E7" w:rsidRPr="008836E7" w:rsidRDefault="008836E7" w:rsidP="008836E7">
            <w:pPr>
              <w:spacing w:after="0" w:line="240" w:lineRule="auto"/>
              <w:ind w:firstLine="0"/>
              <w:jc w:val="left"/>
              <w:rPr>
                <w:rFonts w:ascii="Arial" w:hAnsi="Arial" w:cs="Arial"/>
                <w:color w:val="000000"/>
                <w:sz w:val="18"/>
                <w:szCs w:val="18"/>
              </w:rPr>
            </w:pPr>
          </w:p>
        </w:tc>
        <w:tc>
          <w:tcPr>
            <w:tcW w:w="771" w:type="dxa"/>
            <w:tcBorders>
              <w:top w:val="nil"/>
              <w:left w:val="nil"/>
              <w:bottom w:val="nil"/>
              <w:right w:val="nil"/>
            </w:tcBorders>
            <w:shd w:val="clear" w:color="auto" w:fill="auto"/>
            <w:noWrap/>
            <w:vAlign w:val="center"/>
            <w:hideMark/>
          </w:tcPr>
          <w:p w14:paraId="1D1EABBB" w14:textId="77777777" w:rsidR="008836E7" w:rsidRPr="008836E7" w:rsidRDefault="008836E7" w:rsidP="008836E7">
            <w:pPr>
              <w:spacing w:after="0" w:line="240" w:lineRule="auto"/>
              <w:ind w:firstLine="0"/>
              <w:jc w:val="center"/>
              <w:rPr>
                <w:sz w:val="20"/>
                <w:szCs w:val="20"/>
              </w:rPr>
            </w:pPr>
          </w:p>
        </w:tc>
        <w:tc>
          <w:tcPr>
            <w:tcW w:w="771" w:type="dxa"/>
            <w:tcBorders>
              <w:top w:val="nil"/>
              <w:left w:val="nil"/>
              <w:bottom w:val="nil"/>
              <w:right w:val="nil"/>
            </w:tcBorders>
            <w:shd w:val="clear" w:color="auto" w:fill="auto"/>
            <w:noWrap/>
            <w:vAlign w:val="center"/>
            <w:hideMark/>
          </w:tcPr>
          <w:p w14:paraId="3CAEF63B" w14:textId="77777777" w:rsidR="008836E7" w:rsidRPr="008836E7" w:rsidRDefault="008836E7" w:rsidP="008836E7">
            <w:pPr>
              <w:spacing w:after="0" w:line="240" w:lineRule="auto"/>
              <w:ind w:firstLine="0"/>
              <w:jc w:val="center"/>
              <w:rPr>
                <w:sz w:val="20"/>
                <w:szCs w:val="20"/>
              </w:rPr>
            </w:pPr>
          </w:p>
        </w:tc>
      </w:tr>
      <w:tr w:rsidR="008836E7" w:rsidRPr="008836E7" w14:paraId="00EF2C6B" w14:textId="77777777" w:rsidTr="008836E7">
        <w:trPr>
          <w:trHeight w:val="240"/>
        </w:trPr>
        <w:tc>
          <w:tcPr>
            <w:tcW w:w="1592" w:type="dxa"/>
            <w:tcBorders>
              <w:top w:val="nil"/>
              <w:left w:val="nil"/>
              <w:bottom w:val="nil"/>
              <w:right w:val="nil"/>
            </w:tcBorders>
            <w:shd w:val="clear" w:color="auto" w:fill="auto"/>
            <w:noWrap/>
            <w:vAlign w:val="center"/>
            <w:hideMark/>
          </w:tcPr>
          <w:p w14:paraId="05B19CCE" w14:textId="77777777" w:rsidR="008836E7" w:rsidRPr="008836E7" w:rsidRDefault="008836E7" w:rsidP="008836E7">
            <w:pPr>
              <w:spacing w:after="0" w:line="240" w:lineRule="auto"/>
              <w:ind w:firstLine="0"/>
              <w:jc w:val="center"/>
              <w:rPr>
                <w:sz w:val="20"/>
                <w:szCs w:val="20"/>
              </w:rPr>
            </w:pPr>
          </w:p>
        </w:tc>
        <w:tc>
          <w:tcPr>
            <w:tcW w:w="818" w:type="dxa"/>
            <w:tcBorders>
              <w:top w:val="nil"/>
              <w:left w:val="nil"/>
              <w:bottom w:val="nil"/>
              <w:right w:val="nil"/>
            </w:tcBorders>
            <w:shd w:val="clear" w:color="auto" w:fill="auto"/>
            <w:noWrap/>
            <w:vAlign w:val="center"/>
            <w:hideMark/>
          </w:tcPr>
          <w:p w14:paraId="09D92E5B"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SA_03</w:t>
            </w:r>
          </w:p>
        </w:tc>
        <w:tc>
          <w:tcPr>
            <w:tcW w:w="771" w:type="dxa"/>
            <w:tcBorders>
              <w:top w:val="nil"/>
              <w:left w:val="nil"/>
              <w:bottom w:val="nil"/>
              <w:right w:val="nil"/>
            </w:tcBorders>
            <w:shd w:val="clear" w:color="auto" w:fill="auto"/>
            <w:noWrap/>
            <w:vAlign w:val="center"/>
            <w:hideMark/>
          </w:tcPr>
          <w:p w14:paraId="6BD41047"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0,657</w:t>
            </w:r>
          </w:p>
        </w:tc>
        <w:tc>
          <w:tcPr>
            <w:tcW w:w="771" w:type="dxa"/>
            <w:tcBorders>
              <w:top w:val="nil"/>
              <w:left w:val="nil"/>
              <w:bottom w:val="nil"/>
              <w:right w:val="nil"/>
            </w:tcBorders>
            <w:shd w:val="clear" w:color="auto" w:fill="auto"/>
            <w:noWrap/>
            <w:vAlign w:val="center"/>
            <w:hideMark/>
          </w:tcPr>
          <w:p w14:paraId="41816EFA"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0,620</w:t>
            </w:r>
          </w:p>
        </w:tc>
        <w:tc>
          <w:tcPr>
            <w:tcW w:w="771" w:type="dxa"/>
            <w:tcBorders>
              <w:top w:val="nil"/>
              <w:left w:val="nil"/>
              <w:bottom w:val="nil"/>
              <w:right w:val="nil"/>
            </w:tcBorders>
            <w:shd w:val="clear" w:color="auto" w:fill="auto"/>
            <w:noWrap/>
            <w:vAlign w:val="center"/>
            <w:hideMark/>
          </w:tcPr>
          <w:p w14:paraId="1D8B37FA"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1,415</w:t>
            </w:r>
          </w:p>
        </w:tc>
      </w:tr>
      <w:tr w:rsidR="008836E7" w:rsidRPr="008836E7" w14:paraId="2A92FA92" w14:textId="77777777" w:rsidTr="008836E7">
        <w:trPr>
          <w:trHeight w:val="240"/>
        </w:trPr>
        <w:tc>
          <w:tcPr>
            <w:tcW w:w="1592" w:type="dxa"/>
            <w:tcBorders>
              <w:top w:val="nil"/>
              <w:left w:val="nil"/>
              <w:bottom w:val="nil"/>
              <w:right w:val="nil"/>
            </w:tcBorders>
            <w:shd w:val="clear" w:color="auto" w:fill="auto"/>
            <w:noWrap/>
            <w:vAlign w:val="center"/>
            <w:hideMark/>
          </w:tcPr>
          <w:p w14:paraId="7287B9FE"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5BF73D29"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SA_22</w:t>
            </w:r>
          </w:p>
        </w:tc>
        <w:tc>
          <w:tcPr>
            <w:tcW w:w="771" w:type="dxa"/>
            <w:tcBorders>
              <w:top w:val="nil"/>
              <w:left w:val="nil"/>
              <w:bottom w:val="nil"/>
              <w:right w:val="nil"/>
            </w:tcBorders>
            <w:shd w:val="clear" w:color="auto" w:fill="auto"/>
            <w:noWrap/>
            <w:vAlign w:val="center"/>
            <w:hideMark/>
          </w:tcPr>
          <w:p w14:paraId="36F224E3"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0,856</w:t>
            </w:r>
          </w:p>
        </w:tc>
        <w:tc>
          <w:tcPr>
            <w:tcW w:w="771" w:type="dxa"/>
            <w:tcBorders>
              <w:top w:val="nil"/>
              <w:left w:val="nil"/>
              <w:bottom w:val="nil"/>
              <w:right w:val="nil"/>
            </w:tcBorders>
            <w:shd w:val="clear" w:color="auto" w:fill="auto"/>
            <w:noWrap/>
            <w:vAlign w:val="center"/>
            <w:hideMark/>
          </w:tcPr>
          <w:p w14:paraId="027DEDE3"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0,776</w:t>
            </w:r>
          </w:p>
        </w:tc>
        <w:tc>
          <w:tcPr>
            <w:tcW w:w="771" w:type="dxa"/>
            <w:tcBorders>
              <w:top w:val="nil"/>
              <w:left w:val="nil"/>
              <w:bottom w:val="nil"/>
              <w:right w:val="nil"/>
            </w:tcBorders>
            <w:shd w:val="clear" w:color="auto" w:fill="auto"/>
            <w:noWrap/>
            <w:vAlign w:val="center"/>
            <w:hideMark/>
          </w:tcPr>
          <w:p w14:paraId="341BD3A4"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1,022</w:t>
            </w:r>
          </w:p>
        </w:tc>
      </w:tr>
      <w:tr w:rsidR="008836E7" w:rsidRPr="008836E7" w14:paraId="28093DB0" w14:textId="77777777" w:rsidTr="008836E7">
        <w:trPr>
          <w:trHeight w:val="240"/>
        </w:trPr>
        <w:tc>
          <w:tcPr>
            <w:tcW w:w="1592" w:type="dxa"/>
            <w:tcBorders>
              <w:top w:val="nil"/>
              <w:left w:val="nil"/>
              <w:bottom w:val="nil"/>
              <w:right w:val="nil"/>
            </w:tcBorders>
            <w:shd w:val="clear" w:color="auto" w:fill="auto"/>
            <w:noWrap/>
            <w:vAlign w:val="center"/>
            <w:hideMark/>
          </w:tcPr>
          <w:p w14:paraId="63A38229"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12C557E8"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SA_24</w:t>
            </w:r>
          </w:p>
        </w:tc>
        <w:tc>
          <w:tcPr>
            <w:tcW w:w="771" w:type="dxa"/>
            <w:tcBorders>
              <w:top w:val="nil"/>
              <w:left w:val="nil"/>
              <w:bottom w:val="nil"/>
              <w:right w:val="nil"/>
            </w:tcBorders>
            <w:shd w:val="clear" w:color="auto" w:fill="auto"/>
            <w:noWrap/>
            <w:vAlign w:val="center"/>
            <w:hideMark/>
          </w:tcPr>
          <w:p w14:paraId="37CA202C"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0,923</w:t>
            </w:r>
          </w:p>
        </w:tc>
        <w:tc>
          <w:tcPr>
            <w:tcW w:w="771" w:type="dxa"/>
            <w:tcBorders>
              <w:top w:val="nil"/>
              <w:left w:val="nil"/>
              <w:bottom w:val="nil"/>
              <w:right w:val="nil"/>
            </w:tcBorders>
            <w:shd w:val="clear" w:color="auto" w:fill="auto"/>
            <w:noWrap/>
            <w:vAlign w:val="center"/>
            <w:hideMark/>
          </w:tcPr>
          <w:p w14:paraId="6040F6FF"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0,774</w:t>
            </w:r>
          </w:p>
        </w:tc>
        <w:tc>
          <w:tcPr>
            <w:tcW w:w="771" w:type="dxa"/>
            <w:tcBorders>
              <w:top w:val="nil"/>
              <w:left w:val="nil"/>
              <w:bottom w:val="nil"/>
              <w:right w:val="nil"/>
            </w:tcBorders>
            <w:shd w:val="clear" w:color="auto" w:fill="auto"/>
            <w:noWrap/>
            <w:vAlign w:val="center"/>
            <w:hideMark/>
          </w:tcPr>
          <w:p w14:paraId="37508BA0"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1,032</w:t>
            </w:r>
          </w:p>
        </w:tc>
      </w:tr>
      <w:tr w:rsidR="008836E7" w:rsidRPr="008836E7" w14:paraId="105AEE3F" w14:textId="77777777" w:rsidTr="008836E7">
        <w:trPr>
          <w:trHeight w:val="240"/>
        </w:trPr>
        <w:tc>
          <w:tcPr>
            <w:tcW w:w="2410" w:type="dxa"/>
            <w:gridSpan w:val="2"/>
            <w:tcBorders>
              <w:top w:val="nil"/>
              <w:left w:val="nil"/>
              <w:bottom w:val="nil"/>
              <w:right w:val="nil"/>
            </w:tcBorders>
            <w:shd w:val="clear" w:color="auto" w:fill="auto"/>
            <w:noWrap/>
            <w:vAlign w:val="center"/>
            <w:hideMark/>
          </w:tcPr>
          <w:p w14:paraId="05904422"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Ideación paranoide</w:t>
            </w:r>
          </w:p>
        </w:tc>
        <w:tc>
          <w:tcPr>
            <w:tcW w:w="771" w:type="dxa"/>
            <w:tcBorders>
              <w:top w:val="nil"/>
              <w:left w:val="nil"/>
              <w:bottom w:val="nil"/>
              <w:right w:val="nil"/>
            </w:tcBorders>
            <w:shd w:val="clear" w:color="auto" w:fill="auto"/>
            <w:noWrap/>
            <w:vAlign w:val="center"/>
            <w:hideMark/>
          </w:tcPr>
          <w:p w14:paraId="0A9292DD" w14:textId="77777777" w:rsidR="008836E7" w:rsidRPr="008836E7" w:rsidRDefault="008836E7" w:rsidP="008836E7">
            <w:pPr>
              <w:spacing w:after="0" w:line="240" w:lineRule="auto"/>
              <w:ind w:firstLine="0"/>
              <w:jc w:val="left"/>
              <w:rPr>
                <w:rFonts w:ascii="Arial" w:hAnsi="Arial" w:cs="Arial"/>
                <w:color w:val="000000"/>
                <w:sz w:val="18"/>
                <w:szCs w:val="18"/>
              </w:rPr>
            </w:pPr>
          </w:p>
        </w:tc>
        <w:tc>
          <w:tcPr>
            <w:tcW w:w="771" w:type="dxa"/>
            <w:tcBorders>
              <w:top w:val="nil"/>
              <w:left w:val="nil"/>
              <w:bottom w:val="nil"/>
              <w:right w:val="nil"/>
            </w:tcBorders>
            <w:shd w:val="clear" w:color="auto" w:fill="auto"/>
            <w:noWrap/>
            <w:vAlign w:val="center"/>
            <w:hideMark/>
          </w:tcPr>
          <w:p w14:paraId="3418D8D7" w14:textId="77777777" w:rsidR="008836E7" w:rsidRPr="008836E7" w:rsidRDefault="008836E7" w:rsidP="008836E7">
            <w:pPr>
              <w:spacing w:after="0" w:line="240" w:lineRule="auto"/>
              <w:ind w:firstLine="0"/>
              <w:jc w:val="center"/>
              <w:rPr>
                <w:sz w:val="20"/>
                <w:szCs w:val="20"/>
              </w:rPr>
            </w:pPr>
          </w:p>
        </w:tc>
        <w:tc>
          <w:tcPr>
            <w:tcW w:w="771" w:type="dxa"/>
            <w:tcBorders>
              <w:top w:val="nil"/>
              <w:left w:val="nil"/>
              <w:bottom w:val="nil"/>
              <w:right w:val="nil"/>
            </w:tcBorders>
            <w:shd w:val="clear" w:color="auto" w:fill="auto"/>
            <w:noWrap/>
            <w:vAlign w:val="center"/>
            <w:hideMark/>
          </w:tcPr>
          <w:p w14:paraId="38437E8E" w14:textId="77777777" w:rsidR="008836E7" w:rsidRPr="008836E7" w:rsidRDefault="008836E7" w:rsidP="008836E7">
            <w:pPr>
              <w:spacing w:after="0" w:line="240" w:lineRule="auto"/>
              <w:ind w:firstLine="0"/>
              <w:jc w:val="center"/>
              <w:rPr>
                <w:sz w:val="20"/>
                <w:szCs w:val="20"/>
              </w:rPr>
            </w:pPr>
          </w:p>
        </w:tc>
      </w:tr>
      <w:tr w:rsidR="008836E7" w:rsidRPr="008836E7" w14:paraId="78BD7FF1" w14:textId="77777777" w:rsidTr="008836E7">
        <w:trPr>
          <w:trHeight w:val="240"/>
        </w:trPr>
        <w:tc>
          <w:tcPr>
            <w:tcW w:w="1592" w:type="dxa"/>
            <w:tcBorders>
              <w:top w:val="nil"/>
              <w:left w:val="nil"/>
              <w:bottom w:val="nil"/>
              <w:right w:val="nil"/>
            </w:tcBorders>
            <w:shd w:val="clear" w:color="auto" w:fill="auto"/>
            <w:noWrap/>
            <w:vAlign w:val="center"/>
            <w:hideMark/>
          </w:tcPr>
          <w:p w14:paraId="0B72A681" w14:textId="77777777" w:rsidR="008836E7" w:rsidRPr="008836E7" w:rsidRDefault="008836E7" w:rsidP="008836E7">
            <w:pPr>
              <w:spacing w:after="0" w:line="240" w:lineRule="auto"/>
              <w:ind w:firstLine="0"/>
              <w:jc w:val="center"/>
              <w:rPr>
                <w:sz w:val="20"/>
                <w:szCs w:val="20"/>
              </w:rPr>
            </w:pPr>
          </w:p>
        </w:tc>
        <w:tc>
          <w:tcPr>
            <w:tcW w:w="818" w:type="dxa"/>
            <w:tcBorders>
              <w:top w:val="nil"/>
              <w:left w:val="nil"/>
              <w:bottom w:val="nil"/>
              <w:right w:val="nil"/>
            </w:tcBorders>
            <w:shd w:val="clear" w:color="auto" w:fill="auto"/>
            <w:noWrap/>
            <w:vAlign w:val="center"/>
            <w:hideMark/>
          </w:tcPr>
          <w:p w14:paraId="486A5E82"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SA_05</w:t>
            </w:r>
          </w:p>
        </w:tc>
        <w:tc>
          <w:tcPr>
            <w:tcW w:w="771" w:type="dxa"/>
            <w:tcBorders>
              <w:top w:val="nil"/>
              <w:left w:val="nil"/>
              <w:bottom w:val="nil"/>
              <w:right w:val="nil"/>
            </w:tcBorders>
            <w:shd w:val="clear" w:color="auto" w:fill="auto"/>
            <w:noWrap/>
            <w:vAlign w:val="center"/>
            <w:hideMark/>
          </w:tcPr>
          <w:p w14:paraId="33B86B2F"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0,503</w:t>
            </w:r>
          </w:p>
        </w:tc>
        <w:tc>
          <w:tcPr>
            <w:tcW w:w="771" w:type="dxa"/>
            <w:tcBorders>
              <w:top w:val="nil"/>
              <w:left w:val="nil"/>
              <w:bottom w:val="nil"/>
              <w:right w:val="nil"/>
            </w:tcBorders>
            <w:shd w:val="clear" w:color="auto" w:fill="auto"/>
            <w:noWrap/>
            <w:vAlign w:val="center"/>
            <w:hideMark/>
          </w:tcPr>
          <w:p w14:paraId="44F4A844"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0,388</w:t>
            </w:r>
          </w:p>
        </w:tc>
        <w:tc>
          <w:tcPr>
            <w:tcW w:w="771" w:type="dxa"/>
            <w:tcBorders>
              <w:top w:val="nil"/>
              <w:left w:val="nil"/>
              <w:bottom w:val="nil"/>
              <w:right w:val="nil"/>
            </w:tcBorders>
            <w:shd w:val="clear" w:color="auto" w:fill="auto"/>
            <w:noWrap/>
            <w:vAlign w:val="center"/>
            <w:hideMark/>
          </w:tcPr>
          <w:p w14:paraId="78E80966"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1,807</w:t>
            </w:r>
          </w:p>
        </w:tc>
      </w:tr>
      <w:tr w:rsidR="008836E7" w:rsidRPr="008836E7" w14:paraId="2C5B068F" w14:textId="77777777" w:rsidTr="008836E7">
        <w:trPr>
          <w:trHeight w:val="240"/>
        </w:trPr>
        <w:tc>
          <w:tcPr>
            <w:tcW w:w="1592" w:type="dxa"/>
            <w:tcBorders>
              <w:top w:val="nil"/>
              <w:left w:val="nil"/>
              <w:bottom w:val="nil"/>
              <w:right w:val="nil"/>
            </w:tcBorders>
            <w:shd w:val="clear" w:color="auto" w:fill="auto"/>
            <w:noWrap/>
            <w:vAlign w:val="center"/>
            <w:hideMark/>
          </w:tcPr>
          <w:p w14:paraId="18E2445A"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3B64F7A7"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SA_40</w:t>
            </w:r>
          </w:p>
        </w:tc>
        <w:tc>
          <w:tcPr>
            <w:tcW w:w="771" w:type="dxa"/>
            <w:tcBorders>
              <w:top w:val="nil"/>
              <w:left w:val="nil"/>
              <w:bottom w:val="nil"/>
              <w:right w:val="nil"/>
            </w:tcBorders>
            <w:shd w:val="clear" w:color="auto" w:fill="auto"/>
            <w:noWrap/>
            <w:vAlign w:val="center"/>
            <w:hideMark/>
          </w:tcPr>
          <w:p w14:paraId="2B7D9C08"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0,683</w:t>
            </w:r>
          </w:p>
        </w:tc>
        <w:tc>
          <w:tcPr>
            <w:tcW w:w="771" w:type="dxa"/>
            <w:tcBorders>
              <w:top w:val="nil"/>
              <w:left w:val="nil"/>
              <w:bottom w:val="nil"/>
              <w:right w:val="nil"/>
            </w:tcBorders>
            <w:shd w:val="clear" w:color="auto" w:fill="auto"/>
            <w:noWrap/>
            <w:vAlign w:val="center"/>
            <w:hideMark/>
          </w:tcPr>
          <w:p w14:paraId="0CD7BAFF"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0,446</w:t>
            </w:r>
          </w:p>
        </w:tc>
        <w:tc>
          <w:tcPr>
            <w:tcW w:w="771" w:type="dxa"/>
            <w:tcBorders>
              <w:top w:val="nil"/>
              <w:left w:val="nil"/>
              <w:bottom w:val="nil"/>
              <w:right w:val="nil"/>
            </w:tcBorders>
            <w:shd w:val="clear" w:color="auto" w:fill="auto"/>
            <w:noWrap/>
            <w:vAlign w:val="center"/>
            <w:hideMark/>
          </w:tcPr>
          <w:p w14:paraId="4B2D852E"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1,730</w:t>
            </w:r>
          </w:p>
        </w:tc>
      </w:tr>
      <w:tr w:rsidR="008836E7" w:rsidRPr="008836E7" w14:paraId="3BE10A7B" w14:textId="77777777" w:rsidTr="008836E7">
        <w:trPr>
          <w:trHeight w:val="240"/>
        </w:trPr>
        <w:tc>
          <w:tcPr>
            <w:tcW w:w="1592" w:type="dxa"/>
            <w:tcBorders>
              <w:top w:val="nil"/>
              <w:left w:val="nil"/>
              <w:bottom w:val="nil"/>
              <w:right w:val="nil"/>
            </w:tcBorders>
            <w:shd w:val="clear" w:color="auto" w:fill="auto"/>
            <w:noWrap/>
            <w:vAlign w:val="center"/>
            <w:hideMark/>
          </w:tcPr>
          <w:p w14:paraId="3B17756A"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0E0038B4"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SA_44</w:t>
            </w:r>
          </w:p>
        </w:tc>
        <w:tc>
          <w:tcPr>
            <w:tcW w:w="771" w:type="dxa"/>
            <w:tcBorders>
              <w:top w:val="nil"/>
              <w:left w:val="nil"/>
              <w:bottom w:val="nil"/>
              <w:right w:val="nil"/>
            </w:tcBorders>
            <w:shd w:val="clear" w:color="auto" w:fill="auto"/>
            <w:noWrap/>
            <w:vAlign w:val="center"/>
            <w:hideMark/>
          </w:tcPr>
          <w:p w14:paraId="398C1906"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0,703</w:t>
            </w:r>
          </w:p>
        </w:tc>
        <w:tc>
          <w:tcPr>
            <w:tcW w:w="771" w:type="dxa"/>
            <w:tcBorders>
              <w:top w:val="nil"/>
              <w:left w:val="nil"/>
              <w:bottom w:val="nil"/>
              <w:right w:val="nil"/>
            </w:tcBorders>
            <w:shd w:val="clear" w:color="auto" w:fill="auto"/>
            <w:noWrap/>
            <w:vAlign w:val="center"/>
            <w:hideMark/>
          </w:tcPr>
          <w:p w14:paraId="4EA8C788"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0,567</w:t>
            </w:r>
          </w:p>
        </w:tc>
        <w:tc>
          <w:tcPr>
            <w:tcW w:w="771" w:type="dxa"/>
            <w:tcBorders>
              <w:top w:val="nil"/>
              <w:left w:val="nil"/>
              <w:bottom w:val="nil"/>
              <w:right w:val="nil"/>
            </w:tcBorders>
            <w:shd w:val="clear" w:color="auto" w:fill="auto"/>
            <w:noWrap/>
            <w:vAlign w:val="center"/>
            <w:hideMark/>
          </w:tcPr>
          <w:p w14:paraId="3BFB89C4"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1,024</w:t>
            </w:r>
          </w:p>
        </w:tc>
      </w:tr>
      <w:tr w:rsidR="008836E7" w:rsidRPr="008836E7" w14:paraId="626060F5" w14:textId="77777777" w:rsidTr="008836E7">
        <w:trPr>
          <w:trHeight w:val="240"/>
        </w:trPr>
        <w:tc>
          <w:tcPr>
            <w:tcW w:w="1592" w:type="dxa"/>
            <w:tcBorders>
              <w:top w:val="nil"/>
              <w:left w:val="nil"/>
              <w:bottom w:val="nil"/>
              <w:right w:val="nil"/>
            </w:tcBorders>
            <w:shd w:val="clear" w:color="auto" w:fill="auto"/>
            <w:noWrap/>
            <w:vAlign w:val="center"/>
            <w:hideMark/>
          </w:tcPr>
          <w:p w14:paraId="435BE833"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Somatización</w:t>
            </w:r>
          </w:p>
        </w:tc>
        <w:tc>
          <w:tcPr>
            <w:tcW w:w="818" w:type="dxa"/>
            <w:tcBorders>
              <w:top w:val="nil"/>
              <w:left w:val="nil"/>
              <w:bottom w:val="nil"/>
              <w:right w:val="nil"/>
            </w:tcBorders>
            <w:shd w:val="clear" w:color="auto" w:fill="auto"/>
            <w:noWrap/>
            <w:vAlign w:val="center"/>
            <w:hideMark/>
          </w:tcPr>
          <w:p w14:paraId="37E7CC5D" w14:textId="77777777" w:rsidR="008836E7" w:rsidRPr="008836E7" w:rsidRDefault="008836E7" w:rsidP="008836E7">
            <w:pPr>
              <w:spacing w:after="0" w:line="240" w:lineRule="auto"/>
              <w:ind w:firstLine="0"/>
              <w:jc w:val="left"/>
              <w:rPr>
                <w:rFonts w:ascii="Arial" w:hAnsi="Arial" w:cs="Arial"/>
                <w:color w:val="000000"/>
                <w:sz w:val="18"/>
                <w:szCs w:val="18"/>
              </w:rPr>
            </w:pPr>
          </w:p>
        </w:tc>
        <w:tc>
          <w:tcPr>
            <w:tcW w:w="771" w:type="dxa"/>
            <w:tcBorders>
              <w:top w:val="nil"/>
              <w:left w:val="nil"/>
              <w:bottom w:val="nil"/>
              <w:right w:val="nil"/>
            </w:tcBorders>
            <w:shd w:val="clear" w:color="auto" w:fill="auto"/>
            <w:noWrap/>
            <w:vAlign w:val="center"/>
            <w:hideMark/>
          </w:tcPr>
          <w:p w14:paraId="5297CB79" w14:textId="77777777" w:rsidR="008836E7" w:rsidRPr="008836E7" w:rsidRDefault="008836E7" w:rsidP="008836E7">
            <w:pPr>
              <w:spacing w:after="0" w:line="240" w:lineRule="auto"/>
              <w:ind w:firstLine="0"/>
              <w:jc w:val="left"/>
              <w:rPr>
                <w:sz w:val="20"/>
                <w:szCs w:val="20"/>
              </w:rPr>
            </w:pPr>
          </w:p>
        </w:tc>
        <w:tc>
          <w:tcPr>
            <w:tcW w:w="771" w:type="dxa"/>
            <w:tcBorders>
              <w:top w:val="nil"/>
              <w:left w:val="nil"/>
              <w:bottom w:val="nil"/>
              <w:right w:val="nil"/>
            </w:tcBorders>
            <w:shd w:val="clear" w:color="auto" w:fill="auto"/>
            <w:noWrap/>
            <w:vAlign w:val="center"/>
            <w:hideMark/>
          </w:tcPr>
          <w:p w14:paraId="2465C9EF" w14:textId="77777777" w:rsidR="008836E7" w:rsidRPr="008836E7" w:rsidRDefault="008836E7" w:rsidP="008836E7">
            <w:pPr>
              <w:spacing w:after="0" w:line="240" w:lineRule="auto"/>
              <w:ind w:firstLine="0"/>
              <w:jc w:val="center"/>
              <w:rPr>
                <w:sz w:val="20"/>
                <w:szCs w:val="20"/>
              </w:rPr>
            </w:pPr>
          </w:p>
        </w:tc>
        <w:tc>
          <w:tcPr>
            <w:tcW w:w="771" w:type="dxa"/>
            <w:tcBorders>
              <w:top w:val="nil"/>
              <w:left w:val="nil"/>
              <w:bottom w:val="nil"/>
              <w:right w:val="nil"/>
            </w:tcBorders>
            <w:shd w:val="clear" w:color="auto" w:fill="auto"/>
            <w:noWrap/>
            <w:vAlign w:val="center"/>
            <w:hideMark/>
          </w:tcPr>
          <w:p w14:paraId="70009BA8" w14:textId="77777777" w:rsidR="008836E7" w:rsidRPr="008836E7" w:rsidRDefault="008836E7" w:rsidP="008836E7">
            <w:pPr>
              <w:spacing w:after="0" w:line="240" w:lineRule="auto"/>
              <w:ind w:firstLine="0"/>
              <w:jc w:val="center"/>
              <w:rPr>
                <w:sz w:val="20"/>
                <w:szCs w:val="20"/>
              </w:rPr>
            </w:pPr>
          </w:p>
        </w:tc>
      </w:tr>
      <w:tr w:rsidR="008836E7" w:rsidRPr="008836E7" w14:paraId="4E40F4CA" w14:textId="77777777" w:rsidTr="008836E7">
        <w:trPr>
          <w:trHeight w:val="240"/>
        </w:trPr>
        <w:tc>
          <w:tcPr>
            <w:tcW w:w="1592" w:type="dxa"/>
            <w:tcBorders>
              <w:top w:val="nil"/>
              <w:left w:val="nil"/>
              <w:bottom w:val="nil"/>
              <w:right w:val="nil"/>
            </w:tcBorders>
            <w:shd w:val="clear" w:color="auto" w:fill="auto"/>
            <w:noWrap/>
            <w:vAlign w:val="center"/>
            <w:hideMark/>
          </w:tcPr>
          <w:p w14:paraId="26748A9F" w14:textId="77777777" w:rsidR="008836E7" w:rsidRPr="008836E7" w:rsidRDefault="008836E7" w:rsidP="008836E7">
            <w:pPr>
              <w:spacing w:after="0" w:line="240" w:lineRule="auto"/>
              <w:ind w:firstLine="0"/>
              <w:jc w:val="center"/>
              <w:rPr>
                <w:sz w:val="20"/>
                <w:szCs w:val="20"/>
              </w:rPr>
            </w:pPr>
          </w:p>
        </w:tc>
        <w:tc>
          <w:tcPr>
            <w:tcW w:w="818" w:type="dxa"/>
            <w:tcBorders>
              <w:top w:val="nil"/>
              <w:left w:val="nil"/>
              <w:bottom w:val="nil"/>
              <w:right w:val="nil"/>
            </w:tcBorders>
            <w:shd w:val="clear" w:color="auto" w:fill="auto"/>
            <w:noWrap/>
            <w:vAlign w:val="center"/>
            <w:hideMark/>
          </w:tcPr>
          <w:p w14:paraId="5FF6B3A7"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SA_26</w:t>
            </w:r>
          </w:p>
        </w:tc>
        <w:tc>
          <w:tcPr>
            <w:tcW w:w="771" w:type="dxa"/>
            <w:tcBorders>
              <w:top w:val="nil"/>
              <w:left w:val="nil"/>
              <w:bottom w:val="nil"/>
              <w:right w:val="nil"/>
            </w:tcBorders>
            <w:shd w:val="clear" w:color="auto" w:fill="auto"/>
            <w:noWrap/>
            <w:vAlign w:val="center"/>
            <w:hideMark/>
          </w:tcPr>
          <w:p w14:paraId="1656E8DC"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0,744</w:t>
            </w:r>
          </w:p>
        </w:tc>
        <w:tc>
          <w:tcPr>
            <w:tcW w:w="771" w:type="dxa"/>
            <w:tcBorders>
              <w:top w:val="nil"/>
              <w:left w:val="nil"/>
              <w:bottom w:val="nil"/>
              <w:right w:val="nil"/>
            </w:tcBorders>
            <w:shd w:val="clear" w:color="auto" w:fill="auto"/>
            <w:noWrap/>
            <w:vAlign w:val="center"/>
            <w:hideMark/>
          </w:tcPr>
          <w:p w14:paraId="1F2FF593"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0,673</w:t>
            </w:r>
          </w:p>
        </w:tc>
        <w:tc>
          <w:tcPr>
            <w:tcW w:w="771" w:type="dxa"/>
            <w:tcBorders>
              <w:top w:val="nil"/>
              <w:left w:val="nil"/>
              <w:bottom w:val="nil"/>
              <w:right w:val="nil"/>
            </w:tcBorders>
            <w:shd w:val="clear" w:color="auto" w:fill="auto"/>
            <w:noWrap/>
            <w:vAlign w:val="center"/>
            <w:hideMark/>
          </w:tcPr>
          <w:p w14:paraId="0DECBDFB"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1,125</w:t>
            </w:r>
          </w:p>
        </w:tc>
      </w:tr>
      <w:tr w:rsidR="008836E7" w:rsidRPr="008836E7" w14:paraId="3B92AF74" w14:textId="77777777" w:rsidTr="008836E7">
        <w:trPr>
          <w:trHeight w:val="240"/>
        </w:trPr>
        <w:tc>
          <w:tcPr>
            <w:tcW w:w="1592" w:type="dxa"/>
            <w:tcBorders>
              <w:top w:val="nil"/>
              <w:left w:val="nil"/>
              <w:bottom w:val="nil"/>
              <w:right w:val="nil"/>
            </w:tcBorders>
            <w:shd w:val="clear" w:color="auto" w:fill="auto"/>
            <w:noWrap/>
            <w:vAlign w:val="center"/>
            <w:hideMark/>
          </w:tcPr>
          <w:p w14:paraId="2CFBC279"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516074AC"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SA_29</w:t>
            </w:r>
          </w:p>
        </w:tc>
        <w:tc>
          <w:tcPr>
            <w:tcW w:w="771" w:type="dxa"/>
            <w:tcBorders>
              <w:top w:val="nil"/>
              <w:left w:val="nil"/>
              <w:bottom w:val="nil"/>
              <w:right w:val="nil"/>
            </w:tcBorders>
            <w:shd w:val="clear" w:color="auto" w:fill="auto"/>
            <w:noWrap/>
            <w:vAlign w:val="center"/>
            <w:hideMark/>
          </w:tcPr>
          <w:p w14:paraId="7C68C6B8"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0,866</w:t>
            </w:r>
          </w:p>
        </w:tc>
        <w:tc>
          <w:tcPr>
            <w:tcW w:w="771" w:type="dxa"/>
            <w:tcBorders>
              <w:top w:val="nil"/>
              <w:left w:val="nil"/>
              <w:bottom w:val="nil"/>
              <w:right w:val="nil"/>
            </w:tcBorders>
            <w:shd w:val="clear" w:color="auto" w:fill="auto"/>
            <w:noWrap/>
            <w:vAlign w:val="center"/>
            <w:hideMark/>
          </w:tcPr>
          <w:p w14:paraId="5A9C71AF"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0,771</w:t>
            </w:r>
          </w:p>
        </w:tc>
        <w:tc>
          <w:tcPr>
            <w:tcW w:w="771" w:type="dxa"/>
            <w:tcBorders>
              <w:top w:val="nil"/>
              <w:left w:val="nil"/>
              <w:bottom w:val="nil"/>
              <w:right w:val="nil"/>
            </w:tcBorders>
            <w:shd w:val="clear" w:color="auto" w:fill="auto"/>
            <w:noWrap/>
            <w:vAlign w:val="center"/>
            <w:hideMark/>
          </w:tcPr>
          <w:p w14:paraId="3EC235B1"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1,017</w:t>
            </w:r>
          </w:p>
        </w:tc>
      </w:tr>
      <w:tr w:rsidR="008836E7" w:rsidRPr="008836E7" w14:paraId="5C416243" w14:textId="77777777" w:rsidTr="008836E7">
        <w:trPr>
          <w:trHeight w:val="240"/>
        </w:trPr>
        <w:tc>
          <w:tcPr>
            <w:tcW w:w="1592" w:type="dxa"/>
            <w:tcBorders>
              <w:top w:val="nil"/>
              <w:left w:val="nil"/>
              <w:bottom w:val="nil"/>
              <w:right w:val="nil"/>
            </w:tcBorders>
            <w:shd w:val="clear" w:color="auto" w:fill="auto"/>
            <w:noWrap/>
            <w:vAlign w:val="center"/>
            <w:hideMark/>
          </w:tcPr>
          <w:p w14:paraId="0561BB0D"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1151A742"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SA_31</w:t>
            </w:r>
          </w:p>
        </w:tc>
        <w:tc>
          <w:tcPr>
            <w:tcW w:w="771" w:type="dxa"/>
            <w:tcBorders>
              <w:top w:val="nil"/>
              <w:left w:val="nil"/>
              <w:bottom w:val="nil"/>
              <w:right w:val="nil"/>
            </w:tcBorders>
            <w:shd w:val="clear" w:color="auto" w:fill="auto"/>
            <w:noWrap/>
            <w:vAlign w:val="center"/>
            <w:hideMark/>
          </w:tcPr>
          <w:p w14:paraId="048A5809"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0,843</w:t>
            </w:r>
          </w:p>
        </w:tc>
        <w:tc>
          <w:tcPr>
            <w:tcW w:w="771" w:type="dxa"/>
            <w:tcBorders>
              <w:top w:val="nil"/>
              <w:left w:val="nil"/>
              <w:bottom w:val="nil"/>
              <w:right w:val="nil"/>
            </w:tcBorders>
            <w:shd w:val="clear" w:color="auto" w:fill="auto"/>
            <w:noWrap/>
            <w:vAlign w:val="center"/>
            <w:hideMark/>
          </w:tcPr>
          <w:p w14:paraId="4A600891"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0,745</w:t>
            </w:r>
          </w:p>
        </w:tc>
        <w:tc>
          <w:tcPr>
            <w:tcW w:w="771" w:type="dxa"/>
            <w:tcBorders>
              <w:top w:val="nil"/>
              <w:left w:val="nil"/>
              <w:bottom w:val="nil"/>
              <w:right w:val="nil"/>
            </w:tcBorders>
            <w:shd w:val="clear" w:color="auto" w:fill="auto"/>
            <w:noWrap/>
            <w:vAlign w:val="center"/>
            <w:hideMark/>
          </w:tcPr>
          <w:p w14:paraId="61357E76"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1,034</w:t>
            </w:r>
          </w:p>
        </w:tc>
      </w:tr>
      <w:tr w:rsidR="008836E7" w:rsidRPr="008836E7" w14:paraId="5A57B03C" w14:textId="77777777" w:rsidTr="008836E7">
        <w:trPr>
          <w:trHeight w:val="240"/>
        </w:trPr>
        <w:tc>
          <w:tcPr>
            <w:tcW w:w="1592" w:type="dxa"/>
            <w:tcBorders>
              <w:top w:val="nil"/>
              <w:left w:val="nil"/>
              <w:bottom w:val="nil"/>
              <w:right w:val="nil"/>
            </w:tcBorders>
            <w:shd w:val="clear" w:color="auto" w:fill="auto"/>
            <w:noWrap/>
            <w:vAlign w:val="center"/>
            <w:hideMark/>
          </w:tcPr>
          <w:p w14:paraId="536385AC"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Hostilidad</w:t>
            </w:r>
          </w:p>
        </w:tc>
        <w:tc>
          <w:tcPr>
            <w:tcW w:w="818" w:type="dxa"/>
            <w:tcBorders>
              <w:top w:val="nil"/>
              <w:left w:val="nil"/>
              <w:bottom w:val="nil"/>
              <w:right w:val="nil"/>
            </w:tcBorders>
            <w:shd w:val="clear" w:color="auto" w:fill="auto"/>
            <w:noWrap/>
            <w:vAlign w:val="center"/>
            <w:hideMark/>
          </w:tcPr>
          <w:p w14:paraId="2C0BEF74" w14:textId="77777777" w:rsidR="008836E7" w:rsidRPr="008836E7" w:rsidRDefault="008836E7" w:rsidP="008836E7">
            <w:pPr>
              <w:spacing w:after="0" w:line="240" w:lineRule="auto"/>
              <w:ind w:firstLine="0"/>
              <w:jc w:val="left"/>
              <w:rPr>
                <w:rFonts w:ascii="Arial" w:hAnsi="Arial" w:cs="Arial"/>
                <w:color w:val="000000"/>
                <w:sz w:val="18"/>
                <w:szCs w:val="18"/>
              </w:rPr>
            </w:pPr>
          </w:p>
        </w:tc>
        <w:tc>
          <w:tcPr>
            <w:tcW w:w="771" w:type="dxa"/>
            <w:tcBorders>
              <w:top w:val="nil"/>
              <w:left w:val="nil"/>
              <w:bottom w:val="nil"/>
              <w:right w:val="nil"/>
            </w:tcBorders>
            <w:shd w:val="clear" w:color="auto" w:fill="auto"/>
            <w:noWrap/>
            <w:vAlign w:val="center"/>
            <w:hideMark/>
          </w:tcPr>
          <w:p w14:paraId="60EDF20E" w14:textId="77777777" w:rsidR="008836E7" w:rsidRPr="008836E7" w:rsidRDefault="008836E7" w:rsidP="008836E7">
            <w:pPr>
              <w:spacing w:after="0" w:line="240" w:lineRule="auto"/>
              <w:ind w:firstLine="0"/>
              <w:jc w:val="left"/>
              <w:rPr>
                <w:sz w:val="20"/>
                <w:szCs w:val="20"/>
              </w:rPr>
            </w:pPr>
          </w:p>
        </w:tc>
        <w:tc>
          <w:tcPr>
            <w:tcW w:w="771" w:type="dxa"/>
            <w:tcBorders>
              <w:top w:val="nil"/>
              <w:left w:val="nil"/>
              <w:bottom w:val="nil"/>
              <w:right w:val="nil"/>
            </w:tcBorders>
            <w:shd w:val="clear" w:color="auto" w:fill="auto"/>
            <w:noWrap/>
            <w:vAlign w:val="center"/>
            <w:hideMark/>
          </w:tcPr>
          <w:p w14:paraId="236BF6C7" w14:textId="77777777" w:rsidR="008836E7" w:rsidRPr="008836E7" w:rsidRDefault="008836E7" w:rsidP="008836E7">
            <w:pPr>
              <w:spacing w:after="0" w:line="240" w:lineRule="auto"/>
              <w:ind w:firstLine="0"/>
              <w:jc w:val="center"/>
              <w:rPr>
                <w:sz w:val="20"/>
                <w:szCs w:val="20"/>
              </w:rPr>
            </w:pPr>
          </w:p>
        </w:tc>
        <w:tc>
          <w:tcPr>
            <w:tcW w:w="771" w:type="dxa"/>
            <w:tcBorders>
              <w:top w:val="nil"/>
              <w:left w:val="nil"/>
              <w:bottom w:val="nil"/>
              <w:right w:val="nil"/>
            </w:tcBorders>
            <w:shd w:val="clear" w:color="auto" w:fill="auto"/>
            <w:noWrap/>
            <w:vAlign w:val="center"/>
            <w:hideMark/>
          </w:tcPr>
          <w:p w14:paraId="7FE6F526" w14:textId="77777777" w:rsidR="008836E7" w:rsidRPr="008836E7" w:rsidRDefault="008836E7" w:rsidP="008836E7">
            <w:pPr>
              <w:spacing w:after="0" w:line="240" w:lineRule="auto"/>
              <w:ind w:firstLine="0"/>
              <w:jc w:val="center"/>
              <w:rPr>
                <w:sz w:val="20"/>
                <w:szCs w:val="20"/>
              </w:rPr>
            </w:pPr>
          </w:p>
        </w:tc>
      </w:tr>
      <w:tr w:rsidR="008836E7" w:rsidRPr="008836E7" w14:paraId="254483F2" w14:textId="77777777" w:rsidTr="008836E7">
        <w:trPr>
          <w:trHeight w:val="240"/>
        </w:trPr>
        <w:tc>
          <w:tcPr>
            <w:tcW w:w="1592" w:type="dxa"/>
            <w:tcBorders>
              <w:top w:val="nil"/>
              <w:left w:val="nil"/>
              <w:bottom w:val="nil"/>
              <w:right w:val="nil"/>
            </w:tcBorders>
            <w:shd w:val="clear" w:color="auto" w:fill="auto"/>
            <w:noWrap/>
            <w:vAlign w:val="center"/>
            <w:hideMark/>
          </w:tcPr>
          <w:p w14:paraId="7110CA55" w14:textId="77777777" w:rsidR="008836E7" w:rsidRPr="008836E7" w:rsidRDefault="008836E7" w:rsidP="008836E7">
            <w:pPr>
              <w:spacing w:after="0" w:line="240" w:lineRule="auto"/>
              <w:ind w:firstLine="0"/>
              <w:jc w:val="center"/>
              <w:rPr>
                <w:sz w:val="20"/>
                <w:szCs w:val="20"/>
              </w:rPr>
            </w:pPr>
          </w:p>
        </w:tc>
        <w:tc>
          <w:tcPr>
            <w:tcW w:w="818" w:type="dxa"/>
            <w:tcBorders>
              <w:top w:val="nil"/>
              <w:left w:val="nil"/>
              <w:bottom w:val="nil"/>
              <w:right w:val="nil"/>
            </w:tcBorders>
            <w:shd w:val="clear" w:color="auto" w:fill="auto"/>
            <w:noWrap/>
            <w:vAlign w:val="center"/>
            <w:hideMark/>
          </w:tcPr>
          <w:p w14:paraId="2C2F053C"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SA_07</w:t>
            </w:r>
          </w:p>
        </w:tc>
        <w:tc>
          <w:tcPr>
            <w:tcW w:w="771" w:type="dxa"/>
            <w:tcBorders>
              <w:top w:val="nil"/>
              <w:left w:val="nil"/>
              <w:bottom w:val="nil"/>
              <w:right w:val="nil"/>
            </w:tcBorders>
            <w:shd w:val="clear" w:color="auto" w:fill="auto"/>
            <w:noWrap/>
            <w:vAlign w:val="center"/>
            <w:hideMark/>
          </w:tcPr>
          <w:p w14:paraId="22E88712"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0,845</w:t>
            </w:r>
          </w:p>
        </w:tc>
        <w:tc>
          <w:tcPr>
            <w:tcW w:w="771" w:type="dxa"/>
            <w:tcBorders>
              <w:top w:val="nil"/>
              <w:left w:val="nil"/>
              <w:bottom w:val="nil"/>
              <w:right w:val="nil"/>
            </w:tcBorders>
            <w:shd w:val="clear" w:color="auto" w:fill="auto"/>
            <w:noWrap/>
            <w:vAlign w:val="center"/>
            <w:hideMark/>
          </w:tcPr>
          <w:p w14:paraId="4D9280D3"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0,691</w:t>
            </w:r>
          </w:p>
        </w:tc>
        <w:tc>
          <w:tcPr>
            <w:tcW w:w="771" w:type="dxa"/>
            <w:tcBorders>
              <w:top w:val="nil"/>
              <w:left w:val="nil"/>
              <w:bottom w:val="nil"/>
              <w:right w:val="nil"/>
            </w:tcBorders>
            <w:shd w:val="clear" w:color="auto" w:fill="auto"/>
            <w:noWrap/>
            <w:vAlign w:val="center"/>
            <w:hideMark/>
          </w:tcPr>
          <w:p w14:paraId="0864FCD7"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1,149</w:t>
            </w:r>
          </w:p>
        </w:tc>
      </w:tr>
      <w:tr w:rsidR="008836E7" w:rsidRPr="008836E7" w14:paraId="21749F49" w14:textId="77777777" w:rsidTr="008836E7">
        <w:trPr>
          <w:trHeight w:val="240"/>
        </w:trPr>
        <w:tc>
          <w:tcPr>
            <w:tcW w:w="1592" w:type="dxa"/>
            <w:tcBorders>
              <w:top w:val="nil"/>
              <w:left w:val="nil"/>
              <w:bottom w:val="nil"/>
              <w:right w:val="nil"/>
            </w:tcBorders>
            <w:shd w:val="clear" w:color="auto" w:fill="auto"/>
            <w:noWrap/>
            <w:vAlign w:val="center"/>
            <w:hideMark/>
          </w:tcPr>
          <w:p w14:paraId="5086AB76"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596CB1D2"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SA_35</w:t>
            </w:r>
          </w:p>
        </w:tc>
        <w:tc>
          <w:tcPr>
            <w:tcW w:w="771" w:type="dxa"/>
            <w:tcBorders>
              <w:top w:val="nil"/>
              <w:left w:val="nil"/>
              <w:bottom w:val="nil"/>
              <w:right w:val="nil"/>
            </w:tcBorders>
            <w:shd w:val="clear" w:color="auto" w:fill="auto"/>
            <w:noWrap/>
            <w:vAlign w:val="center"/>
            <w:hideMark/>
          </w:tcPr>
          <w:p w14:paraId="39EEAAF8"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0,666</w:t>
            </w:r>
          </w:p>
        </w:tc>
        <w:tc>
          <w:tcPr>
            <w:tcW w:w="771" w:type="dxa"/>
            <w:tcBorders>
              <w:top w:val="nil"/>
              <w:left w:val="nil"/>
              <w:bottom w:val="nil"/>
              <w:right w:val="nil"/>
            </w:tcBorders>
            <w:shd w:val="clear" w:color="auto" w:fill="auto"/>
            <w:noWrap/>
            <w:vAlign w:val="center"/>
            <w:hideMark/>
          </w:tcPr>
          <w:p w14:paraId="1421B23B"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0,580</w:t>
            </w:r>
          </w:p>
        </w:tc>
        <w:tc>
          <w:tcPr>
            <w:tcW w:w="771" w:type="dxa"/>
            <w:tcBorders>
              <w:top w:val="nil"/>
              <w:left w:val="nil"/>
              <w:bottom w:val="nil"/>
              <w:right w:val="nil"/>
            </w:tcBorders>
            <w:shd w:val="clear" w:color="auto" w:fill="auto"/>
            <w:noWrap/>
            <w:vAlign w:val="center"/>
            <w:hideMark/>
          </w:tcPr>
          <w:p w14:paraId="6BBF3582"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1,522</w:t>
            </w:r>
          </w:p>
        </w:tc>
      </w:tr>
      <w:tr w:rsidR="008836E7" w:rsidRPr="008836E7" w14:paraId="4F03CE25" w14:textId="77777777" w:rsidTr="008836E7">
        <w:trPr>
          <w:trHeight w:val="240"/>
        </w:trPr>
        <w:tc>
          <w:tcPr>
            <w:tcW w:w="1592" w:type="dxa"/>
            <w:tcBorders>
              <w:top w:val="nil"/>
              <w:left w:val="nil"/>
              <w:bottom w:val="nil"/>
              <w:right w:val="nil"/>
            </w:tcBorders>
            <w:shd w:val="clear" w:color="auto" w:fill="auto"/>
            <w:noWrap/>
            <w:vAlign w:val="center"/>
            <w:hideMark/>
          </w:tcPr>
          <w:p w14:paraId="120F6C18"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74B28D83"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SA_43</w:t>
            </w:r>
          </w:p>
        </w:tc>
        <w:tc>
          <w:tcPr>
            <w:tcW w:w="771" w:type="dxa"/>
            <w:tcBorders>
              <w:top w:val="nil"/>
              <w:left w:val="nil"/>
              <w:bottom w:val="nil"/>
              <w:right w:val="nil"/>
            </w:tcBorders>
            <w:shd w:val="clear" w:color="auto" w:fill="auto"/>
            <w:noWrap/>
            <w:vAlign w:val="center"/>
            <w:hideMark/>
          </w:tcPr>
          <w:p w14:paraId="00EBCEA8"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0,842</w:t>
            </w:r>
          </w:p>
        </w:tc>
        <w:tc>
          <w:tcPr>
            <w:tcW w:w="771" w:type="dxa"/>
            <w:tcBorders>
              <w:top w:val="nil"/>
              <w:left w:val="nil"/>
              <w:bottom w:val="nil"/>
              <w:right w:val="nil"/>
            </w:tcBorders>
            <w:shd w:val="clear" w:color="auto" w:fill="auto"/>
            <w:noWrap/>
            <w:vAlign w:val="center"/>
            <w:hideMark/>
          </w:tcPr>
          <w:p w14:paraId="7163C471"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0,749</w:t>
            </w:r>
          </w:p>
        </w:tc>
        <w:tc>
          <w:tcPr>
            <w:tcW w:w="771" w:type="dxa"/>
            <w:tcBorders>
              <w:top w:val="nil"/>
              <w:left w:val="nil"/>
              <w:bottom w:val="nil"/>
              <w:right w:val="nil"/>
            </w:tcBorders>
            <w:shd w:val="clear" w:color="auto" w:fill="auto"/>
            <w:noWrap/>
            <w:vAlign w:val="center"/>
            <w:hideMark/>
          </w:tcPr>
          <w:p w14:paraId="1B7412D9"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1,004</w:t>
            </w:r>
          </w:p>
        </w:tc>
      </w:tr>
      <w:tr w:rsidR="008836E7" w:rsidRPr="008836E7" w14:paraId="4EEACA5D" w14:textId="77777777" w:rsidTr="008836E7">
        <w:trPr>
          <w:trHeight w:val="240"/>
        </w:trPr>
        <w:tc>
          <w:tcPr>
            <w:tcW w:w="1592" w:type="dxa"/>
            <w:tcBorders>
              <w:top w:val="nil"/>
              <w:left w:val="nil"/>
              <w:bottom w:val="nil"/>
              <w:right w:val="nil"/>
            </w:tcBorders>
            <w:shd w:val="clear" w:color="auto" w:fill="auto"/>
            <w:noWrap/>
            <w:vAlign w:val="center"/>
            <w:hideMark/>
          </w:tcPr>
          <w:p w14:paraId="60084DF0"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Depresión</w:t>
            </w:r>
          </w:p>
        </w:tc>
        <w:tc>
          <w:tcPr>
            <w:tcW w:w="818" w:type="dxa"/>
            <w:tcBorders>
              <w:top w:val="nil"/>
              <w:left w:val="nil"/>
              <w:bottom w:val="nil"/>
              <w:right w:val="nil"/>
            </w:tcBorders>
            <w:shd w:val="clear" w:color="auto" w:fill="auto"/>
            <w:noWrap/>
            <w:vAlign w:val="center"/>
            <w:hideMark/>
          </w:tcPr>
          <w:p w14:paraId="39A2CAA0" w14:textId="77777777" w:rsidR="008836E7" w:rsidRPr="008836E7" w:rsidRDefault="008836E7" w:rsidP="008836E7">
            <w:pPr>
              <w:spacing w:after="0" w:line="240" w:lineRule="auto"/>
              <w:ind w:firstLine="0"/>
              <w:jc w:val="left"/>
              <w:rPr>
                <w:rFonts w:ascii="Arial" w:hAnsi="Arial" w:cs="Arial"/>
                <w:color w:val="000000"/>
                <w:sz w:val="18"/>
                <w:szCs w:val="18"/>
              </w:rPr>
            </w:pPr>
          </w:p>
        </w:tc>
        <w:tc>
          <w:tcPr>
            <w:tcW w:w="771" w:type="dxa"/>
            <w:tcBorders>
              <w:top w:val="nil"/>
              <w:left w:val="nil"/>
              <w:bottom w:val="nil"/>
              <w:right w:val="nil"/>
            </w:tcBorders>
            <w:shd w:val="clear" w:color="auto" w:fill="auto"/>
            <w:noWrap/>
            <w:vAlign w:val="center"/>
            <w:hideMark/>
          </w:tcPr>
          <w:p w14:paraId="35443F2E" w14:textId="77777777" w:rsidR="008836E7" w:rsidRPr="008836E7" w:rsidRDefault="008836E7" w:rsidP="008836E7">
            <w:pPr>
              <w:spacing w:after="0" w:line="240" w:lineRule="auto"/>
              <w:ind w:firstLine="0"/>
              <w:jc w:val="left"/>
              <w:rPr>
                <w:sz w:val="20"/>
                <w:szCs w:val="20"/>
              </w:rPr>
            </w:pPr>
          </w:p>
        </w:tc>
        <w:tc>
          <w:tcPr>
            <w:tcW w:w="771" w:type="dxa"/>
            <w:tcBorders>
              <w:top w:val="nil"/>
              <w:left w:val="nil"/>
              <w:bottom w:val="nil"/>
              <w:right w:val="nil"/>
            </w:tcBorders>
            <w:shd w:val="clear" w:color="auto" w:fill="auto"/>
            <w:noWrap/>
            <w:vAlign w:val="center"/>
            <w:hideMark/>
          </w:tcPr>
          <w:p w14:paraId="1638A680" w14:textId="77777777" w:rsidR="008836E7" w:rsidRPr="008836E7" w:rsidRDefault="008836E7" w:rsidP="008836E7">
            <w:pPr>
              <w:spacing w:after="0" w:line="240" w:lineRule="auto"/>
              <w:ind w:firstLine="0"/>
              <w:jc w:val="center"/>
              <w:rPr>
                <w:sz w:val="20"/>
                <w:szCs w:val="20"/>
              </w:rPr>
            </w:pPr>
          </w:p>
        </w:tc>
        <w:tc>
          <w:tcPr>
            <w:tcW w:w="771" w:type="dxa"/>
            <w:tcBorders>
              <w:top w:val="nil"/>
              <w:left w:val="nil"/>
              <w:bottom w:val="nil"/>
              <w:right w:val="nil"/>
            </w:tcBorders>
            <w:shd w:val="clear" w:color="auto" w:fill="auto"/>
            <w:noWrap/>
            <w:vAlign w:val="center"/>
            <w:hideMark/>
          </w:tcPr>
          <w:p w14:paraId="1658275D" w14:textId="77777777" w:rsidR="008836E7" w:rsidRPr="008836E7" w:rsidRDefault="008836E7" w:rsidP="008836E7">
            <w:pPr>
              <w:spacing w:after="0" w:line="240" w:lineRule="auto"/>
              <w:ind w:firstLine="0"/>
              <w:jc w:val="center"/>
              <w:rPr>
                <w:sz w:val="20"/>
                <w:szCs w:val="20"/>
              </w:rPr>
            </w:pPr>
          </w:p>
        </w:tc>
      </w:tr>
      <w:tr w:rsidR="008836E7" w:rsidRPr="008836E7" w14:paraId="34EF94C2" w14:textId="77777777" w:rsidTr="008836E7">
        <w:trPr>
          <w:trHeight w:val="240"/>
        </w:trPr>
        <w:tc>
          <w:tcPr>
            <w:tcW w:w="1592" w:type="dxa"/>
            <w:tcBorders>
              <w:top w:val="nil"/>
              <w:left w:val="nil"/>
              <w:bottom w:val="nil"/>
              <w:right w:val="nil"/>
            </w:tcBorders>
            <w:shd w:val="clear" w:color="auto" w:fill="auto"/>
            <w:noWrap/>
            <w:vAlign w:val="center"/>
            <w:hideMark/>
          </w:tcPr>
          <w:p w14:paraId="206238BD" w14:textId="77777777" w:rsidR="008836E7" w:rsidRPr="008836E7" w:rsidRDefault="008836E7" w:rsidP="008836E7">
            <w:pPr>
              <w:spacing w:after="0" w:line="240" w:lineRule="auto"/>
              <w:ind w:firstLine="0"/>
              <w:jc w:val="center"/>
              <w:rPr>
                <w:sz w:val="20"/>
                <w:szCs w:val="20"/>
              </w:rPr>
            </w:pPr>
          </w:p>
        </w:tc>
        <w:tc>
          <w:tcPr>
            <w:tcW w:w="818" w:type="dxa"/>
            <w:tcBorders>
              <w:top w:val="nil"/>
              <w:left w:val="nil"/>
              <w:bottom w:val="nil"/>
              <w:right w:val="nil"/>
            </w:tcBorders>
            <w:shd w:val="clear" w:color="auto" w:fill="auto"/>
            <w:noWrap/>
            <w:vAlign w:val="center"/>
            <w:hideMark/>
          </w:tcPr>
          <w:p w14:paraId="73277429"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SA_09</w:t>
            </w:r>
          </w:p>
        </w:tc>
        <w:tc>
          <w:tcPr>
            <w:tcW w:w="771" w:type="dxa"/>
            <w:tcBorders>
              <w:top w:val="nil"/>
              <w:left w:val="nil"/>
              <w:bottom w:val="nil"/>
              <w:right w:val="nil"/>
            </w:tcBorders>
            <w:shd w:val="clear" w:color="auto" w:fill="auto"/>
            <w:noWrap/>
            <w:vAlign w:val="center"/>
            <w:hideMark/>
          </w:tcPr>
          <w:p w14:paraId="4BA0505D"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0,744</w:t>
            </w:r>
          </w:p>
        </w:tc>
        <w:tc>
          <w:tcPr>
            <w:tcW w:w="771" w:type="dxa"/>
            <w:tcBorders>
              <w:top w:val="nil"/>
              <w:left w:val="nil"/>
              <w:bottom w:val="nil"/>
              <w:right w:val="nil"/>
            </w:tcBorders>
            <w:shd w:val="clear" w:color="auto" w:fill="auto"/>
            <w:noWrap/>
            <w:vAlign w:val="center"/>
            <w:hideMark/>
          </w:tcPr>
          <w:p w14:paraId="6037E935"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0,638</w:t>
            </w:r>
          </w:p>
        </w:tc>
        <w:tc>
          <w:tcPr>
            <w:tcW w:w="771" w:type="dxa"/>
            <w:tcBorders>
              <w:top w:val="nil"/>
              <w:left w:val="nil"/>
              <w:bottom w:val="nil"/>
              <w:right w:val="nil"/>
            </w:tcBorders>
            <w:shd w:val="clear" w:color="auto" w:fill="auto"/>
            <w:noWrap/>
            <w:vAlign w:val="center"/>
            <w:hideMark/>
          </w:tcPr>
          <w:p w14:paraId="5BFA85E5"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1,160</w:t>
            </w:r>
          </w:p>
        </w:tc>
      </w:tr>
      <w:tr w:rsidR="008836E7" w:rsidRPr="008836E7" w14:paraId="64E45800" w14:textId="77777777" w:rsidTr="008836E7">
        <w:trPr>
          <w:trHeight w:val="240"/>
        </w:trPr>
        <w:tc>
          <w:tcPr>
            <w:tcW w:w="1592" w:type="dxa"/>
            <w:tcBorders>
              <w:top w:val="nil"/>
              <w:left w:val="nil"/>
              <w:bottom w:val="nil"/>
              <w:right w:val="nil"/>
            </w:tcBorders>
            <w:shd w:val="clear" w:color="auto" w:fill="auto"/>
            <w:noWrap/>
            <w:vAlign w:val="center"/>
            <w:hideMark/>
          </w:tcPr>
          <w:p w14:paraId="662AA5E6"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0D2B5714"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SA_10</w:t>
            </w:r>
          </w:p>
        </w:tc>
        <w:tc>
          <w:tcPr>
            <w:tcW w:w="771" w:type="dxa"/>
            <w:tcBorders>
              <w:top w:val="nil"/>
              <w:left w:val="nil"/>
              <w:bottom w:val="nil"/>
              <w:right w:val="nil"/>
            </w:tcBorders>
            <w:shd w:val="clear" w:color="auto" w:fill="auto"/>
            <w:noWrap/>
            <w:vAlign w:val="center"/>
            <w:hideMark/>
          </w:tcPr>
          <w:p w14:paraId="52B84AAB"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0,845</w:t>
            </w:r>
          </w:p>
        </w:tc>
        <w:tc>
          <w:tcPr>
            <w:tcW w:w="771" w:type="dxa"/>
            <w:tcBorders>
              <w:top w:val="nil"/>
              <w:left w:val="nil"/>
              <w:bottom w:val="nil"/>
              <w:right w:val="nil"/>
            </w:tcBorders>
            <w:shd w:val="clear" w:color="auto" w:fill="auto"/>
            <w:noWrap/>
            <w:vAlign w:val="center"/>
            <w:hideMark/>
          </w:tcPr>
          <w:p w14:paraId="03156900"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0,741</w:t>
            </w:r>
          </w:p>
        </w:tc>
        <w:tc>
          <w:tcPr>
            <w:tcW w:w="771" w:type="dxa"/>
            <w:tcBorders>
              <w:top w:val="nil"/>
              <w:left w:val="nil"/>
              <w:bottom w:val="nil"/>
              <w:right w:val="nil"/>
            </w:tcBorders>
            <w:shd w:val="clear" w:color="auto" w:fill="auto"/>
            <w:noWrap/>
            <w:vAlign w:val="center"/>
            <w:hideMark/>
          </w:tcPr>
          <w:p w14:paraId="6769E789"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1,034</w:t>
            </w:r>
          </w:p>
        </w:tc>
      </w:tr>
      <w:tr w:rsidR="008836E7" w:rsidRPr="008836E7" w14:paraId="085D973D" w14:textId="77777777" w:rsidTr="008836E7">
        <w:trPr>
          <w:trHeight w:val="240"/>
        </w:trPr>
        <w:tc>
          <w:tcPr>
            <w:tcW w:w="1592" w:type="dxa"/>
            <w:tcBorders>
              <w:top w:val="nil"/>
              <w:left w:val="nil"/>
              <w:bottom w:val="nil"/>
              <w:right w:val="nil"/>
            </w:tcBorders>
            <w:shd w:val="clear" w:color="auto" w:fill="auto"/>
            <w:noWrap/>
            <w:vAlign w:val="center"/>
            <w:hideMark/>
          </w:tcPr>
          <w:p w14:paraId="2710D1B1"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4B493709"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SA_12</w:t>
            </w:r>
          </w:p>
        </w:tc>
        <w:tc>
          <w:tcPr>
            <w:tcW w:w="771" w:type="dxa"/>
            <w:tcBorders>
              <w:top w:val="nil"/>
              <w:left w:val="nil"/>
              <w:bottom w:val="nil"/>
              <w:right w:val="nil"/>
            </w:tcBorders>
            <w:shd w:val="clear" w:color="auto" w:fill="auto"/>
            <w:noWrap/>
            <w:vAlign w:val="center"/>
            <w:hideMark/>
          </w:tcPr>
          <w:p w14:paraId="52D135E6"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0,741</w:t>
            </w:r>
          </w:p>
        </w:tc>
        <w:tc>
          <w:tcPr>
            <w:tcW w:w="771" w:type="dxa"/>
            <w:tcBorders>
              <w:top w:val="nil"/>
              <w:left w:val="nil"/>
              <w:bottom w:val="nil"/>
              <w:right w:val="nil"/>
            </w:tcBorders>
            <w:shd w:val="clear" w:color="auto" w:fill="auto"/>
            <w:noWrap/>
            <w:vAlign w:val="center"/>
            <w:hideMark/>
          </w:tcPr>
          <w:p w14:paraId="3F0DAC65"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0,620</w:t>
            </w:r>
          </w:p>
        </w:tc>
        <w:tc>
          <w:tcPr>
            <w:tcW w:w="771" w:type="dxa"/>
            <w:tcBorders>
              <w:top w:val="nil"/>
              <w:left w:val="nil"/>
              <w:bottom w:val="nil"/>
              <w:right w:val="nil"/>
            </w:tcBorders>
            <w:shd w:val="clear" w:color="auto" w:fill="auto"/>
            <w:noWrap/>
            <w:vAlign w:val="center"/>
            <w:hideMark/>
          </w:tcPr>
          <w:p w14:paraId="0A9B717E"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1,291</w:t>
            </w:r>
          </w:p>
        </w:tc>
      </w:tr>
      <w:tr w:rsidR="008836E7" w:rsidRPr="008836E7" w14:paraId="53F9BF02" w14:textId="77777777" w:rsidTr="008836E7">
        <w:trPr>
          <w:trHeight w:val="240"/>
        </w:trPr>
        <w:tc>
          <w:tcPr>
            <w:tcW w:w="2410" w:type="dxa"/>
            <w:gridSpan w:val="2"/>
            <w:tcBorders>
              <w:top w:val="nil"/>
              <w:left w:val="nil"/>
              <w:bottom w:val="nil"/>
              <w:right w:val="nil"/>
            </w:tcBorders>
            <w:shd w:val="clear" w:color="auto" w:fill="auto"/>
            <w:noWrap/>
            <w:vAlign w:val="center"/>
            <w:hideMark/>
          </w:tcPr>
          <w:p w14:paraId="097FB5F0"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Inseguridad personal</w:t>
            </w:r>
          </w:p>
        </w:tc>
        <w:tc>
          <w:tcPr>
            <w:tcW w:w="771" w:type="dxa"/>
            <w:tcBorders>
              <w:top w:val="nil"/>
              <w:left w:val="nil"/>
              <w:bottom w:val="nil"/>
              <w:right w:val="nil"/>
            </w:tcBorders>
            <w:shd w:val="clear" w:color="auto" w:fill="auto"/>
            <w:noWrap/>
            <w:vAlign w:val="center"/>
            <w:hideMark/>
          </w:tcPr>
          <w:p w14:paraId="03736333" w14:textId="77777777" w:rsidR="008836E7" w:rsidRPr="008836E7" w:rsidRDefault="008836E7" w:rsidP="008836E7">
            <w:pPr>
              <w:spacing w:after="0" w:line="240" w:lineRule="auto"/>
              <w:ind w:firstLine="0"/>
              <w:jc w:val="left"/>
              <w:rPr>
                <w:rFonts w:ascii="Arial" w:hAnsi="Arial" w:cs="Arial"/>
                <w:color w:val="000000"/>
                <w:sz w:val="18"/>
                <w:szCs w:val="18"/>
              </w:rPr>
            </w:pPr>
          </w:p>
        </w:tc>
        <w:tc>
          <w:tcPr>
            <w:tcW w:w="771" w:type="dxa"/>
            <w:tcBorders>
              <w:top w:val="nil"/>
              <w:left w:val="nil"/>
              <w:bottom w:val="nil"/>
              <w:right w:val="nil"/>
            </w:tcBorders>
            <w:shd w:val="clear" w:color="auto" w:fill="auto"/>
            <w:noWrap/>
            <w:vAlign w:val="center"/>
            <w:hideMark/>
          </w:tcPr>
          <w:p w14:paraId="7CB1590A" w14:textId="77777777" w:rsidR="008836E7" w:rsidRPr="008836E7" w:rsidRDefault="008836E7" w:rsidP="008836E7">
            <w:pPr>
              <w:spacing w:after="0" w:line="240" w:lineRule="auto"/>
              <w:ind w:firstLine="0"/>
              <w:jc w:val="center"/>
              <w:rPr>
                <w:sz w:val="20"/>
                <w:szCs w:val="20"/>
              </w:rPr>
            </w:pPr>
          </w:p>
        </w:tc>
        <w:tc>
          <w:tcPr>
            <w:tcW w:w="771" w:type="dxa"/>
            <w:tcBorders>
              <w:top w:val="nil"/>
              <w:left w:val="nil"/>
              <w:bottom w:val="nil"/>
              <w:right w:val="nil"/>
            </w:tcBorders>
            <w:shd w:val="clear" w:color="auto" w:fill="auto"/>
            <w:noWrap/>
            <w:vAlign w:val="center"/>
            <w:hideMark/>
          </w:tcPr>
          <w:p w14:paraId="3AB1D9B5" w14:textId="77777777" w:rsidR="008836E7" w:rsidRPr="008836E7" w:rsidRDefault="008836E7" w:rsidP="008836E7">
            <w:pPr>
              <w:spacing w:after="0" w:line="240" w:lineRule="auto"/>
              <w:ind w:firstLine="0"/>
              <w:jc w:val="center"/>
              <w:rPr>
                <w:sz w:val="20"/>
                <w:szCs w:val="20"/>
              </w:rPr>
            </w:pPr>
          </w:p>
        </w:tc>
      </w:tr>
      <w:tr w:rsidR="008836E7" w:rsidRPr="008836E7" w14:paraId="4B2F94F6" w14:textId="77777777" w:rsidTr="008836E7">
        <w:trPr>
          <w:trHeight w:val="240"/>
        </w:trPr>
        <w:tc>
          <w:tcPr>
            <w:tcW w:w="1592" w:type="dxa"/>
            <w:tcBorders>
              <w:top w:val="nil"/>
              <w:left w:val="nil"/>
              <w:bottom w:val="nil"/>
              <w:right w:val="nil"/>
            </w:tcBorders>
            <w:shd w:val="clear" w:color="auto" w:fill="auto"/>
            <w:noWrap/>
            <w:vAlign w:val="center"/>
            <w:hideMark/>
          </w:tcPr>
          <w:p w14:paraId="2F2189CB" w14:textId="77777777" w:rsidR="008836E7" w:rsidRPr="008836E7" w:rsidRDefault="008836E7" w:rsidP="008836E7">
            <w:pPr>
              <w:spacing w:after="0" w:line="240" w:lineRule="auto"/>
              <w:ind w:firstLine="0"/>
              <w:jc w:val="center"/>
              <w:rPr>
                <w:sz w:val="20"/>
                <w:szCs w:val="20"/>
              </w:rPr>
            </w:pPr>
          </w:p>
        </w:tc>
        <w:tc>
          <w:tcPr>
            <w:tcW w:w="818" w:type="dxa"/>
            <w:tcBorders>
              <w:top w:val="nil"/>
              <w:left w:val="nil"/>
              <w:bottom w:val="nil"/>
              <w:right w:val="nil"/>
            </w:tcBorders>
            <w:shd w:val="clear" w:color="auto" w:fill="auto"/>
            <w:noWrap/>
            <w:vAlign w:val="center"/>
            <w:hideMark/>
          </w:tcPr>
          <w:p w14:paraId="34AFF0F6"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SA_17</w:t>
            </w:r>
          </w:p>
        </w:tc>
        <w:tc>
          <w:tcPr>
            <w:tcW w:w="771" w:type="dxa"/>
            <w:tcBorders>
              <w:top w:val="nil"/>
              <w:left w:val="nil"/>
              <w:bottom w:val="nil"/>
              <w:right w:val="nil"/>
            </w:tcBorders>
            <w:shd w:val="clear" w:color="auto" w:fill="auto"/>
            <w:noWrap/>
            <w:vAlign w:val="center"/>
            <w:hideMark/>
          </w:tcPr>
          <w:p w14:paraId="5CBBDA64"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0,827</w:t>
            </w:r>
          </w:p>
        </w:tc>
        <w:tc>
          <w:tcPr>
            <w:tcW w:w="771" w:type="dxa"/>
            <w:tcBorders>
              <w:top w:val="nil"/>
              <w:left w:val="nil"/>
              <w:bottom w:val="nil"/>
              <w:right w:val="nil"/>
            </w:tcBorders>
            <w:shd w:val="clear" w:color="auto" w:fill="auto"/>
            <w:noWrap/>
            <w:vAlign w:val="center"/>
            <w:hideMark/>
          </w:tcPr>
          <w:p w14:paraId="2DB6240B"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0,720</w:t>
            </w:r>
          </w:p>
        </w:tc>
        <w:tc>
          <w:tcPr>
            <w:tcW w:w="771" w:type="dxa"/>
            <w:tcBorders>
              <w:top w:val="nil"/>
              <w:left w:val="nil"/>
              <w:bottom w:val="nil"/>
              <w:right w:val="nil"/>
            </w:tcBorders>
            <w:shd w:val="clear" w:color="auto" w:fill="auto"/>
            <w:noWrap/>
            <w:vAlign w:val="center"/>
            <w:hideMark/>
          </w:tcPr>
          <w:p w14:paraId="3F917B2F"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1,021</w:t>
            </w:r>
          </w:p>
        </w:tc>
      </w:tr>
      <w:tr w:rsidR="008836E7" w:rsidRPr="008836E7" w14:paraId="28EDD65B" w14:textId="77777777" w:rsidTr="008836E7">
        <w:trPr>
          <w:trHeight w:val="240"/>
        </w:trPr>
        <w:tc>
          <w:tcPr>
            <w:tcW w:w="1592" w:type="dxa"/>
            <w:tcBorders>
              <w:top w:val="nil"/>
              <w:left w:val="nil"/>
              <w:bottom w:val="nil"/>
              <w:right w:val="nil"/>
            </w:tcBorders>
            <w:shd w:val="clear" w:color="auto" w:fill="auto"/>
            <w:noWrap/>
            <w:vAlign w:val="center"/>
            <w:hideMark/>
          </w:tcPr>
          <w:p w14:paraId="7B7287DE"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73D33C11"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SA_21</w:t>
            </w:r>
          </w:p>
        </w:tc>
        <w:tc>
          <w:tcPr>
            <w:tcW w:w="771" w:type="dxa"/>
            <w:tcBorders>
              <w:top w:val="nil"/>
              <w:left w:val="nil"/>
              <w:bottom w:val="nil"/>
              <w:right w:val="nil"/>
            </w:tcBorders>
            <w:shd w:val="clear" w:color="auto" w:fill="auto"/>
            <w:noWrap/>
            <w:vAlign w:val="center"/>
            <w:hideMark/>
          </w:tcPr>
          <w:p w14:paraId="09B45216"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0,738</w:t>
            </w:r>
          </w:p>
        </w:tc>
        <w:tc>
          <w:tcPr>
            <w:tcW w:w="771" w:type="dxa"/>
            <w:tcBorders>
              <w:top w:val="nil"/>
              <w:left w:val="nil"/>
              <w:bottom w:val="nil"/>
              <w:right w:val="nil"/>
            </w:tcBorders>
            <w:shd w:val="clear" w:color="auto" w:fill="auto"/>
            <w:noWrap/>
            <w:vAlign w:val="center"/>
            <w:hideMark/>
          </w:tcPr>
          <w:p w14:paraId="65BDDDD9"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0,655</w:t>
            </w:r>
          </w:p>
        </w:tc>
        <w:tc>
          <w:tcPr>
            <w:tcW w:w="771" w:type="dxa"/>
            <w:tcBorders>
              <w:top w:val="nil"/>
              <w:left w:val="nil"/>
              <w:bottom w:val="nil"/>
              <w:right w:val="nil"/>
            </w:tcBorders>
            <w:shd w:val="clear" w:color="auto" w:fill="auto"/>
            <w:noWrap/>
            <w:vAlign w:val="center"/>
            <w:hideMark/>
          </w:tcPr>
          <w:p w14:paraId="3FF4AF17"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1,065</w:t>
            </w:r>
          </w:p>
        </w:tc>
      </w:tr>
      <w:tr w:rsidR="008836E7" w:rsidRPr="008836E7" w14:paraId="01CFE1E8" w14:textId="77777777" w:rsidTr="008836E7">
        <w:trPr>
          <w:trHeight w:val="240"/>
        </w:trPr>
        <w:tc>
          <w:tcPr>
            <w:tcW w:w="1592" w:type="dxa"/>
            <w:tcBorders>
              <w:top w:val="nil"/>
              <w:left w:val="nil"/>
              <w:bottom w:val="nil"/>
              <w:right w:val="nil"/>
            </w:tcBorders>
            <w:shd w:val="clear" w:color="auto" w:fill="auto"/>
            <w:noWrap/>
            <w:vAlign w:val="center"/>
            <w:hideMark/>
          </w:tcPr>
          <w:p w14:paraId="47452219" w14:textId="77777777" w:rsidR="008836E7" w:rsidRPr="008836E7" w:rsidRDefault="008836E7" w:rsidP="008836E7">
            <w:pPr>
              <w:spacing w:after="0" w:line="240" w:lineRule="auto"/>
              <w:ind w:firstLine="0"/>
              <w:jc w:val="center"/>
              <w:rPr>
                <w:rFonts w:ascii="Arial" w:hAnsi="Arial" w:cs="Arial"/>
                <w:color w:val="000000"/>
                <w:sz w:val="18"/>
                <w:szCs w:val="18"/>
              </w:rPr>
            </w:pPr>
          </w:p>
        </w:tc>
        <w:tc>
          <w:tcPr>
            <w:tcW w:w="818" w:type="dxa"/>
            <w:tcBorders>
              <w:top w:val="nil"/>
              <w:left w:val="nil"/>
              <w:bottom w:val="nil"/>
              <w:right w:val="nil"/>
            </w:tcBorders>
            <w:shd w:val="clear" w:color="auto" w:fill="auto"/>
            <w:noWrap/>
            <w:vAlign w:val="center"/>
            <w:hideMark/>
          </w:tcPr>
          <w:p w14:paraId="4239E609"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SA_42</w:t>
            </w:r>
          </w:p>
        </w:tc>
        <w:tc>
          <w:tcPr>
            <w:tcW w:w="771" w:type="dxa"/>
            <w:tcBorders>
              <w:top w:val="nil"/>
              <w:left w:val="nil"/>
              <w:bottom w:val="nil"/>
              <w:right w:val="nil"/>
            </w:tcBorders>
            <w:shd w:val="clear" w:color="auto" w:fill="auto"/>
            <w:noWrap/>
            <w:vAlign w:val="center"/>
            <w:hideMark/>
          </w:tcPr>
          <w:p w14:paraId="423AAFA7"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0,776</w:t>
            </w:r>
          </w:p>
        </w:tc>
        <w:tc>
          <w:tcPr>
            <w:tcW w:w="771" w:type="dxa"/>
            <w:tcBorders>
              <w:top w:val="nil"/>
              <w:left w:val="nil"/>
              <w:bottom w:val="nil"/>
              <w:right w:val="nil"/>
            </w:tcBorders>
            <w:shd w:val="clear" w:color="auto" w:fill="auto"/>
            <w:noWrap/>
            <w:vAlign w:val="center"/>
            <w:hideMark/>
          </w:tcPr>
          <w:p w14:paraId="60715EFA"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0,659</w:t>
            </w:r>
          </w:p>
        </w:tc>
        <w:tc>
          <w:tcPr>
            <w:tcW w:w="771" w:type="dxa"/>
            <w:tcBorders>
              <w:top w:val="nil"/>
              <w:left w:val="nil"/>
              <w:bottom w:val="nil"/>
              <w:right w:val="nil"/>
            </w:tcBorders>
            <w:shd w:val="clear" w:color="auto" w:fill="auto"/>
            <w:noWrap/>
            <w:vAlign w:val="center"/>
            <w:hideMark/>
          </w:tcPr>
          <w:p w14:paraId="78557755" w14:textId="77777777" w:rsidR="008836E7" w:rsidRPr="008836E7" w:rsidRDefault="008836E7" w:rsidP="008836E7">
            <w:pPr>
              <w:spacing w:after="0" w:line="240" w:lineRule="auto"/>
              <w:ind w:firstLine="0"/>
              <w:jc w:val="center"/>
              <w:rPr>
                <w:rFonts w:ascii="Arial" w:hAnsi="Arial" w:cs="Arial"/>
                <w:color w:val="000000"/>
                <w:sz w:val="18"/>
                <w:szCs w:val="18"/>
              </w:rPr>
            </w:pPr>
            <w:r w:rsidRPr="008836E7">
              <w:rPr>
                <w:rFonts w:ascii="Arial" w:hAnsi="Arial" w:cs="Arial"/>
                <w:color w:val="000000"/>
                <w:sz w:val="18"/>
                <w:szCs w:val="18"/>
              </w:rPr>
              <w:t>1,114</w:t>
            </w:r>
          </w:p>
        </w:tc>
      </w:tr>
      <w:tr w:rsidR="008836E7" w:rsidRPr="008836E7" w14:paraId="4B894699" w14:textId="77777777" w:rsidTr="008836E7">
        <w:trPr>
          <w:trHeight w:val="240"/>
        </w:trPr>
        <w:tc>
          <w:tcPr>
            <w:tcW w:w="4724" w:type="dxa"/>
            <w:gridSpan w:val="5"/>
            <w:tcBorders>
              <w:top w:val="single" w:sz="4" w:space="0" w:color="auto"/>
              <w:left w:val="nil"/>
              <w:bottom w:val="nil"/>
              <w:right w:val="nil"/>
            </w:tcBorders>
            <w:shd w:val="clear" w:color="auto" w:fill="auto"/>
            <w:noWrap/>
            <w:vAlign w:val="center"/>
            <w:hideMark/>
          </w:tcPr>
          <w:p w14:paraId="1F1A35A9" w14:textId="77777777" w:rsidR="008836E7" w:rsidRPr="008836E7" w:rsidRDefault="008836E7" w:rsidP="008836E7">
            <w:pPr>
              <w:spacing w:after="0" w:line="240" w:lineRule="auto"/>
              <w:ind w:firstLine="0"/>
              <w:jc w:val="left"/>
              <w:rPr>
                <w:rFonts w:ascii="Arial" w:hAnsi="Arial" w:cs="Arial"/>
                <w:color w:val="000000"/>
                <w:sz w:val="18"/>
                <w:szCs w:val="18"/>
              </w:rPr>
            </w:pPr>
            <w:r w:rsidRPr="008836E7">
              <w:rPr>
                <w:rFonts w:ascii="Arial" w:hAnsi="Arial" w:cs="Arial"/>
                <w:color w:val="000000"/>
                <w:sz w:val="18"/>
                <w:szCs w:val="18"/>
              </w:rPr>
              <w:t>Notas. n = 278; CF, cargas factoriales; CHC, coeficiente de homogeneidad corregido; ICH, índice de complejidad de Hofmann (1978).</w:t>
            </w:r>
          </w:p>
        </w:tc>
      </w:tr>
    </w:tbl>
    <w:p w14:paraId="00242139" w14:textId="541DDA64" w:rsidR="009D7084" w:rsidRDefault="009D7084" w:rsidP="008836E7">
      <w:pPr>
        <w:rPr>
          <w:lang w:eastAsia="en-US"/>
        </w:rPr>
      </w:pPr>
    </w:p>
    <w:p w14:paraId="2DF32966" w14:textId="40069703" w:rsidR="00AC3F41" w:rsidRDefault="00765E80" w:rsidP="00AC3F41">
      <w:pPr>
        <w:rPr>
          <w:lang w:eastAsia="en-US"/>
        </w:rPr>
      </w:pPr>
      <w:r>
        <w:rPr>
          <w:lang w:eastAsia="en-US"/>
        </w:rPr>
        <w:t>A continuación</w:t>
      </w:r>
      <w:r w:rsidR="002526FA">
        <w:rPr>
          <w:lang w:eastAsia="en-US"/>
        </w:rPr>
        <w:t xml:space="preserve">, se calcularon los índices de ajuste y, de acuerdo con el </w:t>
      </w:r>
      <w:r w:rsidR="002D7BEC">
        <w:rPr>
          <w:lang w:eastAsia="en-US"/>
        </w:rPr>
        <w:t>tercer</w:t>
      </w:r>
      <w:r w:rsidR="002526FA">
        <w:rPr>
          <w:lang w:eastAsia="en-US"/>
        </w:rPr>
        <w:t xml:space="preserve"> objetivo del estudio, se contrast</w:t>
      </w:r>
      <w:r>
        <w:rPr>
          <w:lang w:eastAsia="en-US"/>
        </w:rPr>
        <w:t>aron tres posibles estructuras factoriales:</w:t>
      </w:r>
      <w:r w:rsidR="002526FA">
        <w:rPr>
          <w:lang w:eastAsia="en-US"/>
        </w:rPr>
        <w:t xml:space="preserve"> </w:t>
      </w:r>
      <w:r>
        <w:rPr>
          <w:lang w:eastAsia="en-US"/>
        </w:rPr>
        <w:t>(</w:t>
      </w:r>
      <w:r w:rsidR="004C217A">
        <w:rPr>
          <w:lang w:eastAsia="en-US"/>
        </w:rPr>
        <w:t>a</w:t>
      </w:r>
      <w:r>
        <w:rPr>
          <w:lang w:eastAsia="en-US"/>
        </w:rPr>
        <w:t>) un modelo</w:t>
      </w:r>
      <w:r w:rsidR="002526FA">
        <w:rPr>
          <w:lang w:eastAsia="en-US"/>
        </w:rPr>
        <w:t xml:space="preserve"> de seis factores correlacionados</w:t>
      </w:r>
      <w:r w:rsidR="002526FA" w:rsidRPr="00BD1DD1">
        <w:t xml:space="preserve"> </w:t>
      </w:r>
      <w:r w:rsidR="002526FA">
        <w:t>(</w:t>
      </w:r>
      <w:r w:rsidR="002526FA" w:rsidRPr="002526FA">
        <w:rPr>
          <w:lang w:eastAsia="en-US"/>
        </w:rPr>
        <w:t>SA-18 - 6F</w:t>
      </w:r>
      <w:r w:rsidR="002526FA">
        <w:rPr>
          <w:lang w:eastAsia="en-US"/>
        </w:rPr>
        <w:t xml:space="preserve">), </w:t>
      </w:r>
      <w:r w:rsidR="004C217A">
        <w:rPr>
          <w:lang w:eastAsia="en-US"/>
        </w:rPr>
        <w:t xml:space="preserve">(b) </w:t>
      </w:r>
      <w:r>
        <w:rPr>
          <w:lang w:eastAsia="en-US"/>
        </w:rPr>
        <w:t xml:space="preserve">un modelo </w:t>
      </w:r>
      <w:r w:rsidR="002526FA">
        <w:rPr>
          <w:lang w:eastAsia="en-US"/>
        </w:rPr>
        <w:t xml:space="preserve">con un solo factor de </w:t>
      </w:r>
      <w:r w:rsidR="002526FA" w:rsidRPr="00AA242E">
        <w:rPr>
          <w:i/>
          <w:iCs/>
          <w:lang w:eastAsia="en-US"/>
        </w:rPr>
        <w:t>s</w:t>
      </w:r>
      <w:r w:rsidR="002526FA">
        <w:rPr>
          <w:i/>
          <w:iCs/>
          <w:lang w:eastAsia="en-US"/>
        </w:rPr>
        <w:t>í</w:t>
      </w:r>
      <w:r w:rsidR="002526FA" w:rsidRPr="00AA242E">
        <w:rPr>
          <w:i/>
          <w:iCs/>
          <w:lang w:eastAsia="en-US"/>
        </w:rPr>
        <w:t>ntomas</w:t>
      </w:r>
      <w:r w:rsidR="002526FA" w:rsidRPr="00845A28">
        <w:rPr>
          <w:i/>
          <w:iCs/>
          <w:lang w:eastAsia="en-US"/>
        </w:rPr>
        <w:t xml:space="preserve"> general</w:t>
      </w:r>
      <w:r w:rsidR="002526FA">
        <w:rPr>
          <w:lang w:eastAsia="en-US"/>
        </w:rPr>
        <w:t xml:space="preserve"> (</w:t>
      </w:r>
      <w:r w:rsidR="002526FA" w:rsidRPr="002526FA">
        <w:rPr>
          <w:lang w:eastAsia="en-US"/>
        </w:rPr>
        <w:t xml:space="preserve">SA-18 </w:t>
      </w:r>
      <w:r w:rsidR="00453270">
        <w:rPr>
          <w:lang w:eastAsia="en-US"/>
        </w:rPr>
        <w:t>-</w:t>
      </w:r>
      <w:r w:rsidR="002526FA">
        <w:rPr>
          <w:lang w:eastAsia="en-US"/>
        </w:rPr>
        <w:t xml:space="preserve"> UNI) y </w:t>
      </w:r>
      <w:r w:rsidR="004C217A">
        <w:rPr>
          <w:lang w:eastAsia="en-US"/>
        </w:rPr>
        <w:t xml:space="preserve">(c) </w:t>
      </w:r>
      <w:r>
        <w:rPr>
          <w:lang w:eastAsia="en-US"/>
        </w:rPr>
        <w:t xml:space="preserve">un modelo </w:t>
      </w:r>
      <w:r w:rsidR="002526FA">
        <w:rPr>
          <w:lang w:eastAsia="en-US"/>
        </w:rPr>
        <w:t>con una estructura bifactorial (SA-18</w:t>
      </w:r>
      <w:r w:rsidR="002526FA" w:rsidRPr="00BD1DD1">
        <w:rPr>
          <w:lang w:eastAsia="en-US"/>
        </w:rPr>
        <w:t xml:space="preserve"> </w:t>
      </w:r>
      <w:r w:rsidR="002526FA">
        <w:rPr>
          <w:lang w:eastAsia="en-US"/>
        </w:rPr>
        <w:t xml:space="preserve">- 6F </w:t>
      </w:r>
      <w:r w:rsidR="00453270">
        <w:rPr>
          <w:lang w:eastAsia="en-US"/>
        </w:rPr>
        <w:t>-</w:t>
      </w:r>
      <w:r w:rsidR="002526FA" w:rsidRPr="00BD1DD1">
        <w:rPr>
          <w:lang w:eastAsia="en-US"/>
        </w:rPr>
        <w:t xml:space="preserve"> BI</w:t>
      </w:r>
      <w:r w:rsidR="002526FA">
        <w:rPr>
          <w:lang w:eastAsia="en-US"/>
        </w:rPr>
        <w:t xml:space="preserve">), la cual evalúa los seis </w:t>
      </w:r>
      <w:r w:rsidR="002526FA">
        <w:rPr>
          <w:lang w:eastAsia="en-US"/>
        </w:rPr>
        <w:lastRenderedPageBreak/>
        <w:t xml:space="preserve">factores mencionados y, simultáneamente, el factor de </w:t>
      </w:r>
      <w:r>
        <w:rPr>
          <w:i/>
          <w:iCs/>
          <w:lang w:eastAsia="en-US"/>
        </w:rPr>
        <w:t>síntomas</w:t>
      </w:r>
      <w:r w:rsidR="002526FA" w:rsidRPr="001F0F1A">
        <w:rPr>
          <w:i/>
          <w:iCs/>
          <w:lang w:eastAsia="en-US"/>
        </w:rPr>
        <w:t xml:space="preserve"> general</w:t>
      </w:r>
      <w:r w:rsidR="002526FA">
        <w:rPr>
          <w:i/>
          <w:iCs/>
          <w:lang w:eastAsia="en-US"/>
        </w:rPr>
        <w:t>.</w:t>
      </w:r>
      <w:r w:rsidR="00AC3F41">
        <w:rPr>
          <w:lang w:eastAsia="en-US"/>
        </w:rPr>
        <w:t xml:space="preserve"> La </w:t>
      </w:r>
      <w:r w:rsidR="00AC3F41">
        <w:rPr>
          <w:lang w:eastAsia="en-US"/>
        </w:rPr>
        <w:fldChar w:fldCharType="begin"/>
      </w:r>
      <w:r w:rsidR="00AC3F41">
        <w:rPr>
          <w:lang w:eastAsia="en-US"/>
        </w:rPr>
        <w:instrText xml:space="preserve"> REF _Ref58497500 \h </w:instrText>
      </w:r>
      <w:r w:rsidR="00AC3F41">
        <w:rPr>
          <w:lang w:eastAsia="en-US"/>
        </w:rPr>
      </w:r>
      <w:r w:rsidR="00AC3F41">
        <w:rPr>
          <w:lang w:eastAsia="en-US"/>
        </w:rPr>
        <w:fldChar w:fldCharType="separate"/>
      </w:r>
      <w:r w:rsidR="001A7FC6">
        <w:t xml:space="preserve">Ilustración </w:t>
      </w:r>
      <w:r w:rsidR="001A7FC6">
        <w:rPr>
          <w:noProof/>
        </w:rPr>
        <w:t>1</w:t>
      </w:r>
      <w:r w:rsidR="00AC3F41">
        <w:rPr>
          <w:lang w:eastAsia="en-US"/>
        </w:rPr>
        <w:fldChar w:fldCharType="end"/>
      </w:r>
      <w:r w:rsidR="00AC3F41">
        <w:rPr>
          <w:lang w:eastAsia="en-US"/>
        </w:rPr>
        <w:t xml:space="preserve"> representa los tres modelos que fueron evaluados.</w:t>
      </w:r>
    </w:p>
    <w:p w14:paraId="6487F3F6" w14:textId="77777777" w:rsidR="00AC3F41" w:rsidRDefault="00AC3F41" w:rsidP="001A7FC6">
      <w:pPr>
        <w:keepNext/>
        <w:ind w:firstLine="0"/>
      </w:pPr>
      <w:r w:rsidRPr="007C784A">
        <w:rPr>
          <w:noProof/>
          <w:lang w:eastAsia="en-US"/>
        </w:rPr>
        <w:drawing>
          <wp:inline distT="0" distB="0" distL="0" distR="0" wp14:anchorId="735CDD67" wp14:editId="73AD4EA7">
            <wp:extent cx="5401339" cy="280248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16171" cy="2810176"/>
                    </a:xfrm>
                    <a:prstGeom prst="rect">
                      <a:avLst/>
                    </a:prstGeom>
                    <a:noFill/>
                    <a:ln>
                      <a:noFill/>
                    </a:ln>
                  </pic:spPr>
                </pic:pic>
              </a:graphicData>
            </a:graphic>
          </wp:inline>
        </w:drawing>
      </w:r>
    </w:p>
    <w:p w14:paraId="4EA71043" w14:textId="37827CEB" w:rsidR="00AC3F41" w:rsidRDefault="00AC3F41" w:rsidP="00AC3F41">
      <w:pPr>
        <w:pStyle w:val="Descripcin"/>
      </w:pPr>
      <w:bookmarkStart w:id="7" w:name="_Ref58497500"/>
      <w:r>
        <w:t xml:space="preserve">Ilustración </w:t>
      </w:r>
      <w:r w:rsidR="003A675A">
        <w:fldChar w:fldCharType="begin"/>
      </w:r>
      <w:r w:rsidR="003A675A">
        <w:instrText xml:space="preserve"> SEQ Ilustración \* ARABIC </w:instrText>
      </w:r>
      <w:r w:rsidR="003A675A">
        <w:fldChar w:fldCharType="separate"/>
      </w:r>
      <w:r w:rsidR="001A7FC6">
        <w:rPr>
          <w:noProof/>
        </w:rPr>
        <w:t>1</w:t>
      </w:r>
      <w:r w:rsidR="003A675A">
        <w:rPr>
          <w:noProof/>
        </w:rPr>
        <w:fldChar w:fldCharType="end"/>
      </w:r>
      <w:bookmarkEnd w:id="7"/>
    </w:p>
    <w:p w14:paraId="7A27C9C1" w14:textId="61A025BB" w:rsidR="00AC3F41" w:rsidRPr="005903D8" w:rsidRDefault="00AC3F41" w:rsidP="00AC3F41">
      <w:pPr>
        <w:pStyle w:val="Sinespaciado"/>
        <w:ind w:left="0" w:firstLine="0"/>
        <w:rPr>
          <w:rFonts w:ascii="Arial" w:hAnsi="Arial" w:cs="Arial"/>
          <w:sz w:val="18"/>
          <w:szCs w:val="18"/>
        </w:rPr>
      </w:pPr>
      <w:r w:rsidRPr="005903D8">
        <w:rPr>
          <w:rFonts w:ascii="Arial" w:hAnsi="Arial" w:cs="Arial"/>
          <w:sz w:val="18"/>
          <w:szCs w:val="18"/>
        </w:rPr>
        <w:t>Notas. Modelos de medida y de estructura de los tres modelos competidores</w:t>
      </w:r>
      <w:r>
        <w:rPr>
          <w:rFonts w:ascii="Arial" w:hAnsi="Arial" w:cs="Arial"/>
          <w:color w:val="000000"/>
          <w:sz w:val="18"/>
          <w:szCs w:val="18"/>
        </w:rPr>
        <w:t>.</w:t>
      </w:r>
    </w:p>
    <w:p w14:paraId="6373F523" w14:textId="77777777" w:rsidR="00AC3F41" w:rsidRDefault="00AC3F41" w:rsidP="00AC3F41">
      <w:pPr>
        <w:rPr>
          <w:lang w:eastAsia="en-US"/>
        </w:rPr>
      </w:pPr>
    </w:p>
    <w:p w14:paraId="7EDC5E58" w14:textId="467A70EE" w:rsidR="004C217A" w:rsidRDefault="00AC3F41" w:rsidP="004C217A">
      <w:pPr>
        <w:rPr>
          <w:lang w:eastAsia="en-US"/>
        </w:rPr>
      </w:pPr>
      <w:r>
        <w:rPr>
          <w:lang w:eastAsia="en-US"/>
        </w:rPr>
        <w:t xml:space="preserve">La </w:t>
      </w:r>
      <w:r w:rsidR="004C217A">
        <w:rPr>
          <w:lang w:eastAsia="en-US"/>
        </w:rPr>
        <w:fldChar w:fldCharType="begin"/>
      </w:r>
      <w:r w:rsidR="004C217A">
        <w:rPr>
          <w:lang w:eastAsia="en-US"/>
        </w:rPr>
        <w:instrText xml:space="preserve"> REF _Ref58921382 \h </w:instrText>
      </w:r>
      <w:r w:rsidR="004C217A">
        <w:rPr>
          <w:lang w:eastAsia="en-US"/>
        </w:rPr>
      </w:r>
      <w:r w:rsidR="004C217A">
        <w:rPr>
          <w:lang w:eastAsia="en-US"/>
        </w:rPr>
        <w:fldChar w:fldCharType="separate"/>
      </w:r>
      <w:r w:rsidR="004C217A">
        <w:t xml:space="preserve">Tabla </w:t>
      </w:r>
      <w:r w:rsidR="004C217A">
        <w:rPr>
          <w:noProof/>
        </w:rPr>
        <w:t>3</w:t>
      </w:r>
      <w:r w:rsidR="004C217A">
        <w:rPr>
          <w:lang w:eastAsia="en-US"/>
        </w:rPr>
        <w:fldChar w:fldCharType="end"/>
      </w:r>
      <w:r>
        <w:rPr>
          <w:lang w:eastAsia="en-US"/>
        </w:rPr>
        <w:t xml:space="preserve"> representa los índices de ajuste de los tres modelos con </w:t>
      </w:r>
      <w:r w:rsidR="005F58AC">
        <w:rPr>
          <w:lang w:eastAsia="en-US"/>
        </w:rPr>
        <w:t>18</w:t>
      </w:r>
      <w:r>
        <w:rPr>
          <w:lang w:eastAsia="en-US"/>
        </w:rPr>
        <w:t xml:space="preserve"> ítems</w:t>
      </w:r>
      <w:r w:rsidR="007D10B1">
        <w:rPr>
          <w:lang w:eastAsia="en-US"/>
        </w:rPr>
        <w:t xml:space="preserve"> y, como punto de referencia, el instrumento </w:t>
      </w:r>
      <w:r w:rsidR="000A3985">
        <w:rPr>
          <w:lang w:eastAsia="en-US"/>
        </w:rPr>
        <w:t xml:space="preserve">inicial </w:t>
      </w:r>
      <w:r w:rsidR="007D10B1">
        <w:rPr>
          <w:lang w:eastAsia="en-US"/>
        </w:rPr>
        <w:t>con la totalidad de sus 45 ítems</w:t>
      </w:r>
      <w:r>
        <w:rPr>
          <w:lang w:eastAsia="en-US"/>
        </w:rPr>
        <w:t xml:space="preserve">. Por un lado, </w:t>
      </w:r>
      <w:r w:rsidR="00EA3E28">
        <w:rPr>
          <w:lang w:eastAsia="en-US"/>
        </w:rPr>
        <w:t xml:space="preserve">se advierte que la media de todos los ICH pudo ser mejorada sustancialmente, pues disminuyó desde 1,854 hasta el valor final de 1,198. </w:t>
      </w:r>
      <w:r w:rsidR="000654E3">
        <w:rPr>
          <w:lang w:eastAsia="en-US"/>
        </w:rPr>
        <w:t>Por otro lado</w:t>
      </w:r>
      <w:r w:rsidR="00EA3E28">
        <w:rPr>
          <w:lang w:eastAsia="en-US"/>
        </w:rPr>
        <w:t xml:space="preserve">, </w:t>
      </w:r>
      <w:r>
        <w:rPr>
          <w:lang w:eastAsia="en-US"/>
        </w:rPr>
        <w:t xml:space="preserve">puede observarse que el modelo unifactorial obtuvo los valores más bajos y, </w:t>
      </w:r>
      <w:r w:rsidR="000654E3">
        <w:rPr>
          <w:lang w:eastAsia="en-US"/>
        </w:rPr>
        <w:t>además</w:t>
      </w:r>
      <w:r>
        <w:rPr>
          <w:lang w:eastAsia="en-US"/>
        </w:rPr>
        <w:t xml:space="preserve">, que todos los índices del modelo bifactorial se encontraron dentro de </w:t>
      </w:r>
      <w:r w:rsidR="006915FF">
        <w:rPr>
          <w:lang w:eastAsia="en-US"/>
        </w:rPr>
        <w:t>unos</w:t>
      </w:r>
      <w:r>
        <w:rPr>
          <w:lang w:eastAsia="en-US"/>
        </w:rPr>
        <w:t xml:space="preserve"> rangos adecuados según las indicaciones </w:t>
      </w:r>
      <w:r w:rsidR="006915FF">
        <w:rPr>
          <w:lang w:eastAsia="en-US"/>
        </w:rPr>
        <w:t xml:space="preserve">restrictivas </w:t>
      </w:r>
      <w:r>
        <w:rPr>
          <w:lang w:eastAsia="en-US"/>
        </w:rPr>
        <w:t>de</w:t>
      </w:r>
      <w:r w:rsidR="006915FF">
        <w:rPr>
          <w:lang w:eastAsia="en-US"/>
        </w:rPr>
        <w:t xml:space="preserve"> </w:t>
      </w:r>
      <w:r w:rsidR="006915FF">
        <w:rPr>
          <w:lang w:eastAsia="en-US"/>
        </w:rPr>
        <w:fldChar w:fldCharType="begin" w:fldLock="1"/>
      </w:r>
      <w:r w:rsidR="008E0DC1">
        <w:rPr>
          <w:lang w:eastAsia="en-US"/>
        </w:rPr>
        <w:instrText>ADDIN CSL_CITATION {"citationItems":[{"id":"ITEM-1","itemData":{"author":[{"dropping-particle":"","family":"Yu","given":"Ching-Yun","non-dropping-particle":"","parse-names":false,"suffix":""}],"id":"ITEM-1","issued":{"date-parts":[["2002"]]},"publisher":"University of California, Los Angeles Los Angeles, CA","title":"Evaluating cutoff criteria of model fit indices for latent variable models with binary and continuous outcomes","type":"thesis"},"uris":["http://www.mendeley.com/documents/?uuid=ae0d5540-4b18-41e9-a2ab-3656237bed89"]}],"mendeley":{"formattedCitation":"(Yu, 2002)","manualFormatting":"Yu (2002)","plainTextFormattedCitation":"(Yu, 2002)","previouslyFormattedCitation":"(Yu, 2002)"},"properties":{"noteIndex":0},"schema":"https://github.com/citation-style-language/schema/raw/master/csl-citation.json"}</w:instrText>
      </w:r>
      <w:r w:rsidR="006915FF">
        <w:rPr>
          <w:lang w:eastAsia="en-US"/>
        </w:rPr>
        <w:fldChar w:fldCharType="separate"/>
      </w:r>
      <w:r w:rsidR="006915FF" w:rsidRPr="006915FF">
        <w:rPr>
          <w:noProof/>
          <w:lang w:eastAsia="en-US"/>
        </w:rPr>
        <w:t xml:space="preserve">Yu </w:t>
      </w:r>
      <w:r w:rsidR="006915FF">
        <w:rPr>
          <w:noProof/>
          <w:lang w:eastAsia="en-US"/>
        </w:rPr>
        <w:t>(</w:t>
      </w:r>
      <w:r w:rsidR="006915FF" w:rsidRPr="006915FF">
        <w:rPr>
          <w:noProof/>
          <w:lang w:eastAsia="en-US"/>
        </w:rPr>
        <w:t>2002)</w:t>
      </w:r>
      <w:r w:rsidR="006915FF">
        <w:rPr>
          <w:lang w:eastAsia="en-US"/>
        </w:rPr>
        <w:fldChar w:fldCharType="end"/>
      </w:r>
      <w:r>
        <w:rPr>
          <w:lang w:eastAsia="en-US"/>
        </w:rPr>
        <w:t xml:space="preserve">. </w:t>
      </w:r>
      <w:r w:rsidR="006915FF">
        <w:rPr>
          <w:lang w:eastAsia="en-US"/>
        </w:rPr>
        <w:t>De esta manera</w:t>
      </w:r>
      <w:r>
        <w:rPr>
          <w:lang w:eastAsia="en-US"/>
        </w:rPr>
        <w:t xml:space="preserve">, los resultados indican </w:t>
      </w:r>
      <w:r w:rsidR="006915FF">
        <w:rPr>
          <w:lang w:eastAsia="en-US"/>
        </w:rPr>
        <w:t xml:space="preserve">la idoneidad de utilizar el cuestionario como un instrumento bidimensional, quiere decir evaluando las seis dimensiones independientes y, simultáneamente, el factor de </w:t>
      </w:r>
      <w:r w:rsidR="006915FF" w:rsidRPr="00710840">
        <w:rPr>
          <w:i/>
          <w:iCs/>
          <w:lang w:eastAsia="en-US"/>
        </w:rPr>
        <w:t xml:space="preserve">síntomas </w:t>
      </w:r>
      <w:r w:rsidR="00921D24" w:rsidRPr="00710840">
        <w:rPr>
          <w:i/>
          <w:iCs/>
          <w:lang w:eastAsia="en-US"/>
        </w:rPr>
        <w:t xml:space="preserve">en </w:t>
      </w:r>
      <w:r w:rsidR="006915FF" w:rsidRPr="00710840">
        <w:rPr>
          <w:i/>
          <w:iCs/>
          <w:lang w:eastAsia="en-US"/>
        </w:rPr>
        <w:t>general</w:t>
      </w:r>
      <w:r>
        <w:rPr>
          <w:lang w:eastAsia="en-US"/>
        </w:rPr>
        <w:t>.</w:t>
      </w:r>
      <w:r w:rsidR="00FB6289">
        <w:rPr>
          <w:lang w:eastAsia="en-US"/>
        </w:rPr>
        <w:t xml:space="preserve"> Así mismo, es importante tener en cuenta que</w:t>
      </w:r>
      <w:r w:rsidR="00C210DB">
        <w:rPr>
          <w:lang w:eastAsia="en-US"/>
        </w:rPr>
        <w:t xml:space="preserve">, para la obtención de los resultados que se pueden observar en la </w:t>
      </w:r>
      <w:r w:rsidR="00C210DB">
        <w:rPr>
          <w:lang w:eastAsia="en-US"/>
        </w:rPr>
        <w:fldChar w:fldCharType="begin"/>
      </w:r>
      <w:r w:rsidR="00C210DB">
        <w:rPr>
          <w:lang w:eastAsia="en-US"/>
        </w:rPr>
        <w:instrText xml:space="preserve"> REF _Ref58921382 \h </w:instrText>
      </w:r>
      <w:r w:rsidR="00C210DB">
        <w:rPr>
          <w:lang w:eastAsia="en-US"/>
        </w:rPr>
      </w:r>
      <w:r w:rsidR="00C210DB">
        <w:rPr>
          <w:lang w:eastAsia="en-US"/>
        </w:rPr>
        <w:fldChar w:fldCharType="separate"/>
      </w:r>
      <w:r w:rsidR="00C210DB">
        <w:t xml:space="preserve">Tabla </w:t>
      </w:r>
      <w:r w:rsidR="00C210DB">
        <w:rPr>
          <w:noProof/>
        </w:rPr>
        <w:t>3</w:t>
      </w:r>
      <w:r w:rsidR="00C210DB">
        <w:rPr>
          <w:lang w:eastAsia="en-US"/>
        </w:rPr>
        <w:fldChar w:fldCharType="end"/>
      </w:r>
      <w:r w:rsidR="00C210DB">
        <w:rPr>
          <w:lang w:eastAsia="en-US"/>
        </w:rPr>
        <w:t>,</w:t>
      </w:r>
      <w:r w:rsidR="00FB6289">
        <w:rPr>
          <w:lang w:eastAsia="en-US"/>
        </w:rPr>
        <w:t xml:space="preserve"> no se ha recorrido a la utilización de covarianzas residuales. </w:t>
      </w:r>
    </w:p>
    <w:p w14:paraId="28F3EE8F" w14:textId="4B76A05A" w:rsidR="002526FA" w:rsidRDefault="002526FA" w:rsidP="002526FA">
      <w:pPr>
        <w:pStyle w:val="Descripcin"/>
        <w:keepNext/>
      </w:pPr>
      <w:bookmarkStart w:id="8" w:name="_Ref58921382"/>
      <w:r>
        <w:t xml:space="preserve">Tabla </w:t>
      </w:r>
      <w:r w:rsidR="003A675A">
        <w:fldChar w:fldCharType="begin"/>
      </w:r>
      <w:r w:rsidR="003A675A">
        <w:instrText xml:space="preserve"> SEQ Tabla \* ARABIC </w:instrText>
      </w:r>
      <w:r w:rsidR="003A675A">
        <w:fldChar w:fldCharType="separate"/>
      </w:r>
      <w:r w:rsidR="00D83C2C">
        <w:rPr>
          <w:noProof/>
        </w:rPr>
        <w:t>3</w:t>
      </w:r>
      <w:r w:rsidR="003A675A">
        <w:rPr>
          <w:noProof/>
        </w:rPr>
        <w:fldChar w:fldCharType="end"/>
      </w:r>
      <w:bookmarkEnd w:id="8"/>
    </w:p>
    <w:tbl>
      <w:tblPr>
        <w:tblW w:w="5000" w:type="pct"/>
        <w:tblCellMar>
          <w:left w:w="70" w:type="dxa"/>
          <w:right w:w="70" w:type="dxa"/>
        </w:tblCellMar>
        <w:tblLook w:val="04A0" w:firstRow="1" w:lastRow="0" w:firstColumn="1" w:lastColumn="0" w:noHBand="0" w:noVBand="1"/>
      </w:tblPr>
      <w:tblGrid>
        <w:gridCol w:w="1743"/>
        <w:gridCol w:w="808"/>
        <w:gridCol w:w="407"/>
        <w:gridCol w:w="541"/>
        <w:gridCol w:w="665"/>
        <w:gridCol w:w="541"/>
        <w:gridCol w:w="1635"/>
        <w:gridCol w:w="612"/>
        <w:gridCol w:w="541"/>
        <w:gridCol w:w="541"/>
        <w:gridCol w:w="1036"/>
      </w:tblGrid>
      <w:tr w:rsidR="002526FA" w:rsidRPr="003F52D4" w14:paraId="39A1655F" w14:textId="77777777" w:rsidTr="004B1B70">
        <w:trPr>
          <w:trHeight w:val="240"/>
        </w:trPr>
        <w:tc>
          <w:tcPr>
            <w:tcW w:w="5000" w:type="pct"/>
            <w:gridSpan w:val="11"/>
            <w:tcBorders>
              <w:top w:val="nil"/>
              <w:left w:val="nil"/>
              <w:bottom w:val="single" w:sz="4" w:space="0" w:color="auto"/>
              <w:right w:val="nil"/>
            </w:tcBorders>
            <w:shd w:val="clear" w:color="auto" w:fill="auto"/>
            <w:vAlign w:val="center"/>
            <w:hideMark/>
          </w:tcPr>
          <w:p w14:paraId="2190588A" w14:textId="77777777" w:rsidR="002526FA" w:rsidRPr="003F52D4" w:rsidRDefault="002526FA" w:rsidP="000E471F">
            <w:pPr>
              <w:spacing w:after="0" w:line="240" w:lineRule="auto"/>
              <w:ind w:firstLine="0"/>
              <w:jc w:val="left"/>
              <w:rPr>
                <w:rFonts w:ascii="Arial" w:hAnsi="Arial" w:cs="Arial"/>
                <w:i/>
                <w:iCs/>
                <w:color w:val="000000"/>
                <w:sz w:val="16"/>
                <w:szCs w:val="16"/>
              </w:rPr>
            </w:pPr>
            <w:r w:rsidRPr="003F52D4">
              <w:rPr>
                <w:rFonts w:ascii="Arial" w:hAnsi="Arial" w:cs="Arial"/>
                <w:i/>
                <w:iCs/>
                <w:color w:val="000000"/>
                <w:sz w:val="16"/>
                <w:szCs w:val="16"/>
              </w:rPr>
              <w:t>Índices de ajuste de todos los modelos competidores</w:t>
            </w:r>
          </w:p>
        </w:tc>
      </w:tr>
      <w:tr w:rsidR="004B1B70" w:rsidRPr="004B1B70" w14:paraId="7D1FD7CD" w14:textId="77777777" w:rsidTr="004B1B70">
        <w:trPr>
          <w:trHeight w:val="480"/>
        </w:trPr>
        <w:tc>
          <w:tcPr>
            <w:tcW w:w="996" w:type="pct"/>
            <w:tcBorders>
              <w:top w:val="nil"/>
              <w:left w:val="nil"/>
              <w:bottom w:val="single" w:sz="4" w:space="0" w:color="auto"/>
              <w:right w:val="nil"/>
            </w:tcBorders>
            <w:shd w:val="clear" w:color="auto" w:fill="auto"/>
            <w:vAlign w:val="center"/>
            <w:hideMark/>
          </w:tcPr>
          <w:p w14:paraId="7FBAD309" w14:textId="77777777" w:rsidR="002526FA" w:rsidRPr="003F52D4" w:rsidRDefault="002526FA" w:rsidP="000E471F">
            <w:pPr>
              <w:spacing w:after="0" w:line="240" w:lineRule="auto"/>
              <w:ind w:firstLine="0"/>
              <w:jc w:val="left"/>
              <w:rPr>
                <w:rFonts w:ascii="Arial" w:hAnsi="Arial" w:cs="Arial"/>
                <w:color w:val="000000"/>
                <w:sz w:val="16"/>
                <w:szCs w:val="16"/>
              </w:rPr>
            </w:pPr>
            <w:r w:rsidRPr="003F52D4">
              <w:rPr>
                <w:rFonts w:ascii="Arial" w:hAnsi="Arial" w:cs="Arial"/>
                <w:color w:val="000000"/>
                <w:sz w:val="16"/>
                <w:szCs w:val="16"/>
              </w:rPr>
              <w:t>Modelos competidores</w:t>
            </w:r>
          </w:p>
        </w:tc>
        <w:tc>
          <w:tcPr>
            <w:tcW w:w="436" w:type="pct"/>
            <w:tcBorders>
              <w:top w:val="nil"/>
              <w:left w:val="nil"/>
              <w:bottom w:val="single" w:sz="4" w:space="0" w:color="auto"/>
              <w:right w:val="nil"/>
            </w:tcBorders>
            <w:shd w:val="clear" w:color="auto" w:fill="auto"/>
            <w:noWrap/>
            <w:vAlign w:val="center"/>
            <w:hideMark/>
          </w:tcPr>
          <w:p w14:paraId="3D3F0531"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 xml:space="preserve">χ2 </w:t>
            </w:r>
            <w:r w:rsidRPr="003F52D4">
              <w:rPr>
                <w:rFonts w:ascii="Arial" w:hAnsi="Arial" w:cs="Arial"/>
                <w:color w:val="000000"/>
                <w:sz w:val="16"/>
                <w:szCs w:val="16"/>
                <w:vertAlign w:val="superscript"/>
              </w:rPr>
              <w:t>MLM</w:t>
            </w:r>
          </w:p>
        </w:tc>
        <w:tc>
          <w:tcPr>
            <w:tcW w:w="220" w:type="pct"/>
            <w:tcBorders>
              <w:top w:val="nil"/>
              <w:left w:val="nil"/>
              <w:bottom w:val="single" w:sz="4" w:space="0" w:color="auto"/>
              <w:right w:val="nil"/>
            </w:tcBorders>
            <w:shd w:val="clear" w:color="auto" w:fill="auto"/>
            <w:noWrap/>
            <w:vAlign w:val="center"/>
            <w:hideMark/>
          </w:tcPr>
          <w:p w14:paraId="35B70BA2"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df</w:t>
            </w:r>
          </w:p>
        </w:tc>
        <w:tc>
          <w:tcPr>
            <w:tcW w:w="292" w:type="pct"/>
            <w:tcBorders>
              <w:top w:val="nil"/>
              <w:left w:val="nil"/>
              <w:bottom w:val="single" w:sz="4" w:space="0" w:color="auto"/>
              <w:right w:val="nil"/>
            </w:tcBorders>
            <w:shd w:val="clear" w:color="auto" w:fill="auto"/>
            <w:noWrap/>
            <w:vAlign w:val="center"/>
            <w:hideMark/>
          </w:tcPr>
          <w:p w14:paraId="4A460FBB"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χ2/df</w:t>
            </w:r>
          </w:p>
        </w:tc>
        <w:tc>
          <w:tcPr>
            <w:tcW w:w="359" w:type="pct"/>
            <w:tcBorders>
              <w:top w:val="nil"/>
              <w:left w:val="nil"/>
              <w:bottom w:val="single" w:sz="4" w:space="0" w:color="auto"/>
              <w:right w:val="nil"/>
            </w:tcBorders>
            <w:shd w:val="clear" w:color="auto" w:fill="auto"/>
            <w:noWrap/>
            <w:vAlign w:val="center"/>
            <w:hideMark/>
          </w:tcPr>
          <w:p w14:paraId="7CD65684"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Scaling</w:t>
            </w:r>
          </w:p>
        </w:tc>
        <w:tc>
          <w:tcPr>
            <w:tcW w:w="292" w:type="pct"/>
            <w:tcBorders>
              <w:top w:val="nil"/>
              <w:left w:val="nil"/>
              <w:bottom w:val="single" w:sz="4" w:space="0" w:color="auto"/>
              <w:right w:val="nil"/>
            </w:tcBorders>
            <w:shd w:val="clear" w:color="auto" w:fill="auto"/>
            <w:noWrap/>
            <w:vAlign w:val="center"/>
            <w:hideMark/>
          </w:tcPr>
          <w:p w14:paraId="45C20123"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p</w:t>
            </w:r>
          </w:p>
        </w:tc>
        <w:tc>
          <w:tcPr>
            <w:tcW w:w="884" w:type="pct"/>
            <w:tcBorders>
              <w:top w:val="nil"/>
              <w:left w:val="nil"/>
              <w:bottom w:val="single" w:sz="4" w:space="0" w:color="auto"/>
              <w:right w:val="nil"/>
            </w:tcBorders>
            <w:shd w:val="clear" w:color="auto" w:fill="auto"/>
            <w:noWrap/>
            <w:vAlign w:val="center"/>
            <w:hideMark/>
          </w:tcPr>
          <w:p w14:paraId="3EB266DE"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RMSEA (90% CI)</w:t>
            </w:r>
          </w:p>
        </w:tc>
        <w:tc>
          <w:tcPr>
            <w:tcW w:w="331" w:type="pct"/>
            <w:tcBorders>
              <w:top w:val="nil"/>
              <w:left w:val="nil"/>
              <w:bottom w:val="single" w:sz="4" w:space="0" w:color="auto"/>
              <w:right w:val="nil"/>
            </w:tcBorders>
            <w:shd w:val="clear" w:color="auto" w:fill="auto"/>
            <w:noWrap/>
            <w:vAlign w:val="center"/>
            <w:hideMark/>
          </w:tcPr>
          <w:p w14:paraId="5D21339B"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SRMR</w:t>
            </w:r>
          </w:p>
        </w:tc>
        <w:tc>
          <w:tcPr>
            <w:tcW w:w="292" w:type="pct"/>
            <w:tcBorders>
              <w:top w:val="nil"/>
              <w:left w:val="nil"/>
              <w:bottom w:val="single" w:sz="4" w:space="0" w:color="auto"/>
              <w:right w:val="nil"/>
            </w:tcBorders>
            <w:shd w:val="clear" w:color="auto" w:fill="auto"/>
            <w:noWrap/>
            <w:vAlign w:val="center"/>
            <w:hideMark/>
          </w:tcPr>
          <w:p w14:paraId="5DC59CCB"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CFI</w:t>
            </w:r>
          </w:p>
        </w:tc>
        <w:tc>
          <w:tcPr>
            <w:tcW w:w="292" w:type="pct"/>
            <w:tcBorders>
              <w:top w:val="nil"/>
              <w:left w:val="nil"/>
              <w:bottom w:val="single" w:sz="4" w:space="0" w:color="auto"/>
              <w:right w:val="nil"/>
            </w:tcBorders>
            <w:shd w:val="clear" w:color="auto" w:fill="auto"/>
            <w:noWrap/>
            <w:vAlign w:val="center"/>
            <w:hideMark/>
          </w:tcPr>
          <w:p w14:paraId="011D0FA3"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TLI</w:t>
            </w:r>
          </w:p>
        </w:tc>
        <w:tc>
          <w:tcPr>
            <w:tcW w:w="605" w:type="pct"/>
            <w:tcBorders>
              <w:top w:val="nil"/>
              <w:left w:val="nil"/>
              <w:bottom w:val="single" w:sz="4" w:space="0" w:color="auto"/>
              <w:right w:val="nil"/>
            </w:tcBorders>
            <w:shd w:val="clear" w:color="auto" w:fill="auto"/>
            <w:vAlign w:val="center"/>
            <w:hideMark/>
          </w:tcPr>
          <w:p w14:paraId="52ED854E"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Media de ICH</w:t>
            </w:r>
          </w:p>
        </w:tc>
      </w:tr>
      <w:tr w:rsidR="004B1B70" w:rsidRPr="004B1B70" w14:paraId="224E6E2E" w14:textId="77777777" w:rsidTr="004B1B70">
        <w:trPr>
          <w:trHeight w:val="240"/>
        </w:trPr>
        <w:tc>
          <w:tcPr>
            <w:tcW w:w="996" w:type="pct"/>
            <w:tcBorders>
              <w:top w:val="nil"/>
              <w:left w:val="nil"/>
              <w:bottom w:val="nil"/>
              <w:right w:val="nil"/>
            </w:tcBorders>
            <w:shd w:val="clear" w:color="auto" w:fill="auto"/>
            <w:vAlign w:val="center"/>
            <w:hideMark/>
          </w:tcPr>
          <w:p w14:paraId="50A6656E" w14:textId="56274603" w:rsidR="002526FA" w:rsidRPr="003F52D4" w:rsidRDefault="002526FA" w:rsidP="000E471F">
            <w:pPr>
              <w:spacing w:after="0" w:line="240" w:lineRule="auto"/>
              <w:ind w:firstLine="0"/>
              <w:jc w:val="left"/>
              <w:rPr>
                <w:rFonts w:ascii="Arial" w:hAnsi="Arial" w:cs="Arial"/>
                <w:color w:val="000000"/>
                <w:sz w:val="16"/>
                <w:szCs w:val="16"/>
              </w:rPr>
            </w:pPr>
            <w:r w:rsidRPr="003F52D4">
              <w:rPr>
                <w:rFonts w:ascii="Arial" w:hAnsi="Arial" w:cs="Arial"/>
                <w:color w:val="000000"/>
                <w:sz w:val="16"/>
                <w:szCs w:val="16"/>
              </w:rPr>
              <w:t xml:space="preserve">SA-45 - 6F </w:t>
            </w:r>
            <w:r w:rsidR="00DF6719">
              <w:rPr>
                <w:rFonts w:ascii="Arial" w:hAnsi="Arial" w:cs="Arial"/>
                <w:color w:val="000000"/>
                <w:sz w:val="16"/>
                <w:szCs w:val="16"/>
              </w:rPr>
              <w:t>-</w:t>
            </w:r>
            <w:r w:rsidRPr="003F52D4">
              <w:rPr>
                <w:rFonts w:ascii="Arial" w:hAnsi="Arial" w:cs="Arial"/>
                <w:color w:val="000000"/>
                <w:sz w:val="16"/>
                <w:szCs w:val="16"/>
              </w:rPr>
              <w:t xml:space="preserve"> EFA</w:t>
            </w:r>
          </w:p>
        </w:tc>
        <w:tc>
          <w:tcPr>
            <w:tcW w:w="436" w:type="pct"/>
            <w:tcBorders>
              <w:top w:val="nil"/>
              <w:left w:val="nil"/>
              <w:bottom w:val="nil"/>
              <w:right w:val="nil"/>
            </w:tcBorders>
            <w:shd w:val="clear" w:color="auto" w:fill="auto"/>
            <w:noWrap/>
            <w:vAlign w:val="center"/>
            <w:hideMark/>
          </w:tcPr>
          <w:p w14:paraId="1A8E0707"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1967,805</w:t>
            </w:r>
          </w:p>
        </w:tc>
        <w:tc>
          <w:tcPr>
            <w:tcW w:w="220" w:type="pct"/>
            <w:tcBorders>
              <w:top w:val="nil"/>
              <w:left w:val="nil"/>
              <w:bottom w:val="nil"/>
              <w:right w:val="nil"/>
            </w:tcBorders>
            <w:shd w:val="clear" w:color="auto" w:fill="auto"/>
            <w:noWrap/>
            <w:vAlign w:val="center"/>
            <w:hideMark/>
          </w:tcPr>
          <w:p w14:paraId="55B057C1"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930</w:t>
            </w:r>
          </w:p>
        </w:tc>
        <w:tc>
          <w:tcPr>
            <w:tcW w:w="292" w:type="pct"/>
            <w:tcBorders>
              <w:top w:val="nil"/>
              <w:left w:val="nil"/>
              <w:bottom w:val="nil"/>
              <w:right w:val="nil"/>
            </w:tcBorders>
            <w:shd w:val="clear" w:color="auto" w:fill="auto"/>
            <w:noWrap/>
            <w:vAlign w:val="center"/>
            <w:hideMark/>
          </w:tcPr>
          <w:p w14:paraId="69237A80"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2,116</w:t>
            </w:r>
          </w:p>
        </w:tc>
        <w:tc>
          <w:tcPr>
            <w:tcW w:w="359" w:type="pct"/>
            <w:tcBorders>
              <w:top w:val="nil"/>
              <w:left w:val="nil"/>
              <w:bottom w:val="nil"/>
              <w:right w:val="nil"/>
            </w:tcBorders>
            <w:shd w:val="clear" w:color="auto" w:fill="auto"/>
            <w:noWrap/>
            <w:vAlign w:val="center"/>
            <w:hideMark/>
          </w:tcPr>
          <w:p w14:paraId="111F7637"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1,207</w:t>
            </w:r>
          </w:p>
        </w:tc>
        <w:tc>
          <w:tcPr>
            <w:tcW w:w="292" w:type="pct"/>
            <w:tcBorders>
              <w:top w:val="nil"/>
              <w:left w:val="nil"/>
              <w:bottom w:val="nil"/>
              <w:right w:val="nil"/>
            </w:tcBorders>
            <w:shd w:val="clear" w:color="auto" w:fill="auto"/>
            <w:noWrap/>
            <w:vAlign w:val="center"/>
            <w:hideMark/>
          </w:tcPr>
          <w:p w14:paraId="7F06DD2A"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0,000</w:t>
            </w:r>
          </w:p>
        </w:tc>
        <w:tc>
          <w:tcPr>
            <w:tcW w:w="884" w:type="pct"/>
            <w:tcBorders>
              <w:top w:val="nil"/>
              <w:left w:val="nil"/>
              <w:bottom w:val="nil"/>
              <w:right w:val="nil"/>
            </w:tcBorders>
            <w:shd w:val="clear" w:color="auto" w:fill="auto"/>
            <w:noWrap/>
            <w:vAlign w:val="center"/>
            <w:hideMark/>
          </w:tcPr>
          <w:p w14:paraId="455F9582"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0,070 (0,065 - 0,074)</w:t>
            </w:r>
          </w:p>
        </w:tc>
        <w:tc>
          <w:tcPr>
            <w:tcW w:w="331" w:type="pct"/>
            <w:tcBorders>
              <w:top w:val="nil"/>
              <w:left w:val="nil"/>
              <w:bottom w:val="nil"/>
              <w:right w:val="nil"/>
            </w:tcBorders>
            <w:shd w:val="clear" w:color="auto" w:fill="auto"/>
            <w:noWrap/>
            <w:vAlign w:val="center"/>
            <w:hideMark/>
          </w:tcPr>
          <w:p w14:paraId="7EF782CD"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0,070</w:t>
            </w:r>
          </w:p>
        </w:tc>
        <w:tc>
          <w:tcPr>
            <w:tcW w:w="292" w:type="pct"/>
            <w:tcBorders>
              <w:top w:val="nil"/>
              <w:left w:val="nil"/>
              <w:bottom w:val="nil"/>
              <w:right w:val="nil"/>
            </w:tcBorders>
            <w:shd w:val="clear" w:color="auto" w:fill="auto"/>
            <w:noWrap/>
            <w:vAlign w:val="center"/>
            <w:hideMark/>
          </w:tcPr>
          <w:p w14:paraId="7861E5DC"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0,825</w:t>
            </w:r>
          </w:p>
        </w:tc>
        <w:tc>
          <w:tcPr>
            <w:tcW w:w="292" w:type="pct"/>
            <w:tcBorders>
              <w:top w:val="nil"/>
              <w:left w:val="nil"/>
              <w:bottom w:val="nil"/>
              <w:right w:val="nil"/>
            </w:tcBorders>
            <w:shd w:val="clear" w:color="auto" w:fill="auto"/>
            <w:noWrap/>
            <w:vAlign w:val="center"/>
            <w:hideMark/>
          </w:tcPr>
          <w:p w14:paraId="5EBC1EA2"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0,814</w:t>
            </w:r>
          </w:p>
        </w:tc>
        <w:tc>
          <w:tcPr>
            <w:tcW w:w="605" w:type="pct"/>
            <w:tcBorders>
              <w:top w:val="nil"/>
              <w:left w:val="nil"/>
              <w:bottom w:val="nil"/>
              <w:right w:val="nil"/>
            </w:tcBorders>
            <w:shd w:val="clear" w:color="auto" w:fill="auto"/>
            <w:vAlign w:val="center"/>
            <w:hideMark/>
          </w:tcPr>
          <w:p w14:paraId="71F0147A"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1,854</w:t>
            </w:r>
          </w:p>
        </w:tc>
      </w:tr>
      <w:tr w:rsidR="004B1B70" w:rsidRPr="004B1B70" w14:paraId="12B9A077" w14:textId="77777777" w:rsidTr="004B1B70">
        <w:trPr>
          <w:trHeight w:val="240"/>
        </w:trPr>
        <w:tc>
          <w:tcPr>
            <w:tcW w:w="996" w:type="pct"/>
            <w:tcBorders>
              <w:top w:val="nil"/>
              <w:left w:val="nil"/>
              <w:bottom w:val="nil"/>
              <w:right w:val="nil"/>
            </w:tcBorders>
            <w:shd w:val="clear" w:color="auto" w:fill="auto"/>
            <w:noWrap/>
            <w:vAlign w:val="center"/>
            <w:hideMark/>
          </w:tcPr>
          <w:p w14:paraId="35E596E1" w14:textId="77777777" w:rsidR="002526FA" w:rsidRPr="003F52D4" w:rsidRDefault="002526FA" w:rsidP="000E471F">
            <w:pPr>
              <w:spacing w:after="0" w:line="240" w:lineRule="auto"/>
              <w:ind w:firstLine="0"/>
              <w:jc w:val="left"/>
              <w:rPr>
                <w:rFonts w:ascii="Arial" w:hAnsi="Arial" w:cs="Arial"/>
                <w:color w:val="000000"/>
                <w:sz w:val="16"/>
                <w:szCs w:val="16"/>
              </w:rPr>
            </w:pPr>
            <w:bookmarkStart w:id="9" w:name="_Hlk58852413"/>
            <w:r w:rsidRPr="003F52D4">
              <w:rPr>
                <w:rFonts w:ascii="Arial" w:hAnsi="Arial" w:cs="Arial"/>
                <w:color w:val="000000"/>
                <w:sz w:val="16"/>
                <w:szCs w:val="16"/>
              </w:rPr>
              <w:t>SA-18 - 6F</w:t>
            </w:r>
            <w:bookmarkEnd w:id="9"/>
          </w:p>
        </w:tc>
        <w:tc>
          <w:tcPr>
            <w:tcW w:w="436" w:type="pct"/>
            <w:tcBorders>
              <w:top w:val="nil"/>
              <w:left w:val="nil"/>
              <w:bottom w:val="nil"/>
              <w:right w:val="nil"/>
            </w:tcBorders>
            <w:shd w:val="clear" w:color="auto" w:fill="auto"/>
            <w:noWrap/>
            <w:vAlign w:val="center"/>
            <w:hideMark/>
          </w:tcPr>
          <w:p w14:paraId="43DA0A1C"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207,334</w:t>
            </w:r>
          </w:p>
        </w:tc>
        <w:tc>
          <w:tcPr>
            <w:tcW w:w="220" w:type="pct"/>
            <w:tcBorders>
              <w:top w:val="nil"/>
              <w:left w:val="nil"/>
              <w:bottom w:val="nil"/>
              <w:right w:val="nil"/>
            </w:tcBorders>
            <w:shd w:val="clear" w:color="auto" w:fill="auto"/>
            <w:noWrap/>
            <w:vAlign w:val="center"/>
            <w:hideMark/>
          </w:tcPr>
          <w:p w14:paraId="1EC29BE1"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120</w:t>
            </w:r>
          </w:p>
        </w:tc>
        <w:tc>
          <w:tcPr>
            <w:tcW w:w="292" w:type="pct"/>
            <w:tcBorders>
              <w:top w:val="nil"/>
              <w:left w:val="nil"/>
              <w:bottom w:val="nil"/>
              <w:right w:val="nil"/>
            </w:tcBorders>
            <w:shd w:val="clear" w:color="auto" w:fill="auto"/>
            <w:noWrap/>
            <w:vAlign w:val="center"/>
            <w:hideMark/>
          </w:tcPr>
          <w:p w14:paraId="2AE2DA0F"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1,728</w:t>
            </w:r>
          </w:p>
        </w:tc>
        <w:tc>
          <w:tcPr>
            <w:tcW w:w="359" w:type="pct"/>
            <w:tcBorders>
              <w:top w:val="nil"/>
              <w:left w:val="nil"/>
              <w:bottom w:val="nil"/>
              <w:right w:val="nil"/>
            </w:tcBorders>
            <w:shd w:val="clear" w:color="auto" w:fill="auto"/>
            <w:noWrap/>
            <w:vAlign w:val="center"/>
            <w:hideMark/>
          </w:tcPr>
          <w:p w14:paraId="5BD44AB0"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1,160</w:t>
            </w:r>
          </w:p>
        </w:tc>
        <w:tc>
          <w:tcPr>
            <w:tcW w:w="292" w:type="pct"/>
            <w:tcBorders>
              <w:top w:val="nil"/>
              <w:left w:val="nil"/>
              <w:bottom w:val="nil"/>
              <w:right w:val="nil"/>
            </w:tcBorders>
            <w:shd w:val="clear" w:color="auto" w:fill="auto"/>
            <w:noWrap/>
            <w:vAlign w:val="center"/>
            <w:hideMark/>
          </w:tcPr>
          <w:p w14:paraId="7A422896"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0,000</w:t>
            </w:r>
          </w:p>
        </w:tc>
        <w:tc>
          <w:tcPr>
            <w:tcW w:w="884" w:type="pct"/>
            <w:tcBorders>
              <w:top w:val="nil"/>
              <w:left w:val="nil"/>
              <w:bottom w:val="nil"/>
              <w:right w:val="nil"/>
            </w:tcBorders>
            <w:shd w:val="clear" w:color="auto" w:fill="auto"/>
            <w:noWrap/>
            <w:vAlign w:val="center"/>
            <w:hideMark/>
          </w:tcPr>
          <w:p w14:paraId="571BFCD9"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0,055 (0,042 - 0,068)</w:t>
            </w:r>
          </w:p>
        </w:tc>
        <w:tc>
          <w:tcPr>
            <w:tcW w:w="331" w:type="pct"/>
            <w:tcBorders>
              <w:top w:val="nil"/>
              <w:left w:val="nil"/>
              <w:bottom w:val="nil"/>
              <w:right w:val="nil"/>
            </w:tcBorders>
            <w:shd w:val="clear" w:color="auto" w:fill="auto"/>
            <w:noWrap/>
            <w:vAlign w:val="center"/>
            <w:hideMark/>
          </w:tcPr>
          <w:p w14:paraId="67C0027F"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0,052</w:t>
            </w:r>
          </w:p>
        </w:tc>
        <w:tc>
          <w:tcPr>
            <w:tcW w:w="292" w:type="pct"/>
            <w:tcBorders>
              <w:top w:val="nil"/>
              <w:left w:val="nil"/>
              <w:bottom w:val="nil"/>
              <w:right w:val="nil"/>
            </w:tcBorders>
            <w:shd w:val="clear" w:color="auto" w:fill="auto"/>
            <w:noWrap/>
            <w:vAlign w:val="center"/>
            <w:hideMark/>
          </w:tcPr>
          <w:p w14:paraId="4C2CB108"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0,957</w:t>
            </w:r>
          </w:p>
        </w:tc>
        <w:tc>
          <w:tcPr>
            <w:tcW w:w="292" w:type="pct"/>
            <w:tcBorders>
              <w:top w:val="nil"/>
              <w:left w:val="nil"/>
              <w:bottom w:val="nil"/>
              <w:right w:val="nil"/>
            </w:tcBorders>
            <w:shd w:val="clear" w:color="auto" w:fill="auto"/>
            <w:noWrap/>
            <w:vAlign w:val="center"/>
            <w:hideMark/>
          </w:tcPr>
          <w:p w14:paraId="69905326"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0,945</w:t>
            </w:r>
          </w:p>
        </w:tc>
        <w:tc>
          <w:tcPr>
            <w:tcW w:w="605" w:type="pct"/>
            <w:tcBorders>
              <w:top w:val="nil"/>
              <w:left w:val="nil"/>
              <w:bottom w:val="nil"/>
              <w:right w:val="nil"/>
            </w:tcBorders>
            <w:shd w:val="clear" w:color="auto" w:fill="auto"/>
            <w:vAlign w:val="center"/>
            <w:hideMark/>
          </w:tcPr>
          <w:p w14:paraId="60D2D170"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1,198</w:t>
            </w:r>
          </w:p>
        </w:tc>
      </w:tr>
      <w:tr w:rsidR="002526FA" w:rsidRPr="004B1B70" w14:paraId="48CFBEF1" w14:textId="77777777" w:rsidTr="004B1B70">
        <w:trPr>
          <w:trHeight w:val="240"/>
        </w:trPr>
        <w:tc>
          <w:tcPr>
            <w:tcW w:w="996" w:type="pct"/>
            <w:tcBorders>
              <w:top w:val="nil"/>
              <w:left w:val="nil"/>
              <w:bottom w:val="nil"/>
              <w:right w:val="nil"/>
            </w:tcBorders>
            <w:shd w:val="clear" w:color="auto" w:fill="auto"/>
            <w:noWrap/>
            <w:vAlign w:val="center"/>
          </w:tcPr>
          <w:p w14:paraId="7CD2258D" w14:textId="454FBF6B" w:rsidR="002526FA" w:rsidRPr="004B1B70" w:rsidRDefault="002526FA" w:rsidP="000E471F">
            <w:pPr>
              <w:spacing w:after="0" w:line="240" w:lineRule="auto"/>
              <w:ind w:firstLine="0"/>
              <w:jc w:val="left"/>
              <w:rPr>
                <w:rFonts w:ascii="Arial" w:hAnsi="Arial" w:cs="Arial"/>
                <w:color w:val="000000"/>
                <w:sz w:val="16"/>
                <w:szCs w:val="16"/>
              </w:rPr>
            </w:pPr>
            <w:r w:rsidRPr="004B1B70">
              <w:rPr>
                <w:rFonts w:ascii="Arial" w:hAnsi="Arial" w:cs="Arial"/>
                <w:color w:val="000000"/>
                <w:sz w:val="16"/>
                <w:szCs w:val="16"/>
              </w:rPr>
              <w:t xml:space="preserve">SA-18 </w:t>
            </w:r>
            <w:r w:rsidR="00DF6719">
              <w:rPr>
                <w:rFonts w:ascii="Arial" w:hAnsi="Arial" w:cs="Arial"/>
                <w:color w:val="000000"/>
                <w:sz w:val="16"/>
                <w:szCs w:val="16"/>
              </w:rPr>
              <w:t>-</w:t>
            </w:r>
            <w:r w:rsidRPr="004B1B70">
              <w:rPr>
                <w:rFonts w:ascii="Arial" w:hAnsi="Arial" w:cs="Arial"/>
                <w:color w:val="000000"/>
                <w:sz w:val="16"/>
                <w:szCs w:val="16"/>
              </w:rPr>
              <w:t xml:space="preserve"> UNI</w:t>
            </w:r>
          </w:p>
        </w:tc>
        <w:tc>
          <w:tcPr>
            <w:tcW w:w="436" w:type="pct"/>
            <w:tcBorders>
              <w:top w:val="nil"/>
              <w:left w:val="nil"/>
              <w:bottom w:val="nil"/>
              <w:right w:val="nil"/>
            </w:tcBorders>
            <w:shd w:val="clear" w:color="auto" w:fill="auto"/>
            <w:noWrap/>
            <w:vAlign w:val="center"/>
          </w:tcPr>
          <w:p w14:paraId="24F78371" w14:textId="44465602"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857,356</w:t>
            </w:r>
          </w:p>
        </w:tc>
        <w:tc>
          <w:tcPr>
            <w:tcW w:w="220" w:type="pct"/>
            <w:tcBorders>
              <w:top w:val="nil"/>
              <w:left w:val="nil"/>
              <w:bottom w:val="nil"/>
              <w:right w:val="nil"/>
            </w:tcBorders>
            <w:shd w:val="clear" w:color="auto" w:fill="auto"/>
            <w:noWrap/>
            <w:vAlign w:val="center"/>
          </w:tcPr>
          <w:p w14:paraId="467A4B36" w14:textId="0666A826"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135</w:t>
            </w:r>
          </w:p>
        </w:tc>
        <w:tc>
          <w:tcPr>
            <w:tcW w:w="292" w:type="pct"/>
            <w:tcBorders>
              <w:top w:val="nil"/>
              <w:left w:val="nil"/>
              <w:bottom w:val="nil"/>
              <w:right w:val="nil"/>
            </w:tcBorders>
            <w:shd w:val="clear" w:color="auto" w:fill="auto"/>
            <w:noWrap/>
            <w:vAlign w:val="center"/>
          </w:tcPr>
          <w:p w14:paraId="5CA42331" w14:textId="45569F61"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6,351</w:t>
            </w:r>
          </w:p>
        </w:tc>
        <w:tc>
          <w:tcPr>
            <w:tcW w:w="359" w:type="pct"/>
            <w:tcBorders>
              <w:top w:val="nil"/>
              <w:left w:val="nil"/>
              <w:bottom w:val="nil"/>
              <w:right w:val="nil"/>
            </w:tcBorders>
            <w:shd w:val="clear" w:color="auto" w:fill="auto"/>
            <w:noWrap/>
            <w:vAlign w:val="center"/>
          </w:tcPr>
          <w:p w14:paraId="1FE70112" w14:textId="7DC3505F"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1,258</w:t>
            </w:r>
          </w:p>
        </w:tc>
        <w:tc>
          <w:tcPr>
            <w:tcW w:w="292" w:type="pct"/>
            <w:tcBorders>
              <w:top w:val="nil"/>
              <w:left w:val="nil"/>
              <w:bottom w:val="nil"/>
              <w:right w:val="nil"/>
            </w:tcBorders>
            <w:shd w:val="clear" w:color="auto" w:fill="auto"/>
            <w:noWrap/>
            <w:vAlign w:val="center"/>
          </w:tcPr>
          <w:p w14:paraId="7C20C316" w14:textId="18298F0F"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0,000</w:t>
            </w:r>
          </w:p>
        </w:tc>
        <w:tc>
          <w:tcPr>
            <w:tcW w:w="884" w:type="pct"/>
            <w:tcBorders>
              <w:top w:val="nil"/>
              <w:left w:val="nil"/>
              <w:bottom w:val="nil"/>
              <w:right w:val="nil"/>
            </w:tcBorders>
            <w:shd w:val="clear" w:color="auto" w:fill="auto"/>
            <w:noWrap/>
            <w:vAlign w:val="center"/>
          </w:tcPr>
          <w:p w14:paraId="0FE92200" w14:textId="542D1239"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0,156 (0,146 - 0,166)</w:t>
            </w:r>
          </w:p>
        </w:tc>
        <w:tc>
          <w:tcPr>
            <w:tcW w:w="331" w:type="pct"/>
            <w:tcBorders>
              <w:top w:val="nil"/>
              <w:left w:val="nil"/>
              <w:bottom w:val="nil"/>
              <w:right w:val="nil"/>
            </w:tcBorders>
            <w:shd w:val="clear" w:color="auto" w:fill="auto"/>
            <w:noWrap/>
            <w:vAlign w:val="center"/>
          </w:tcPr>
          <w:p w14:paraId="7DCA08FA" w14:textId="4D775E83"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0,103</w:t>
            </w:r>
          </w:p>
        </w:tc>
        <w:tc>
          <w:tcPr>
            <w:tcW w:w="292" w:type="pct"/>
            <w:tcBorders>
              <w:top w:val="nil"/>
              <w:left w:val="nil"/>
              <w:bottom w:val="nil"/>
              <w:right w:val="nil"/>
            </w:tcBorders>
            <w:shd w:val="clear" w:color="auto" w:fill="auto"/>
            <w:noWrap/>
            <w:vAlign w:val="center"/>
          </w:tcPr>
          <w:p w14:paraId="4AC75AC0" w14:textId="60884BF2"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0,613</w:t>
            </w:r>
          </w:p>
        </w:tc>
        <w:tc>
          <w:tcPr>
            <w:tcW w:w="292" w:type="pct"/>
            <w:tcBorders>
              <w:top w:val="nil"/>
              <w:left w:val="nil"/>
              <w:bottom w:val="nil"/>
              <w:right w:val="nil"/>
            </w:tcBorders>
            <w:shd w:val="clear" w:color="auto" w:fill="auto"/>
            <w:noWrap/>
            <w:vAlign w:val="center"/>
          </w:tcPr>
          <w:p w14:paraId="5CF1625F" w14:textId="66E18BDB" w:rsidR="002526FA" w:rsidRPr="004B1B70" w:rsidRDefault="0013277D"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0,562</w:t>
            </w:r>
          </w:p>
        </w:tc>
        <w:tc>
          <w:tcPr>
            <w:tcW w:w="605" w:type="pct"/>
            <w:tcBorders>
              <w:top w:val="nil"/>
              <w:left w:val="nil"/>
              <w:bottom w:val="nil"/>
              <w:right w:val="nil"/>
            </w:tcBorders>
            <w:shd w:val="clear" w:color="auto" w:fill="auto"/>
            <w:vAlign w:val="center"/>
          </w:tcPr>
          <w:p w14:paraId="3357C28F" w14:textId="02006457" w:rsidR="002526FA" w:rsidRPr="004B1B70" w:rsidRDefault="001B3E55"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w:t>
            </w:r>
          </w:p>
        </w:tc>
      </w:tr>
      <w:tr w:rsidR="004B1B70" w:rsidRPr="004B1B70" w14:paraId="758E1AA7" w14:textId="77777777" w:rsidTr="004B1B70">
        <w:trPr>
          <w:trHeight w:val="240"/>
        </w:trPr>
        <w:tc>
          <w:tcPr>
            <w:tcW w:w="996" w:type="pct"/>
            <w:tcBorders>
              <w:top w:val="nil"/>
              <w:left w:val="nil"/>
              <w:bottom w:val="nil"/>
              <w:right w:val="nil"/>
            </w:tcBorders>
            <w:shd w:val="clear" w:color="auto" w:fill="auto"/>
            <w:noWrap/>
            <w:vAlign w:val="center"/>
            <w:hideMark/>
          </w:tcPr>
          <w:p w14:paraId="764DA27C" w14:textId="08990266" w:rsidR="002526FA" w:rsidRPr="003F52D4" w:rsidRDefault="002526FA" w:rsidP="000E471F">
            <w:pPr>
              <w:spacing w:after="0" w:line="240" w:lineRule="auto"/>
              <w:ind w:firstLine="0"/>
              <w:jc w:val="left"/>
              <w:rPr>
                <w:rFonts w:ascii="Arial" w:hAnsi="Arial" w:cs="Arial"/>
                <w:color w:val="000000"/>
                <w:sz w:val="16"/>
                <w:szCs w:val="16"/>
              </w:rPr>
            </w:pPr>
            <w:r w:rsidRPr="003F52D4">
              <w:rPr>
                <w:rFonts w:ascii="Arial" w:hAnsi="Arial" w:cs="Arial"/>
                <w:color w:val="000000"/>
                <w:sz w:val="16"/>
                <w:szCs w:val="16"/>
              </w:rPr>
              <w:lastRenderedPageBreak/>
              <w:t xml:space="preserve">SA-18 - 6F </w:t>
            </w:r>
            <w:r w:rsidR="00DF6719">
              <w:rPr>
                <w:rFonts w:ascii="Arial" w:hAnsi="Arial" w:cs="Arial"/>
                <w:color w:val="000000"/>
                <w:sz w:val="16"/>
                <w:szCs w:val="16"/>
              </w:rPr>
              <w:t>-</w:t>
            </w:r>
            <w:r w:rsidRPr="003F52D4">
              <w:rPr>
                <w:rFonts w:ascii="Arial" w:hAnsi="Arial" w:cs="Arial"/>
                <w:color w:val="000000"/>
                <w:sz w:val="16"/>
                <w:szCs w:val="16"/>
              </w:rPr>
              <w:t xml:space="preserve"> BI</w:t>
            </w:r>
          </w:p>
        </w:tc>
        <w:tc>
          <w:tcPr>
            <w:tcW w:w="436" w:type="pct"/>
            <w:tcBorders>
              <w:top w:val="nil"/>
              <w:left w:val="nil"/>
              <w:bottom w:val="nil"/>
              <w:right w:val="nil"/>
            </w:tcBorders>
            <w:shd w:val="clear" w:color="auto" w:fill="auto"/>
            <w:noWrap/>
            <w:vAlign w:val="center"/>
            <w:hideMark/>
          </w:tcPr>
          <w:p w14:paraId="1B5F642A"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170,033</w:t>
            </w:r>
          </w:p>
        </w:tc>
        <w:tc>
          <w:tcPr>
            <w:tcW w:w="220" w:type="pct"/>
            <w:tcBorders>
              <w:top w:val="nil"/>
              <w:left w:val="nil"/>
              <w:bottom w:val="nil"/>
              <w:right w:val="nil"/>
            </w:tcBorders>
            <w:shd w:val="clear" w:color="auto" w:fill="auto"/>
            <w:noWrap/>
            <w:vAlign w:val="center"/>
            <w:hideMark/>
          </w:tcPr>
          <w:p w14:paraId="35924F23"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108</w:t>
            </w:r>
          </w:p>
        </w:tc>
        <w:tc>
          <w:tcPr>
            <w:tcW w:w="292" w:type="pct"/>
            <w:tcBorders>
              <w:top w:val="nil"/>
              <w:left w:val="nil"/>
              <w:bottom w:val="nil"/>
              <w:right w:val="nil"/>
            </w:tcBorders>
            <w:shd w:val="clear" w:color="auto" w:fill="auto"/>
            <w:noWrap/>
            <w:vAlign w:val="center"/>
            <w:hideMark/>
          </w:tcPr>
          <w:p w14:paraId="48F2CE2D"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1,574</w:t>
            </w:r>
          </w:p>
        </w:tc>
        <w:tc>
          <w:tcPr>
            <w:tcW w:w="359" w:type="pct"/>
            <w:tcBorders>
              <w:top w:val="nil"/>
              <w:left w:val="nil"/>
              <w:bottom w:val="nil"/>
              <w:right w:val="nil"/>
            </w:tcBorders>
            <w:shd w:val="clear" w:color="auto" w:fill="auto"/>
            <w:noWrap/>
            <w:vAlign w:val="center"/>
            <w:hideMark/>
          </w:tcPr>
          <w:p w14:paraId="25DC73BC"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1,152</w:t>
            </w:r>
          </w:p>
        </w:tc>
        <w:tc>
          <w:tcPr>
            <w:tcW w:w="292" w:type="pct"/>
            <w:tcBorders>
              <w:top w:val="nil"/>
              <w:left w:val="nil"/>
              <w:bottom w:val="nil"/>
              <w:right w:val="nil"/>
            </w:tcBorders>
            <w:shd w:val="clear" w:color="auto" w:fill="auto"/>
            <w:noWrap/>
            <w:vAlign w:val="center"/>
            <w:hideMark/>
          </w:tcPr>
          <w:p w14:paraId="1550AF8B"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0,000</w:t>
            </w:r>
          </w:p>
        </w:tc>
        <w:tc>
          <w:tcPr>
            <w:tcW w:w="884" w:type="pct"/>
            <w:tcBorders>
              <w:top w:val="nil"/>
              <w:left w:val="nil"/>
              <w:bottom w:val="nil"/>
              <w:right w:val="nil"/>
            </w:tcBorders>
            <w:shd w:val="clear" w:color="auto" w:fill="auto"/>
            <w:noWrap/>
            <w:vAlign w:val="center"/>
            <w:hideMark/>
          </w:tcPr>
          <w:p w14:paraId="536B1C78"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0,049 (0,034 - 0,062)</w:t>
            </w:r>
          </w:p>
        </w:tc>
        <w:tc>
          <w:tcPr>
            <w:tcW w:w="331" w:type="pct"/>
            <w:tcBorders>
              <w:top w:val="nil"/>
              <w:left w:val="nil"/>
              <w:bottom w:val="nil"/>
              <w:right w:val="nil"/>
            </w:tcBorders>
            <w:shd w:val="clear" w:color="auto" w:fill="auto"/>
            <w:noWrap/>
            <w:vAlign w:val="center"/>
            <w:hideMark/>
          </w:tcPr>
          <w:p w14:paraId="4F30118B"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0,043</w:t>
            </w:r>
          </w:p>
        </w:tc>
        <w:tc>
          <w:tcPr>
            <w:tcW w:w="292" w:type="pct"/>
            <w:tcBorders>
              <w:top w:val="nil"/>
              <w:left w:val="nil"/>
              <w:bottom w:val="nil"/>
              <w:right w:val="nil"/>
            </w:tcBorders>
            <w:shd w:val="clear" w:color="auto" w:fill="auto"/>
            <w:noWrap/>
            <w:vAlign w:val="center"/>
            <w:hideMark/>
          </w:tcPr>
          <w:p w14:paraId="021DD532"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0,970</w:t>
            </w:r>
          </w:p>
        </w:tc>
        <w:tc>
          <w:tcPr>
            <w:tcW w:w="292" w:type="pct"/>
            <w:tcBorders>
              <w:top w:val="nil"/>
              <w:left w:val="nil"/>
              <w:bottom w:val="nil"/>
              <w:right w:val="nil"/>
            </w:tcBorders>
            <w:shd w:val="clear" w:color="auto" w:fill="auto"/>
            <w:noWrap/>
            <w:vAlign w:val="center"/>
            <w:hideMark/>
          </w:tcPr>
          <w:p w14:paraId="4D888E85" w14:textId="77777777" w:rsidR="002526FA" w:rsidRPr="003F52D4" w:rsidRDefault="002526FA" w:rsidP="000E471F">
            <w:pPr>
              <w:spacing w:after="0" w:line="240" w:lineRule="auto"/>
              <w:ind w:firstLine="0"/>
              <w:jc w:val="center"/>
              <w:rPr>
                <w:rFonts w:ascii="Arial" w:hAnsi="Arial" w:cs="Arial"/>
                <w:color w:val="000000"/>
                <w:sz w:val="16"/>
                <w:szCs w:val="16"/>
              </w:rPr>
            </w:pPr>
            <w:r w:rsidRPr="003F52D4">
              <w:rPr>
                <w:rFonts w:ascii="Arial" w:hAnsi="Arial" w:cs="Arial"/>
                <w:color w:val="000000"/>
                <w:sz w:val="16"/>
                <w:szCs w:val="16"/>
              </w:rPr>
              <w:t>0,957</w:t>
            </w:r>
          </w:p>
        </w:tc>
        <w:tc>
          <w:tcPr>
            <w:tcW w:w="605" w:type="pct"/>
            <w:tcBorders>
              <w:top w:val="nil"/>
              <w:left w:val="nil"/>
              <w:bottom w:val="nil"/>
              <w:right w:val="nil"/>
            </w:tcBorders>
            <w:shd w:val="clear" w:color="auto" w:fill="auto"/>
            <w:vAlign w:val="center"/>
            <w:hideMark/>
          </w:tcPr>
          <w:p w14:paraId="0AD0565E" w14:textId="79ACEC5A" w:rsidR="002526FA" w:rsidRPr="003F52D4" w:rsidRDefault="00EA3E28" w:rsidP="000E471F">
            <w:pPr>
              <w:spacing w:after="0" w:line="240" w:lineRule="auto"/>
              <w:ind w:firstLine="0"/>
              <w:jc w:val="center"/>
              <w:rPr>
                <w:rFonts w:ascii="Arial" w:hAnsi="Arial" w:cs="Arial"/>
                <w:color w:val="000000"/>
                <w:sz w:val="16"/>
                <w:szCs w:val="16"/>
              </w:rPr>
            </w:pPr>
            <w:r>
              <w:rPr>
                <w:rFonts w:ascii="Arial" w:hAnsi="Arial" w:cs="Arial"/>
                <w:color w:val="000000"/>
                <w:sz w:val="16"/>
                <w:szCs w:val="16"/>
              </w:rPr>
              <w:t>-</w:t>
            </w:r>
          </w:p>
        </w:tc>
      </w:tr>
      <w:tr w:rsidR="002526FA" w:rsidRPr="003F52D4" w14:paraId="3836B9BA" w14:textId="77777777" w:rsidTr="004B1B70">
        <w:trPr>
          <w:trHeight w:val="735"/>
        </w:trPr>
        <w:tc>
          <w:tcPr>
            <w:tcW w:w="5000" w:type="pct"/>
            <w:gridSpan w:val="11"/>
            <w:tcBorders>
              <w:top w:val="single" w:sz="4" w:space="0" w:color="auto"/>
              <w:left w:val="nil"/>
              <w:bottom w:val="nil"/>
              <w:right w:val="nil"/>
            </w:tcBorders>
            <w:shd w:val="clear" w:color="auto" w:fill="auto"/>
            <w:vAlign w:val="center"/>
            <w:hideMark/>
          </w:tcPr>
          <w:p w14:paraId="67A175F2" w14:textId="77777777" w:rsidR="002526FA" w:rsidRPr="003F52D4" w:rsidRDefault="002526FA" w:rsidP="000E471F">
            <w:pPr>
              <w:spacing w:after="0" w:line="240" w:lineRule="auto"/>
              <w:ind w:firstLine="0"/>
              <w:jc w:val="left"/>
              <w:rPr>
                <w:rFonts w:ascii="Arial" w:hAnsi="Arial" w:cs="Arial"/>
                <w:color w:val="000000"/>
                <w:sz w:val="16"/>
                <w:szCs w:val="16"/>
              </w:rPr>
            </w:pPr>
            <w:r w:rsidRPr="003F52D4">
              <w:rPr>
                <w:rFonts w:ascii="Arial" w:hAnsi="Arial" w:cs="Arial"/>
                <w:color w:val="000000"/>
                <w:sz w:val="16"/>
                <w:szCs w:val="16"/>
              </w:rPr>
              <w:t xml:space="preserve">Notas. n = 338; χ2 </w:t>
            </w:r>
            <w:r w:rsidRPr="003F52D4">
              <w:rPr>
                <w:rFonts w:ascii="Arial" w:hAnsi="Arial" w:cs="Arial"/>
                <w:color w:val="000000"/>
                <w:sz w:val="16"/>
                <w:szCs w:val="16"/>
                <w:vertAlign w:val="superscript"/>
              </w:rPr>
              <w:t>MLM</w:t>
            </w:r>
            <w:r w:rsidRPr="003F52D4">
              <w:rPr>
                <w:rFonts w:ascii="Arial" w:hAnsi="Arial" w:cs="Arial"/>
                <w:color w:val="000000"/>
                <w:sz w:val="16"/>
                <w:szCs w:val="16"/>
              </w:rPr>
              <w:t xml:space="preserve"> - Chi-cuadrado utilizando el método de máxima verosimilitud con errores estándares robustos (MLM); df, grados de libertad; Scaling, factor de ajuste de la corrección de Satorra-Bentler; RMSEA, error cuadrático medio de aproximación; SRMR, residuo estandarizado cuadrático medio, CFI, índice de ajuste comparativo; TLI, Tucker Lewis Index;</w:t>
            </w:r>
            <w:r w:rsidRPr="004B1B70">
              <w:rPr>
                <w:rFonts w:ascii="Arial" w:hAnsi="Arial" w:cs="Arial"/>
                <w:color w:val="000000"/>
                <w:sz w:val="16"/>
                <w:szCs w:val="16"/>
              </w:rPr>
              <w:t xml:space="preserve"> F, factores;</w:t>
            </w:r>
            <w:r w:rsidRPr="003F52D4">
              <w:rPr>
                <w:rFonts w:ascii="Arial" w:hAnsi="Arial" w:cs="Arial"/>
                <w:color w:val="000000"/>
                <w:sz w:val="16"/>
                <w:szCs w:val="16"/>
              </w:rPr>
              <w:t xml:space="preserve"> ICH, índice de complejidad de Hofmann (1978).</w:t>
            </w:r>
          </w:p>
        </w:tc>
      </w:tr>
    </w:tbl>
    <w:p w14:paraId="61987AE1" w14:textId="267FF53B" w:rsidR="002526FA" w:rsidRDefault="002526FA" w:rsidP="00AC3F41">
      <w:pPr>
        <w:rPr>
          <w:lang w:eastAsia="en-US"/>
        </w:rPr>
      </w:pPr>
    </w:p>
    <w:p w14:paraId="70BE95D3" w14:textId="64446AFC" w:rsidR="0042215A" w:rsidRPr="008E0DC1" w:rsidRDefault="009D3837" w:rsidP="0042215A">
      <w:pPr>
        <w:rPr>
          <w:lang w:eastAsia="en-US"/>
        </w:rPr>
      </w:pPr>
      <w:r>
        <w:rPr>
          <w:lang w:eastAsia="en-US"/>
        </w:rPr>
        <w:t xml:space="preserve"> </w:t>
      </w:r>
      <w:r w:rsidR="00A53E42">
        <w:rPr>
          <w:lang w:eastAsia="en-US"/>
        </w:rPr>
        <w:t>Con el fin de evaluar</w:t>
      </w:r>
      <w:r w:rsidR="000251E3">
        <w:rPr>
          <w:lang w:eastAsia="en-US"/>
        </w:rPr>
        <w:t xml:space="preserve"> las consistencias internas de</w:t>
      </w:r>
      <w:r w:rsidR="002501C1">
        <w:rPr>
          <w:lang w:eastAsia="en-US"/>
        </w:rPr>
        <w:t>l</w:t>
      </w:r>
      <w:r w:rsidR="000251E3">
        <w:rPr>
          <w:lang w:eastAsia="en-US"/>
        </w:rPr>
        <w:t xml:space="preserve"> modelo</w:t>
      </w:r>
      <w:r w:rsidR="002501C1">
        <w:rPr>
          <w:lang w:eastAsia="en-US"/>
        </w:rPr>
        <w:t xml:space="preserve"> final</w:t>
      </w:r>
      <w:r w:rsidR="00A53E42">
        <w:rPr>
          <w:lang w:eastAsia="en-US"/>
        </w:rPr>
        <w:t>, se calcularon las alfas de Cronbach (α) y los coeficientes de omega (ω). De acuerdo con el contenido de la</w:t>
      </w:r>
      <w:r w:rsidR="004C188A">
        <w:rPr>
          <w:lang w:eastAsia="en-US"/>
        </w:rPr>
        <w:t xml:space="preserve"> </w:t>
      </w:r>
      <w:r w:rsidR="004C188A">
        <w:rPr>
          <w:lang w:eastAsia="en-US"/>
        </w:rPr>
        <w:fldChar w:fldCharType="begin"/>
      </w:r>
      <w:r w:rsidR="004C188A">
        <w:rPr>
          <w:lang w:eastAsia="en-US"/>
        </w:rPr>
        <w:instrText xml:space="preserve"> REF _Ref58923368 \h </w:instrText>
      </w:r>
      <w:r w:rsidR="004C188A">
        <w:rPr>
          <w:lang w:eastAsia="en-US"/>
        </w:rPr>
      </w:r>
      <w:r w:rsidR="004C188A">
        <w:rPr>
          <w:lang w:eastAsia="en-US"/>
        </w:rPr>
        <w:fldChar w:fldCharType="separate"/>
      </w:r>
      <w:r w:rsidR="004C188A">
        <w:t xml:space="preserve">Tabla </w:t>
      </w:r>
      <w:r w:rsidR="004C188A">
        <w:rPr>
          <w:noProof/>
        </w:rPr>
        <w:t>4</w:t>
      </w:r>
      <w:r w:rsidR="004C188A">
        <w:rPr>
          <w:lang w:eastAsia="en-US"/>
        </w:rPr>
        <w:fldChar w:fldCharType="end"/>
      </w:r>
      <w:r w:rsidR="00A53E42">
        <w:rPr>
          <w:lang w:eastAsia="en-US"/>
        </w:rPr>
        <w:t xml:space="preserve">, se puede afirmar que </w:t>
      </w:r>
      <w:r w:rsidR="00065450">
        <w:rPr>
          <w:lang w:eastAsia="en-US"/>
        </w:rPr>
        <w:t xml:space="preserve">la versión breve obtuvo </w:t>
      </w:r>
      <w:r w:rsidR="008E0DC1">
        <w:rPr>
          <w:lang w:eastAsia="en-US"/>
        </w:rPr>
        <w:t xml:space="preserve">unas alfas </w:t>
      </w:r>
      <w:r w:rsidR="00A53E42">
        <w:rPr>
          <w:lang w:eastAsia="en-US"/>
        </w:rPr>
        <w:t>que están dentro de unos rangos favorables</w:t>
      </w:r>
      <w:r w:rsidR="000D68AB">
        <w:rPr>
          <w:lang w:eastAsia="en-US"/>
        </w:rPr>
        <w:t xml:space="preserve"> </w:t>
      </w:r>
      <w:r w:rsidR="000D68AB">
        <w:rPr>
          <w:lang w:eastAsia="en-US"/>
        </w:rPr>
        <w:fldChar w:fldCharType="begin" w:fldLock="1"/>
      </w:r>
      <w:r w:rsidR="008E0DC1">
        <w:rPr>
          <w:lang w:eastAsia="en-US"/>
        </w:rPr>
        <w:instrText>ADDIN CSL_CITATION {"citationItems":[{"id":"ITEM-1","itemData":{"DOI":"10.4324/9781315797298","ISBN":"9781315797298","author":[{"dropping-particle":"","family":"Hinton","given":"Perry","non-dropping-particle":"","parse-names":false,"suffix":""}],"id":"ITEM-1","issued":{"date-parts":[["2014","3","21"]]},"publisher":"Routledge","title":"SPSS Explained","type":"book"},"uris":["http://www.mendeley.com/documents/?uuid=bad07210-b223-3e6d-a9da-0374e09ba961"]}],"mendeley":{"formattedCitation":"(Hinton, 2014)","plainTextFormattedCitation":"(Hinton, 2014)","previouslyFormattedCitation":"(Hinton, 2014)"},"properties":{"noteIndex":0},"schema":"https://github.com/citation-style-language/schema/raw/master/csl-citation.json"}</w:instrText>
      </w:r>
      <w:r w:rsidR="000D68AB">
        <w:rPr>
          <w:lang w:eastAsia="en-US"/>
        </w:rPr>
        <w:fldChar w:fldCharType="separate"/>
      </w:r>
      <w:r w:rsidR="008E0DC1" w:rsidRPr="008E0DC1">
        <w:rPr>
          <w:noProof/>
          <w:lang w:eastAsia="en-US"/>
        </w:rPr>
        <w:t>(Hinton, 2014)</w:t>
      </w:r>
      <w:r w:rsidR="000D68AB">
        <w:rPr>
          <w:lang w:eastAsia="en-US"/>
        </w:rPr>
        <w:fldChar w:fldCharType="end"/>
      </w:r>
      <w:r w:rsidR="00A53E42">
        <w:rPr>
          <w:lang w:eastAsia="en-US"/>
        </w:rPr>
        <w:t>.</w:t>
      </w:r>
      <w:r w:rsidR="000E790F">
        <w:rPr>
          <w:lang w:eastAsia="en-US"/>
        </w:rPr>
        <w:t xml:space="preserve"> </w:t>
      </w:r>
      <w:r w:rsidR="008E0DC1">
        <w:rPr>
          <w:lang w:eastAsia="en-US"/>
        </w:rPr>
        <w:t xml:space="preserve">Solamente la </w:t>
      </w:r>
      <w:r w:rsidR="008E0DC1" w:rsidRPr="008E0DC1">
        <w:rPr>
          <w:i/>
          <w:iCs/>
          <w:lang w:eastAsia="en-US"/>
        </w:rPr>
        <w:t>ideación paranoide</w:t>
      </w:r>
      <w:r w:rsidR="008E0DC1">
        <w:rPr>
          <w:i/>
          <w:iCs/>
          <w:lang w:eastAsia="en-US"/>
        </w:rPr>
        <w:t xml:space="preserve"> </w:t>
      </w:r>
      <w:r w:rsidR="008E0DC1">
        <w:rPr>
          <w:lang w:eastAsia="en-US"/>
        </w:rPr>
        <w:t xml:space="preserve">se encontró ligeramente por debajo del 0,70 que proponen </w:t>
      </w:r>
      <w:r w:rsidR="008E0DC1">
        <w:rPr>
          <w:lang w:eastAsia="en-US"/>
        </w:rPr>
        <w:fldChar w:fldCharType="begin" w:fldLock="1"/>
      </w:r>
      <w:r w:rsidR="00F62C12">
        <w:rPr>
          <w:lang w:eastAsia="en-US"/>
        </w:rPr>
        <w:instrText>ADDIN CSL_CITATION {"citationItems":[{"id":"ITEM-1","itemData":{"DOI":"10.1111/bjop.12046","ISSN":"00071269","author":[{"dropping-particle":"","family":"Dunn","given":"Thomas J.","non-dropping-particle":"","parse-names":false,"suffix":""},{"dropping-particle":"","family":"Baguley","given":"Thom","non-dropping-particle":"","parse-names":false,"suffix":""},{"dropping-particle":"","family":"Brunsden","given":"Vivienne","non-dropping-particle":"","parse-names":false,"suffix":""}],"container-title":"British Journal of Psychology","id":"ITEM-1","issue":"3","issued":{"date-parts":[["2014","8"]]},"page":"399-412","title":"From alpha to omega: A practical solution to the pervasive problem of internal consistency estimation","type":"article-journal","volume":"105"},"uris":["http://www.mendeley.com/documents/?uuid=4b03db25-debd-4e9f-87be-ce22f2634e6c"]}],"mendeley":{"formattedCitation":"(Dunn, Baguley, &amp; Brunsden, 2014)","manualFormatting":"Dunn, Baguley y Brunsden (2014)","plainTextFormattedCitation":"(Dunn, Baguley, &amp; Brunsden, 2014)","previouslyFormattedCitation":"(Dunn, Baguley, &amp; Brunsden, 2014)"},"properties":{"noteIndex":0},"schema":"https://github.com/citation-style-language/schema/raw/master/csl-citation.json"}</w:instrText>
      </w:r>
      <w:r w:rsidR="008E0DC1">
        <w:rPr>
          <w:lang w:eastAsia="en-US"/>
        </w:rPr>
        <w:fldChar w:fldCharType="separate"/>
      </w:r>
      <w:r w:rsidR="008E0DC1" w:rsidRPr="008E0DC1">
        <w:rPr>
          <w:noProof/>
          <w:lang w:eastAsia="en-US"/>
        </w:rPr>
        <w:t>Dunn, Baguley</w:t>
      </w:r>
      <w:r w:rsidR="008E0DC1">
        <w:rPr>
          <w:noProof/>
          <w:lang w:eastAsia="en-US"/>
        </w:rPr>
        <w:t xml:space="preserve"> y</w:t>
      </w:r>
      <w:r w:rsidR="008E0DC1" w:rsidRPr="008E0DC1">
        <w:rPr>
          <w:noProof/>
          <w:lang w:eastAsia="en-US"/>
        </w:rPr>
        <w:t xml:space="preserve"> Brunsden </w:t>
      </w:r>
      <w:r w:rsidR="008E0DC1">
        <w:rPr>
          <w:noProof/>
          <w:lang w:eastAsia="en-US"/>
        </w:rPr>
        <w:t>(</w:t>
      </w:r>
      <w:r w:rsidR="008E0DC1" w:rsidRPr="008E0DC1">
        <w:rPr>
          <w:noProof/>
          <w:lang w:eastAsia="en-US"/>
        </w:rPr>
        <w:t>2014)</w:t>
      </w:r>
      <w:r w:rsidR="008E0DC1">
        <w:rPr>
          <w:lang w:eastAsia="en-US"/>
        </w:rPr>
        <w:fldChar w:fldCharType="end"/>
      </w:r>
      <w:r w:rsidR="008E0DC1">
        <w:rPr>
          <w:lang w:eastAsia="en-US"/>
        </w:rPr>
        <w:t xml:space="preserve"> para la evaluación del omega. </w:t>
      </w:r>
    </w:p>
    <w:p w14:paraId="31226778" w14:textId="0D7D33EE" w:rsidR="004C188A" w:rsidRDefault="004C188A" w:rsidP="004C188A">
      <w:pPr>
        <w:pStyle w:val="Descripcin"/>
        <w:keepNext/>
      </w:pPr>
      <w:bookmarkStart w:id="10" w:name="_Ref58923368"/>
      <w:r>
        <w:t xml:space="preserve">Tabla </w:t>
      </w:r>
      <w:r w:rsidR="003A675A">
        <w:fldChar w:fldCharType="begin"/>
      </w:r>
      <w:r w:rsidR="003A675A">
        <w:instrText xml:space="preserve"> SEQ Tabla \* ARABIC </w:instrText>
      </w:r>
      <w:r w:rsidR="003A675A">
        <w:fldChar w:fldCharType="separate"/>
      </w:r>
      <w:r w:rsidR="00D83C2C">
        <w:rPr>
          <w:noProof/>
        </w:rPr>
        <w:t>4</w:t>
      </w:r>
      <w:r w:rsidR="003A675A">
        <w:rPr>
          <w:noProof/>
        </w:rPr>
        <w:fldChar w:fldCharType="end"/>
      </w:r>
      <w:bookmarkEnd w:id="10"/>
    </w:p>
    <w:tbl>
      <w:tblPr>
        <w:tblW w:w="0" w:type="auto"/>
        <w:tblLayout w:type="fixed"/>
        <w:tblCellMar>
          <w:left w:w="70" w:type="dxa"/>
          <w:right w:w="70" w:type="dxa"/>
        </w:tblCellMar>
        <w:tblLook w:val="04A0" w:firstRow="1" w:lastRow="0" w:firstColumn="1" w:lastColumn="0" w:noHBand="0" w:noVBand="1"/>
      </w:tblPr>
      <w:tblGrid>
        <w:gridCol w:w="1843"/>
        <w:gridCol w:w="1019"/>
        <w:gridCol w:w="1019"/>
      </w:tblGrid>
      <w:tr w:rsidR="004C188A" w:rsidRPr="004C188A" w14:paraId="382E260E" w14:textId="77777777" w:rsidTr="00F620EB">
        <w:trPr>
          <w:trHeight w:val="240"/>
        </w:trPr>
        <w:tc>
          <w:tcPr>
            <w:tcW w:w="3878" w:type="dxa"/>
            <w:gridSpan w:val="3"/>
            <w:tcBorders>
              <w:top w:val="nil"/>
              <w:left w:val="nil"/>
              <w:bottom w:val="nil"/>
              <w:right w:val="nil"/>
            </w:tcBorders>
            <w:shd w:val="clear" w:color="auto" w:fill="auto"/>
            <w:noWrap/>
            <w:vAlign w:val="center"/>
            <w:hideMark/>
          </w:tcPr>
          <w:p w14:paraId="1DED6AFD" w14:textId="79D36939" w:rsidR="004C188A" w:rsidRPr="004C188A" w:rsidRDefault="004C188A" w:rsidP="004C188A">
            <w:pPr>
              <w:spacing w:after="0" w:line="240" w:lineRule="auto"/>
              <w:ind w:firstLine="0"/>
              <w:jc w:val="left"/>
              <w:rPr>
                <w:rFonts w:ascii="Arial" w:hAnsi="Arial" w:cs="Arial"/>
                <w:i/>
                <w:iCs/>
                <w:color w:val="000000"/>
                <w:sz w:val="18"/>
                <w:szCs w:val="18"/>
              </w:rPr>
            </w:pPr>
            <w:r w:rsidRPr="004C188A">
              <w:rPr>
                <w:rFonts w:ascii="Arial" w:hAnsi="Arial" w:cs="Arial"/>
                <w:i/>
                <w:iCs/>
                <w:color w:val="000000"/>
                <w:sz w:val="18"/>
                <w:szCs w:val="18"/>
              </w:rPr>
              <w:t>Consistencias internas del modelo bifactorial</w:t>
            </w:r>
          </w:p>
        </w:tc>
      </w:tr>
      <w:tr w:rsidR="004C188A" w:rsidRPr="004C188A" w14:paraId="4067A35D" w14:textId="77777777" w:rsidTr="00F620EB">
        <w:trPr>
          <w:trHeight w:val="240"/>
        </w:trPr>
        <w:tc>
          <w:tcPr>
            <w:tcW w:w="1843" w:type="dxa"/>
            <w:tcBorders>
              <w:top w:val="single" w:sz="4" w:space="0" w:color="auto"/>
              <w:left w:val="nil"/>
              <w:bottom w:val="single" w:sz="4" w:space="0" w:color="auto"/>
              <w:right w:val="nil"/>
            </w:tcBorders>
            <w:shd w:val="clear" w:color="auto" w:fill="auto"/>
            <w:noWrap/>
            <w:vAlign w:val="center"/>
            <w:hideMark/>
          </w:tcPr>
          <w:p w14:paraId="5D76BF20" w14:textId="7777777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Dimensiones</w:t>
            </w:r>
          </w:p>
        </w:tc>
        <w:tc>
          <w:tcPr>
            <w:tcW w:w="1019" w:type="dxa"/>
            <w:tcBorders>
              <w:top w:val="single" w:sz="4" w:space="0" w:color="auto"/>
              <w:left w:val="nil"/>
              <w:bottom w:val="single" w:sz="4" w:space="0" w:color="auto"/>
              <w:right w:val="nil"/>
            </w:tcBorders>
            <w:shd w:val="clear" w:color="auto" w:fill="auto"/>
            <w:noWrap/>
            <w:vAlign w:val="center"/>
            <w:hideMark/>
          </w:tcPr>
          <w:p w14:paraId="2F8F18E0"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α</w:t>
            </w:r>
          </w:p>
        </w:tc>
        <w:tc>
          <w:tcPr>
            <w:tcW w:w="1019" w:type="dxa"/>
            <w:tcBorders>
              <w:top w:val="single" w:sz="4" w:space="0" w:color="auto"/>
              <w:left w:val="nil"/>
              <w:bottom w:val="single" w:sz="4" w:space="0" w:color="auto"/>
              <w:right w:val="nil"/>
            </w:tcBorders>
            <w:shd w:val="clear" w:color="auto" w:fill="auto"/>
            <w:noWrap/>
            <w:vAlign w:val="center"/>
            <w:hideMark/>
          </w:tcPr>
          <w:p w14:paraId="1FBA1295"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ω</w:t>
            </w:r>
          </w:p>
        </w:tc>
      </w:tr>
      <w:tr w:rsidR="004C188A" w:rsidRPr="004C188A" w14:paraId="0C3EEDB2" w14:textId="77777777" w:rsidTr="00F620EB">
        <w:trPr>
          <w:trHeight w:val="240"/>
        </w:trPr>
        <w:tc>
          <w:tcPr>
            <w:tcW w:w="1843" w:type="dxa"/>
            <w:tcBorders>
              <w:top w:val="nil"/>
              <w:left w:val="nil"/>
              <w:bottom w:val="nil"/>
              <w:right w:val="nil"/>
            </w:tcBorders>
            <w:shd w:val="clear" w:color="auto" w:fill="auto"/>
            <w:noWrap/>
            <w:vAlign w:val="center"/>
            <w:hideMark/>
          </w:tcPr>
          <w:p w14:paraId="62F2FA54" w14:textId="7777777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Ansiedad fóbica</w:t>
            </w:r>
          </w:p>
        </w:tc>
        <w:tc>
          <w:tcPr>
            <w:tcW w:w="1019" w:type="dxa"/>
            <w:tcBorders>
              <w:top w:val="nil"/>
              <w:left w:val="nil"/>
              <w:bottom w:val="nil"/>
              <w:right w:val="nil"/>
            </w:tcBorders>
            <w:shd w:val="clear" w:color="auto" w:fill="auto"/>
            <w:noWrap/>
            <w:vAlign w:val="center"/>
            <w:hideMark/>
          </w:tcPr>
          <w:p w14:paraId="1E7A56AA"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0,851</w:t>
            </w:r>
          </w:p>
        </w:tc>
        <w:tc>
          <w:tcPr>
            <w:tcW w:w="1019" w:type="dxa"/>
            <w:tcBorders>
              <w:top w:val="nil"/>
              <w:left w:val="nil"/>
              <w:bottom w:val="nil"/>
              <w:right w:val="nil"/>
            </w:tcBorders>
            <w:shd w:val="clear" w:color="auto" w:fill="auto"/>
            <w:noWrap/>
            <w:vAlign w:val="center"/>
            <w:hideMark/>
          </w:tcPr>
          <w:p w14:paraId="565B6BAF"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0,860</w:t>
            </w:r>
          </w:p>
        </w:tc>
      </w:tr>
      <w:tr w:rsidR="004C188A" w:rsidRPr="004C188A" w14:paraId="43EBDCFE" w14:textId="77777777" w:rsidTr="00F620EB">
        <w:trPr>
          <w:trHeight w:val="240"/>
        </w:trPr>
        <w:tc>
          <w:tcPr>
            <w:tcW w:w="1843" w:type="dxa"/>
            <w:tcBorders>
              <w:top w:val="nil"/>
              <w:left w:val="nil"/>
              <w:bottom w:val="nil"/>
              <w:right w:val="nil"/>
            </w:tcBorders>
            <w:shd w:val="clear" w:color="auto" w:fill="auto"/>
            <w:noWrap/>
            <w:vAlign w:val="center"/>
            <w:hideMark/>
          </w:tcPr>
          <w:p w14:paraId="65318653" w14:textId="7777777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Ideación paranoide</w:t>
            </w:r>
          </w:p>
        </w:tc>
        <w:tc>
          <w:tcPr>
            <w:tcW w:w="1019" w:type="dxa"/>
            <w:tcBorders>
              <w:top w:val="nil"/>
              <w:left w:val="nil"/>
              <w:bottom w:val="nil"/>
              <w:right w:val="nil"/>
            </w:tcBorders>
            <w:shd w:val="clear" w:color="auto" w:fill="auto"/>
            <w:noWrap/>
            <w:vAlign w:val="center"/>
            <w:hideMark/>
          </w:tcPr>
          <w:p w14:paraId="37FB14FD"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0,655</w:t>
            </w:r>
          </w:p>
        </w:tc>
        <w:tc>
          <w:tcPr>
            <w:tcW w:w="1019" w:type="dxa"/>
            <w:tcBorders>
              <w:top w:val="nil"/>
              <w:left w:val="nil"/>
              <w:bottom w:val="nil"/>
              <w:right w:val="nil"/>
            </w:tcBorders>
            <w:shd w:val="clear" w:color="auto" w:fill="auto"/>
            <w:noWrap/>
            <w:vAlign w:val="center"/>
            <w:hideMark/>
          </w:tcPr>
          <w:p w14:paraId="36610AE6"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0,691</w:t>
            </w:r>
          </w:p>
        </w:tc>
      </w:tr>
      <w:tr w:rsidR="004C188A" w:rsidRPr="004C188A" w14:paraId="5C281BD3" w14:textId="77777777" w:rsidTr="00F620EB">
        <w:trPr>
          <w:trHeight w:val="240"/>
        </w:trPr>
        <w:tc>
          <w:tcPr>
            <w:tcW w:w="1843" w:type="dxa"/>
            <w:tcBorders>
              <w:top w:val="nil"/>
              <w:left w:val="nil"/>
              <w:bottom w:val="nil"/>
              <w:right w:val="nil"/>
            </w:tcBorders>
            <w:shd w:val="clear" w:color="auto" w:fill="auto"/>
            <w:noWrap/>
            <w:vAlign w:val="center"/>
            <w:hideMark/>
          </w:tcPr>
          <w:p w14:paraId="4A89C208" w14:textId="7777777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Somatización</w:t>
            </w:r>
          </w:p>
        </w:tc>
        <w:tc>
          <w:tcPr>
            <w:tcW w:w="1019" w:type="dxa"/>
            <w:tcBorders>
              <w:top w:val="nil"/>
              <w:left w:val="nil"/>
              <w:bottom w:val="nil"/>
              <w:right w:val="nil"/>
            </w:tcBorders>
            <w:shd w:val="clear" w:color="auto" w:fill="auto"/>
            <w:noWrap/>
            <w:vAlign w:val="center"/>
            <w:hideMark/>
          </w:tcPr>
          <w:p w14:paraId="21E58ADE"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0,856</w:t>
            </w:r>
          </w:p>
        </w:tc>
        <w:tc>
          <w:tcPr>
            <w:tcW w:w="1019" w:type="dxa"/>
            <w:tcBorders>
              <w:top w:val="nil"/>
              <w:left w:val="nil"/>
              <w:bottom w:val="nil"/>
              <w:right w:val="nil"/>
            </w:tcBorders>
            <w:shd w:val="clear" w:color="auto" w:fill="auto"/>
            <w:noWrap/>
            <w:vAlign w:val="center"/>
            <w:hideMark/>
          </w:tcPr>
          <w:p w14:paraId="7E0D37F1"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0,861</w:t>
            </w:r>
          </w:p>
        </w:tc>
      </w:tr>
      <w:tr w:rsidR="004C188A" w:rsidRPr="004C188A" w14:paraId="1F68A965" w14:textId="77777777" w:rsidTr="00F620EB">
        <w:trPr>
          <w:trHeight w:val="240"/>
        </w:trPr>
        <w:tc>
          <w:tcPr>
            <w:tcW w:w="1843" w:type="dxa"/>
            <w:tcBorders>
              <w:top w:val="nil"/>
              <w:left w:val="nil"/>
              <w:bottom w:val="nil"/>
              <w:right w:val="nil"/>
            </w:tcBorders>
            <w:shd w:val="clear" w:color="auto" w:fill="auto"/>
            <w:noWrap/>
            <w:vAlign w:val="center"/>
            <w:hideMark/>
          </w:tcPr>
          <w:p w14:paraId="09C0507D" w14:textId="7777777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Hostilidad</w:t>
            </w:r>
          </w:p>
        </w:tc>
        <w:tc>
          <w:tcPr>
            <w:tcW w:w="1019" w:type="dxa"/>
            <w:tcBorders>
              <w:top w:val="nil"/>
              <w:left w:val="nil"/>
              <w:bottom w:val="nil"/>
              <w:right w:val="nil"/>
            </w:tcBorders>
            <w:shd w:val="clear" w:color="auto" w:fill="auto"/>
            <w:noWrap/>
            <w:vAlign w:val="center"/>
            <w:hideMark/>
          </w:tcPr>
          <w:p w14:paraId="31DC6EED"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0,821</w:t>
            </w:r>
          </w:p>
        </w:tc>
        <w:tc>
          <w:tcPr>
            <w:tcW w:w="1019" w:type="dxa"/>
            <w:tcBorders>
              <w:top w:val="nil"/>
              <w:left w:val="nil"/>
              <w:bottom w:val="nil"/>
              <w:right w:val="nil"/>
            </w:tcBorders>
            <w:shd w:val="clear" w:color="auto" w:fill="auto"/>
            <w:noWrap/>
            <w:vAlign w:val="center"/>
            <w:hideMark/>
          </w:tcPr>
          <w:p w14:paraId="709857AE"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0,833</w:t>
            </w:r>
          </w:p>
        </w:tc>
      </w:tr>
      <w:tr w:rsidR="004C188A" w:rsidRPr="004C188A" w14:paraId="191EFB84" w14:textId="77777777" w:rsidTr="00F620EB">
        <w:trPr>
          <w:trHeight w:val="240"/>
        </w:trPr>
        <w:tc>
          <w:tcPr>
            <w:tcW w:w="1843" w:type="dxa"/>
            <w:tcBorders>
              <w:top w:val="nil"/>
              <w:left w:val="nil"/>
              <w:bottom w:val="nil"/>
              <w:right w:val="nil"/>
            </w:tcBorders>
            <w:shd w:val="clear" w:color="auto" w:fill="auto"/>
            <w:noWrap/>
            <w:vAlign w:val="center"/>
            <w:hideMark/>
          </w:tcPr>
          <w:p w14:paraId="0D3752D9" w14:textId="7777777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Depresión</w:t>
            </w:r>
          </w:p>
        </w:tc>
        <w:tc>
          <w:tcPr>
            <w:tcW w:w="1019" w:type="dxa"/>
            <w:tcBorders>
              <w:top w:val="nil"/>
              <w:left w:val="nil"/>
              <w:bottom w:val="nil"/>
              <w:right w:val="nil"/>
            </w:tcBorders>
            <w:shd w:val="clear" w:color="auto" w:fill="auto"/>
            <w:noWrap/>
            <w:vAlign w:val="center"/>
            <w:hideMark/>
          </w:tcPr>
          <w:p w14:paraId="1E72096E"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0,815</w:t>
            </w:r>
          </w:p>
        </w:tc>
        <w:tc>
          <w:tcPr>
            <w:tcW w:w="1019" w:type="dxa"/>
            <w:tcBorders>
              <w:top w:val="nil"/>
              <w:left w:val="nil"/>
              <w:bottom w:val="nil"/>
              <w:right w:val="nil"/>
            </w:tcBorders>
            <w:shd w:val="clear" w:color="auto" w:fill="auto"/>
            <w:noWrap/>
            <w:vAlign w:val="center"/>
            <w:hideMark/>
          </w:tcPr>
          <w:p w14:paraId="17E07616"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0,827</w:t>
            </w:r>
          </w:p>
        </w:tc>
      </w:tr>
      <w:tr w:rsidR="004C188A" w:rsidRPr="004C188A" w14:paraId="1A93C0A3" w14:textId="77777777" w:rsidTr="00F620EB">
        <w:trPr>
          <w:trHeight w:val="240"/>
        </w:trPr>
        <w:tc>
          <w:tcPr>
            <w:tcW w:w="1843" w:type="dxa"/>
            <w:tcBorders>
              <w:top w:val="nil"/>
              <w:left w:val="nil"/>
              <w:bottom w:val="nil"/>
              <w:right w:val="nil"/>
            </w:tcBorders>
            <w:shd w:val="clear" w:color="auto" w:fill="auto"/>
            <w:noWrap/>
            <w:vAlign w:val="center"/>
            <w:hideMark/>
          </w:tcPr>
          <w:p w14:paraId="54A3C268" w14:textId="7777777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Inseguridad personal</w:t>
            </w:r>
          </w:p>
        </w:tc>
        <w:tc>
          <w:tcPr>
            <w:tcW w:w="1019" w:type="dxa"/>
            <w:tcBorders>
              <w:top w:val="nil"/>
              <w:left w:val="nil"/>
              <w:bottom w:val="nil"/>
              <w:right w:val="nil"/>
            </w:tcBorders>
            <w:shd w:val="clear" w:color="auto" w:fill="auto"/>
            <w:noWrap/>
            <w:vAlign w:val="center"/>
            <w:hideMark/>
          </w:tcPr>
          <w:p w14:paraId="2965E640"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0,822</w:t>
            </w:r>
          </w:p>
        </w:tc>
        <w:tc>
          <w:tcPr>
            <w:tcW w:w="1019" w:type="dxa"/>
            <w:tcBorders>
              <w:top w:val="nil"/>
              <w:left w:val="nil"/>
              <w:bottom w:val="nil"/>
              <w:right w:val="nil"/>
            </w:tcBorders>
            <w:shd w:val="clear" w:color="auto" w:fill="auto"/>
            <w:noWrap/>
            <w:vAlign w:val="center"/>
            <w:hideMark/>
          </w:tcPr>
          <w:p w14:paraId="453EF041"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0,828</w:t>
            </w:r>
          </w:p>
        </w:tc>
      </w:tr>
      <w:tr w:rsidR="004C188A" w:rsidRPr="004C188A" w14:paraId="758D41D2" w14:textId="77777777" w:rsidTr="00F620EB">
        <w:trPr>
          <w:trHeight w:val="240"/>
        </w:trPr>
        <w:tc>
          <w:tcPr>
            <w:tcW w:w="1843" w:type="dxa"/>
            <w:tcBorders>
              <w:top w:val="nil"/>
              <w:left w:val="nil"/>
              <w:bottom w:val="nil"/>
              <w:right w:val="nil"/>
            </w:tcBorders>
            <w:shd w:val="clear" w:color="auto" w:fill="auto"/>
            <w:noWrap/>
            <w:vAlign w:val="center"/>
            <w:hideMark/>
          </w:tcPr>
          <w:p w14:paraId="3151EA95" w14:textId="603BECE7" w:rsidR="004C188A" w:rsidRPr="004C188A" w:rsidRDefault="004C188A" w:rsidP="004C188A">
            <w:pPr>
              <w:spacing w:after="0" w:line="240" w:lineRule="auto"/>
              <w:ind w:firstLine="0"/>
              <w:jc w:val="left"/>
              <w:rPr>
                <w:rFonts w:ascii="Arial" w:hAnsi="Arial" w:cs="Arial"/>
                <w:color w:val="000000"/>
                <w:sz w:val="18"/>
                <w:szCs w:val="18"/>
              </w:rPr>
            </w:pPr>
            <w:r w:rsidRPr="004C188A">
              <w:rPr>
                <w:rFonts w:ascii="Arial" w:hAnsi="Arial" w:cs="Arial"/>
                <w:color w:val="000000"/>
                <w:sz w:val="18"/>
                <w:szCs w:val="18"/>
              </w:rPr>
              <w:t xml:space="preserve">Síntomas </w:t>
            </w:r>
            <w:r>
              <w:rPr>
                <w:rFonts w:ascii="Arial" w:hAnsi="Arial" w:cs="Arial"/>
                <w:color w:val="000000"/>
                <w:sz w:val="18"/>
                <w:szCs w:val="18"/>
              </w:rPr>
              <w:t xml:space="preserve">en </w:t>
            </w:r>
            <w:r w:rsidRPr="004C188A">
              <w:rPr>
                <w:rFonts w:ascii="Arial" w:hAnsi="Arial" w:cs="Arial"/>
                <w:color w:val="000000"/>
                <w:sz w:val="18"/>
                <w:szCs w:val="18"/>
              </w:rPr>
              <w:t>general</w:t>
            </w:r>
          </w:p>
        </w:tc>
        <w:tc>
          <w:tcPr>
            <w:tcW w:w="1019" w:type="dxa"/>
            <w:tcBorders>
              <w:top w:val="nil"/>
              <w:left w:val="nil"/>
              <w:bottom w:val="nil"/>
              <w:right w:val="nil"/>
            </w:tcBorders>
            <w:shd w:val="clear" w:color="auto" w:fill="auto"/>
            <w:noWrap/>
            <w:vAlign w:val="center"/>
            <w:hideMark/>
          </w:tcPr>
          <w:p w14:paraId="2EA126E7"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0,903</w:t>
            </w:r>
          </w:p>
        </w:tc>
        <w:tc>
          <w:tcPr>
            <w:tcW w:w="1019" w:type="dxa"/>
            <w:tcBorders>
              <w:top w:val="nil"/>
              <w:left w:val="nil"/>
              <w:bottom w:val="nil"/>
              <w:right w:val="nil"/>
            </w:tcBorders>
            <w:shd w:val="clear" w:color="auto" w:fill="auto"/>
            <w:noWrap/>
            <w:vAlign w:val="center"/>
            <w:hideMark/>
          </w:tcPr>
          <w:p w14:paraId="775E3E69" w14:textId="77777777" w:rsidR="004C188A" w:rsidRPr="004C188A" w:rsidRDefault="004C188A" w:rsidP="004C188A">
            <w:pPr>
              <w:spacing w:after="0" w:line="240" w:lineRule="auto"/>
              <w:ind w:firstLine="0"/>
              <w:jc w:val="center"/>
              <w:rPr>
                <w:rFonts w:ascii="Arial" w:hAnsi="Arial" w:cs="Arial"/>
                <w:color w:val="000000"/>
                <w:sz w:val="18"/>
                <w:szCs w:val="18"/>
              </w:rPr>
            </w:pPr>
            <w:r w:rsidRPr="004C188A">
              <w:rPr>
                <w:rFonts w:ascii="Arial" w:hAnsi="Arial" w:cs="Arial"/>
                <w:color w:val="000000"/>
                <w:sz w:val="18"/>
                <w:szCs w:val="18"/>
              </w:rPr>
              <w:t>0,925</w:t>
            </w:r>
          </w:p>
        </w:tc>
      </w:tr>
      <w:tr w:rsidR="004C188A" w:rsidRPr="0053539A" w14:paraId="25337498" w14:textId="77777777" w:rsidTr="00F620EB">
        <w:trPr>
          <w:trHeight w:val="240"/>
        </w:trPr>
        <w:tc>
          <w:tcPr>
            <w:tcW w:w="3878" w:type="dxa"/>
            <w:gridSpan w:val="3"/>
            <w:tcBorders>
              <w:top w:val="single" w:sz="4" w:space="0" w:color="auto"/>
              <w:left w:val="nil"/>
              <w:bottom w:val="nil"/>
              <w:right w:val="nil"/>
            </w:tcBorders>
            <w:shd w:val="clear" w:color="auto" w:fill="auto"/>
            <w:noWrap/>
            <w:vAlign w:val="center"/>
            <w:hideMark/>
          </w:tcPr>
          <w:p w14:paraId="472302E9" w14:textId="40A5073B" w:rsidR="004C188A" w:rsidRPr="00A57608" w:rsidRDefault="004C188A" w:rsidP="004C188A">
            <w:pPr>
              <w:spacing w:after="0" w:line="240" w:lineRule="auto"/>
              <w:ind w:firstLine="0"/>
              <w:jc w:val="left"/>
              <w:rPr>
                <w:rFonts w:ascii="Arial" w:hAnsi="Arial" w:cs="Arial"/>
                <w:color w:val="000000"/>
                <w:sz w:val="18"/>
                <w:szCs w:val="18"/>
                <w:lang w:val="pt-BR"/>
              </w:rPr>
            </w:pPr>
            <w:r w:rsidRPr="00A57608">
              <w:rPr>
                <w:rFonts w:ascii="Arial" w:hAnsi="Arial" w:cs="Arial"/>
                <w:color w:val="000000"/>
                <w:sz w:val="18"/>
                <w:szCs w:val="18"/>
                <w:lang w:val="pt-BR"/>
              </w:rPr>
              <w:t xml:space="preserve">Notas. n = 278; </w:t>
            </w:r>
            <w:r w:rsidRPr="004C188A">
              <w:rPr>
                <w:rFonts w:ascii="Arial" w:hAnsi="Arial" w:cs="Arial"/>
                <w:color w:val="000000"/>
                <w:sz w:val="18"/>
                <w:szCs w:val="18"/>
              </w:rPr>
              <w:t>α</w:t>
            </w:r>
            <w:r w:rsidRPr="00A57608">
              <w:rPr>
                <w:rFonts w:ascii="Arial" w:hAnsi="Arial" w:cs="Arial"/>
                <w:color w:val="000000"/>
                <w:sz w:val="18"/>
                <w:szCs w:val="18"/>
                <w:lang w:val="pt-BR"/>
              </w:rPr>
              <w:t xml:space="preserve">, alfa de Cronbach; </w:t>
            </w:r>
            <w:r w:rsidRPr="004C188A">
              <w:rPr>
                <w:rFonts w:ascii="Arial" w:hAnsi="Arial" w:cs="Arial"/>
                <w:color w:val="000000"/>
                <w:sz w:val="18"/>
                <w:szCs w:val="18"/>
              </w:rPr>
              <w:t>ω</w:t>
            </w:r>
            <w:r w:rsidRPr="00A57608">
              <w:rPr>
                <w:rFonts w:ascii="Arial" w:hAnsi="Arial" w:cs="Arial"/>
                <w:color w:val="000000"/>
                <w:sz w:val="18"/>
                <w:szCs w:val="18"/>
                <w:lang w:val="pt-BR"/>
              </w:rPr>
              <w:t xml:space="preserve">, coeficiente de </w:t>
            </w:r>
            <w:proofErr w:type="spellStart"/>
            <w:r w:rsidR="002461D4">
              <w:rPr>
                <w:rFonts w:ascii="Arial" w:hAnsi="Arial" w:cs="Arial"/>
                <w:color w:val="000000"/>
                <w:sz w:val="18"/>
                <w:szCs w:val="18"/>
                <w:lang w:val="pt-BR"/>
              </w:rPr>
              <w:t>o</w:t>
            </w:r>
            <w:r w:rsidR="002461D4" w:rsidRPr="00A57608">
              <w:rPr>
                <w:rFonts w:ascii="Arial" w:hAnsi="Arial" w:cs="Arial"/>
                <w:color w:val="000000"/>
                <w:sz w:val="18"/>
                <w:szCs w:val="18"/>
                <w:lang w:val="pt-BR"/>
              </w:rPr>
              <w:t>mega</w:t>
            </w:r>
            <w:proofErr w:type="spellEnd"/>
            <w:r w:rsidRPr="00A57608">
              <w:rPr>
                <w:rFonts w:ascii="Arial" w:hAnsi="Arial" w:cs="Arial"/>
                <w:color w:val="000000"/>
                <w:sz w:val="18"/>
                <w:szCs w:val="18"/>
                <w:lang w:val="pt-BR"/>
              </w:rPr>
              <w:t>.</w:t>
            </w:r>
          </w:p>
        </w:tc>
      </w:tr>
    </w:tbl>
    <w:p w14:paraId="7F6C7B70" w14:textId="7FC87D82" w:rsidR="0042215A" w:rsidRPr="00A57608" w:rsidRDefault="0042215A" w:rsidP="0042215A">
      <w:pPr>
        <w:rPr>
          <w:lang w:val="pt-BR" w:eastAsia="en-US"/>
        </w:rPr>
      </w:pPr>
    </w:p>
    <w:p w14:paraId="20673C01" w14:textId="6F0A146D" w:rsidR="009A2149" w:rsidRDefault="009A2149" w:rsidP="0042215A">
      <w:pPr>
        <w:pStyle w:val="Ttulo3"/>
      </w:pPr>
      <w:r w:rsidRPr="00AE36FB">
        <w:t>Validez convergente</w:t>
      </w:r>
    </w:p>
    <w:p w14:paraId="5BDC13C8" w14:textId="1CF8A9DC" w:rsidR="00A130DF" w:rsidRDefault="002461D4" w:rsidP="00A130DF">
      <w:pPr>
        <w:rPr>
          <w:lang w:eastAsia="en-US"/>
        </w:rPr>
      </w:pPr>
      <w:r>
        <w:rPr>
          <w:lang w:eastAsia="en-US"/>
        </w:rPr>
        <w:t>Para</w:t>
      </w:r>
      <w:r w:rsidR="00FF2D9E">
        <w:rPr>
          <w:lang w:eastAsia="en-US"/>
        </w:rPr>
        <w:t xml:space="preserve"> realiz</w:t>
      </w:r>
      <w:r w:rsidR="00190747">
        <w:rPr>
          <w:lang w:eastAsia="en-US"/>
        </w:rPr>
        <w:t>ar</w:t>
      </w:r>
      <w:r w:rsidR="00FF2D9E">
        <w:rPr>
          <w:lang w:eastAsia="en-US"/>
        </w:rPr>
        <w:t xml:space="preserve"> un análisis de validez convergente con las cinco dimensiones del </w:t>
      </w:r>
      <w:r w:rsidR="00FF2D9E" w:rsidRPr="00127E76">
        <w:rPr>
          <w:i/>
          <w:iCs/>
          <w:lang w:eastAsia="en-US"/>
        </w:rPr>
        <w:t>M</w:t>
      </w:r>
      <w:r w:rsidR="00A30C3F" w:rsidRPr="00127E76">
        <w:rPr>
          <w:i/>
          <w:iCs/>
          <w:lang w:eastAsia="en-US"/>
        </w:rPr>
        <w:t>ini</w:t>
      </w:r>
      <w:r w:rsidR="00FF2D9E" w:rsidRPr="00127E76">
        <w:rPr>
          <w:i/>
          <w:iCs/>
          <w:lang w:eastAsia="en-US"/>
        </w:rPr>
        <w:t>-</w:t>
      </w:r>
      <w:r w:rsidR="00A30C3F" w:rsidRPr="00127E76">
        <w:rPr>
          <w:i/>
          <w:iCs/>
          <w:lang w:eastAsia="en-US"/>
        </w:rPr>
        <w:t>IPIP</w:t>
      </w:r>
      <w:r w:rsidR="00127E76">
        <w:rPr>
          <w:lang w:eastAsia="en-US"/>
        </w:rPr>
        <w:t xml:space="preserve">, se calcularon las correlaciones </w:t>
      </w:r>
      <w:r w:rsidR="00FF7738">
        <w:rPr>
          <w:lang w:eastAsia="en-US"/>
        </w:rPr>
        <w:t>d</w:t>
      </w:r>
      <w:r w:rsidR="00127E76">
        <w:rPr>
          <w:lang w:eastAsia="en-US"/>
        </w:rPr>
        <w:t>e Spearman</w:t>
      </w:r>
      <w:r w:rsidR="00190747">
        <w:rPr>
          <w:lang w:eastAsia="en-US"/>
        </w:rPr>
        <w:t xml:space="preserve"> cuyos</w:t>
      </w:r>
      <w:r w:rsidR="00127E76">
        <w:rPr>
          <w:lang w:eastAsia="en-US"/>
        </w:rPr>
        <w:t xml:space="preserve"> </w:t>
      </w:r>
      <w:r w:rsidR="009D190E">
        <w:rPr>
          <w:lang w:eastAsia="en-US"/>
        </w:rPr>
        <w:t>valore</w:t>
      </w:r>
      <w:r w:rsidR="00127E76">
        <w:rPr>
          <w:lang w:eastAsia="en-US"/>
        </w:rPr>
        <w:t>s pueden observar</w:t>
      </w:r>
      <w:r w:rsidR="004C63FF">
        <w:rPr>
          <w:lang w:eastAsia="en-US"/>
        </w:rPr>
        <w:t>se</w:t>
      </w:r>
      <w:r w:rsidR="00127E76">
        <w:rPr>
          <w:lang w:eastAsia="en-US"/>
        </w:rPr>
        <w:t xml:space="preserve"> en la</w:t>
      </w:r>
      <w:r w:rsidR="00B357EE">
        <w:rPr>
          <w:lang w:eastAsia="en-US"/>
        </w:rPr>
        <w:t xml:space="preserve"> </w:t>
      </w:r>
      <w:r w:rsidR="00B357EE">
        <w:rPr>
          <w:lang w:eastAsia="en-US"/>
        </w:rPr>
        <w:fldChar w:fldCharType="begin"/>
      </w:r>
      <w:r w:rsidR="00B357EE">
        <w:rPr>
          <w:lang w:eastAsia="en-US"/>
        </w:rPr>
        <w:instrText xml:space="preserve"> REF _Ref58935946 \h </w:instrText>
      </w:r>
      <w:r w:rsidR="00B357EE">
        <w:rPr>
          <w:lang w:eastAsia="en-US"/>
        </w:rPr>
      </w:r>
      <w:r w:rsidR="00B357EE">
        <w:rPr>
          <w:lang w:eastAsia="en-US"/>
        </w:rPr>
        <w:fldChar w:fldCharType="separate"/>
      </w:r>
      <w:r w:rsidR="00B357EE">
        <w:t xml:space="preserve">Tabla </w:t>
      </w:r>
      <w:r w:rsidR="00B357EE">
        <w:rPr>
          <w:noProof/>
        </w:rPr>
        <w:t>5</w:t>
      </w:r>
      <w:r w:rsidR="00B357EE">
        <w:rPr>
          <w:lang w:eastAsia="en-US"/>
        </w:rPr>
        <w:fldChar w:fldCharType="end"/>
      </w:r>
      <w:r w:rsidR="00A130DF">
        <w:rPr>
          <w:lang w:eastAsia="en-US"/>
        </w:rPr>
        <w:t>.</w:t>
      </w:r>
      <w:r w:rsidR="0034483F">
        <w:rPr>
          <w:lang w:eastAsia="en-US"/>
        </w:rPr>
        <w:t xml:space="preserve"> Con respecto a </w:t>
      </w:r>
      <w:r w:rsidR="00670EE8">
        <w:rPr>
          <w:lang w:eastAsia="en-US"/>
        </w:rPr>
        <w:t>la cantidad de</w:t>
      </w:r>
      <w:r w:rsidR="0034483F">
        <w:rPr>
          <w:lang w:eastAsia="en-US"/>
        </w:rPr>
        <w:t xml:space="preserve"> </w:t>
      </w:r>
      <w:r w:rsidR="00FF7738">
        <w:rPr>
          <w:lang w:eastAsia="en-US"/>
        </w:rPr>
        <w:t>asociaciones</w:t>
      </w:r>
      <w:r w:rsidR="0034483F">
        <w:rPr>
          <w:lang w:eastAsia="en-US"/>
        </w:rPr>
        <w:t xml:space="preserve"> </w:t>
      </w:r>
      <w:r w:rsidR="00670EE8">
        <w:rPr>
          <w:lang w:eastAsia="en-US"/>
        </w:rPr>
        <w:t>encontradas</w:t>
      </w:r>
      <w:r w:rsidR="0034483F">
        <w:rPr>
          <w:lang w:eastAsia="en-US"/>
        </w:rPr>
        <w:t>, destaca</w:t>
      </w:r>
      <w:r w:rsidR="00215247">
        <w:rPr>
          <w:lang w:eastAsia="en-US"/>
        </w:rPr>
        <w:t xml:space="preserve"> </w:t>
      </w:r>
      <w:r w:rsidR="00670EE8">
        <w:rPr>
          <w:lang w:eastAsia="en-US"/>
        </w:rPr>
        <w:t>que</w:t>
      </w:r>
      <w:r w:rsidR="0034483F">
        <w:rPr>
          <w:lang w:eastAsia="en-US"/>
        </w:rPr>
        <w:t xml:space="preserve"> </w:t>
      </w:r>
      <w:r w:rsidR="00215247">
        <w:rPr>
          <w:lang w:eastAsia="en-US"/>
        </w:rPr>
        <w:t xml:space="preserve">el </w:t>
      </w:r>
      <w:r w:rsidR="00215247" w:rsidRPr="00E473D5">
        <w:rPr>
          <w:i/>
          <w:iCs/>
          <w:lang w:eastAsia="en-US"/>
        </w:rPr>
        <w:t>neuroticismo</w:t>
      </w:r>
      <w:r w:rsidR="00215247">
        <w:rPr>
          <w:lang w:eastAsia="en-US"/>
        </w:rPr>
        <w:t xml:space="preserve"> </w:t>
      </w:r>
      <w:r w:rsidR="00670EE8">
        <w:rPr>
          <w:lang w:eastAsia="en-US"/>
        </w:rPr>
        <w:t xml:space="preserve">correlaciona </w:t>
      </w:r>
      <w:r w:rsidR="00E81257">
        <w:rPr>
          <w:lang w:eastAsia="en-US"/>
        </w:rPr>
        <w:t xml:space="preserve">positivamente </w:t>
      </w:r>
      <w:r w:rsidR="00215247">
        <w:rPr>
          <w:lang w:eastAsia="en-US"/>
        </w:rPr>
        <w:t>con todos los síntomas que comprende el instrumento</w:t>
      </w:r>
      <w:r w:rsidR="003E5C88">
        <w:rPr>
          <w:lang w:eastAsia="en-US"/>
        </w:rPr>
        <w:t xml:space="preserve"> </w:t>
      </w:r>
      <w:r w:rsidR="00D66D7C">
        <w:rPr>
          <w:lang w:eastAsia="en-US"/>
        </w:rPr>
        <w:t xml:space="preserve">desarrollado </w:t>
      </w:r>
      <w:r w:rsidR="003E5C88">
        <w:rPr>
          <w:lang w:eastAsia="en-US"/>
        </w:rPr>
        <w:t xml:space="preserve">y, por otro lado, </w:t>
      </w:r>
      <w:r w:rsidR="00670EE8">
        <w:rPr>
          <w:lang w:eastAsia="en-US"/>
        </w:rPr>
        <w:t xml:space="preserve">que la </w:t>
      </w:r>
      <w:r w:rsidR="003E5C88" w:rsidRPr="003E5C88">
        <w:rPr>
          <w:i/>
          <w:iCs/>
          <w:lang w:eastAsia="en-US"/>
        </w:rPr>
        <w:t>inseguridad personal</w:t>
      </w:r>
      <w:r w:rsidR="003E5C88">
        <w:rPr>
          <w:lang w:eastAsia="en-US"/>
        </w:rPr>
        <w:t xml:space="preserve"> </w:t>
      </w:r>
      <w:r w:rsidR="00670EE8">
        <w:rPr>
          <w:lang w:eastAsia="en-US"/>
        </w:rPr>
        <w:t xml:space="preserve">se asocia </w:t>
      </w:r>
      <w:r w:rsidR="00E81257">
        <w:rPr>
          <w:lang w:eastAsia="en-US"/>
        </w:rPr>
        <w:t xml:space="preserve">de forma positiva con el </w:t>
      </w:r>
      <w:r w:rsidR="00E81257" w:rsidRPr="00CC633B">
        <w:rPr>
          <w:i/>
          <w:iCs/>
          <w:lang w:eastAsia="en-US"/>
        </w:rPr>
        <w:t>neuroticismo</w:t>
      </w:r>
      <w:r w:rsidR="00E81257">
        <w:rPr>
          <w:lang w:eastAsia="en-US"/>
        </w:rPr>
        <w:t xml:space="preserve"> y de forma negativa </w:t>
      </w:r>
      <w:r w:rsidR="00670EE8">
        <w:rPr>
          <w:lang w:eastAsia="en-US"/>
        </w:rPr>
        <w:t xml:space="preserve">con </w:t>
      </w:r>
      <w:r w:rsidR="003E5C88">
        <w:rPr>
          <w:lang w:eastAsia="en-US"/>
        </w:rPr>
        <w:t xml:space="preserve">todos los </w:t>
      </w:r>
      <w:r w:rsidR="00E81257">
        <w:rPr>
          <w:lang w:eastAsia="en-US"/>
        </w:rPr>
        <w:t xml:space="preserve">demás </w:t>
      </w:r>
      <w:r w:rsidR="003E5C88">
        <w:rPr>
          <w:lang w:eastAsia="en-US"/>
        </w:rPr>
        <w:t>rasgos de la personalidad.</w:t>
      </w:r>
    </w:p>
    <w:p w14:paraId="56EE4F83" w14:textId="7D4BEA92" w:rsidR="00B357EE" w:rsidRDefault="00B357EE" w:rsidP="00B357EE">
      <w:pPr>
        <w:pStyle w:val="Descripcin"/>
        <w:keepNext/>
      </w:pPr>
      <w:bookmarkStart w:id="11" w:name="_Ref58935946"/>
      <w:r>
        <w:t xml:space="preserve">Tabla </w:t>
      </w:r>
      <w:r w:rsidR="003A675A">
        <w:fldChar w:fldCharType="begin"/>
      </w:r>
      <w:r w:rsidR="003A675A">
        <w:instrText xml:space="preserve"> SEQ Tabla \* ARABIC </w:instrText>
      </w:r>
      <w:r w:rsidR="003A675A">
        <w:fldChar w:fldCharType="separate"/>
      </w:r>
      <w:r w:rsidR="00D83C2C">
        <w:rPr>
          <w:noProof/>
        </w:rPr>
        <w:t>5</w:t>
      </w:r>
      <w:r w:rsidR="003A675A">
        <w:rPr>
          <w:noProof/>
        </w:rPr>
        <w:fldChar w:fldCharType="end"/>
      </w:r>
      <w:bookmarkEnd w:id="11"/>
    </w:p>
    <w:tbl>
      <w:tblPr>
        <w:tblW w:w="0" w:type="auto"/>
        <w:tblLayout w:type="fixed"/>
        <w:tblCellMar>
          <w:left w:w="70" w:type="dxa"/>
          <w:right w:w="70" w:type="dxa"/>
        </w:tblCellMar>
        <w:tblLook w:val="04A0" w:firstRow="1" w:lastRow="0" w:firstColumn="1" w:lastColumn="0" w:noHBand="0" w:noVBand="1"/>
      </w:tblPr>
      <w:tblGrid>
        <w:gridCol w:w="2127"/>
        <w:gridCol w:w="1104"/>
        <w:gridCol w:w="1103"/>
        <w:gridCol w:w="1103"/>
        <w:gridCol w:w="1103"/>
        <w:gridCol w:w="993"/>
        <w:gridCol w:w="8"/>
      </w:tblGrid>
      <w:tr w:rsidR="00B357EE" w:rsidRPr="00B357EE" w14:paraId="011C16BC" w14:textId="77777777" w:rsidTr="00B357EE">
        <w:trPr>
          <w:gridAfter w:val="1"/>
          <w:wAfter w:w="8" w:type="dxa"/>
          <w:trHeight w:val="225"/>
        </w:trPr>
        <w:tc>
          <w:tcPr>
            <w:tcW w:w="7533" w:type="dxa"/>
            <w:gridSpan w:val="6"/>
            <w:tcBorders>
              <w:top w:val="nil"/>
              <w:left w:val="nil"/>
              <w:bottom w:val="nil"/>
              <w:right w:val="nil"/>
            </w:tcBorders>
            <w:shd w:val="clear" w:color="auto" w:fill="auto"/>
            <w:noWrap/>
            <w:vAlign w:val="center"/>
            <w:hideMark/>
          </w:tcPr>
          <w:p w14:paraId="25888326" w14:textId="638F07A3" w:rsidR="00B357EE" w:rsidRPr="00B357EE" w:rsidRDefault="00B357EE" w:rsidP="00B357EE">
            <w:pPr>
              <w:spacing w:after="0" w:line="240" w:lineRule="auto"/>
              <w:ind w:firstLine="0"/>
              <w:jc w:val="left"/>
              <w:rPr>
                <w:rFonts w:ascii="Arial" w:hAnsi="Arial" w:cs="Arial"/>
                <w:i/>
                <w:iCs/>
                <w:color w:val="000000"/>
                <w:sz w:val="18"/>
                <w:szCs w:val="18"/>
              </w:rPr>
            </w:pPr>
            <w:r w:rsidRPr="00B357EE">
              <w:rPr>
                <w:rFonts w:ascii="Arial" w:hAnsi="Arial" w:cs="Arial"/>
                <w:i/>
                <w:iCs/>
                <w:color w:val="000000"/>
                <w:sz w:val="18"/>
                <w:szCs w:val="18"/>
              </w:rPr>
              <w:t>Correlaciones de Spearman entre las dimensiones del modelo bifactorial y el M</w:t>
            </w:r>
            <w:r w:rsidR="00B14651">
              <w:rPr>
                <w:rFonts w:ascii="Arial" w:hAnsi="Arial" w:cs="Arial"/>
                <w:i/>
                <w:iCs/>
                <w:color w:val="000000"/>
                <w:sz w:val="18"/>
                <w:szCs w:val="18"/>
              </w:rPr>
              <w:t>ini</w:t>
            </w:r>
            <w:r w:rsidRPr="00B357EE">
              <w:rPr>
                <w:rFonts w:ascii="Arial" w:hAnsi="Arial" w:cs="Arial"/>
                <w:i/>
                <w:iCs/>
                <w:color w:val="000000"/>
                <w:sz w:val="18"/>
                <w:szCs w:val="18"/>
              </w:rPr>
              <w:t>-I</w:t>
            </w:r>
            <w:r w:rsidR="00B14651">
              <w:rPr>
                <w:rFonts w:ascii="Arial" w:hAnsi="Arial" w:cs="Arial"/>
                <w:i/>
                <w:iCs/>
                <w:color w:val="000000"/>
                <w:sz w:val="18"/>
                <w:szCs w:val="18"/>
              </w:rPr>
              <w:t>PIP</w:t>
            </w:r>
          </w:p>
        </w:tc>
      </w:tr>
      <w:tr w:rsidR="00B357EE" w:rsidRPr="00B357EE" w14:paraId="3A261C3F" w14:textId="77777777" w:rsidTr="00B357EE">
        <w:trPr>
          <w:trHeight w:val="225"/>
        </w:trPr>
        <w:tc>
          <w:tcPr>
            <w:tcW w:w="2127" w:type="dxa"/>
            <w:tcBorders>
              <w:top w:val="single" w:sz="4" w:space="0" w:color="auto"/>
              <w:left w:val="nil"/>
              <w:bottom w:val="single" w:sz="4" w:space="0" w:color="auto"/>
              <w:right w:val="nil"/>
            </w:tcBorders>
            <w:shd w:val="clear" w:color="auto" w:fill="auto"/>
            <w:noWrap/>
            <w:vAlign w:val="center"/>
            <w:hideMark/>
          </w:tcPr>
          <w:p w14:paraId="2DA0DA2D"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 </w:t>
            </w:r>
          </w:p>
        </w:tc>
        <w:tc>
          <w:tcPr>
            <w:tcW w:w="1104" w:type="dxa"/>
            <w:tcBorders>
              <w:top w:val="single" w:sz="4" w:space="0" w:color="auto"/>
              <w:left w:val="nil"/>
              <w:bottom w:val="single" w:sz="4" w:space="0" w:color="auto"/>
              <w:right w:val="nil"/>
            </w:tcBorders>
            <w:shd w:val="clear" w:color="auto" w:fill="auto"/>
            <w:vAlign w:val="center"/>
            <w:hideMark/>
          </w:tcPr>
          <w:p w14:paraId="0EDECCD0" w14:textId="77777777"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O</w:t>
            </w:r>
          </w:p>
        </w:tc>
        <w:tc>
          <w:tcPr>
            <w:tcW w:w="1103" w:type="dxa"/>
            <w:tcBorders>
              <w:top w:val="single" w:sz="4" w:space="0" w:color="auto"/>
              <w:left w:val="nil"/>
              <w:bottom w:val="single" w:sz="4" w:space="0" w:color="auto"/>
              <w:right w:val="nil"/>
            </w:tcBorders>
            <w:shd w:val="clear" w:color="auto" w:fill="auto"/>
            <w:vAlign w:val="center"/>
            <w:hideMark/>
          </w:tcPr>
          <w:p w14:paraId="14640C16" w14:textId="77777777"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C</w:t>
            </w:r>
          </w:p>
        </w:tc>
        <w:tc>
          <w:tcPr>
            <w:tcW w:w="1103" w:type="dxa"/>
            <w:tcBorders>
              <w:top w:val="single" w:sz="4" w:space="0" w:color="auto"/>
              <w:left w:val="nil"/>
              <w:bottom w:val="single" w:sz="4" w:space="0" w:color="auto"/>
              <w:right w:val="nil"/>
            </w:tcBorders>
            <w:shd w:val="clear" w:color="auto" w:fill="auto"/>
            <w:vAlign w:val="center"/>
            <w:hideMark/>
          </w:tcPr>
          <w:p w14:paraId="5D3072E2" w14:textId="77777777"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E</w:t>
            </w:r>
          </w:p>
        </w:tc>
        <w:tc>
          <w:tcPr>
            <w:tcW w:w="1103" w:type="dxa"/>
            <w:tcBorders>
              <w:top w:val="single" w:sz="4" w:space="0" w:color="auto"/>
              <w:left w:val="nil"/>
              <w:bottom w:val="single" w:sz="4" w:space="0" w:color="auto"/>
              <w:right w:val="nil"/>
            </w:tcBorders>
            <w:shd w:val="clear" w:color="auto" w:fill="auto"/>
            <w:vAlign w:val="center"/>
            <w:hideMark/>
          </w:tcPr>
          <w:p w14:paraId="26B423DA" w14:textId="77777777"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A</w:t>
            </w:r>
          </w:p>
        </w:tc>
        <w:tc>
          <w:tcPr>
            <w:tcW w:w="1001" w:type="dxa"/>
            <w:gridSpan w:val="2"/>
            <w:tcBorders>
              <w:top w:val="single" w:sz="4" w:space="0" w:color="auto"/>
              <w:left w:val="nil"/>
              <w:bottom w:val="single" w:sz="4" w:space="0" w:color="auto"/>
              <w:right w:val="nil"/>
            </w:tcBorders>
            <w:shd w:val="clear" w:color="auto" w:fill="auto"/>
            <w:vAlign w:val="center"/>
            <w:hideMark/>
          </w:tcPr>
          <w:p w14:paraId="67D038F6" w14:textId="77777777"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N</w:t>
            </w:r>
          </w:p>
        </w:tc>
      </w:tr>
      <w:tr w:rsidR="00B357EE" w:rsidRPr="00B357EE" w14:paraId="6EC75AAB" w14:textId="77777777" w:rsidTr="00B357EE">
        <w:trPr>
          <w:trHeight w:val="225"/>
        </w:trPr>
        <w:tc>
          <w:tcPr>
            <w:tcW w:w="2127" w:type="dxa"/>
            <w:tcBorders>
              <w:top w:val="nil"/>
              <w:left w:val="nil"/>
              <w:bottom w:val="nil"/>
              <w:right w:val="nil"/>
            </w:tcBorders>
            <w:shd w:val="clear" w:color="auto" w:fill="auto"/>
            <w:noWrap/>
            <w:vAlign w:val="center"/>
            <w:hideMark/>
          </w:tcPr>
          <w:p w14:paraId="63165F6C"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Ansiedad fóbica</w:t>
            </w:r>
          </w:p>
        </w:tc>
        <w:tc>
          <w:tcPr>
            <w:tcW w:w="1104" w:type="dxa"/>
            <w:tcBorders>
              <w:top w:val="nil"/>
              <w:left w:val="nil"/>
              <w:bottom w:val="nil"/>
              <w:right w:val="nil"/>
            </w:tcBorders>
            <w:shd w:val="clear" w:color="auto" w:fill="auto"/>
            <w:noWrap/>
            <w:vAlign w:val="center"/>
            <w:hideMark/>
          </w:tcPr>
          <w:p w14:paraId="6C579776" w14:textId="4250F5C4"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-0,003</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775A72EA" w14:textId="0BB23A7C"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-0,066</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63F76E52" w14:textId="0008E8E5"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-0,015</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26502E9C" w14:textId="2BC5D20F"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-0,061</w:t>
            </w:r>
            <w:r w:rsidRPr="00B357EE">
              <w:rPr>
                <w:rFonts w:ascii="Arial" w:hAnsi="Arial" w:cs="Arial"/>
                <w:color w:val="FFFFFF" w:themeColor="background1"/>
                <w:sz w:val="18"/>
                <w:szCs w:val="18"/>
              </w:rPr>
              <w:t>**</w:t>
            </w:r>
          </w:p>
        </w:tc>
        <w:tc>
          <w:tcPr>
            <w:tcW w:w="1001" w:type="dxa"/>
            <w:gridSpan w:val="2"/>
            <w:tcBorders>
              <w:top w:val="nil"/>
              <w:left w:val="nil"/>
              <w:bottom w:val="nil"/>
              <w:right w:val="nil"/>
            </w:tcBorders>
            <w:shd w:val="clear" w:color="auto" w:fill="auto"/>
            <w:noWrap/>
            <w:vAlign w:val="center"/>
            <w:hideMark/>
          </w:tcPr>
          <w:p w14:paraId="6D18E2F2" w14:textId="7C6512A6"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0,117</w:t>
            </w:r>
            <w:r w:rsidR="00622A37">
              <w:rPr>
                <w:rFonts w:ascii="Arial" w:hAnsi="Arial" w:cs="Arial"/>
                <w:color w:val="000000"/>
                <w:sz w:val="18"/>
                <w:szCs w:val="18"/>
              </w:rPr>
              <w:t>*</w:t>
            </w:r>
            <w:r w:rsidR="00622A37" w:rsidRPr="00B357EE">
              <w:rPr>
                <w:rFonts w:ascii="Arial" w:hAnsi="Arial" w:cs="Arial"/>
                <w:color w:val="FFFFFF" w:themeColor="background1"/>
                <w:sz w:val="18"/>
                <w:szCs w:val="18"/>
              </w:rPr>
              <w:t>*</w:t>
            </w:r>
          </w:p>
        </w:tc>
      </w:tr>
      <w:tr w:rsidR="00B357EE" w:rsidRPr="00B357EE" w14:paraId="23ED400A" w14:textId="77777777" w:rsidTr="00B357EE">
        <w:trPr>
          <w:trHeight w:val="225"/>
        </w:trPr>
        <w:tc>
          <w:tcPr>
            <w:tcW w:w="2127" w:type="dxa"/>
            <w:tcBorders>
              <w:top w:val="nil"/>
              <w:left w:val="nil"/>
              <w:bottom w:val="nil"/>
              <w:right w:val="nil"/>
            </w:tcBorders>
            <w:shd w:val="clear" w:color="auto" w:fill="auto"/>
            <w:noWrap/>
            <w:vAlign w:val="center"/>
            <w:hideMark/>
          </w:tcPr>
          <w:p w14:paraId="70EE3C97"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Ideación paranoide</w:t>
            </w:r>
          </w:p>
        </w:tc>
        <w:tc>
          <w:tcPr>
            <w:tcW w:w="1104" w:type="dxa"/>
            <w:tcBorders>
              <w:top w:val="nil"/>
              <w:left w:val="nil"/>
              <w:bottom w:val="nil"/>
              <w:right w:val="nil"/>
            </w:tcBorders>
            <w:shd w:val="clear" w:color="auto" w:fill="auto"/>
            <w:noWrap/>
            <w:vAlign w:val="center"/>
            <w:hideMark/>
          </w:tcPr>
          <w:p w14:paraId="7E977166" w14:textId="4B37C28E"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-0,020</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12E662B3" w14:textId="276C958E"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-0,086</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2B651E42" w14:textId="6AACBE2E"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-0,050</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61468A6A" w14:textId="6FB9EDF8"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-0,175</w:t>
            </w:r>
            <w:r>
              <w:rPr>
                <w:rFonts w:ascii="Arial" w:hAnsi="Arial" w:cs="Arial"/>
                <w:color w:val="000000"/>
                <w:sz w:val="18"/>
                <w:szCs w:val="18"/>
              </w:rPr>
              <w:t>**</w:t>
            </w:r>
          </w:p>
        </w:tc>
        <w:tc>
          <w:tcPr>
            <w:tcW w:w="1001" w:type="dxa"/>
            <w:gridSpan w:val="2"/>
            <w:tcBorders>
              <w:top w:val="nil"/>
              <w:left w:val="nil"/>
              <w:bottom w:val="nil"/>
              <w:right w:val="nil"/>
            </w:tcBorders>
            <w:shd w:val="clear" w:color="auto" w:fill="auto"/>
            <w:noWrap/>
            <w:vAlign w:val="center"/>
            <w:hideMark/>
          </w:tcPr>
          <w:p w14:paraId="6A38E670" w14:textId="753790C6"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0,307</w:t>
            </w:r>
            <w:r>
              <w:rPr>
                <w:rFonts w:ascii="Arial" w:hAnsi="Arial" w:cs="Arial"/>
                <w:color w:val="000000"/>
                <w:sz w:val="18"/>
                <w:szCs w:val="18"/>
              </w:rPr>
              <w:t>**</w:t>
            </w:r>
          </w:p>
        </w:tc>
      </w:tr>
      <w:tr w:rsidR="00B357EE" w:rsidRPr="00B357EE" w14:paraId="128BA491" w14:textId="77777777" w:rsidTr="00B357EE">
        <w:trPr>
          <w:trHeight w:val="225"/>
        </w:trPr>
        <w:tc>
          <w:tcPr>
            <w:tcW w:w="2127" w:type="dxa"/>
            <w:tcBorders>
              <w:top w:val="nil"/>
              <w:left w:val="nil"/>
              <w:bottom w:val="nil"/>
              <w:right w:val="nil"/>
            </w:tcBorders>
            <w:shd w:val="clear" w:color="auto" w:fill="auto"/>
            <w:noWrap/>
            <w:vAlign w:val="center"/>
            <w:hideMark/>
          </w:tcPr>
          <w:p w14:paraId="5FBE81F1"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Somatización</w:t>
            </w:r>
          </w:p>
        </w:tc>
        <w:tc>
          <w:tcPr>
            <w:tcW w:w="1104" w:type="dxa"/>
            <w:tcBorders>
              <w:top w:val="nil"/>
              <w:left w:val="nil"/>
              <w:bottom w:val="nil"/>
              <w:right w:val="nil"/>
            </w:tcBorders>
            <w:shd w:val="clear" w:color="auto" w:fill="auto"/>
            <w:noWrap/>
            <w:vAlign w:val="center"/>
            <w:hideMark/>
          </w:tcPr>
          <w:p w14:paraId="2A8BF13D" w14:textId="1ABFCD68"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-0,088</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55B28035" w14:textId="70DB482B"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-0,113</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3BED634C" w14:textId="38ECACC4"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-0,050</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1D071F9F" w14:textId="1F9ED7B4"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-0,064</w:t>
            </w:r>
            <w:r w:rsidRPr="00B357EE">
              <w:rPr>
                <w:rFonts w:ascii="Arial" w:hAnsi="Arial" w:cs="Arial"/>
                <w:color w:val="FFFFFF" w:themeColor="background1"/>
                <w:sz w:val="18"/>
                <w:szCs w:val="18"/>
              </w:rPr>
              <w:t>**</w:t>
            </w:r>
          </w:p>
        </w:tc>
        <w:tc>
          <w:tcPr>
            <w:tcW w:w="1001" w:type="dxa"/>
            <w:gridSpan w:val="2"/>
            <w:tcBorders>
              <w:top w:val="nil"/>
              <w:left w:val="nil"/>
              <w:bottom w:val="nil"/>
              <w:right w:val="nil"/>
            </w:tcBorders>
            <w:shd w:val="clear" w:color="auto" w:fill="auto"/>
            <w:noWrap/>
            <w:vAlign w:val="center"/>
            <w:hideMark/>
          </w:tcPr>
          <w:p w14:paraId="3554D567" w14:textId="46A2F902"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0,321</w:t>
            </w:r>
            <w:r>
              <w:rPr>
                <w:rFonts w:ascii="Arial" w:hAnsi="Arial" w:cs="Arial"/>
                <w:color w:val="000000"/>
                <w:sz w:val="18"/>
                <w:szCs w:val="18"/>
              </w:rPr>
              <w:t>**</w:t>
            </w:r>
          </w:p>
        </w:tc>
      </w:tr>
      <w:tr w:rsidR="00B357EE" w:rsidRPr="00B357EE" w14:paraId="63482CAA" w14:textId="77777777" w:rsidTr="00B357EE">
        <w:trPr>
          <w:trHeight w:val="225"/>
        </w:trPr>
        <w:tc>
          <w:tcPr>
            <w:tcW w:w="2127" w:type="dxa"/>
            <w:tcBorders>
              <w:top w:val="nil"/>
              <w:left w:val="nil"/>
              <w:bottom w:val="nil"/>
              <w:right w:val="nil"/>
            </w:tcBorders>
            <w:shd w:val="clear" w:color="auto" w:fill="auto"/>
            <w:noWrap/>
            <w:vAlign w:val="center"/>
            <w:hideMark/>
          </w:tcPr>
          <w:p w14:paraId="1235017B"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Hostilidad</w:t>
            </w:r>
          </w:p>
        </w:tc>
        <w:tc>
          <w:tcPr>
            <w:tcW w:w="1104" w:type="dxa"/>
            <w:tcBorders>
              <w:top w:val="nil"/>
              <w:left w:val="nil"/>
              <w:bottom w:val="nil"/>
              <w:right w:val="nil"/>
            </w:tcBorders>
            <w:shd w:val="clear" w:color="auto" w:fill="auto"/>
            <w:noWrap/>
            <w:vAlign w:val="center"/>
            <w:hideMark/>
          </w:tcPr>
          <w:p w14:paraId="16868502" w14:textId="7999C24C"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-0,094</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41A94F7B" w14:textId="7E142F9B"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-0,159</w:t>
            </w:r>
            <w:r>
              <w:rPr>
                <w:rFonts w:ascii="Arial" w:hAnsi="Arial" w:cs="Arial"/>
                <w:color w:val="000000"/>
                <w:sz w:val="18"/>
                <w:szCs w:val="18"/>
              </w:rPr>
              <w:t>**</w:t>
            </w:r>
          </w:p>
        </w:tc>
        <w:tc>
          <w:tcPr>
            <w:tcW w:w="1103" w:type="dxa"/>
            <w:tcBorders>
              <w:top w:val="nil"/>
              <w:left w:val="nil"/>
              <w:bottom w:val="nil"/>
              <w:right w:val="nil"/>
            </w:tcBorders>
            <w:shd w:val="clear" w:color="auto" w:fill="auto"/>
            <w:noWrap/>
            <w:vAlign w:val="center"/>
            <w:hideMark/>
          </w:tcPr>
          <w:p w14:paraId="175AEC8A" w14:textId="4470DD75"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-0,043</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16312F38" w14:textId="2C881F03"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-0,185</w:t>
            </w:r>
            <w:r>
              <w:rPr>
                <w:rFonts w:ascii="Arial" w:hAnsi="Arial" w:cs="Arial"/>
                <w:color w:val="000000"/>
                <w:sz w:val="18"/>
                <w:szCs w:val="18"/>
              </w:rPr>
              <w:t>**</w:t>
            </w:r>
          </w:p>
        </w:tc>
        <w:tc>
          <w:tcPr>
            <w:tcW w:w="1001" w:type="dxa"/>
            <w:gridSpan w:val="2"/>
            <w:tcBorders>
              <w:top w:val="nil"/>
              <w:left w:val="nil"/>
              <w:bottom w:val="nil"/>
              <w:right w:val="nil"/>
            </w:tcBorders>
            <w:shd w:val="clear" w:color="auto" w:fill="auto"/>
            <w:noWrap/>
            <w:vAlign w:val="center"/>
            <w:hideMark/>
          </w:tcPr>
          <w:p w14:paraId="77ED3CF3" w14:textId="56A3027A"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0,352</w:t>
            </w:r>
            <w:r>
              <w:rPr>
                <w:rFonts w:ascii="Arial" w:hAnsi="Arial" w:cs="Arial"/>
                <w:color w:val="000000"/>
                <w:sz w:val="18"/>
                <w:szCs w:val="18"/>
              </w:rPr>
              <w:t>**</w:t>
            </w:r>
          </w:p>
        </w:tc>
      </w:tr>
      <w:tr w:rsidR="00B357EE" w:rsidRPr="00B357EE" w14:paraId="4F29FD70" w14:textId="77777777" w:rsidTr="00B357EE">
        <w:trPr>
          <w:trHeight w:val="225"/>
        </w:trPr>
        <w:tc>
          <w:tcPr>
            <w:tcW w:w="2127" w:type="dxa"/>
            <w:tcBorders>
              <w:top w:val="nil"/>
              <w:left w:val="nil"/>
              <w:bottom w:val="nil"/>
              <w:right w:val="nil"/>
            </w:tcBorders>
            <w:shd w:val="clear" w:color="auto" w:fill="auto"/>
            <w:noWrap/>
            <w:vAlign w:val="center"/>
            <w:hideMark/>
          </w:tcPr>
          <w:p w14:paraId="62E64F4C"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Depresión</w:t>
            </w:r>
          </w:p>
        </w:tc>
        <w:tc>
          <w:tcPr>
            <w:tcW w:w="1104" w:type="dxa"/>
            <w:tcBorders>
              <w:top w:val="nil"/>
              <w:left w:val="nil"/>
              <w:bottom w:val="nil"/>
              <w:right w:val="nil"/>
            </w:tcBorders>
            <w:shd w:val="clear" w:color="auto" w:fill="auto"/>
            <w:noWrap/>
            <w:vAlign w:val="center"/>
            <w:hideMark/>
          </w:tcPr>
          <w:p w14:paraId="387CF2C6" w14:textId="1738D03F"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-0,062</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2C7A5971" w14:textId="3B68300D"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-0,135</w:t>
            </w:r>
            <w:r>
              <w:rPr>
                <w:rFonts w:ascii="Arial" w:hAnsi="Arial" w:cs="Arial"/>
                <w:color w:val="000000"/>
                <w:sz w:val="18"/>
                <w:szCs w:val="18"/>
              </w:rPr>
              <w:t>*</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6CC610C6" w14:textId="5F185B3B"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-0,117</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057E7C23" w14:textId="015E7443"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-0,060</w:t>
            </w:r>
            <w:r w:rsidRPr="00B357EE">
              <w:rPr>
                <w:rFonts w:ascii="Arial" w:hAnsi="Arial" w:cs="Arial"/>
                <w:color w:val="FFFFFF" w:themeColor="background1"/>
                <w:sz w:val="18"/>
                <w:szCs w:val="18"/>
              </w:rPr>
              <w:t>**</w:t>
            </w:r>
          </w:p>
        </w:tc>
        <w:tc>
          <w:tcPr>
            <w:tcW w:w="1001" w:type="dxa"/>
            <w:gridSpan w:val="2"/>
            <w:tcBorders>
              <w:top w:val="nil"/>
              <w:left w:val="nil"/>
              <w:bottom w:val="nil"/>
              <w:right w:val="nil"/>
            </w:tcBorders>
            <w:shd w:val="clear" w:color="auto" w:fill="auto"/>
            <w:noWrap/>
            <w:vAlign w:val="center"/>
            <w:hideMark/>
          </w:tcPr>
          <w:p w14:paraId="606CF619" w14:textId="12FB8827"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0,566</w:t>
            </w:r>
            <w:r>
              <w:rPr>
                <w:rFonts w:ascii="Arial" w:hAnsi="Arial" w:cs="Arial"/>
                <w:color w:val="000000"/>
                <w:sz w:val="18"/>
                <w:szCs w:val="18"/>
              </w:rPr>
              <w:t>**</w:t>
            </w:r>
          </w:p>
        </w:tc>
      </w:tr>
      <w:tr w:rsidR="00B357EE" w:rsidRPr="00B357EE" w14:paraId="0FE80714" w14:textId="77777777" w:rsidTr="00B357EE">
        <w:trPr>
          <w:trHeight w:val="225"/>
        </w:trPr>
        <w:tc>
          <w:tcPr>
            <w:tcW w:w="2127" w:type="dxa"/>
            <w:tcBorders>
              <w:top w:val="nil"/>
              <w:left w:val="nil"/>
              <w:bottom w:val="nil"/>
              <w:right w:val="nil"/>
            </w:tcBorders>
            <w:shd w:val="clear" w:color="auto" w:fill="auto"/>
            <w:noWrap/>
            <w:vAlign w:val="center"/>
            <w:hideMark/>
          </w:tcPr>
          <w:p w14:paraId="18ECA228"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Inseguridad personal</w:t>
            </w:r>
          </w:p>
        </w:tc>
        <w:tc>
          <w:tcPr>
            <w:tcW w:w="1104" w:type="dxa"/>
            <w:tcBorders>
              <w:top w:val="nil"/>
              <w:left w:val="nil"/>
              <w:bottom w:val="nil"/>
              <w:right w:val="nil"/>
            </w:tcBorders>
            <w:shd w:val="clear" w:color="auto" w:fill="auto"/>
            <w:noWrap/>
            <w:vAlign w:val="center"/>
            <w:hideMark/>
          </w:tcPr>
          <w:p w14:paraId="4915A4A8" w14:textId="4682FA16"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-0,186</w:t>
            </w:r>
            <w:r>
              <w:rPr>
                <w:rFonts w:ascii="Arial" w:hAnsi="Arial" w:cs="Arial"/>
                <w:color w:val="000000"/>
                <w:sz w:val="18"/>
                <w:szCs w:val="18"/>
              </w:rPr>
              <w:t>**</w:t>
            </w:r>
          </w:p>
        </w:tc>
        <w:tc>
          <w:tcPr>
            <w:tcW w:w="1103" w:type="dxa"/>
            <w:tcBorders>
              <w:top w:val="nil"/>
              <w:left w:val="nil"/>
              <w:bottom w:val="nil"/>
              <w:right w:val="nil"/>
            </w:tcBorders>
            <w:shd w:val="clear" w:color="auto" w:fill="auto"/>
            <w:noWrap/>
            <w:vAlign w:val="center"/>
            <w:hideMark/>
          </w:tcPr>
          <w:p w14:paraId="5E5AAFD9" w14:textId="1E034253"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-0,242</w:t>
            </w:r>
            <w:r>
              <w:rPr>
                <w:rFonts w:ascii="Arial" w:hAnsi="Arial" w:cs="Arial"/>
                <w:color w:val="000000"/>
                <w:sz w:val="18"/>
                <w:szCs w:val="18"/>
              </w:rPr>
              <w:t>**</w:t>
            </w:r>
          </w:p>
        </w:tc>
        <w:tc>
          <w:tcPr>
            <w:tcW w:w="1103" w:type="dxa"/>
            <w:tcBorders>
              <w:top w:val="nil"/>
              <w:left w:val="nil"/>
              <w:bottom w:val="nil"/>
              <w:right w:val="nil"/>
            </w:tcBorders>
            <w:shd w:val="clear" w:color="auto" w:fill="auto"/>
            <w:noWrap/>
            <w:vAlign w:val="center"/>
            <w:hideMark/>
          </w:tcPr>
          <w:p w14:paraId="58190A79" w14:textId="4AEB2E9E"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-0,224</w:t>
            </w:r>
            <w:r>
              <w:rPr>
                <w:rFonts w:ascii="Arial" w:hAnsi="Arial" w:cs="Arial"/>
                <w:color w:val="000000"/>
                <w:sz w:val="18"/>
                <w:szCs w:val="18"/>
              </w:rPr>
              <w:t>**</w:t>
            </w:r>
          </w:p>
        </w:tc>
        <w:tc>
          <w:tcPr>
            <w:tcW w:w="1103" w:type="dxa"/>
            <w:tcBorders>
              <w:top w:val="nil"/>
              <w:left w:val="nil"/>
              <w:bottom w:val="nil"/>
              <w:right w:val="nil"/>
            </w:tcBorders>
            <w:shd w:val="clear" w:color="auto" w:fill="auto"/>
            <w:noWrap/>
            <w:vAlign w:val="center"/>
            <w:hideMark/>
          </w:tcPr>
          <w:p w14:paraId="53B39A59" w14:textId="009DC790"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-0,142</w:t>
            </w:r>
            <w:r>
              <w:rPr>
                <w:rFonts w:ascii="Arial" w:hAnsi="Arial" w:cs="Arial"/>
                <w:color w:val="000000"/>
                <w:sz w:val="18"/>
                <w:szCs w:val="18"/>
              </w:rPr>
              <w:t>*</w:t>
            </w:r>
            <w:r w:rsidRPr="00B357EE">
              <w:rPr>
                <w:rFonts w:ascii="Arial" w:hAnsi="Arial" w:cs="Arial"/>
                <w:color w:val="FFFFFF" w:themeColor="background1"/>
                <w:sz w:val="18"/>
                <w:szCs w:val="18"/>
              </w:rPr>
              <w:t>*</w:t>
            </w:r>
          </w:p>
        </w:tc>
        <w:tc>
          <w:tcPr>
            <w:tcW w:w="1001" w:type="dxa"/>
            <w:gridSpan w:val="2"/>
            <w:tcBorders>
              <w:top w:val="nil"/>
              <w:left w:val="nil"/>
              <w:bottom w:val="nil"/>
              <w:right w:val="nil"/>
            </w:tcBorders>
            <w:shd w:val="clear" w:color="auto" w:fill="auto"/>
            <w:noWrap/>
            <w:vAlign w:val="center"/>
            <w:hideMark/>
          </w:tcPr>
          <w:p w14:paraId="2C3532BB" w14:textId="4FA1F331"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0,313</w:t>
            </w:r>
            <w:r>
              <w:rPr>
                <w:rFonts w:ascii="Arial" w:hAnsi="Arial" w:cs="Arial"/>
                <w:color w:val="000000"/>
                <w:sz w:val="18"/>
                <w:szCs w:val="18"/>
              </w:rPr>
              <w:t>**</w:t>
            </w:r>
          </w:p>
        </w:tc>
      </w:tr>
      <w:tr w:rsidR="00B357EE" w:rsidRPr="00B357EE" w14:paraId="4DC8C36A" w14:textId="77777777" w:rsidTr="00B357EE">
        <w:trPr>
          <w:trHeight w:val="225"/>
        </w:trPr>
        <w:tc>
          <w:tcPr>
            <w:tcW w:w="2127" w:type="dxa"/>
            <w:tcBorders>
              <w:top w:val="nil"/>
              <w:left w:val="nil"/>
              <w:bottom w:val="nil"/>
              <w:right w:val="nil"/>
            </w:tcBorders>
            <w:shd w:val="clear" w:color="auto" w:fill="auto"/>
            <w:noWrap/>
            <w:vAlign w:val="center"/>
            <w:hideMark/>
          </w:tcPr>
          <w:p w14:paraId="53644742"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t>Síntomas en general</w:t>
            </w:r>
          </w:p>
        </w:tc>
        <w:tc>
          <w:tcPr>
            <w:tcW w:w="1104" w:type="dxa"/>
            <w:tcBorders>
              <w:top w:val="nil"/>
              <w:left w:val="nil"/>
              <w:bottom w:val="nil"/>
              <w:right w:val="nil"/>
            </w:tcBorders>
            <w:shd w:val="clear" w:color="auto" w:fill="auto"/>
            <w:noWrap/>
            <w:vAlign w:val="center"/>
            <w:hideMark/>
          </w:tcPr>
          <w:p w14:paraId="490E8345" w14:textId="44A55EF6"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-0,103</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4CCED52B" w14:textId="6CF8C0A4"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-0,182</w:t>
            </w:r>
            <w:r>
              <w:rPr>
                <w:rFonts w:ascii="Arial" w:hAnsi="Arial" w:cs="Arial"/>
                <w:color w:val="000000"/>
                <w:sz w:val="18"/>
                <w:szCs w:val="18"/>
              </w:rPr>
              <w:t>**</w:t>
            </w:r>
          </w:p>
        </w:tc>
        <w:tc>
          <w:tcPr>
            <w:tcW w:w="1103" w:type="dxa"/>
            <w:tcBorders>
              <w:top w:val="nil"/>
              <w:left w:val="nil"/>
              <w:bottom w:val="nil"/>
              <w:right w:val="nil"/>
            </w:tcBorders>
            <w:shd w:val="clear" w:color="auto" w:fill="auto"/>
            <w:noWrap/>
            <w:vAlign w:val="center"/>
            <w:hideMark/>
          </w:tcPr>
          <w:p w14:paraId="35D4AA10" w14:textId="3FFD7E8F"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-0,123</w:t>
            </w:r>
            <w:r>
              <w:rPr>
                <w:rFonts w:ascii="Arial" w:hAnsi="Arial" w:cs="Arial"/>
                <w:color w:val="000000"/>
                <w:sz w:val="18"/>
                <w:szCs w:val="18"/>
              </w:rPr>
              <w:t>*</w:t>
            </w:r>
            <w:r w:rsidRPr="00B357EE">
              <w:rPr>
                <w:rFonts w:ascii="Arial" w:hAnsi="Arial" w:cs="Arial"/>
                <w:color w:val="FFFFFF" w:themeColor="background1"/>
                <w:sz w:val="18"/>
                <w:szCs w:val="18"/>
              </w:rPr>
              <w:t>*</w:t>
            </w:r>
          </w:p>
        </w:tc>
        <w:tc>
          <w:tcPr>
            <w:tcW w:w="1103" w:type="dxa"/>
            <w:tcBorders>
              <w:top w:val="nil"/>
              <w:left w:val="nil"/>
              <w:bottom w:val="nil"/>
              <w:right w:val="nil"/>
            </w:tcBorders>
            <w:shd w:val="clear" w:color="auto" w:fill="auto"/>
            <w:noWrap/>
            <w:vAlign w:val="center"/>
            <w:hideMark/>
          </w:tcPr>
          <w:p w14:paraId="3A8D00AE" w14:textId="7FDDF21A"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-0,135</w:t>
            </w:r>
            <w:r>
              <w:rPr>
                <w:rFonts w:ascii="Arial" w:hAnsi="Arial" w:cs="Arial"/>
                <w:color w:val="000000"/>
                <w:sz w:val="18"/>
                <w:szCs w:val="18"/>
              </w:rPr>
              <w:t>*</w:t>
            </w:r>
            <w:r w:rsidRPr="00B357EE">
              <w:rPr>
                <w:rFonts w:ascii="Arial" w:hAnsi="Arial" w:cs="Arial"/>
                <w:color w:val="FFFFFF" w:themeColor="background1"/>
                <w:sz w:val="18"/>
                <w:szCs w:val="18"/>
              </w:rPr>
              <w:t>*</w:t>
            </w:r>
          </w:p>
        </w:tc>
        <w:tc>
          <w:tcPr>
            <w:tcW w:w="1001" w:type="dxa"/>
            <w:gridSpan w:val="2"/>
            <w:tcBorders>
              <w:top w:val="nil"/>
              <w:left w:val="nil"/>
              <w:bottom w:val="nil"/>
              <w:right w:val="nil"/>
            </w:tcBorders>
            <w:shd w:val="clear" w:color="auto" w:fill="auto"/>
            <w:noWrap/>
            <w:vAlign w:val="center"/>
            <w:hideMark/>
          </w:tcPr>
          <w:p w14:paraId="4E5FD705" w14:textId="67735C1F" w:rsidR="00B357EE" w:rsidRPr="00B357EE" w:rsidRDefault="00B357EE" w:rsidP="00B357EE">
            <w:pPr>
              <w:spacing w:after="0" w:line="240" w:lineRule="auto"/>
              <w:ind w:firstLine="0"/>
              <w:jc w:val="center"/>
              <w:rPr>
                <w:rFonts w:ascii="Arial" w:hAnsi="Arial" w:cs="Arial"/>
                <w:color w:val="000000"/>
                <w:sz w:val="18"/>
                <w:szCs w:val="18"/>
              </w:rPr>
            </w:pPr>
            <w:r w:rsidRPr="00B357EE">
              <w:rPr>
                <w:rFonts w:ascii="Arial" w:hAnsi="Arial" w:cs="Arial"/>
                <w:color w:val="000000"/>
                <w:sz w:val="18"/>
                <w:szCs w:val="18"/>
              </w:rPr>
              <w:t>0,474</w:t>
            </w:r>
            <w:r>
              <w:rPr>
                <w:rFonts w:ascii="Arial" w:hAnsi="Arial" w:cs="Arial"/>
                <w:color w:val="000000"/>
                <w:sz w:val="18"/>
                <w:szCs w:val="18"/>
              </w:rPr>
              <w:t>**</w:t>
            </w:r>
          </w:p>
        </w:tc>
      </w:tr>
      <w:tr w:rsidR="00B357EE" w:rsidRPr="00B357EE" w14:paraId="0351E93F" w14:textId="77777777" w:rsidTr="00B357EE">
        <w:trPr>
          <w:gridAfter w:val="1"/>
          <w:wAfter w:w="8" w:type="dxa"/>
          <w:trHeight w:val="450"/>
        </w:trPr>
        <w:tc>
          <w:tcPr>
            <w:tcW w:w="7533" w:type="dxa"/>
            <w:gridSpan w:val="6"/>
            <w:tcBorders>
              <w:top w:val="single" w:sz="4" w:space="0" w:color="auto"/>
              <w:left w:val="nil"/>
              <w:bottom w:val="nil"/>
              <w:right w:val="nil"/>
            </w:tcBorders>
            <w:shd w:val="clear" w:color="auto" w:fill="auto"/>
            <w:vAlign w:val="center"/>
            <w:hideMark/>
          </w:tcPr>
          <w:p w14:paraId="29FDA93A" w14:textId="77777777" w:rsidR="00B357EE" w:rsidRPr="00B357EE" w:rsidRDefault="00B357EE" w:rsidP="00B357EE">
            <w:pPr>
              <w:spacing w:after="0" w:line="240" w:lineRule="auto"/>
              <w:ind w:firstLine="0"/>
              <w:jc w:val="left"/>
              <w:rPr>
                <w:rFonts w:ascii="Arial" w:hAnsi="Arial" w:cs="Arial"/>
                <w:color w:val="000000"/>
                <w:sz w:val="18"/>
                <w:szCs w:val="18"/>
              </w:rPr>
            </w:pPr>
            <w:r w:rsidRPr="00B357EE">
              <w:rPr>
                <w:rFonts w:ascii="Arial" w:hAnsi="Arial" w:cs="Arial"/>
                <w:color w:val="000000"/>
                <w:sz w:val="18"/>
                <w:szCs w:val="18"/>
              </w:rPr>
              <w:lastRenderedPageBreak/>
              <w:t>Notas. n = 278; ** La correlación es significativa en el nivel 0,01 (bilateral); * La correlación es significativa en el nivel 0,05 (bilateral); O, apertura; C, responsabilidad; E, extraversión, A, amabilidad, N, neuroticismo.</w:t>
            </w:r>
          </w:p>
        </w:tc>
      </w:tr>
    </w:tbl>
    <w:p w14:paraId="5F5C7B2A" w14:textId="79EDED32" w:rsidR="0026080E" w:rsidRDefault="0026080E" w:rsidP="00A130DF">
      <w:pPr>
        <w:rPr>
          <w:lang w:eastAsia="en-US"/>
        </w:rPr>
      </w:pPr>
    </w:p>
    <w:p w14:paraId="3DFE5B97" w14:textId="5A5425B7" w:rsidR="00A0069D" w:rsidRDefault="00A0069D" w:rsidP="00A130DF">
      <w:pPr>
        <w:pStyle w:val="Ttulo3"/>
      </w:pPr>
      <w:r w:rsidRPr="00AE36FB">
        <w:t>Invarianza factorial</w:t>
      </w:r>
    </w:p>
    <w:p w14:paraId="57F61135" w14:textId="2CBFDD6C" w:rsidR="00F62C12" w:rsidRDefault="003E267E" w:rsidP="00F62C12">
      <w:r>
        <w:rPr>
          <w:lang w:eastAsia="en-US"/>
        </w:rPr>
        <w:t>A continuación, se realizó el análisis multigrupo por género.</w:t>
      </w:r>
      <w:r w:rsidR="00B9065F">
        <w:rPr>
          <w:lang w:eastAsia="en-US"/>
        </w:rPr>
        <w:t xml:space="preserve"> En el M2, se igualaron las cargas factoriales entre ambos grupos, en el M3 las cargas factoriales y los interceptos y, en el M4, las cargas factoriales, los interceptos y los residuos.</w:t>
      </w:r>
      <w:r>
        <w:rPr>
          <w:lang w:eastAsia="en-US"/>
        </w:rPr>
        <w:t xml:space="preserve"> </w:t>
      </w:r>
      <w:r w:rsidR="00F62C12">
        <w:rPr>
          <w:lang w:eastAsia="en-US"/>
        </w:rPr>
        <w:t xml:space="preserve">La </w:t>
      </w:r>
      <w:r w:rsidR="00F62C12">
        <w:rPr>
          <w:lang w:eastAsia="en-US"/>
        </w:rPr>
        <w:fldChar w:fldCharType="begin"/>
      </w:r>
      <w:r w:rsidR="00F62C12">
        <w:rPr>
          <w:lang w:eastAsia="en-US"/>
        </w:rPr>
        <w:instrText xml:space="preserve"> REF _Ref58937120 \h </w:instrText>
      </w:r>
      <w:r w:rsidR="00F62C12">
        <w:rPr>
          <w:lang w:eastAsia="en-US"/>
        </w:rPr>
      </w:r>
      <w:r w:rsidR="00F62C12">
        <w:rPr>
          <w:lang w:eastAsia="en-US"/>
        </w:rPr>
        <w:fldChar w:fldCharType="separate"/>
      </w:r>
      <w:r w:rsidR="00F62C12">
        <w:t xml:space="preserve">Tabla </w:t>
      </w:r>
      <w:r w:rsidR="00F62C12">
        <w:rPr>
          <w:noProof/>
        </w:rPr>
        <w:t>6</w:t>
      </w:r>
      <w:r w:rsidR="00F62C12">
        <w:rPr>
          <w:lang w:eastAsia="en-US"/>
        </w:rPr>
        <w:fldChar w:fldCharType="end"/>
      </w:r>
      <w:r w:rsidR="00DD4AA0">
        <w:rPr>
          <w:lang w:eastAsia="en-US"/>
        </w:rPr>
        <w:t xml:space="preserve"> muestra los resultados y, como puede observarse en ella, </w:t>
      </w:r>
      <w:r w:rsidR="00876418">
        <w:t>los cambios de los índices se encontraron dentro de unos rangos adecuados con |</w:t>
      </w:r>
      <w:r w:rsidR="00876418" w:rsidRPr="002A73BD">
        <w:t>ΔCFI</w:t>
      </w:r>
      <w:r w:rsidR="00876418">
        <w:t>|</w:t>
      </w:r>
      <w:r w:rsidR="00876418" w:rsidRPr="002A73BD">
        <w:t xml:space="preserve"> </w:t>
      </w:r>
      <w:r w:rsidR="00876418">
        <w:t xml:space="preserve">≤ </w:t>
      </w:r>
      <w:r w:rsidR="000864E9">
        <w:t>0,</w:t>
      </w:r>
      <w:r w:rsidR="00876418" w:rsidRPr="002A73BD">
        <w:t>01</w:t>
      </w:r>
      <w:r w:rsidR="00876418">
        <w:t xml:space="preserve">0 según </w:t>
      </w:r>
      <w:r w:rsidR="00876418">
        <w:fldChar w:fldCharType="begin" w:fldLock="1"/>
      </w:r>
      <w:r w:rsidR="00876418">
        <w:instrText>ADDIN CSL_CITATION {"citationItems":[{"id":"ITEM-1","itemData":{"DOI":"10.1207/S15328007SEM0902_5","ISSN":"1070-5511","author":[{"dropping-particle":"","family":"Cheung","given":"Gordon W","non-dropping-particle":"","parse-names":false,"suffix":""},{"dropping-particle":"","family":"Rensvold","given":"Roger B","non-dropping-particle":"","parse-names":false,"suffix":""}],"container-title":"Structural Equation Modeling: A Multidisciplinary Journal","id":"ITEM-1","issue":"2","issued":{"date-parts":[["2002","4"]]},"page":"233-255","publisher":"Taylor &amp; Francis","title":"Evaluating Goodness-of-Fit Indexes for Testing Measurement Invariance","type":"article-journal","volume":"9"},"uris":["http://www.mendeley.com/documents/?uuid=18d58ac1-5cd2-4091-ace4-507408f03066"]}],"mendeley":{"formattedCitation":"(Cheung &amp; Rensvold, 2002)","manualFormatting":"Cheung y Rensvold (2002)","plainTextFormattedCitation":"(Cheung &amp; Rensvold, 2002)","previouslyFormattedCitation":"(Cheung &amp; Rensvold, 2002)"},"properties":{"noteIndex":0},"schema":"https://github.com/citation-style-language/schema/raw/master/csl-citation.json"}</w:instrText>
      </w:r>
      <w:r w:rsidR="00876418">
        <w:fldChar w:fldCharType="separate"/>
      </w:r>
      <w:r w:rsidR="00876418">
        <w:rPr>
          <w:noProof/>
        </w:rPr>
        <w:t>Cheung y</w:t>
      </w:r>
      <w:r w:rsidR="00876418" w:rsidRPr="00FE17F0">
        <w:rPr>
          <w:noProof/>
        </w:rPr>
        <w:t xml:space="preserve"> Rensv</w:t>
      </w:r>
      <w:r w:rsidR="00876418">
        <w:rPr>
          <w:noProof/>
        </w:rPr>
        <w:t>old</w:t>
      </w:r>
      <w:r w:rsidR="00876418" w:rsidRPr="00FE17F0">
        <w:rPr>
          <w:noProof/>
        </w:rPr>
        <w:t xml:space="preserve"> </w:t>
      </w:r>
      <w:r w:rsidR="00876418">
        <w:rPr>
          <w:noProof/>
        </w:rPr>
        <w:t>(</w:t>
      </w:r>
      <w:r w:rsidR="00876418" w:rsidRPr="00FE17F0">
        <w:rPr>
          <w:noProof/>
        </w:rPr>
        <w:t>2002)</w:t>
      </w:r>
      <w:r w:rsidR="00876418">
        <w:fldChar w:fldCharType="end"/>
      </w:r>
      <w:r w:rsidR="00DD4AA0">
        <w:t xml:space="preserve"> </w:t>
      </w:r>
      <w:r w:rsidR="003D5E4C">
        <w:t xml:space="preserve">y </w:t>
      </w:r>
      <w:r w:rsidR="00F62C12">
        <w:t>con |</w:t>
      </w:r>
      <w:r w:rsidR="00F62C12" w:rsidRPr="002A73BD">
        <w:t>Δ</w:t>
      </w:r>
      <w:r w:rsidR="00F62C12">
        <w:t>RMSEA|</w:t>
      </w:r>
      <w:r w:rsidR="00F62C12" w:rsidRPr="002A73BD">
        <w:t xml:space="preserve"> </w:t>
      </w:r>
      <w:r w:rsidR="00F62C12">
        <w:t>≤ 0,</w:t>
      </w:r>
      <w:r w:rsidR="00F62C12" w:rsidRPr="002A73BD">
        <w:t>01</w:t>
      </w:r>
      <w:r w:rsidR="00F62C12">
        <w:t xml:space="preserve">5 según </w:t>
      </w:r>
      <w:r w:rsidR="00F62C12">
        <w:fldChar w:fldCharType="begin" w:fldLock="1"/>
      </w:r>
      <w:r w:rsidR="00380E08">
        <w:instrText>ADDIN CSL_CITATION {"citationItems":[{"id":"ITEM-1","itemData":{"DOI":"10.1080/10705510701301834","ISSN":"1070-5511","author":[{"dropping-particle":"","family":"Chen","given":"Fang Fang","non-dropping-particle":"","parse-names":false,"suffix":""}],"container-title":"Structural Equation Modeling: A Multidisciplinary Journal","id":"ITEM-1","issue":"3","issued":{"date-parts":[["2007","7","31"]]},"page":"464-504","publisher":"Taylor &amp; Francis","title":"Sensitivity of Goodness of Fit Indexes to Lack of Measurement Invariance","type":"article-journal","volume":"14"},"uris":["http://www.mendeley.com/documents/?uuid=7553e688-a8c3-4c04-b086-acf6dfa24f08"]}],"mendeley":{"formattedCitation":"(Chen, 2007)","manualFormatting":"Chen (2007)","plainTextFormattedCitation":"(Chen, 2007)","previouslyFormattedCitation":"(Chen, 2007)"},"properties":{"noteIndex":0},"schema":"https://github.com/citation-style-language/schema/raw/master/csl-citation.json"}</w:instrText>
      </w:r>
      <w:r w:rsidR="00F62C12">
        <w:fldChar w:fldCharType="separate"/>
      </w:r>
      <w:r w:rsidR="00F62C12" w:rsidRPr="00F62C12">
        <w:rPr>
          <w:noProof/>
        </w:rPr>
        <w:t xml:space="preserve">Chen </w:t>
      </w:r>
      <w:r w:rsidR="00F62C12">
        <w:rPr>
          <w:noProof/>
        </w:rPr>
        <w:t>(</w:t>
      </w:r>
      <w:r w:rsidR="00F62C12" w:rsidRPr="00F62C12">
        <w:rPr>
          <w:noProof/>
        </w:rPr>
        <w:t>2007)</w:t>
      </w:r>
      <w:r w:rsidR="00F62C12">
        <w:fldChar w:fldCharType="end"/>
      </w:r>
      <w:r w:rsidR="000454C6">
        <w:t>. Basado en lo expresado anteriormente, podemos afirmar que el instrumento representa invarianza factorial con relación a</w:t>
      </w:r>
      <w:r w:rsidR="00EA7BD3">
        <w:t>l</w:t>
      </w:r>
      <w:r w:rsidR="000454C6">
        <w:t xml:space="preserve"> género, quiere decir que, independientemente </w:t>
      </w:r>
      <w:r w:rsidR="00B16D24">
        <w:t>d</w:t>
      </w:r>
      <w:r w:rsidR="000454C6">
        <w:t>el género del participante, el instrumento evalúa el mismo constructo.</w:t>
      </w:r>
    </w:p>
    <w:p w14:paraId="2A2A9AF7" w14:textId="371CC97E" w:rsidR="00F62C12" w:rsidRDefault="00F62C12" w:rsidP="00F62C12">
      <w:pPr>
        <w:pStyle w:val="Descripcin"/>
        <w:keepNext/>
      </w:pPr>
      <w:bookmarkStart w:id="12" w:name="_Ref58937120"/>
      <w:r>
        <w:t xml:space="preserve">Tabla </w:t>
      </w:r>
      <w:r w:rsidR="003A675A">
        <w:fldChar w:fldCharType="begin"/>
      </w:r>
      <w:r w:rsidR="003A675A">
        <w:instrText xml:space="preserve"> SEQ Tabla \* ARABIC </w:instrText>
      </w:r>
      <w:r w:rsidR="003A675A">
        <w:fldChar w:fldCharType="separate"/>
      </w:r>
      <w:r w:rsidR="00D83C2C">
        <w:rPr>
          <w:noProof/>
        </w:rPr>
        <w:t>6</w:t>
      </w:r>
      <w:r w:rsidR="003A675A">
        <w:rPr>
          <w:noProof/>
        </w:rPr>
        <w:fldChar w:fldCharType="end"/>
      </w:r>
      <w:bookmarkEnd w:id="12"/>
    </w:p>
    <w:tbl>
      <w:tblPr>
        <w:tblW w:w="5101" w:type="pct"/>
        <w:tblCellMar>
          <w:left w:w="70" w:type="dxa"/>
          <w:right w:w="70" w:type="dxa"/>
        </w:tblCellMar>
        <w:tblLook w:val="04A0" w:firstRow="1" w:lastRow="0" w:firstColumn="1" w:lastColumn="0" w:noHBand="0" w:noVBand="1"/>
      </w:tblPr>
      <w:tblGrid>
        <w:gridCol w:w="1359"/>
        <w:gridCol w:w="1040"/>
        <w:gridCol w:w="435"/>
        <w:gridCol w:w="577"/>
        <w:gridCol w:w="709"/>
        <w:gridCol w:w="757"/>
        <w:gridCol w:w="577"/>
        <w:gridCol w:w="198"/>
        <w:gridCol w:w="1112"/>
        <w:gridCol w:w="407"/>
        <w:gridCol w:w="577"/>
        <w:gridCol w:w="870"/>
        <w:gridCol w:w="635"/>
      </w:tblGrid>
      <w:tr w:rsidR="00F62C12" w:rsidRPr="00F62C12" w14:paraId="3EEBAAD2" w14:textId="77777777" w:rsidTr="00F62C12">
        <w:trPr>
          <w:trHeight w:val="240"/>
        </w:trPr>
        <w:tc>
          <w:tcPr>
            <w:tcW w:w="5000" w:type="pct"/>
            <w:gridSpan w:val="13"/>
            <w:tcBorders>
              <w:top w:val="nil"/>
              <w:left w:val="nil"/>
              <w:bottom w:val="single" w:sz="4" w:space="0" w:color="auto"/>
              <w:right w:val="nil"/>
            </w:tcBorders>
            <w:shd w:val="clear" w:color="auto" w:fill="auto"/>
            <w:noWrap/>
            <w:vAlign w:val="center"/>
            <w:hideMark/>
          </w:tcPr>
          <w:p w14:paraId="32388FA6" w14:textId="77777777" w:rsidR="00F62C12" w:rsidRPr="00F62C12" w:rsidRDefault="00F62C12" w:rsidP="00F62C12">
            <w:pPr>
              <w:spacing w:after="0" w:line="240" w:lineRule="auto"/>
              <w:ind w:firstLine="0"/>
              <w:jc w:val="left"/>
              <w:rPr>
                <w:rFonts w:ascii="Arial" w:hAnsi="Arial" w:cs="Arial"/>
                <w:i/>
                <w:iCs/>
                <w:color w:val="000000"/>
                <w:sz w:val="16"/>
                <w:szCs w:val="16"/>
              </w:rPr>
            </w:pPr>
            <w:r w:rsidRPr="00F62C12">
              <w:rPr>
                <w:rFonts w:ascii="Arial" w:hAnsi="Arial" w:cs="Arial"/>
                <w:i/>
                <w:iCs/>
                <w:color w:val="000000"/>
                <w:sz w:val="16"/>
                <w:szCs w:val="16"/>
              </w:rPr>
              <w:t>Ajuste del modelo final y comparación de modelos con respecto al género</w:t>
            </w:r>
          </w:p>
        </w:tc>
      </w:tr>
      <w:tr w:rsidR="00F62C12" w:rsidRPr="00F62C12" w14:paraId="6E317B75" w14:textId="77777777" w:rsidTr="00F62C12">
        <w:trPr>
          <w:trHeight w:val="240"/>
        </w:trPr>
        <w:tc>
          <w:tcPr>
            <w:tcW w:w="734" w:type="pct"/>
            <w:tcBorders>
              <w:top w:val="nil"/>
              <w:left w:val="nil"/>
              <w:bottom w:val="nil"/>
              <w:right w:val="nil"/>
            </w:tcBorders>
            <w:shd w:val="clear" w:color="auto" w:fill="auto"/>
            <w:vAlign w:val="center"/>
            <w:hideMark/>
          </w:tcPr>
          <w:p w14:paraId="72051A1F"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Modelo</w:t>
            </w:r>
          </w:p>
        </w:tc>
        <w:tc>
          <w:tcPr>
            <w:tcW w:w="797" w:type="pct"/>
            <w:gridSpan w:val="2"/>
            <w:tcBorders>
              <w:top w:val="single" w:sz="4" w:space="0" w:color="auto"/>
              <w:left w:val="nil"/>
              <w:bottom w:val="nil"/>
              <w:right w:val="nil"/>
            </w:tcBorders>
            <w:shd w:val="clear" w:color="auto" w:fill="auto"/>
            <w:noWrap/>
            <w:vAlign w:val="center"/>
            <w:hideMark/>
          </w:tcPr>
          <w:p w14:paraId="48C7FD50"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Ajuste de modelo</w:t>
            </w:r>
          </w:p>
        </w:tc>
        <w:tc>
          <w:tcPr>
            <w:tcW w:w="312" w:type="pct"/>
            <w:tcBorders>
              <w:top w:val="nil"/>
              <w:left w:val="nil"/>
              <w:bottom w:val="nil"/>
              <w:right w:val="nil"/>
            </w:tcBorders>
            <w:shd w:val="clear" w:color="auto" w:fill="auto"/>
            <w:vAlign w:val="center"/>
            <w:hideMark/>
          </w:tcPr>
          <w:p w14:paraId="3B4DCF30" w14:textId="77777777" w:rsidR="00F62C12" w:rsidRPr="00F62C12" w:rsidRDefault="00F62C12" w:rsidP="00F62C12">
            <w:pPr>
              <w:spacing w:after="0" w:line="240" w:lineRule="auto"/>
              <w:ind w:firstLine="0"/>
              <w:jc w:val="left"/>
              <w:rPr>
                <w:rFonts w:ascii="Arial" w:hAnsi="Arial" w:cs="Arial"/>
                <w:i/>
                <w:iCs/>
                <w:color w:val="000000"/>
                <w:sz w:val="16"/>
                <w:szCs w:val="16"/>
              </w:rPr>
            </w:pPr>
            <w:r w:rsidRPr="00F62C12">
              <w:rPr>
                <w:rFonts w:ascii="Arial" w:hAnsi="Arial" w:cs="Arial"/>
                <w:i/>
                <w:iCs/>
                <w:color w:val="000000"/>
                <w:sz w:val="16"/>
                <w:szCs w:val="16"/>
              </w:rPr>
              <w:t> </w:t>
            </w:r>
          </w:p>
        </w:tc>
        <w:tc>
          <w:tcPr>
            <w:tcW w:w="383" w:type="pct"/>
            <w:tcBorders>
              <w:top w:val="nil"/>
              <w:left w:val="nil"/>
              <w:bottom w:val="nil"/>
              <w:right w:val="nil"/>
            </w:tcBorders>
            <w:shd w:val="clear" w:color="auto" w:fill="auto"/>
            <w:vAlign w:val="center"/>
            <w:hideMark/>
          </w:tcPr>
          <w:p w14:paraId="33123835" w14:textId="77777777" w:rsidR="00F62C12" w:rsidRPr="00F62C12" w:rsidRDefault="00F62C12" w:rsidP="00F62C12">
            <w:pPr>
              <w:spacing w:after="0" w:line="240" w:lineRule="auto"/>
              <w:ind w:firstLine="0"/>
              <w:jc w:val="left"/>
              <w:rPr>
                <w:rFonts w:ascii="Arial" w:hAnsi="Arial" w:cs="Arial"/>
                <w:i/>
                <w:iCs/>
                <w:color w:val="000000"/>
                <w:sz w:val="16"/>
                <w:szCs w:val="16"/>
              </w:rPr>
            </w:pPr>
            <w:r w:rsidRPr="00F62C12">
              <w:rPr>
                <w:rFonts w:ascii="Arial" w:hAnsi="Arial" w:cs="Arial"/>
                <w:i/>
                <w:iCs/>
                <w:color w:val="000000"/>
                <w:sz w:val="16"/>
                <w:szCs w:val="16"/>
              </w:rPr>
              <w:t> </w:t>
            </w:r>
          </w:p>
        </w:tc>
        <w:tc>
          <w:tcPr>
            <w:tcW w:w="409" w:type="pct"/>
            <w:tcBorders>
              <w:top w:val="nil"/>
              <w:left w:val="nil"/>
              <w:bottom w:val="nil"/>
              <w:right w:val="nil"/>
            </w:tcBorders>
            <w:shd w:val="clear" w:color="auto" w:fill="auto"/>
            <w:vAlign w:val="center"/>
            <w:hideMark/>
          </w:tcPr>
          <w:p w14:paraId="5D0325F0" w14:textId="77777777" w:rsidR="00F62C12" w:rsidRPr="00F62C12" w:rsidRDefault="00F62C12" w:rsidP="00F62C12">
            <w:pPr>
              <w:spacing w:after="0" w:line="240" w:lineRule="auto"/>
              <w:ind w:firstLine="0"/>
              <w:jc w:val="left"/>
              <w:rPr>
                <w:rFonts w:ascii="Arial" w:hAnsi="Arial" w:cs="Arial"/>
                <w:i/>
                <w:iCs/>
                <w:color w:val="000000"/>
                <w:sz w:val="16"/>
                <w:szCs w:val="16"/>
              </w:rPr>
            </w:pPr>
            <w:r w:rsidRPr="00F62C12">
              <w:rPr>
                <w:rFonts w:ascii="Arial" w:hAnsi="Arial" w:cs="Arial"/>
                <w:i/>
                <w:iCs/>
                <w:color w:val="000000"/>
                <w:sz w:val="16"/>
                <w:szCs w:val="16"/>
              </w:rPr>
              <w:t> </w:t>
            </w:r>
          </w:p>
        </w:tc>
        <w:tc>
          <w:tcPr>
            <w:tcW w:w="312" w:type="pct"/>
            <w:tcBorders>
              <w:top w:val="nil"/>
              <w:left w:val="nil"/>
              <w:bottom w:val="nil"/>
              <w:right w:val="nil"/>
            </w:tcBorders>
            <w:shd w:val="clear" w:color="auto" w:fill="auto"/>
            <w:vAlign w:val="center"/>
            <w:hideMark/>
          </w:tcPr>
          <w:p w14:paraId="5CD35C7A" w14:textId="77777777" w:rsidR="00F62C12" w:rsidRPr="00F62C12" w:rsidRDefault="00F62C12" w:rsidP="00F62C12">
            <w:pPr>
              <w:spacing w:after="0" w:line="240" w:lineRule="auto"/>
              <w:ind w:firstLine="0"/>
              <w:jc w:val="left"/>
              <w:rPr>
                <w:rFonts w:ascii="Arial" w:hAnsi="Arial" w:cs="Arial"/>
                <w:i/>
                <w:iCs/>
                <w:color w:val="000000"/>
                <w:sz w:val="16"/>
                <w:szCs w:val="16"/>
              </w:rPr>
            </w:pPr>
            <w:r w:rsidRPr="00F62C12">
              <w:rPr>
                <w:rFonts w:ascii="Arial" w:hAnsi="Arial" w:cs="Arial"/>
                <w:i/>
                <w:iCs/>
                <w:color w:val="000000"/>
                <w:sz w:val="16"/>
                <w:szCs w:val="16"/>
              </w:rPr>
              <w:t> </w:t>
            </w:r>
          </w:p>
        </w:tc>
        <w:tc>
          <w:tcPr>
            <w:tcW w:w="107" w:type="pct"/>
            <w:tcBorders>
              <w:top w:val="nil"/>
              <w:left w:val="nil"/>
              <w:bottom w:val="nil"/>
              <w:right w:val="nil"/>
            </w:tcBorders>
            <w:shd w:val="clear" w:color="auto" w:fill="auto"/>
            <w:vAlign w:val="center"/>
            <w:hideMark/>
          </w:tcPr>
          <w:p w14:paraId="338F8A90" w14:textId="77777777" w:rsidR="00F62C12" w:rsidRPr="00F62C12" w:rsidRDefault="00F62C12" w:rsidP="00F62C12">
            <w:pPr>
              <w:spacing w:after="0" w:line="240" w:lineRule="auto"/>
              <w:ind w:firstLine="0"/>
              <w:jc w:val="left"/>
              <w:rPr>
                <w:rFonts w:ascii="Arial" w:hAnsi="Arial" w:cs="Arial"/>
                <w:i/>
                <w:iCs/>
                <w:color w:val="000000"/>
                <w:sz w:val="16"/>
                <w:szCs w:val="16"/>
              </w:rPr>
            </w:pPr>
            <w:r w:rsidRPr="00F62C12">
              <w:rPr>
                <w:rFonts w:ascii="Arial" w:hAnsi="Arial" w:cs="Arial"/>
                <w:i/>
                <w:iCs/>
                <w:color w:val="000000"/>
                <w:sz w:val="16"/>
                <w:szCs w:val="16"/>
              </w:rPr>
              <w:t> </w:t>
            </w:r>
          </w:p>
        </w:tc>
        <w:tc>
          <w:tcPr>
            <w:tcW w:w="1133" w:type="pct"/>
            <w:gridSpan w:val="3"/>
            <w:tcBorders>
              <w:top w:val="single" w:sz="4" w:space="0" w:color="auto"/>
              <w:left w:val="nil"/>
              <w:bottom w:val="nil"/>
              <w:right w:val="nil"/>
            </w:tcBorders>
            <w:shd w:val="clear" w:color="auto" w:fill="auto"/>
            <w:noWrap/>
            <w:vAlign w:val="center"/>
            <w:hideMark/>
          </w:tcPr>
          <w:p w14:paraId="24C392C7"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Comparación de modelos</w:t>
            </w:r>
          </w:p>
        </w:tc>
        <w:tc>
          <w:tcPr>
            <w:tcW w:w="470" w:type="pct"/>
            <w:tcBorders>
              <w:top w:val="nil"/>
              <w:left w:val="nil"/>
              <w:bottom w:val="nil"/>
              <w:right w:val="nil"/>
            </w:tcBorders>
            <w:shd w:val="clear" w:color="auto" w:fill="auto"/>
            <w:vAlign w:val="center"/>
            <w:hideMark/>
          </w:tcPr>
          <w:p w14:paraId="7DE2954F" w14:textId="77777777" w:rsidR="00F62C12" w:rsidRPr="00F62C12" w:rsidRDefault="00F62C12" w:rsidP="00F62C12">
            <w:pPr>
              <w:spacing w:after="0" w:line="240" w:lineRule="auto"/>
              <w:ind w:firstLine="0"/>
              <w:jc w:val="left"/>
              <w:rPr>
                <w:rFonts w:ascii="Arial" w:hAnsi="Arial" w:cs="Arial"/>
                <w:i/>
                <w:iCs/>
                <w:color w:val="000000"/>
                <w:sz w:val="16"/>
                <w:szCs w:val="16"/>
              </w:rPr>
            </w:pPr>
            <w:r w:rsidRPr="00F62C12">
              <w:rPr>
                <w:rFonts w:ascii="Arial" w:hAnsi="Arial" w:cs="Arial"/>
                <w:i/>
                <w:iCs/>
                <w:color w:val="000000"/>
                <w:sz w:val="16"/>
                <w:szCs w:val="16"/>
              </w:rPr>
              <w:t> </w:t>
            </w:r>
          </w:p>
        </w:tc>
        <w:tc>
          <w:tcPr>
            <w:tcW w:w="342" w:type="pct"/>
            <w:tcBorders>
              <w:top w:val="nil"/>
              <w:left w:val="nil"/>
              <w:bottom w:val="nil"/>
              <w:right w:val="nil"/>
            </w:tcBorders>
            <w:shd w:val="clear" w:color="auto" w:fill="auto"/>
            <w:noWrap/>
            <w:vAlign w:val="bottom"/>
            <w:hideMark/>
          </w:tcPr>
          <w:p w14:paraId="788700AA" w14:textId="77777777" w:rsidR="00F62C12" w:rsidRPr="00F62C12" w:rsidRDefault="00F62C12" w:rsidP="00F62C12">
            <w:pPr>
              <w:spacing w:after="0" w:line="240" w:lineRule="auto"/>
              <w:ind w:firstLine="0"/>
              <w:jc w:val="left"/>
              <w:rPr>
                <w:rFonts w:ascii="Calibri" w:hAnsi="Calibri" w:cs="Arial"/>
                <w:color w:val="000000"/>
                <w:sz w:val="16"/>
                <w:szCs w:val="16"/>
              </w:rPr>
            </w:pPr>
            <w:r w:rsidRPr="00F62C12">
              <w:rPr>
                <w:rFonts w:ascii="Calibri" w:hAnsi="Calibri" w:cs="Arial"/>
                <w:color w:val="000000"/>
                <w:sz w:val="16"/>
                <w:szCs w:val="16"/>
              </w:rPr>
              <w:t> </w:t>
            </w:r>
          </w:p>
        </w:tc>
      </w:tr>
      <w:tr w:rsidR="00F62C12" w:rsidRPr="00F62C12" w14:paraId="1C1039A8" w14:textId="77777777" w:rsidTr="00F62C12">
        <w:trPr>
          <w:trHeight w:val="270"/>
        </w:trPr>
        <w:tc>
          <w:tcPr>
            <w:tcW w:w="734" w:type="pct"/>
            <w:tcBorders>
              <w:top w:val="nil"/>
              <w:left w:val="nil"/>
              <w:bottom w:val="single" w:sz="4" w:space="0" w:color="auto"/>
              <w:right w:val="nil"/>
            </w:tcBorders>
            <w:shd w:val="clear" w:color="auto" w:fill="auto"/>
            <w:vAlign w:val="center"/>
            <w:hideMark/>
          </w:tcPr>
          <w:p w14:paraId="7B5A2186"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 </w:t>
            </w:r>
          </w:p>
        </w:tc>
        <w:tc>
          <w:tcPr>
            <w:tcW w:w="562" w:type="pct"/>
            <w:tcBorders>
              <w:top w:val="single" w:sz="4" w:space="0" w:color="auto"/>
              <w:left w:val="nil"/>
              <w:bottom w:val="single" w:sz="4" w:space="0" w:color="auto"/>
              <w:right w:val="nil"/>
            </w:tcBorders>
            <w:shd w:val="clear" w:color="auto" w:fill="auto"/>
            <w:noWrap/>
            <w:vAlign w:val="center"/>
            <w:hideMark/>
          </w:tcPr>
          <w:p w14:paraId="4BC512C8"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 xml:space="preserve">S-B χ2 </w:t>
            </w:r>
            <w:r w:rsidRPr="00F62C12">
              <w:rPr>
                <w:rFonts w:ascii="Arial" w:hAnsi="Arial" w:cs="Arial"/>
                <w:color w:val="000000"/>
                <w:sz w:val="16"/>
                <w:szCs w:val="16"/>
                <w:vertAlign w:val="superscript"/>
              </w:rPr>
              <w:t>MLM</w:t>
            </w:r>
          </w:p>
        </w:tc>
        <w:tc>
          <w:tcPr>
            <w:tcW w:w="235" w:type="pct"/>
            <w:tcBorders>
              <w:top w:val="single" w:sz="4" w:space="0" w:color="auto"/>
              <w:left w:val="nil"/>
              <w:bottom w:val="single" w:sz="4" w:space="0" w:color="auto"/>
              <w:right w:val="nil"/>
            </w:tcBorders>
            <w:shd w:val="clear" w:color="auto" w:fill="auto"/>
            <w:noWrap/>
            <w:vAlign w:val="center"/>
            <w:hideMark/>
          </w:tcPr>
          <w:p w14:paraId="626E5B4B"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df</w:t>
            </w:r>
          </w:p>
        </w:tc>
        <w:tc>
          <w:tcPr>
            <w:tcW w:w="312" w:type="pct"/>
            <w:tcBorders>
              <w:top w:val="single" w:sz="4" w:space="0" w:color="auto"/>
              <w:left w:val="nil"/>
              <w:bottom w:val="single" w:sz="4" w:space="0" w:color="auto"/>
              <w:right w:val="nil"/>
            </w:tcBorders>
            <w:shd w:val="clear" w:color="auto" w:fill="auto"/>
            <w:noWrap/>
            <w:vAlign w:val="center"/>
            <w:hideMark/>
          </w:tcPr>
          <w:p w14:paraId="3EB147E1"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χ2/df</w:t>
            </w:r>
          </w:p>
        </w:tc>
        <w:tc>
          <w:tcPr>
            <w:tcW w:w="383" w:type="pct"/>
            <w:tcBorders>
              <w:top w:val="single" w:sz="4" w:space="0" w:color="auto"/>
              <w:left w:val="nil"/>
              <w:bottom w:val="single" w:sz="4" w:space="0" w:color="auto"/>
              <w:right w:val="nil"/>
            </w:tcBorders>
            <w:shd w:val="clear" w:color="auto" w:fill="auto"/>
            <w:noWrap/>
            <w:vAlign w:val="center"/>
            <w:hideMark/>
          </w:tcPr>
          <w:p w14:paraId="321F5157"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Scaling</w:t>
            </w:r>
          </w:p>
        </w:tc>
        <w:tc>
          <w:tcPr>
            <w:tcW w:w="409" w:type="pct"/>
            <w:tcBorders>
              <w:top w:val="single" w:sz="4" w:space="0" w:color="auto"/>
              <w:left w:val="nil"/>
              <w:bottom w:val="single" w:sz="4" w:space="0" w:color="auto"/>
              <w:right w:val="nil"/>
            </w:tcBorders>
            <w:shd w:val="clear" w:color="auto" w:fill="auto"/>
            <w:noWrap/>
            <w:vAlign w:val="center"/>
            <w:hideMark/>
          </w:tcPr>
          <w:p w14:paraId="76803ED5"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RMSEA</w:t>
            </w:r>
          </w:p>
        </w:tc>
        <w:tc>
          <w:tcPr>
            <w:tcW w:w="312" w:type="pct"/>
            <w:tcBorders>
              <w:top w:val="single" w:sz="4" w:space="0" w:color="auto"/>
              <w:left w:val="nil"/>
              <w:bottom w:val="single" w:sz="4" w:space="0" w:color="auto"/>
              <w:right w:val="nil"/>
            </w:tcBorders>
            <w:shd w:val="clear" w:color="auto" w:fill="auto"/>
            <w:noWrap/>
            <w:vAlign w:val="center"/>
            <w:hideMark/>
          </w:tcPr>
          <w:p w14:paraId="30F7757B"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CFI</w:t>
            </w:r>
          </w:p>
        </w:tc>
        <w:tc>
          <w:tcPr>
            <w:tcW w:w="107" w:type="pct"/>
            <w:tcBorders>
              <w:top w:val="nil"/>
              <w:left w:val="nil"/>
              <w:bottom w:val="single" w:sz="4" w:space="0" w:color="auto"/>
              <w:right w:val="nil"/>
            </w:tcBorders>
            <w:shd w:val="clear" w:color="auto" w:fill="auto"/>
            <w:noWrap/>
            <w:vAlign w:val="center"/>
            <w:hideMark/>
          </w:tcPr>
          <w:p w14:paraId="2062AC27"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 </w:t>
            </w:r>
          </w:p>
        </w:tc>
        <w:tc>
          <w:tcPr>
            <w:tcW w:w="601" w:type="pct"/>
            <w:tcBorders>
              <w:top w:val="single" w:sz="4" w:space="0" w:color="auto"/>
              <w:left w:val="nil"/>
              <w:bottom w:val="single" w:sz="4" w:space="0" w:color="auto"/>
              <w:right w:val="nil"/>
            </w:tcBorders>
            <w:shd w:val="clear" w:color="auto" w:fill="auto"/>
            <w:noWrap/>
            <w:vAlign w:val="center"/>
            <w:hideMark/>
          </w:tcPr>
          <w:p w14:paraId="04731E0D"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 xml:space="preserve">Δ S-B χ2 </w:t>
            </w:r>
            <w:r w:rsidRPr="00F62C12">
              <w:rPr>
                <w:rFonts w:ascii="Arial" w:hAnsi="Arial" w:cs="Arial"/>
                <w:color w:val="000000"/>
                <w:sz w:val="16"/>
                <w:szCs w:val="16"/>
                <w:vertAlign w:val="superscript"/>
              </w:rPr>
              <w:t>MLM</w:t>
            </w:r>
          </w:p>
        </w:tc>
        <w:tc>
          <w:tcPr>
            <w:tcW w:w="220" w:type="pct"/>
            <w:tcBorders>
              <w:top w:val="single" w:sz="4" w:space="0" w:color="auto"/>
              <w:left w:val="nil"/>
              <w:bottom w:val="single" w:sz="4" w:space="0" w:color="auto"/>
              <w:right w:val="nil"/>
            </w:tcBorders>
            <w:shd w:val="clear" w:color="auto" w:fill="auto"/>
            <w:noWrap/>
            <w:vAlign w:val="center"/>
            <w:hideMark/>
          </w:tcPr>
          <w:p w14:paraId="4F548FF2"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Δdf</w:t>
            </w:r>
          </w:p>
        </w:tc>
        <w:tc>
          <w:tcPr>
            <w:tcW w:w="312" w:type="pct"/>
            <w:tcBorders>
              <w:top w:val="single" w:sz="4" w:space="0" w:color="auto"/>
              <w:left w:val="nil"/>
              <w:bottom w:val="single" w:sz="4" w:space="0" w:color="auto"/>
              <w:right w:val="nil"/>
            </w:tcBorders>
            <w:shd w:val="clear" w:color="auto" w:fill="auto"/>
            <w:noWrap/>
            <w:vAlign w:val="center"/>
            <w:hideMark/>
          </w:tcPr>
          <w:p w14:paraId="7A230BBB"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p</w:t>
            </w:r>
          </w:p>
        </w:tc>
        <w:tc>
          <w:tcPr>
            <w:tcW w:w="470" w:type="pct"/>
            <w:tcBorders>
              <w:top w:val="single" w:sz="4" w:space="0" w:color="auto"/>
              <w:left w:val="nil"/>
              <w:bottom w:val="single" w:sz="4" w:space="0" w:color="auto"/>
              <w:right w:val="nil"/>
            </w:tcBorders>
            <w:shd w:val="clear" w:color="auto" w:fill="auto"/>
            <w:noWrap/>
            <w:vAlign w:val="center"/>
            <w:hideMark/>
          </w:tcPr>
          <w:p w14:paraId="2D85F674"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ΔRMSEA</w:t>
            </w:r>
          </w:p>
        </w:tc>
        <w:tc>
          <w:tcPr>
            <w:tcW w:w="342" w:type="pct"/>
            <w:tcBorders>
              <w:top w:val="single" w:sz="4" w:space="0" w:color="auto"/>
              <w:left w:val="nil"/>
              <w:bottom w:val="single" w:sz="4" w:space="0" w:color="auto"/>
              <w:right w:val="nil"/>
            </w:tcBorders>
            <w:shd w:val="clear" w:color="auto" w:fill="auto"/>
            <w:noWrap/>
            <w:vAlign w:val="center"/>
            <w:hideMark/>
          </w:tcPr>
          <w:p w14:paraId="074C7AD0"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ΔCFI</w:t>
            </w:r>
          </w:p>
        </w:tc>
      </w:tr>
      <w:tr w:rsidR="00F62C12" w:rsidRPr="00F62C12" w14:paraId="5DFF28A2" w14:textId="77777777" w:rsidTr="00F62C12">
        <w:trPr>
          <w:trHeight w:val="240"/>
        </w:trPr>
        <w:tc>
          <w:tcPr>
            <w:tcW w:w="734" w:type="pct"/>
            <w:tcBorders>
              <w:top w:val="nil"/>
              <w:left w:val="nil"/>
              <w:bottom w:val="nil"/>
              <w:right w:val="nil"/>
            </w:tcBorders>
            <w:shd w:val="clear" w:color="auto" w:fill="auto"/>
            <w:vAlign w:val="center"/>
            <w:hideMark/>
          </w:tcPr>
          <w:p w14:paraId="3580AF6F"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M1: Configural</w:t>
            </w:r>
          </w:p>
        </w:tc>
        <w:tc>
          <w:tcPr>
            <w:tcW w:w="562" w:type="pct"/>
            <w:tcBorders>
              <w:top w:val="nil"/>
              <w:left w:val="nil"/>
              <w:bottom w:val="nil"/>
              <w:right w:val="nil"/>
            </w:tcBorders>
            <w:shd w:val="clear" w:color="auto" w:fill="auto"/>
            <w:noWrap/>
            <w:vAlign w:val="center"/>
            <w:hideMark/>
          </w:tcPr>
          <w:p w14:paraId="24D70127"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309,629</w:t>
            </w:r>
          </w:p>
        </w:tc>
        <w:tc>
          <w:tcPr>
            <w:tcW w:w="235" w:type="pct"/>
            <w:tcBorders>
              <w:top w:val="nil"/>
              <w:left w:val="nil"/>
              <w:bottom w:val="nil"/>
              <w:right w:val="nil"/>
            </w:tcBorders>
            <w:shd w:val="clear" w:color="auto" w:fill="auto"/>
            <w:noWrap/>
            <w:vAlign w:val="center"/>
            <w:hideMark/>
          </w:tcPr>
          <w:p w14:paraId="6754081D"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216</w:t>
            </w:r>
          </w:p>
        </w:tc>
        <w:tc>
          <w:tcPr>
            <w:tcW w:w="312" w:type="pct"/>
            <w:tcBorders>
              <w:top w:val="nil"/>
              <w:left w:val="nil"/>
              <w:bottom w:val="nil"/>
              <w:right w:val="nil"/>
            </w:tcBorders>
            <w:shd w:val="clear" w:color="auto" w:fill="auto"/>
            <w:noWrap/>
            <w:vAlign w:val="center"/>
            <w:hideMark/>
          </w:tcPr>
          <w:p w14:paraId="1DC81D4C"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1,433</w:t>
            </w:r>
          </w:p>
        </w:tc>
        <w:tc>
          <w:tcPr>
            <w:tcW w:w="383" w:type="pct"/>
            <w:tcBorders>
              <w:top w:val="nil"/>
              <w:left w:val="nil"/>
              <w:bottom w:val="nil"/>
              <w:right w:val="nil"/>
            </w:tcBorders>
            <w:shd w:val="clear" w:color="auto" w:fill="auto"/>
            <w:noWrap/>
            <w:vAlign w:val="center"/>
            <w:hideMark/>
          </w:tcPr>
          <w:p w14:paraId="2118C181"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1,154</w:t>
            </w:r>
          </w:p>
        </w:tc>
        <w:tc>
          <w:tcPr>
            <w:tcW w:w="409" w:type="pct"/>
            <w:tcBorders>
              <w:top w:val="nil"/>
              <w:left w:val="nil"/>
              <w:bottom w:val="nil"/>
              <w:right w:val="nil"/>
            </w:tcBorders>
            <w:shd w:val="clear" w:color="auto" w:fill="auto"/>
            <w:noWrap/>
            <w:vAlign w:val="center"/>
            <w:hideMark/>
          </w:tcPr>
          <w:p w14:paraId="4DC443FC"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0,060</w:t>
            </w:r>
          </w:p>
        </w:tc>
        <w:tc>
          <w:tcPr>
            <w:tcW w:w="312" w:type="pct"/>
            <w:tcBorders>
              <w:top w:val="nil"/>
              <w:left w:val="nil"/>
              <w:bottom w:val="nil"/>
              <w:right w:val="nil"/>
            </w:tcBorders>
            <w:shd w:val="clear" w:color="auto" w:fill="auto"/>
            <w:noWrap/>
            <w:vAlign w:val="center"/>
            <w:hideMark/>
          </w:tcPr>
          <w:p w14:paraId="7D70F761"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0,955</w:t>
            </w:r>
          </w:p>
        </w:tc>
        <w:tc>
          <w:tcPr>
            <w:tcW w:w="107" w:type="pct"/>
            <w:tcBorders>
              <w:top w:val="nil"/>
              <w:left w:val="nil"/>
              <w:bottom w:val="nil"/>
              <w:right w:val="nil"/>
            </w:tcBorders>
            <w:shd w:val="clear" w:color="auto" w:fill="auto"/>
            <w:noWrap/>
            <w:vAlign w:val="center"/>
            <w:hideMark/>
          </w:tcPr>
          <w:p w14:paraId="71CF4676" w14:textId="77777777" w:rsidR="00F62C12" w:rsidRPr="00F62C12" w:rsidRDefault="00F62C12" w:rsidP="00F62C12">
            <w:pPr>
              <w:spacing w:after="0" w:line="240" w:lineRule="auto"/>
              <w:ind w:firstLine="0"/>
              <w:jc w:val="center"/>
              <w:rPr>
                <w:rFonts w:ascii="Arial" w:hAnsi="Arial" w:cs="Arial"/>
                <w:color w:val="000000"/>
                <w:sz w:val="16"/>
                <w:szCs w:val="16"/>
              </w:rPr>
            </w:pPr>
          </w:p>
        </w:tc>
        <w:tc>
          <w:tcPr>
            <w:tcW w:w="601" w:type="pct"/>
            <w:tcBorders>
              <w:top w:val="nil"/>
              <w:left w:val="nil"/>
              <w:bottom w:val="nil"/>
              <w:right w:val="nil"/>
            </w:tcBorders>
            <w:shd w:val="clear" w:color="auto" w:fill="auto"/>
            <w:noWrap/>
            <w:vAlign w:val="center"/>
            <w:hideMark/>
          </w:tcPr>
          <w:p w14:paraId="37CF1162" w14:textId="77777777" w:rsidR="00F62C12" w:rsidRPr="00F62C12" w:rsidRDefault="00F62C12" w:rsidP="00F62C12">
            <w:pPr>
              <w:spacing w:after="0" w:line="240" w:lineRule="auto"/>
              <w:ind w:firstLine="0"/>
              <w:jc w:val="center"/>
              <w:rPr>
                <w:sz w:val="16"/>
                <w:szCs w:val="16"/>
              </w:rPr>
            </w:pPr>
          </w:p>
        </w:tc>
        <w:tc>
          <w:tcPr>
            <w:tcW w:w="220" w:type="pct"/>
            <w:tcBorders>
              <w:top w:val="nil"/>
              <w:left w:val="nil"/>
              <w:bottom w:val="nil"/>
              <w:right w:val="nil"/>
            </w:tcBorders>
            <w:shd w:val="clear" w:color="auto" w:fill="auto"/>
            <w:noWrap/>
            <w:vAlign w:val="center"/>
            <w:hideMark/>
          </w:tcPr>
          <w:p w14:paraId="1DDAA177" w14:textId="77777777" w:rsidR="00F62C12" w:rsidRPr="00F62C12" w:rsidRDefault="00F62C12" w:rsidP="00F62C12">
            <w:pPr>
              <w:spacing w:after="0" w:line="240" w:lineRule="auto"/>
              <w:ind w:firstLine="0"/>
              <w:jc w:val="center"/>
              <w:rPr>
                <w:sz w:val="16"/>
                <w:szCs w:val="16"/>
              </w:rPr>
            </w:pPr>
          </w:p>
        </w:tc>
        <w:tc>
          <w:tcPr>
            <w:tcW w:w="312" w:type="pct"/>
            <w:tcBorders>
              <w:top w:val="nil"/>
              <w:left w:val="nil"/>
              <w:bottom w:val="nil"/>
              <w:right w:val="nil"/>
            </w:tcBorders>
            <w:shd w:val="clear" w:color="auto" w:fill="auto"/>
            <w:noWrap/>
            <w:vAlign w:val="center"/>
            <w:hideMark/>
          </w:tcPr>
          <w:p w14:paraId="677102EF" w14:textId="77777777" w:rsidR="00F62C12" w:rsidRPr="00F62C12" w:rsidRDefault="00F62C12" w:rsidP="00F62C12">
            <w:pPr>
              <w:spacing w:after="0" w:line="240" w:lineRule="auto"/>
              <w:ind w:firstLine="0"/>
              <w:jc w:val="center"/>
              <w:rPr>
                <w:sz w:val="16"/>
                <w:szCs w:val="16"/>
              </w:rPr>
            </w:pPr>
          </w:p>
        </w:tc>
        <w:tc>
          <w:tcPr>
            <w:tcW w:w="470" w:type="pct"/>
            <w:tcBorders>
              <w:top w:val="nil"/>
              <w:left w:val="nil"/>
              <w:bottom w:val="nil"/>
              <w:right w:val="nil"/>
            </w:tcBorders>
            <w:shd w:val="clear" w:color="auto" w:fill="auto"/>
            <w:noWrap/>
            <w:vAlign w:val="center"/>
            <w:hideMark/>
          </w:tcPr>
          <w:p w14:paraId="758A6735" w14:textId="77777777" w:rsidR="00F62C12" w:rsidRPr="00F62C12" w:rsidRDefault="00F62C12" w:rsidP="00F62C12">
            <w:pPr>
              <w:spacing w:after="0" w:line="240" w:lineRule="auto"/>
              <w:ind w:firstLine="0"/>
              <w:jc w:val="center"/>
              <w:rPr>
                <w:sz w:val="16"/>
                <w:szCs w:val="16"/>
              </w:rPr>
            </w:pPr>
          </w:p>
        </w:tc>
        <w:tc>
          <w:tcPr>
            <w:tcW w:w="342" w:type="pct"/>
            <w:tcBorders>
              <w:top w:val="nil"/>
              <w:left w:val="nil"/>
              <w:bottom w:val="nil"/>
              <w:right w:val="nil"/>
            </w:tcBorders>
            <w:shd w:val="clear" w:color="auto" w:fill="auto"/>
            <w:noWrap/>
            <w:vAlign w:val="center"/>
            <w:hideMark/>
          </w:tcPr>
          <w:p w14:paraId="59A65B08" w14:textId="77777777" w:rsidR="00F62C12" w:rsidRPr="00F62C12" w:rsidRDefault="00F62C12" w:rsidP="00F62C12">
            <w:pPr>
              <w:spacing w:after="0" w:line="240" w:lineRule="auto"/>
              <w:ind w:firstLine="0"/>
              <w:jc w:val="center"/>
              <w:rPr>
                <w:sz w:val="16"/>
                <w:szCs w:val="16"/>
              </w:rPr>
            </w:pPr>
          </w:p>
        </w:tc>
      </w:tr>
      <w:tr w:rsidR="00F62C12" w:rsidRPr="00F62C12" w14:paraId="7CE22DF5" w14:textId="77777777" w:rsidTr="00F62C12">
        <w:trPr>
          <w:trHeight w:val="240"/>
        </w:trPr>
        <w:tc>
          <w:tcPr>
            <w:tcW w:w="734" w:type="pct"/>
            <w:tcBorders>
              <w:top w:val="nil"/>
              <w:left w:val="nil"/>
              <w:bottom w:val="nil"/>
              <w:right w:val="nil"/>
            </w:tcBorders>
            <w:shd w:val="clear" w:color="auto" w:fill="auto"/>
            <w:vAlign w:val="center"/>
            <w:hideMark/>
          </w:tcPr>
          <w:p w14:paraId="20C6A9D1"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M2: Débil</w:t>
            </w:r>
          </w:p>
        </w:tc>
        <w:tc>
          <w:tcPr>
            <w:tcW w:w="562" w:type="pct"/>
            <w:tcBorders>
              <w:top w:val="nil"/>
              <w:left w:val="nil"/>
              <w:bottom w:val="nil"/>
              <w:right w:val="nil"/>
            </w:tcBorders>
            <w:shd w:val="clear" w:color="auto" w:fill="auto"/>
            <w:noWrap/>
            <w:vAlign w:val="center"/>
            <w:hideMark/>
          </w:tcPr>
          <w:p w14:paraId="006D7E09"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360,604</w:t>
            </w:r>
          </w:p>
        </w:tc>
        <w:tc>
          <w:tcPr>
            <w:tcW w:w="235" w:type="pct"/>
            <w:tcBorders>
              <w:top w:val="nil"/>
              <w:left w:val="nil"/>
              <w:bottom w:val="nil"/>
              <w:right w:val="nil"/>
            </w:tcBorders>
            <w:shd w:val="clear" w:color="auto" w:fill="auto"/>
            <w:noWrap/>
            <w:vAlign w:val="center"/>
            <w:hideMark/>
          </w:tcPr>
          <w:p w14:paraId="0388E136"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245</w:t>
            </w:r>
          </w:p>
        </w:tc>
        <w:tc>
          <w:tcPr>
            <w:tcW w:w="312" w:type="pct"/>
            <w:tcBorders>
              <w:top w:val="nil"/>
              <w:left w:val="nil"/>
              <w:bottom w:val="nil"/>
              <w:right w:val="nil"/>
            </w:tcBorders>
            <w:shd w:val="clear" w:color="auto" w:fill="auto"/>
            <w:noWrap/>
            <w:vAlign w:val="center"/>
            <w:hideMark/>
          </w:tcPr>
          <w:p w14:paraId="3534821A"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1,472</w:t>
            </w:r>
          </w:p>
        </w:tc>
        <w:tc>
          <w:tcPr>
            <w:tcW w:w="383" w:type="pct"/>
            <w:tcBorders>
              <w:top w:val="nil"/>
              <w:left w:val="nil"/>
              <w:bottom w:val="nil"/>
              <w:right w:val="nil"/>
            </w:tcBorders>
            <w:shd w:val="clear" w:color="auto" w:fill="auto"/>
            <w:noWrap/>
            <w:vAlign w:val="center"/>
            <w:hideMark/>
          </w:tcPr>
          <w:p w14:paraId="3A6FE83C"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1,139</w:t>
            </w:r>
          </w:p>
        </w:tc>
        <w:tc>
          <w:tcPr>
            <w:tcW w:w="409" w:type="pct"/>
            <w:tcBorders>
              <w:top w:val="nil"/>
              <w:left w:val="nil"/>
              <w:bottom w:val="nil"/>
              <w:right w:val="nil"/>
            </w:tcBorders>
            <w:shd w:val="clear" w:color="auto" w:fill="auto"/>
            <w:noWrap/>
            <w:vAlign w:val="center"/>
            <w:hideMark/>
          </w:tcPr>
          <w:p w14:paraId="722D169B"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0,062</w:t>
            </w:r>
          </w:p>
        </w:tc>
        <w:tc>
          <w:tcPr>
            <w:tcW w:w="312" w:type="pct"/>
            <w:tcBorders>
              <w:top w:val="nil"/>
              <w:left w:val="nil"/>
              <w:bottom w:val="nil"/>
              <w:right w:val="nil"/>
            </w:tcBorders>
            <w:shd w:val="clear" w:color="auto" w:fill="auto"/>
            <w:noWrap/>
            <w:vAlign w:val="center"/>
            <w:hideMark/>
          </w:tcPr>
          <w:p w14:paraId="46C92182"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0,945</w:t>
            </w:r>
          </w:p>
        </w:tc>
        <w:tc>
          <w:tcPr>
            <w:tcW w:w="107" w:type="pct"/>
            <w:tcBorders>
              <w:top w:val="nil"/>
              <w:left w:val="nil"/>
              <w:bottom w:val="nil"/>
              <w:right w:val="nil"/>
            </w:tcBorders>
            <w:shd w:val="clear" w:color="auto" w:fill="auto"/>
            <w:noWrap/>
            <w:vAlign w:val="center"/>
            <w:hideMark/>
          </w:tcPr>
          <w:p w14:paraId="2D1752F7" w14:textId="77777777" w:rsidR="00F62C12" w:rsidRPr="00F62C12" w:rsidRDefault="00F62C12" w:rsidP="00F62C12">
            <w:pPr>
              <w:spacing w:after="0" w:line="240" w:lineRule="auto"/>
              <w:ind w:firstLine="0"/>
              <w:jc w:val="center"/>
              <w:rPr>
                <w:rFonts w:ascii="Arial" w:hAnsi="Arial" w:cs="Arial"/>
                <w:color w:val="000000"/>
                <w:sz w:val="16"/>
                <w:szCs w:val="16"/>
              </w:rPr>
            </w:pPr>
          </w:p>
        </w:tc>
        <w:tc>
          <w:tcPr>
            <w:tcW w:w="601" w:type="pct"/>
            <w:tcBorders>
              <w:top w:val="nil"/>
              <w:left w:val="nil"/>
              <w:bottom w:val="nil"/>
              <w:right w:val="nil"/>
            </w:tcBorders>
            <w:shd w:val="clear" w:color="auto" w:fill="auto"/>
            <w:noWrap/>
            <w:vAlign w:val="center"/>
            <w:hideMark/>
          </w:tcPr>
          <w:p w14:paraId="72D6A64B"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50,975</w:t>
            </w:r>
          </w:p>
        </w:tc>
        <w:tc>
          <w:tcPr>
            <w:tcW w:w="220" w:type="pct"/>
            <w:tcBorders>
              <w:top w:val="nil"/>
              <w:left w:val="nil"/>
              <w:bottom w:val="nil"/>
              <w:right w:val="nil"/>
            </w:tcBorders>
            <w:shd w:val="clear" w:color="auto" w:fill="auto"/>
            <w:noWrap/>
            <w:vAlign w:val="center"/>
            <w:hideMark/>
          </w:tcPr>
          <w:p w14:paraId="2FB67FE9"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29</w:t>
            </w:r>
          </w:p>
        </w:tc>
        <w:tc>
          <w:tcPr>
            <w:tcW w:w="312" w:type="pct"/>
            <w:tcBorders>
              <w:top w:val="nil"/>
              <w:left w:val="nil"/>
              <w:bottom w:val="nil"/>
              <w:right w:val="nil"/>
            </w:tcBorders>
            <w:shd w:val="clear" w:color="auto" w:fill="auto"/>
            <w:noWrap/>
            <w:vAlign w:val="center"/>
            <w:hideMark/>
          </w:tcPr>
          <w:p w14:paraId="0755E072"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0,007</w:t>
            </w:r>
          </w:p>
        </w:tc>
        <w:tc>
          <w:tcPr>
            <w:tcW w:w="470" w:type="pct"/>
            <w:tcBorders>
              <w:top w:val="nil"/>
              <w:left w:val="nil"/>
              <w:bottom w:val="nil"/>
              <w:right w:val="nil"/>
            </w:tcBorders>
            <w:shd w:val="clear" w:color="auto" w:fill="auto"/>
            <w:noWrap/>
            <w:vAlign w:val="center"/>
            <w:hideMark/>
          </w:tcPr>
          <w:p w14:paraId="04901DE1"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0,002</w:t>
            </w:r>
          </w:p>
        </w:tc>
        <w:tc>
          <w:tcPr>
            <w:tcW w:w="342" w:type="pct"/>
            <w:tcBorders>
              <w:top w:val="nil"/>
              <w:left w:val="nil"/>
              <w:bottom w:val="nil"/>
              <w:right w:val="nil"/>
            </w:tcBorders>
            <w:shd w:val="clear" w:color="auto" w:fill="auto"/>
            <w:noWrap/>
            <w:vAlign w:val="center"/>
            <w:hideMark/>
          </w:tcPr>
          <w:p w14:paraId="27D6F783"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-0,010</w:t>
            </w:r>
          </w:p>
        </w:tc>
      </w:tr>
      <w:tr w:rsidR="00F62C12" w:rsidRPr="00F62C12" w14:paraId="7A9CAD74" w14:textId="77777777" w:rsidTr="00F62C12">
        <w:trPr>
          <w:trHeight w:val="240"/>
        </w:trPr>
        <w:tc>
          <w:tcPr>
            <w:tcW w:w="734" w:type="pct"/>
            <w:tcBorders>
              <w:top w:val="nil"/>
              <w:left w:val="nil"/>
              <w:bottom w:val="nil"/>
              <w:right w:val="nil"/>
            </w:tcBorders>
            <w:shd w:val="clear" w:color="auto" w:fill="auto"/>
            <w:vAlign w:val="center"/>
            <w:hideMark/>
          </w:tcPr>
          <w:p w14:paraId="0C0A1A40"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M3: Fuerte</w:t>
            </w:r>
          </w:p>
        </w:tc>
        <w:tc>
          <w:tcPr>
            <w:tcW w:w="562" w:type="pct"/>
            <w:tcBorders>
              <w:top w:val="nil"/>
              <w:left w:val="nil"/>
              <w:bottom w:val="nil"/>
              <w:right w:val="nil"/>
            </w:tcBorders>
            <w:shd w:val="clear" w:color="auto" w:fill="auto"/>
            <w:noWrap/>
            <w:vAlign w:val="center"/>
            <w:hideMark/>
          </w:tcPr>
          <w:p w14:paraId="7A9DC1AB"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384,020</w:t>
            </w:r>
          </w:p>
        </w:tc>
        <w:tc>
          <w:tcPr>
            <w:tcW w:w="235" w:type="pct"/>
            <w:tcBorders>
              <w:top w:val="nil"/>
              <w:left w:val="nil"/>
              <w:bottom w:val="nil"/>
              <w:right w:val="nil"/>
            </w:tcBorders>
            <w:shd w:val="clear" w:color="auto" w:fill="auto"/>
            <w:noWrap/>
            <w:vAlign w:val="center"/>
            <w:hideMark/>
          </w:tcPr>
          <w:p w14:paraId="111BB4B6"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256</w:t>
            </w:r>
          </w:p>
        </w:tc>
        <w:tc>
          <w:tcPr>
            <w:tcW w:w="312" w:type="pct"/>
            <w:tcBorders>
              <w:top w:val="nil"/>
              <w:left w:val="nil"/>
              <w:bottom w:val="nil"/>
              <w:right w:val="nil"/>
            </w:tcBorders>
            <w:shd w:val="clear" w:color="auto" w:fill="auto"/>
            <w:noWrap/>
            <w:vAlign w:val="center"/>
            <w:hideMark/>
          </w:tcPr>
          <w:p w14:paraId="6EF059B2"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1,500</w:t>
            </w:r>
          </w:p>
        </w:tc>
        <w:tc>
          <w:tcPr>
            <w:tcW w:w="383" w:type="pct"/>
            <w:tcBorders>
              <w:top w:val="nil"/>
              <w:left w:val="nil"/>
              <w:bottom w:val="nil"/>
              <w:right w:val="nil"/>
            </w:tcBorders>
            <w:shd w:val="clear" w:color="auto" w:fill="auto"/>
            <w:noWrap/>
            <w:vAlign w:val="center"/>
            <w:hideMark/>
          </w:tcPr>
          <w:p w14:paraId="15ADE89E"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1,122</w:t>
            </w:r>
          </w:p>
        </w:tc>
        <w:tc>
          <w:tcPr>
            <w:tcW w:w="409" w:type="pct"/>
            <w:tcBorders>
              <w:top w:val="nil"/>
              <w:left w:val="nil"/>
              <w:bottom w:val="nil"/>
              <w:right w:val="nil"/>
            </w:tcBorders>
            <w:shd w:val="clear" w:color="auto" w:fill="auto"/>
            <w:noWrap/>
            <w:vAlign w:val="center"/>
            <w:hideMark/>
          </w:tcPr>
          <w:p w14:paraId="4BC1BF0D"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0,064</w:t>
            </w:r>
          </w:p>
        </w:tc>
        <w:tc>
          <w:tcPr>
            <w:tcW w:w="312" w:type="pct"/>
            <w:tcBorders>
              <w:top w:val="nil"/>
              <w:left w:val="nil"/>
              <w:bottom w:val="nil"/>
              <w:right w:val="nil"/>
            </w:tcBorders>
            <w:shd w:val="clear" w:color="auto" w:fill="auto"/>
            <w:noWrap/>
            <w:vAlign w:val="center"/>
            <w:hideMark/>
          </w:tcPr>
          <w:p w14:paraId="62CB44C4"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0,940</w:t>
            </w:r>
          </w:p>
        </w:tc>
        <w:tc>
          <w:tcPr>
            <w:tcW w:w="107" w:type="pct"/>
            <w:tcBorders>
              <w:top w:val="nil"/>
              <w:left w:val="nil"/>
              <w:bottom w:val="nil"/>
              <w:right w:val="nil"/>
            </w:tcBorders>
            <w:shd w:val="clear" w:color="auto" w:fill="auto"/>
            <w:noWrap/>
            <w:vAlign w:val="center"/>
            <w:hideMark/>
          </w:tcPr>
          <w:p w14:paraId="2B19F463" w14:textId="77777777" w:rsidR="00F62C12" w:rsidRPr="00F62C12" w:rsidRDefault="00F62C12" w:rsidP="00F62C12">
            <w:pPr>
              <w:spacing w:after="0" w:line="240" w:lineRule="auto"/>
              <w:ind w:firstLine="0"/>
              <w:jc w:val="center"/>
              <w:rPr>
                <w:rFonts w:ascii="Arial" w:hAnsi="Arial" w:cs="Arial"/>
                <w:color w:val="000000"/>
                <w:sz w:val="16"/>
                <w:szCs w:val="16"/>
              </w:rPr>
            </w:pPr>
          </w:p>
        </w:tc>
        <w:tc>
          <w:tcPr>
            <w:tcW w:w="601" w:type="pct"/>
            <w:tcBorders>
              <w:top w:val="nil"/>
              <w:left w:val="nil"/>
              <w:bottom w:val="nil"/>
              <w:right w:val="nil"/>
            </w:tcBorders>
            <w:shd w:val="clear" w:color="auto" w:fill="auto"/>
            <w:noWrap/>
            <w:vAlign w:val="center"/>
            <w:hideMark/>
          </w:tcPr>
          <w:p w14:paraId="1DC143FF"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23,416</w:t>
            </w:r>
          </w:p>
        </w:tc>
        <w:tc>
          <w:tcPr>
            <w:tcW w:w="220" w:type="pct"/>
            <w:tcBorders>
              <w:top w:val="nil"/>
              <w:left w:val="nil"/>
              <w:bottom w:val="nil"/>
              <w:right w:val="nil"/>
            </w:tcBorders>
            <w:shd w:val="clear" w:color="auto" w:fill="auto"/>
            <w:noWrap/>
            <w:vAlign w:val="center"/>
            <w:hideMark/>
          </w:tcPr>
          <w:p w14:paraId="1A5A52CC"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11</w:t>
            </w:r>
          </w:p>
        </w:tc>
        <w:tc>
          <w:tcPr>
            <w:tcW w:w="312" w:type="pct"/>
            <w:tcBorders>
              <w:top w:val="nil"/>
              <w:left w:val="nil"/>
              <w:bottom w:val="nil"/>
              <w:right w:val="nil"/>
            </w:tcBorders>
            <w:shd w:val="clear" w:color="auto" w:fill="auto"/>
            <w:noWrap/>
            <w:vAlign w:val="center"/>
            <w:hideMark/>
          </w:tcPr>
          <w:p w14:paraId="162728B0"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0,015</w:t>
            </w:r>
          </w:p>
        </w:tc>
        <w:tc>
          <w:tcPr>
            <w:tcW w:w="470" w:type="pct"/>
            <w:tcBorders>
              <w:top w:val="nil"/>
              <w:left w:val="nil"/>
              <w:bottom w:val="nil"/>
              <w:right w:val="nil"/>
            </w:tcBorders>
            <w:shd w:val="clear" w:color="auto" w:fill="auto"/>
            <w:noWrap/>
            <w:vAlign w:val="center"/>
            <w:hideMark/>
          </w:tcPr>
          <w:p w14:paraId="7750B3D6"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0,002</w:t>
            </w:r>
          </w:p>
        </w:tc>
        <w:tc>
          <w:tcPr>
            <w:tcW w:w="342" w:type="pct"/>
            <w:tcBorders>
              <w:top w:val="nil"/>
              <w:left w:val="nil"/>
              <w:bottom w:val="nil"/>
              <w:right w:val="nil"/>
            </w:tcBorders>
            <w:shd w:val="clear" w:color="auto" w:fill="auto"/>
            <w:noWrap/>
            <w:vAlign w:val="center"/>
            <w:hideMark/>
          </w:tcPr>
          <w:p w14:paraId="6E101904"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-0,005</w:t>
            </w:r>
          </w:p>
        </w:tc>
      </w:tr>
      <w:tr w:rsidR="00F62C12" w:rsidRPr="00F62C12" w14:paraId="5075ABC8" w14:textId="77777777" w:rsidTr="00F62C12">
        <w:trPr>
          <w:trHeight w:val="240"/>
        </w:trPr>
        <w:tc>
          <w:tcPr>
            <w:tcW w:w="734" w:type="pct"/>
            <w:tcBorders>
              <w:top w:val="nil"/>
              <w:left w:val="nil"/>
              <w:bottom w:val="nil"/>
              <w:right w:val="nil"/>
            </w:tcBorders>
            <w:shd w:val="clear" w:color="auto" w:fill="auto"/>
            <w:vAlign w:val="center"/>
            <w:hideMark/>
          </w:tcPr>
          <w:p w14:paraId="67B736D8"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M4: Estricto</w:t>
            </w:r>
          </w:p>
        </w:tc>
        <w:tc>
          <w:tcPr>
            <w:tcW w:w="562" w:type="pct"/>
            <w:tcBorders>
              <w:top w:val="nil"/>
              <w:left w:val="nil"/>
              <w:bottom w:val="nil"/>
              <w:right w:val="nil"/>
            </w:tcBorders>
            <w:shd w:val="clear" w:color="auto" w:fill="auto"/>
            <w:noWrap/>
            <w:vAlign w:val="center"/>
            <w:hideMark/>
          </w:tcPr>
          <w:p w14:paraId="7ABFF879"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418,611</w:t>
            </w:r>
          </w:p>
        </w:tc>
        <w:tc>
          <w:tcPr>
            <w:tcW w:w="235" w:type="pct"/>
            <w:tcBorders>
              <w:top w:val="nil"/>
              <w:left w:val="nil"/>
              <w:bottom w:val="nil"/>
              <w:right w:val="nil"/>
            </w:tcBorders>
            <w:shd w:val="clear" w:color="auto" w:fill="auto"/>
            <w:noWrap/>
            <w:vAlign w:val="center"/>
            <w:hideMark/>
          </w:tcPr>
          <w:p w14:paraId="31AC2B66"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274</w:t>
            </w:r>
          </w:p>
        </w:tc>
        <w:tc>
          <w:tcPr>
            <w:tcW w:w="312" w:type="pct"/>
            <w:tcBorders>
              <w:top w:val="nil"/>
              <w:left w:val="nil"/>
              <w:bottom w:val="nil"/>
              <w:right w:val="nil"/>
            </w:tcBorders>
            <w:shd w:val="clear" w:color="auto" w:fill="auto"/>
            <w:noWrap/>
            <w:vAlign w:val="center"/>
            <w:hideMark/>
          </w:tcPr>
          <w:p w14:paraId="3509C232"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1,528</w:t>
            </w:r>
          </w:p>
        </w:tc>
        <w:tc>
          <w:tcPr>
            <w:tcW w:w="383" w:type="pct"/>
            <w:tcBorders>
              <w:top w:val="nil"/>
              <w:left w:val="nil"/>
              <w:bottom w:val="nil"/>
              <w:right w:val="nil"/>
            </w:tcBorders>
            <w:shd w:val="clear" w:color="auto" w:fill="auto"/>
            <w:noWrap/>
            <w:vAlign w:val="center"/>
            <w:hideMark/>
          </w:tcPr>
          <w:p w14:paraId="526BBF58"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1,138</w:t>
            </w:r>
          </w:p>
        </w:tc>
        <w:tc>
          <w:tcPr>
            <w:tcW w:w="409" w:type="pct"/>
            <w:tcBorders>
              <w:top w:val="nil"/>
              <w:left w:val="nil"/>
              <w:bottom w:val="nil"/>
              <w:right w:val="nil"/>
            </w:tcBorders>
            <w:shd w:val="clear" w:color="auto" w:fill="auto"/>
            <w:noWrap/>
            <w:vAlign w:val="center"/>
            <w:hideMark/>
          </w:tcPr>
          <w:p w14:paraId="0A98823E"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0,066</w:t>
            </w:r>
          </w:p>
        </w:tc>
        <w:tc>
          <w:tcPr>
            <w:tcW w:w="312" w:type="pct"/>
            <w:tcBorders>
              <w:top w:val="nil"/>
              <w:left w:val="nil"/>
              <w:bottom w:val="nil"/>
              <w:right w:val="nil"/>
            </w:tcBorders>
            <w:shd w:val="clear" w:color="auto" w:fill="auto"/>
            <w:noWrap/>
            <w:vAlign w:val="center"/>
            <w:hideMark/>
          </w:tcPr>
          <w:p w14:paraId="17C92DE3"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0,931</w:t>
            </w:r>
          </w:p>
        </w:tc>
        <w:tc>
          <w:tcPr>
            <w:tcW w:w="107" w:type="pct"/>
            <w:tcBorders>
              <w:top w:val="nil"/>
              <w:left w:val="nil"/>
              <w:bottom w:val="nil"/>
              <w:right w:val="nil"/>
            </w:tcBorders>
            <w:shd w:val="clear" w:color="auto" w:fill="auto"/>
            <w:noWrap/>
            <w:vAlign w:val="center"/>
            <w:hideMark/>
          </w:tcPr>
          <w:p w14:paraId="1BF21B22" w14:textId="77777777" w:rsidR="00F62C12" w:rsidRPr="00F62C12" w:rsidRDefault="00F62C12" w:rsidP="00F62C12">
            <w:pPr>
              <w:spacing w:after="0" w:line="240" w:lineRule="auto"/>
              <w:ind w:firstLine="0"/>
              <w:jc w:val="center"/>
              <w:rPr>
                <w:rFonts w:ascii="Arial" w:hAnsi="Arial" w:cs="Arial"/>
                <w:color w:val="000000"/>
                <w:sz w:val="16"/>
                <w:szCs w:val="16"/>
              </w:rPr>
            </w:pPr>
          </w:p>
        </w:tc>
        <w:tc>
          <w:tcPr>
            <w:tcW w:w="601" w:type="pct"/>
            <w:tcBorders>
              <w:top w:val="nil"/>
              <w:left w:val="nil"/>
              <w:bottom w:val="nil"/>
              <w:right w:val="nil"/>
            </w:tcBorders>
            <w:shd w:val="clear" w:color="auto" w:fill="auto"/>
            <w:noWrap/>
            <w:vAlign w:val="center"/>
            <w:hideMark/>
          </w:tcPr>
          <w:p w14:paraId="3207ADA3"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34,591</w:t>
            </w:r>
          </w:p>
        </w:tc>
        <w:tc>
          <w:tcPr>
            <w:tcW w:w="220" w:type="pct"/>
            <w:tcBorders>
              <w:top w:val="nil"/>
              <w:left w:val="nil"/>
              <w:bottom w:val="nil"/>
              <w:right w:val="nil"/>
            </w:tcBorders>
            <w:shd w:val="clear" w:color="auto" w:fill="auto"/>
            <w:noWrap/>
            <w:vAlign w:val="center"/>
            <w:hideMark/>
          </w:tcPr>
          <w:p w14:paraId="6B9D0839"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18</w:t>
            </w:r>
          </w:p>
        </w:tc>
        <w:tc>
          <w:tcPr>
            <w:tcW w:w="312" w:type="pct"/>
            <w:tcBorders>
              <w:top w:val="nil"/>
              <w:left w:val="nil"/>
              <w:bottom w:val="nil"/>
              <w:right w:val="nil"/>
            </w:tcBorders>
            <w:shd w:val="clear" w:color="auto" w:fill="auto"/>
            <w:noWrap/>
            <w:vAlign w:val="center"/>
            <w:hideMark/>
          </w:tcPr>
          <w:p w14:paraId="025173E3"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0,011</w:t>
            </w:r>
          </w:p>
        </w:tc>
        <w:tc>
          <w:tcPr>
            <w:tcW w:w="470" w:type="pct"/>
            <w:tcBorders>
              <w:top w:val="nil"/>
              <w:left w:val="nil"/>
              <w:bottom w:val="nil"/>
              <w:right w:val="nil"/>
            </w:tcBorders>
            <w:shd w:val="clear" w:color="auto" w:fill="auto"/>
            <w:noWrap/>
            <w:vAlign w:val="center"/>
            <w:hideMark/>
          </w:tcPr>
          <w:p w14:paraId="09D784A4"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0,002</w:t>
            </w:r>
          </w:p>
        </w:tc>
        <w:tc>
          <w:tcPr>
            <w:tcW w:w="342" w:type="pct"/>
            <w:tcBorders>
              <w:top w:val="nil"/>
              <w:left w:val="nil"/>
              <w:bottom w:val="nil"/>
              <w:right w:val="nil"/>
            </w:tcBorders>
            <w:shd w:val="clear" w:color="auto" w:fill="auto"/>
            <w:noWrap/>
            <w:vAlign w:val="center"/>
            <w:hideMark/>
          </w:tcPr>
          <w:p w14:paraId="2C082B66" w14:textId="77777777" w:rsidR="00F62C12" w:rsidRPr="00F62C12" w:rsidRDefault="00F62C12" w:rsidP="00F62C12">
            <w:pPr>
              <w:spacing w:after="0" w:line="240" w:lineRule="auto"/>
              <w:ind w:firstLine="0"/>
              <w:jc w:val="center"/>
              <w:rPr>
                <w:rFonts w:ascii="Arial" w:hAnsi="Arial" w:cs="Arial"/>
                <w:color w:val="000000"/>
                <w:sz w:val="16"/>
                <w:szCs w:val="16"/>
              </w:rPr>
            </w:pPr>
            <w:r w:rsidRPr="00F62C12">
              <w:rPr>
                <w:rFonts w:ascii="Arial" w:hAnsi="Arial" w:cs="Arial"/>
                <w:color w:val="000000"/>
                <w:sz w:val="16"/>
                <w:szCs w:val="16"/>
              </w:rPr>
              <w:t>-0,009</w:t>
            </w:r>
          </w:p>
        </w:tc>
      </w:tr>
      <w:tr w:rsidR="00F62C12" w:rsidRPr="00F62C12" w14:paraId="745E63A3" w14:textId="77777777" w:rsidTr="00F62C12">
        <w:trPr>
          <w:trHeight w:val="553"/>
        </w:trPr>
        <w:tc>
          <w:tcPr>
            <w:tcW w:w="5000" w:type="pct"/>
            <w:gridSpan w:val="13"/>
            <w:tcBorders>
              <w:top w:val="single" w:sz="4" w:space="0" w:color="auto"/>
              <w:left w:val="nil"/>
              <w:bottom w:val="nil"/>
              <w:right w:val="nil"/>
            </w:tcBorders>
            <w:shd w:val="clear" w:color="auto" w:fill="auto"/>
            <w:vAlign w:val="center"/>
            <w:hideMark/>
          </w:tcPr>
          <w:p w14:paraId="4D4BEA0A" w14:textId="77777777" w:rsidR="00F62C12" w:rsidRPr="00F62C12" w:rsidRDefault="00F62C12" w:rsidP="00F62C12">
            <w:pPr>
              <w:spacing w:after="0" w:line="240" w:lineRule="auto"/>
              <w:ind w:firstLine="0"/>
              <w:jc w:val="left"/>
              <w:rPr>
                <w:rFonts w:ascii="Arial" w:hAnsi="Arial" w:cs="Arial"/>
                <w:color w:val="000000"/>
                <w:sz w:val="16"/>
                <w:szCs w:val="16"/>
              </w:rPr>
            </w:pPr>
            <w:r w:rsidRPr="00F62C12">
              <w:rPr>
                <w:rFonts w:ascii="Arial" w:hAnsi="Arial" w:cs="Arial"/>
                <w:color w:val="000000"/>
                <w:sz w:val="16"/>
                <w:szCs w:val="16"/>
              </w:rPr>
              <w:t xml:space="preserve">Notas. n = 278; femenino = 150; masculino = 128; χ2 </w:t>
            </w:r>
            <w:r w:rsidRPr="00F62C12">
              <w:rPr>
                <w:rFonts w:ascii="Arial" w:hAnsi="Arial" w:cs="Arial"/>
                <w:color w:val="000000"/>
                <w:sz w:val="16"/>
                <w:szCs w:val="16"/>
                <w:vertAlign w:val="superscript"/>
              </w:rPr>
              <w:t>MLM</w:t>
            </w:r>
            <w:r w:rsidRPr="00F62C12">
              <w:rPr>
                <w:rFonts w:ascii="Arial" w:hAnsi="Arial" w:cs="Arial"/>
                <w:color w:val="000000"/>
                <w:sz w:val="16"/>
                <w:szCs w:val="16"/>
              </w:rPr>
              <w:t xml:space="preserve"> - Chi-cuadrado utilizando el método de máxima verosimilitud con errores estándares robustos (MLM); df, Grados de libertad; Scaling, factor de ajuste de la corrección de Satorra-Bentler; RMSEA, error cuadrático medio de aproximación; CFI, índice de ajuste comparativo.</w:t>
            </w:r>
          </w:p>
        </w:tc>
      </w:tr>
    </w:tbl>
    <w:p w14:paraId="0B4391FB" w14:textId="19366CBB" w:rsidR="002D70B1" w:rsidRDefault="00F62C12" w:rsidP="00F62C12">
      <w:r>
        <w:t xml:space="preserve"> </w:t>
      </w:r>
    </w:p>
    <w:p w14:paraId="3375A88A" w14:textId="04D30E3A" w:rsidR="009A2149" w:rsidRDefault="009A2149" w:rsidP="00D4502B">
      <w:pPr>
        <w:pStyle w:val="Ttulo3"/>
      </w:pPr>
      <w:r w:rsidRPr="00AE36FB">
        <w:t>Estadística descriptiva</w:t>
      </w:r>
    </w:p>
    <w:p w14:paraId="7A6CE596" w14:textId="5F6455FC" w:rsidR="000E7D4E" w:rsidRDefault="000E7D4E" w:rsidP="000E7D4E">
      <w:r>
        <w:rPr>
          <w:lang w:eastAsia="en-US"/>
        </w:rPr>
        <w:t xml:space="preserve">La </w:t>
      </w:r>
      <w:r w:rsidR="009A7C44">
        <w:rPr>
          <w:lang w:eastAsia="en-US"/>
        </w:rPr>
        <w:fldChar w:fldCharType="begin"/>
      </w:r>
      <w:r w:rsidR="009A7C44">
        <w:rPr>
          <w:lang w:eastAsia="en-US"/>
        </w:rPr>
        <w:instrText xml:space="preserve"> REF _Ref58940038 \h </w:instrText>
      </w:r>
      <w:r w:rsidR="009A7C44">
        <w:rPr>
          <w:lang w:eastAsia="en-US"/>
        </w:rPr>
      </w:r>
      <w:r w:rsidR="009A7C44">
        <w:rPr>
          <w:lang w:eastAsia="en-US"/>
        </w:rPr>
        <w:fldChar w:fldCharType="separate"/>
      </w:r>
      <w:r w:rsidR="009A7C44">
        <w:t xml:space="preserve">Tabla </w:t>
      </w:r>
      <w:r w:rsidR="009A7C44">
        <w:rPr>
          <w:noProof/>
        </w:rPr>
        <w:t>7</w:t>
      </w:r>
      <w:r w:rsidR="009A7C44">
        <w:rPr>
          <w:lang w:eastAsia="en-US"/>
        </w:rPr>
        <w:fldChar w:fldCharType="end"/>
      </w:r>
      <w:r w:rsidR="009A7C44">
        <w:rPr>
          <w:lang w:eastAsia="en-US"/>
        </w:rPr>
        <w:t xml:space="preserve"> </w:t>
      </w:r>
      <w:r w:rsidR="00904070">
        <w:rPr>
          <w:lang w:eastAsia="en-US"/>
        </w:rPr>
        <w:t>muestra la estadística descriptiva del modelo final según género</w:t>
      </w:r>
      <w:r w:rsidR="00140304">
        <w:rPr>
          <w:lang w:eastAsia="en-US"/>
        </w:rPr>
        <w:t>s</w:t>
      </w:r>
      <w:r w:rsidR="00904070">
        <w:rPr>
          <w:lang w:eastAsia="en-US"/>
        </w:rPr>
        <w:t xml:space="preserve">. </w:t>
      </w:r>
      <w:r w:rsidR="006971E4">
        <w:t xml:space="preserve">Primero, se constató la inexistencia de diferencias significativas </w:t>
      </w:r>
      <w:r w:rsidR="0020664F">
        <w:t>c</w:t>
      </w:r>
      <w:r w:rsidR="006971E4">
        <w:t>on relación a la edad y el nivel educativo</w:t>
      </w:r>
      <w:r w:rsidR="008E2C9A" w:rsidRPr="008E2C9A">
        <w:t>.</w:t>
      </w:r>
      <w:r w:rsidR="006971E4">
        <w:t xml:space="preserve"> Debido al incumplimiento con el supuesto de normalidad y </w:t>
      </w:r>
      <w:r w:rsidR="00FA4F41">
        <w:t xml:space="preserve">la </w:t>
      </w:r>
      <w:r w:rsidR="006971E4">
        <w:t>ausente necesidad de utilizar una variable de control, se realizó un</w:t>
      </w:r>
      <w:r w:rsidR="00400217">
        <w:t>a</w:t>
      </w:r>
      <w:r w:rsidR="006971E4">
        <w:t xml:space="preserve"> serie de</w:t>
      </w:r>
      <w:r w:rsidR="00380E08">
        <w:t xml:space="preserve"> tests de</w:t>
      </w:r>
      <w:r w:rsidR="006971E4">
        <w:t xml:space="preserve"> </w:t>
      </w:r>
      <w:r w:rsidR="00380E08">
        <w:fldChar w:fldCharType="begin" w:fldLock="1"/>
      </w:r>
      <w:r w:rsidR="00936A8B">
        <w:instrText>ADDIN CSL_CITATION {"citationItems":[{"id":"ITEM-1","itemData":{"DOI":"10.1214/aoms/1177730491","ISSN":"0003-4851","author":[{"dropping-particle":"","family":"Mann","given":"H. B.","non-dropping-particle":"","parse-names":false,"suffix":""},{"dropping-particle":"","family":"Whitney","given":"D. R.","non-dropping-particle":"","parse-names":false,"suffix":""}],"container-title":"The Annals of Mathematical Statistics","id":"ITEM-1","issue":"1","issued":{"date-parts":[["1947","3"]]},"page":"50-60","title":"On a Test of Whether one of Two Random Variables is Stochastically Larger than the Other","type":"article-journal","volume":"18"},"uris":["http://www.mendeley.com/documents/?uuid=c8f2d45f-2561-4e00-96c6-2e6b66c6ba3d"]}],"mendeley":{"formattedCitation":"(Mann &amp; Whitney, 1947)","manualFormatting":"Mann y Whitney (1947)","plainTextFormattedCitation":"(Mann &amp; Whitney, 1947)","previouslyFormattedCitation":"(Mann &amp; Whitney, 1947)"},"properties":{"noteIndex":0},"schema":"https://github.com/citation-style-language/schema/raw/master/csl-citation.json"}</w:instrText>
      </w:r>
      <w:r w:rsidR="00380E08">
        <w:fldChar w:fldCharType="separate"/>
      </w:r>
      <w:r w:rsidR="00380E08" w:rsidRPr="00380E08">
        <w:rPr>
          <w:noProof/>
        </w:rPr>
        <w:t xml:space="preserve">Mann </w:t>
      </w:r>
      <w:r w:rsidR="00380E08">
        <w:rPr>
          <w:noProof/>
        </w:rPr>
        <w:t>y</w:t>
      </w:r>
      <w:r w:rsidR="00380E08" w:rsidRPr="00380E08">
        <w:rPr>
          <w:noProof/>
        </w:rPr>
        <w:t xml:space="preserve"> Whitney </w:t>
      </w:r>
      <w:r w:rsidR="00380E08">
        <w:rPr>
          <w:noProof/>
        </w:rPr>
        <w:t>(</w:t>
      </w:r>
      <w:r w:rsidR="00380E08" w:rsidRPr="00380E08">
        <w:rPr>
          <w:noProof/>
        </w:rPr>
        <w:t>1947)</w:t>
      </w:r>
      <w:r w:rsidR="00380E08">
        <w:fldChar w:fldCharType="end"/>
      </w:r>
      <w:r w:rsidR="00FA4F41">
        <w:t xml:space="preserve">. </w:t>
      </w:r>
      <w:r w:rsidR="00167CD1">
        <w:t>De acuerdo con</w:t>
      </w:r>
      <w:r w:rsidR="00FA4F41">
        <w:t xml:space="preserve"> los resultados, se puede afirmar que no existían diferencias significativas con respecto a</w:t>
      </w:r>
      <w:r w:rsidR="0078073E">
        <w:t>l</w:t>
      </w:r>
      <w:r w:rsidR="00FA4F41">
        <w:t xml:space="preserve"> género</w:t>
      </w:r>
      <w:r w:rsidR="0078073E">
        <w:t xml:space="preserve"> de los participantes</w:t>
      </w:r>
      <w:r w:rsidR="00DE63AA">
        <w:t xml:space="preserve"> y las dimensiones que evalúa el instrumento.</w:t>
      </w:r>
    </w:p>
    <w:p w14:paraId="28C8E0A8" w14:textId="18F9D32F" w:rsidR="009A7C44" w:rsidRDefault="009A7C44" w:rsidP="009A7C44">
      <w:pPr>
        <w:pStyle w:val="Descripcin"/>
        <w:keepNext/>
      </w:pPr>
      <w:bookmarkStart w:id="13" w:name="_Ref58940038"/>
      <w:r>
        <w:t xml:space="preserve">Tabla </w:t>
      </w:r>
      <w:r w:rsidR="003A675A">
        <w:fldChar w:fldCharType="begin"/>
      </w:r>
      <w:r w:rsidR="003A675A">
        <w:instrText xml:space="preserve"> SEQ Tabla \* ARABIC </w:instrText>
      </w:r>
      <w:r w:rsidR="003A675A">
        <w:fldChar w:fldCharType="separate"/>
      </w:r>
      <w:r w:rsidR="00D83C2C">
        <w:rPr>
          <w:noProof/>
        </w:rPr>
        <w:t>7</w:t>
      </w:r>
      <w:r w:rsidR="003A675A">
        <w:rPr>
          <w:noProof/>
        </w:rPr>
        <w:fldChar w:fldCharType="end"/>
      </w:r>
      <w:bookmarkEnd w:id="13"/>
    </w:p>
    <w:tbl>
      <w:tblPr>
        <w:tblW w:w="0" w:type="auto"/>
        <w:tblCellMar>
          <w:left w:w="70" w:type="dxa"/>
          <w:right w:w="70" w:type="dxa"/>
        </w:tblCellMar>
        <w:tblLook w:val="04A0" w:firstRow="1" w:lastRow="0" w:firstColumn="1" w:lastColumn="0" w:noHBand="0" w:noVBand="1"/>
      </w:tblPr>
      <w:tblGrid>
        <w:gridCol w:w="1960"/>
        <w:gridCol w:w="636"/>
        <w:gridCol w:w="636"/>
        <w:gridCol w:w="636"/>
        <w:gridCol w:w="205"/>
        <w:gridCol w:w="635"/>
        <w:gridCol w:w="635"/>
        <w:gridCol w:w="635"/>
        <w:gridCol w:w="205"/>
        <w:gridCol w:w="850"/>
        <w:gridCol w:w="592"/>
        <w:gridCol w:w="635"/>
      </w:tblGrid>
      <w:tr w:rsidR="009A7C44" w:rsidRPr="009A7C44" w14:paraId="6813937D" w14:textId="77777777" w:rsidTr="009A7C44">
        <w:trPr>
          <w:trHeight w:val="225"/>
        </w:trPr>
        <w:tc>
          <w:tcPr>
            <w:tcW w:w="0" w:type="auto"/>
            <w:gridSpan w:val="12"/>
            <w:tcBorders>
              <w:top w:val="nil"/>
              <w:left w:val="nil"/>
              <w:bottom w:val="single" w:sz="4" w:space="0" w:color="auto"/>
              <w:right w:val="nil"/>
            </w:tcBorders>
            <w:shd w:val="clear" w:color="auto" w:fill="auto"/>
            <w:noWrap/>
            <w:vAlign w:val="center"/>
            <w:hideMark/>
          </w:tcPr>
          <w:p w14:paraId="4B5DC9CD" w14:textId="77777777" w:rsidR="009A7C44" w:rsidRPr="009A7C44" w:rsidRDefault="009A7C44" w:rsidP="009A7C44">
            <w:pPr>
              <w:spacing w:after="0" w:line="240" w:lineRule="auto"/>
              <w:ind w:firstLine="0"/>
              <w:jc w:val="left"/>
              <w:rPr>
                <w:rFonts w:ascii="Arial" w:hAnsi="Arial" w:cs="Arial"/>
                <w:i/>
                <w:iCs/>
                <w:color w:val="000000"/>
                <w:sz w:val="18"/>
                <w:szCs w:val="18"/>
              </w:rPr>
            </w:pPr>
            <w:r w:rsidRPr="009A7C44">
              <w:rPr>
                <w:rFonts w:ascii="Arial" w:hAnsi="Arial" w:cs="Arial"/>
                <w:i/>
                <w:iCs/>
                <w:color w:val="000000"/>
                <w:sz w:val="18"/>
                <w:szCs w:val="18"/>
              </w:rPr>
              <w:t>Estadística descriptiva del modelo final</w:t>
            </w:r>
          </w:p>
        </w:tc>
      </w:tr>
      <w:tr w:rsidR="009A7C44" w:rsidRPr="009A7C44" w14:paraId="45EE8951" w14:textId="77777777" w:rsidTr="009A7C44">
        <w:trPr>
          <w:trHeight w:val="240"/>
        </w:trPr>
        <w:tc>
          <w:tcPr>
            <w:tcW w:w="0" w:type="auto"/>
            <w:vMerge w:val="restart"/>
            <w:tcBorders>
              <w:top w:val="nil"/>
              <w:left w:val="nil"/>
              <w:bottom w:val="single" w:sz="4" w:space="0" w:color="000000"/>
              <w:right w:val="nil"/>
            </w:tcBorders>
            <w:shd w:val="clear" w:color="auto" w:fill="auto"/>
            <w:noWrap/>
            <w:vAlign w:val="center"/>
            <w:hideMark/>
          </w:tcPr>
          <w:p w14:paraId="520E1054"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Dimensión</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0955244"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Femenino</w:t>
            </w:r>
          </w:p>
        </w:tc>
        <w:tc>
          <w:tcPr>
            <w:tcW w:w="0" w:type="auto"/>
            <w:tcBorders>
              <w:top w:val="nil"/>
              <w:left w:val="nil"/>
              <w:bottom w:val="nil"/>
              <w:right w:val="nil"/>
            </w:tcBorders>
            <w:shd w:val="clear" w:color="auto" w:fill="auto"/>
            <w:noWrap/>
            <w:vAlign w:val="center"/>
            <w:hideMark/>
          </w:tcPr>
          <w:p w14:paraId="7B81B5D1"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 </w:t>
            </w:r>
          </w:p>
        </w:tc>
        <w:tc>
          <w:tcPr>
            <w:tcW w:w="0" w:type="auto"/>
            <w:gridSpan w:val="3"/>
            <w:tcBorders>
              <w:top w:val="single" w:sz="4" w:space="0" w:color="auto"/>
              <w:left w:val="nil"/>
              <w:bottom w:val="nil"/>
              <w:right w:val="nil"/>
            </w:tcBorders>
            <w:shd w:val="clear" w:color="auto" w:fill="auto"/>
            <w:noWrap/>
            <w:vAlign w:val="center"/>
            <w:hideMark/>
          </w:tcPr>
          <w:p w14:paraId="3A291F32"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Masculino</w:t>
            </w:r>
          </w:p>
        </w:tc>
        <w:tc>
          <w:tcPr>
            <w:tcW w:w="0" w:type="auto"/>
            <w:tcBorders>
              <w:top w:val="nil"/>
              <w:left w:val="nil"/>
              <w:bottom w:val="nil"/>
              <w:right w:val="nil"/>
            </w:tcBorders>
            <w:shd w:val="clear" w:color="auto" w:fill="auto"/>
            <w:noWrap/>
            <w:vAlign w:val="center"/>
            <w:hideMark/>
          </w:tcPr>
          <w:p w14:paraId="569E8160"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 </w:t>
            </w:r>
          </w:p>
        </w:tc>
        <w:tc>
          <w:tcPr>
            <w:tcW w:w="0" w:type="auto"/>
            <w:tcBorders>
              <w:top w:val="nil"/>
              <w:left w:val="nil"/>
              <w:bottom w:val="nil"/>
              <w:right w:val="nil"/>
            </w:tcBorders>
            <w:shd w:val="clear" w:color="auto" w:fill="auto"/>
            <w:noWrap/>
            <w:vAlign w:val="center"/>
            <w:hideMark/>
          </w:tcPr>
          <w:p w14:paraId="19D63344"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 </w:t>
            </w:r>
          </w:p>
        </w:tc>
        <w:tc>
          <w:tcPr>
            <w:tcW w:w="0" w:type="auto"/>
            <w:tcBorders>
              <w:top w:val="nil"/>
              <w:left w:val="nil"/>
              <w:bottom w:val="nil"/>
              <w:right w:val="nil"/>
            </w:tcBorders>
            <w:shd w:val="clear" w:color="auto" w:fill="auto"/>
            <w:noWrap/>
            <w:vAlign w:val="center"/>
            <w:hideMark/>
          </w:tcPr>
          <w:p w14:paraId="4979870D"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 </w:t>
            </w:r>
          </w:p>
        </w:tc>
        <w:tc>
          <w:tcPr>
            <w:tcW w:w="0" w:type="auto"/>
            <w:tcBorders>
              <w:top w:val="nil"/>
              <w:left w:val="nil"/>
              <w:bottom w:val="nil"/>
              <w:right w:val="nil"/>
            </w:tcBorders>
            <w:shd w:val="clear" w:color="auto" w:fill="auto"/>
            <w:noWrap/>
            <w:vAlign w:val="center"/>
            <w:hideMark/>
          </w:tcPr>
          <w:p w14:paraId="563EE546"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 </w:t>
            </w:r>
          </w:p>
        </w:tc>
      </w:tr>
      <w:tr w:rsidR="009A7C44" w:rsidRPr="009A7C44" w14:paraId="1CB744BB" w14:textId="77777777" w:rsidTr="009A7C44">
        <w:trPr>
          <w:trHeight w:val="225"/>
        </w:trPr>
        <w:tc>
          <w:tcPr>
            <w:tcW w:w="0" w:type="auto"/>
            <w:vMerge/>
            <w:tcBorders>
              <w:top w:val="nil"/>
              <w:left w:val="nil"/>
              <w:bottom w:val="single" w:sz="4" w:space="0" w:color="000000"/>
              <w:right w:val="nil"/>
            </w:tcBorders>
            <w:vAlign w:val="center"/>
            <w:hideMark/>
          </w:tcPr>
          <w:p w14:paraId="6B16CEED" w14:textId="77777777" w:rsidR="009A7C44" w:rsidRPr="009A7C44" w:rsidRDefault="009A7C44" w:rsidP="009A7C44">
            <w:pPr>
              <w:spacing w:after="0" w:line="240" w:lineRule="auto"/>
              <w:ind w:firstLine="0"/>
              <w:jc w:val="left"/>
              <w:rPr>
                <w:rFonts w:ascii="Arial" w:hAnsi="Arial" w:cs="Arial"/>
                <w:color w:val="000000"/>
                <w:sz w:val="18"/>
                <w:szCs w:val="18"/>
              </w:rPr>
            </w:pPr>
          </w:p>
        </w:tc>
        <w:tc>
          <w:tcPr>
            <w:tcW w:w="0" w:type="auto"/>
            <w:tcBorders>
              <w:top w:val="nil"/>
              <w:left w:val="nil"/>
              <w:bottom w:val="single" w:sz="4" w:space="0" w:color="auto"/>
              <w:right w:val="nil"/>
            </w:tcBorders>
            <w:shd w:val="clear" w:color="auto" w:fill="auto"/>
            <w:noWrap/>
            <w:vAlign w:val="center"/>
            <w:hideMark/>
          </w:tcPr>
          <w:p w14:paraId="650D4684"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M</w:t>
            </w:r>
          </w:p>
        </w:tc>
        <w:tc>
          <w:tcPr>
            <w:tcW w:w="0" w:type="auto"/>
            <w:tcBorders>
              <w:top w:val="nil"/>
              <w:left w:val="nil"/>
              <w:bottom w:val="single" w:sz="4" w:space="0" w:color="auto"/>
              <w:right w:val="nil"/>
            </w:tcBorders>
            <w:shd w:val="clear" w:color="auto" w:fill="auto"/>
            <w:noWrap/>
            <w:vAlign w:val="center"/>
            <w:hideMark/>
          </w:tcPr>
          <w:p w14:paraId="49572FDC"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SD</w:t>
            </w:r>
          </w:p>
        </w:tc>
        <w:tc>
          <w:tcPr>
            <w:tcW w:w="0" w:type="auto"/>
            <w:tcBorders>
              <w:top w:val="nil"/>
              <w:left w:val="nil"/>
              <w:bottom w:val="single" w:sz="4" w:space="0" w:color="auto"/>
              <w:right w:val="nil"/>
            </w:tcBorders>
            <w:shd w:val="clear" w:color="auto" w:fill="auto"/>
            <w:noWrap/>
            <w:vAlign w:val="center"/>
            <w:hideMark/>
          </w:tcPr>
          <w:p w14:paraId="30D3F911"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Mdn</w:t>
            </w:r>
          </w:p>
        </w:tc>
        <w:tc>
          <w:tcPr>
            <w:tcW w:w="0" w:type="auto"/>
            <w:tcBorders>
              <w:top w:val="nil"/>
              <w:left w:val="nil"/>
              <w:bottom w:val="single" w:sz="4" w:space="0" w:color="auto"/>
              <w:right w:val="nil"/>
            </w:tcBorders>
            <w:shd w:val="clear" w:color="auto" w:fill="auto"/>
            <w:noWrap/>
            <w:vAlign w:val="center"/>
            <w:hideMark/>
          </w:tcPr>
          <w:p w14:paraId="4F06DB77"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 </w:t>
            </w:r>
          </w:p>
        </w:tc>
        <w:tc>
          <w:tcPr>
            <w:tcW w:w="0" w:type="auto"/>
            <w:tcBorders>
              <w:top w:val="single" w:sz="4" w:space="0" w:color="auto"/>
              <w:left w:val="nil"/>
              <w:bottom w:val="single" w:sz="4" w:space="0" w:color="auto"/>
              <w:right w:val="nil"/>
            </w:tcBorders>
            <w:shd w:val="clear" w:color="auto" w:fill="auto"/>
            <w:noWrap/>
            <w:vAlign w:val="center"/>
            <w:hideMark/>
          </w:tcPr>
          <w:p w14:paraId="551E3959"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M</w:t>
            </w:r>
          </w:p>
        </w:tc>
        <w:tc>
          <w:tcPr>
            <w:tcW w:w="0" w:type="auto"/>
            <w:tcBorders>
              <w:top w:val="single" w:sz="4" w:space="0" w:color="auto"/>
              <w:left w:val="nil"/>
              <w:bottom w:val="single" w:sz="4" w:space="0" w:color="auto"/>
              <w:right w:val="nil"/>
            </w:tcBorders>
            <w:shd w:val="clear" w:color="auto" w:fill="auto"/>
            <w:noWrap/>
            <w:vAlign w:val="center"/>
            <w:hideMark/>
          </w:tcPr>
          <w:p w14:paraId="038AF25D"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SD</w:t>
            </w:r>
          </w:p>
        </w:tc>
        <w:tc>
          <w:tcPr>
            <w:tcW w:w="0" w:type="auto"/>
            <w:tcBorders>
              <w:top w:val="single" w:sz="4" w:space="0" w:color="auto"/>
              <w:left w:val="nil"/>
              <w:bottom w:val="single" w:sz="4" w:space="0" w:color="auto"/>
              <w:right w:val="nil"/>
            </w:tcBorders>
            <w:shd w:val="clear" w:color="auto" w:fill="auto"/>
            <w:noWrap/>
            <w:vAlign w:val="center"/>
            <w:hideMark/>
          </w:tcPr>
          <w:p w14:paraId="048083E6"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Mdn</w:t>
            </w:r>
          </w:p>
        </w:tc>
        <w:tc>
          <w:tcPr>
            <w:tcW w:w="0" w:type="auto"/>
            <w:tcBorders>
              <w:top w:val="nil"/>
              <w:left w:val="nil"/>
              <w:bottom w:val="single" w:sz="4" w:space="0" w:color="auto"/>
              <w:right w:val="nil"/>
            </w:tcBorders>
            <w:shd w:val="clear" w:color="auto" w:fill="auto"/>
            <w:noWrap/>
            <w:vAlign w:val="center"/>
            <w:hideMark/>
          </w:tcPr>
          <w:p w14:paraId="5150C52D"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14:paraId="22A93926"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U</w:t>
            </w:r>
          </w:p>
        </w:tc>
        <w:tc>
          <w:tcPr>
            <w:tcW w:w="0" w:type="auto"/>
            <w:tcBorders>
              <w:top w:val="nil"/>
              <w:left w:val="nil"/>
              <w:bottom w:val="single" w:sz="4" w:space="0" w:color="auto"/>
              <w:right w:val="nil"/>
            </w:tcBorders>
            <w:shd w:val="clear" w:color="auto" w:fill="auto"/>
            <w:noWrap/>
            <w:vAlign w:val="center"/>
            <w:hideMark/>
          </w:tcPr>
          <w:p w14:paraId="51022C90"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z</w:t>
            </w:r>
          </w:p>
        </w:tc>
        <w:tc>
          <w:tcPr>
            <w:tcW w:w="0" w:type="auto"/>
            <w:tcBorders>
              <w:top w:val="nil"/>
              <w:left w:val="nil"/>
              <w:bottom w:val="single" w:sz="4" w:space="0" w:color="auto"/>
              <w:right w:val="nil"/>
            </w:tcBorders>
            <w:shd w:val="clear" w:color="auto" w:fill="auto"/>
            <w:noWrap/>
            <w:vAlign w:val="center"/>
            <w:hideMark/>
          </w:tcPr>
          <w:p w14:paraId="5B746E45"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p</w:t>
            </w:r>
          </w:p>
        </w:tc>
      </w:tr>
      <w:tr w:rsidR="009A7C44" w:rsidRPr="009A7C44" w14:paraId="3B876ECA" w14:textId="77777777" w:rsidTr="009A7C44">
        <w:trPr>
          <w:trHeight w:val="225"/>
        </w:trPr>
        <w:tc>
          <w:tcPr>
            <w:tcW w:w="0" w:type="auto"/>
            <w:tcBorders>
              <w:top w:val="nil"/>
              <w:left w:val="nil"/>
              <w:bottom w:val="nil"/>
              <w:right w:val="nil"/>
            </w:tcBorders>
            <w:shd w:val="clear" w:color="auto" w:fill="auto"/>
            <w:noWrap/>
            <w:vAlign w:val="center"/>
            <w:hideMark/>
          </w:tcPr>
          <w:p w14:paraId="3DD4707B"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Edad</w:t>
            </w:r>
          </w:p>
        </w:tc>
        <w:tc>
          <w:tcPr>
            <w:tcW w:w="0" w:type="auto"/>
            <w:tcBorders>
              <w:top w:val="nil"/>
              <w:left w:val="nil"/>
              <w:bottom w:val="nil"/>
              <w:right w:val="nil"/>
            </w:tcBorders>
            <w:shd w:val="clear" w:color="auto" w:fill="auto"/>
            <w:noWrap/>
            <w:vAlign w:val="center"/>
            <w:hideMark/>
          </w:tcPr>
          <w:p w14:paraId="19EC0184"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43,33</w:t>
            </w:r>
          </w:p>
        </w:tc>
        <w:tc>
          <w:tcPr>
            <w:tcW w:w="0" w:type="auto"/>
            <w:tcBorders>
              <w:top w:val="nil"/>
              <w:left w:val="nil"/>
              <w:bottom w:val="nil"/>
              <w:right w:val="nil"/>
            </w:tcBorders>
            <w:shd w:val="clear" w:color="auto" w:fill="auto"/>
            <w:noWrap/>
            <w:vAlign w:val="center"/>
            <w:hideMark/>
          </w:tcPr>
          <w:p w14:paraId="0E02EED6"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16,35</w:t>
            </w:r>
          </w:p>
        </w:tc>
        <w:tc>
          <w:tcPr>
            <w:tcW w:w="0" w:type="auto"/>
            <w:tcBorders>
              <w:top w:val="nil"/>
              <w:left w:val="nil"/>
              <w:bottom w:val="nil"/>
              <w:right w:val="nil"/>
            </w:tcBorders>
            <w:shd w:val="clear" w:color="auto" w:fill="auto"/>
            <w:noWrap/>
            <w:vAlign w:val="center"/>
            <w:hideMark/>
          </w:tcPr>
          <w:p w14:paraId="21913EF7"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44,00</w:t>
            </w:r>
          </w:p>
        </w:tc>
        <w:tc>
          <w:tcPr>
            <w:tcW w:w="0" w:type="auto"/>
            <w:tcBorders>
              <w:top w:val="nil"/>
              <w:left w:val="nil"/>
              <w:bottom w:val="nil"/>
              <w:right w:val="nil"/>
            </w:tcBorders>
            <w:shd w:val="clear" w:color="auto" w:fill="auto"/>
            <w:noWrap/>
            <w:vAlign w:val="center"/>
            <w:hideMark/>
          </w:tcPr>
          <w:p w14:paraId="5C295E8C"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3A1D1260"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41,00</w:t>
            </w:r>
          </w:p>
        </w:tc>
        <w:tc>
          <w:tcPr>
            <w:tcW w:w="0" w:type="auto"/>
            <w:tcBorders>
              <w:top w:val="nil"/>
              <w:left w:val="nil"/>
              <w:bottom w:val="nil"/>
              <w:right w:val="nil"/>
            </w:tcBorders>
            <w:shd w:val="clear" w:color="auto" w:fill="auto"/>
            <w:noWrap/>
            <w:vAlign w:val="center"/>
            <w:hideMark/>
          </w:tcPr>
          <w:p w14:paraId="0856CDD6"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14,52</w:t>
            </w:r>
          </w:p>
        </w:tc>
        <w:tc>
          <w:tcPr>
            <w:tcW w:w="0" w:type="auto"/>
            <w:tcBorders>
              <w:top w:val="nil"/>
              <w:left w:val="nil"/>
              <w:bottom w:val="nil"/>
              <w:right w:val="nil"/>
            </w:tcBorders>
            <w:shd w:val="clear" w:color="auto" w:fill="auto"/>
            <w:noWrap/>
            <w:vAlign w:val="center"/>
            <w:hideMark/>
          </w:tcPr>
          <w:p w14:paraId="05233FDF"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39,00</w:t>
            </w:r>
          </w:p>
        </w:tc>
        <w:tc>
          <w:tcPr>
            <w:tcW w:w="0" w:type="auto"/>
            <w:tcBorders>
              <w:top w:val="nil"/>
              <w:left w:val="nil"/>
              <w:bottom w:val="nil"/>
              <w:right w:val="nil"/>
            </w:tcBorders>
            <w:shd w:val="clear" w:color="auto" w:fill="auto"/>
            <w:noWrap/>
            <w:vAlign w:val="center"/>
            <w:hideMark/>
          </w:tcPr>
          <w:p w14:paraId="3455F92C"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6144D86F"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8911,50</w:t>
            </w:r>
          </w:p>
        </w:tc>
        <w:tc>
          <w:tcPr>
            <w:tcW w:w="0" w:type="auto"/>
            <w:tcBorders>
              <w:top w:val="nil"/>
              <w:left w:val="nil"/>
              <w:bottom w:val="nil"/>
              <w:right w:val="nil"/>
            </w:tcBorders>
            <w:shd w:val="clear" w:color="auto" w:fill="auto"/>
            <w:noWrap/>
            <w:vAlign w:val="center"/>
            <w:hideMark/>
          </w:tcPr>
          <w:p w14:paraId="29301728"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-1,03</w:t>
            </w:r>
          </w:p>
        </w:tc>
        <w:tc>
          <w:tcPr>
            <w:tcW w:w="0" w:type="auto"/>
            <w:tcBorders>
              <w:top w:val="nil"/>
              <w:left w:val="nil"/>
              <w:bottom w:val="nil"/>
              <w:right w:val="nil"/>
            </w:tcBorders>
            <w:shd w:val="clear" w:color="auto" w:fill="auto"/>
            <w:noWrap/>
            <w:vAlign w:val="center"/>
            <w:hideMark/>
          </w:tcPr>
          <w:p w14:paraId="34F52489"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0,303</w:t>
            </w:r>
          </w:p>
        </w:tc>
      </w:tr>
      <w:tr w:rsidR="009A7C44" w:rsidRPr="009A7C44" w14:paraId="37391278" w14:textId="77777777" w:rsidTr="00C0343E">
        <w:trPr>
          <w:trHeight w:val="225"/>
        </w:trPr>
        <w:tc>
          <w:tcPr>
            <w:tcW w:w="0" w:type="auto"/>
            <w:tcBorders>
              <w:top w:val="nil"/>
              <w:left w:val="nil"/>
              <w:bottom w:val="single" w:sz="4" w:space="0" w:color="auto"/>
              <w:right w:val="nil"/>
            </w:tcBorders>
            <w:shd w:val="clear" w:color="auto" w:fill="auto"/>
            <w:noWrap/>
            <w:vAlign w:val="center"/>
            <w:hideMark/>
          </w:tcPr>
          <w:p w14:paraId="55B21F1D"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Nivel educativo</w:t>
            </w:r>
          </w:p>
        </w:tc>
        <w:tc>
          <w:tcPr>
            <w:tcW w:w="0" w:type="auto"/>
            <w:tcBorders>
              <w:top w:val="nil"/>
              <w:left w:val="nil"/>
              <w:bottom w:val="single" w:sz="4" w:space="0" w:color="auto"/>
              <w:right w:val="nil"/>
            </w:tcBorders>
            <w:shd w:val="clear" w:color="auto" w:fill="auto"/>
            <w:noWrap/>
            <w:vAlign w:val="center"/>
            <w:hideMark/>
          </w:tcPr>
          <w:p w14:paraId="2D606C4F" w14:textId="77777777" w:rsidR="009A7C44" w:rsidRPr="009A7C44" w:rsidRDefault="009A7C44" w:rsidP="009A7C44">
            <w:pPr>
              <w:spacing w:after="0" w:line="240" w:lineRule="auto"/>
              <w:ind w:firstLine="0"/>
              <w:jc w:val="left"/>
              <w:rPr>
                <w:rFonts w:ascii="Arial" w:hAnsi="Arial" w:cs="Arial"/>
                <w:color w:val="000000"/>
                <w:sz w:val="18"/>
                <w:szCs w:val="18"/>
              </w:rPr>
            </w:pPr>
          </w:p>
        </w:tc>
        <w:tc>
          <w:tcPr>
            <w:tcW w:w="0" w:type="auto"/>
            <w:tcBorders>
              <w:top w:val="nil"/>
              <w:left w:val="nil"/>
              <w:bottom w:val="single" w:sz="4" w:space="0" w:color="auto"/>
              <w:right w:val="nil"/>
            </w:tcBorders>
            <w:shd w:val="clear" w:color="auto" w:fill="auto"/>
            <w:noWrap/>
            <w:vAlign w:val="center"/>
            <w:hideMark/>
          </w:tcPr>
          <w:p w14:paraId="6727E531" w14:textId="77777777" w:rsidR="009A7C44" w:rsidRPr="009A7C44" w:rsidRDefault="009A7C44" w:rsidP="009A7C44">
            <w:pPr>
              <w:spacing w:after="0" w:line="240" w:lineRule="auto"/>
              <w:ind w:firstLine="0"/>
              <w:jc w:val="center"/>
              <w:rPr>
                <w:sz w:val="18"/>
                <w:szCs w:val="18"/>
              </w:rPr>
            </w:pPr>
          </w:p>
        </w:tc>
        <w:tc>
          <w:tcPr>
            <w:tcW w:w="0" w:type="auto"/>
            <w:tcBorders>
              <w:top w:val="nil"/>
              <w:left w:val="nil"/>
              <w:bottom w:val="single" w:sz="4" w:space="0" w:color="auto"/>
              <w:right w:val="nil"/>
            </w:tcBorders>
            <w:shd w:val="clear" w:color="auto" w:fill="auto"/>
            <w:noWrap/>
            <w:vAlign w:val="center"/>
            <w:hideMark/>
          </w:tcPr>
          <w:p w14:paraId="0090887C" w14:textId="246E9DF6"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7,00</w:t>
            </w:r>
          </w:p>
        </w:tc>
        <w:tc>
          <w:tcPr>
            <w:tcW w:w="0" w:type="auto"/>
            <w:tcBorders>
              <w:top w:val="nil"/>
              <w:left w:val="nil"/>
              <w:bottom w:val="single" w:sz="4" w:space="0" w:color="auto"/>
              <w:right w:val="nil"/>
            </w:tcBorders>
            <w:shd w:val="clear" w:color="auto" w:fill="auto"/>
            <w:noWrap/>
            <w:vAlign w:val="center"/>
            <w:hideMark/>
          </w:tcPr>
          <w:p w14:paraId="43D09DF1"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single" w:sz="4" w:space="0" w:color="auto"/>
              <w:right w:val="nil"/>
            </w:tcBorders>
            <w:shd w:val="clear" w:color="auto" w:fill="auto"/>
            <w:noWrap/>
            <w:vAlign w:val="center"/>
            <w:hideMark/>
          </w:tcPr>
          <w:p w14:paraId="3547F66D" w14:textId="77777777" w:rsidR="009A7C44" w:rsidRPr="009A7C44" w:rsidRDefault="009A7C44" w:rsidP="009A7C44">
            <w:pPr>
              <w:spacing w:after="0" w:line="240" w:lineRule="auto"/>
              <w:ind w:firstLine="0"/>
              <w:jc w:val="center"/>
              <w:rPr>
                <w:sz w:val="18"/>
                <w:szCs w:val="18"/>
              </w:rPr>
            </w:pPr>
          </w:p>
        </w:tc>
        <w:tc>
          <w:tcPr>
            <w:tcW w:w="0" w:type="auto"/>
            <w:tcBorders>
              <w:top w:val="nil"/>
              <w:left w:val="nil"/>
              <w:bottom w:val="single" w:sz="4" w:space="0" w:color="auto"/>
              <w:right w:val="nil"/>
            </w:tcBorders>
            <w:shd w:val="clear" w:color="auto" w:fill="auto"/>
            <w:noWrap/>
            <w:vAlign w:val="center"/>
            <w:hideMark/>
          </w:tcPr>
          <w:p w14:paraId="24C58AAB" w14:textId="77777777" w:rsidR="009A7C44" w:rsidRPr="009A7C44" w:rsidRDefault="009A7C44" w:rsidP="009A7C44">
            <w:pPr>
              <w:spacing w:after="0" w:line="240" w:lineRule="auto"/>
              <w:ind w:firstLine="0"/>
              <w:jc w:val="center"/>
              <w:rPr>
                <w:sz w:val="18"/>
                <w:szCs w:val="18"/>
              </w:rPr>
            </w:pPr>
          </w:p>
        </w:tc>
        <w:tc>
          <w:tcPr>
            <w:tcW w:w="0" w:type="auto"/>
            <w:tcBorders>
              <w:top w:val="nil"/>
              <w:left w:val="nil"/>
              <w:bottom w:val="single" w:sz="4" w:space="0" w:color="auto"/>
              <w:right w:val="nil"/>
            </w:tcBorders>
            <w:shd w:val="clear" w:color="auto" w:fill="auto"/>
            <w:noWrap/>
            <w:vAlign w:val="center"/>
            <w:hideMark/>
          </w:tcPr>
          <w:p w14:paraId="49657825" w14:textId="0D6CCC2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8,00</w:t>
            </w:r>
          </w:p>
        </w:tc>
        <w:tc>
          <w:tcPr>
            <w:tcW w:w="0" w:type="auto"/>
            <w:tcBorders>
              <w:top w:val="nil"/>
              <w:left w:val="nil"/>
              <w:bottom w:val="single" w:sz="4" w:space="0" w:color="auto"/>
              <w:right w:val="nil"/>
            </w:tcBorders>
            <w:shd w:val="clear" w:color="auto" w:fill="auto"/>
            <w:noWrap/>
            <w:vAlign w:val="center"/>
            <w:hideMark/>
          </w:tcPr>
          <w:p w14:paraId="54BEFBDB"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single" w:sz="4" w:space="0" w:color="auto"/>
              <w:right w:val="nil"/>
            </w:tcBorders>
            <w:shd w:val="clear" w:color="auto" w:fill="auto"/>
            <w:noWrap/>
            <w:vAlign w:val="center"/>
            <w:hideMark/>
          </w:tcPr>
          <w:p w14:paraId="3DD0E749"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9001,00</w:t>
            </w:r>
          </w:p>
        </w:tc>
        <w:tc>
          <w:tcPr>
            <w:tcW w:w="0" w:type="auto"/>
            <w:tcBorders>
              <w:top w:val="nil"/>
              <w:left w:val="nil"/>
              <w:bottom w:val="single" w:sz="4" w:space="0" w:color="auto"/>
              <w:right w:val="nil"/>
            </w:tcBorders>
            <w:shd w:val="clear" w:color="auto" w:fill="auto"/>
            <w:noWrap/>
            <w:vAlign w:val="center"/>
            <w:hideMark/>
          </w:tcPr>
          <w:p w14:paraId="1245B67C"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-0,91</w:t>
            </w:r>
          </w:p>
        </w:tc>
        <w:tc>
          <w:tcPr>
            <w:tcW w:w="0" w:type="auto"/>
            <w:tcBorders>
              <w:top w:val="nil"/>
              <w:left w:val="nil"/>
              <w:bottom w:val="single" w:sz="4" w:space="0" w:color="auto"/>
              <w:right w:val="nil"/>
            </w:tcBorders>
            <w:shd w:val="clear" w:color="auto" w:fill="auto"/>
            <w:noWrap/>
            <w:vAlign w:val="center"/>
            <w:hideMark/>
          </w:tcPr>
          <w:p w14:paraId="17767A28"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0,362</w:t>
            </w:r>
          </w:p>
        </w:tc>
      </w:tr>
      <w:tr w:rsidR="009A7C44" w:rsidRPr="009A7C44" w14:paraId="2BAEA1AA" w14:textId="77777777" w:rsidTr="00C0343E">
        <w:trPr>
          <w:trHeight w:val="225"/>
        </w:trPr>
        <w:tc>
          <w:tcPr>
            <w:tcW w:w="0" w:type="auto"/>
            <w:tcBorders>
              <w:top w:val="single" w:sz="4" w:space="0" w:color="auto"/>
              <w:left w:val="nil"/>
              <w:bottom w:val="nil"/>
              <w:right w:val="nil"/>
            </w:tcBorders>
            <w:shd w:val="clear" w:color="auto" w:fill="auto"/>
            <w:noWrap/>
            <w:vAlign w:val="center"/>
            <w:hideMark/>
          </w:tcPr>
          <w:p w14:paraId="23865971"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lastRenderedPageBreak/>
              <w:t>Ansiedad fóbica</w:t>
            </w:r>
          </w:p>
        </w:tc>
        <w:tc>
          <w:tcPr>
            <w:tcW w:w="0" w:type="auto"/>
            <w:tcBorders>
              <w:top w:val="single" w:sz="4" w:space="0" w:color="auto"/>
              <w:left w:val="nil"/>
              <w:bottom w:val="nil"/>
              <w:right w:val="nil"/>
            </w:tcBorders>
            <w:shd w:val="clear" w:color="auto" w:fill="auto"/>
            <w:noWrap/>
            <w:vAlign w:val="center"/>
            <w:hideMark/>
          </w:tcPr>
          <w:p w14:paraId="74220157" w14:textId="41BFD2DB"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0,78</w:t>
            </w:r>
          </w:p>
        </w:tc>
        <w:tc>
          <w:tcPr>
            <w:tcW w:w="0" w:type="auto"/>
            <w:tcBorders>
              <w:top w:val="single" w:sz="4" w:space="0" w:color="auto"/>
              <w:left w:val="nil"/>
              <w:bottom w:val="nil"/>
              <w:right w:val="nil"/>
            </w:tcBorders>
            <w:shd w:val="clear" w:color="auto" w:fill="auto"/>
            <w:noWrap/>
            <w:vAlign w:val="center"/>
            <w:hideMark/>
          </w:tcPr>
          <w:p w14:paraId="579A56C6" w14:textId="650E06A2"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1,01</w:t>
            </w:r>
          </w:p>
        </w:tc>
        <w:tc>
          <w:tcPr>
            <w:tcW w:w="0" w:type="auto"/>
            <w:tcBorders>
              <w:top w:val="single" w:sz="4" w:space="0" w:color="auto"/>
              <w:left w:val="nil"/>
              <w:bottom w:val="nil"/>
              <w:right w:val="nil"/>
            </w:tcBorders>
            <w:shd w:val="clear" w:color="auto" w:fill="auto"/>
            <w:noWrap/>
            <w:vAlign w:val="center"/>
            <w:hideMark/>
          </w:tcPr>
          <w:p w14:paraId="56FFC09F" w14:textId="3BA045D9"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0,33</w:t>
            </w:r>
          </w:p>
        </w:tc>
        <w:tc>
          <w:tcPr>
            <w:tcW w:w="0" w:type="auto"/>
            <w:tcBorders>
              <w:top w:val="single" w:sz="4" w:space="0" w:color="auto"/>
              <w:left w:val="nil"/>
              <w:bottom w:val="nil"/>
              <w:right w:val="nil"/>
            </w:tcBorders>
            <w:shd w:val="clear" w:color="auto" w:fill="auto"/>
            <w:noWrap/>
            <w:vAlign w:val="center"/>
            <w:hideMark/>
          </w:tcPr>
          <w:p w14:paraId="2C8D73AC"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single" w:sz="4" w:space="0" w:color="auto"/>
              <w:left w:val="nil"/>
              <w:bottom w:val="nil"/>
              <w:right w:val="nil"/>
            </w:tcBorders>
            <w:shd w:val="clear" w:color="auto" w:fill="auto"/>
            <w:noWrap/>
            <w:vAlign w:val="center"/>
            <w:hideMark/>
          </w:tcPr>
          <w:p w14:paraId="499B5424" w14:textId="66215E93"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0,61</w:t>
            </w:r>
          </w:p>
        </w:tc>
        <w:tc>
          <w:tcPr>
            <w:tcW w:w="0" w:type="auto"/>
            <w:tcBorders>
              <w:top w:val="single" w:sz="4" w:space="0" w:color="auto"/>
              <w:left w:val="nil"/>
              <w:bottom w:val="nil"/>
              <w:right w:val="nil"/>
            </w:tcBorders>
            <w:shd w:val="clear" w:color="auto" w:fill="auto"/>
            <w:noWrap/>
            <w:vAlign w:val="center"/>
            <w:hideMark/>
          </w:tcPr>
          <w:p w14:paraId="66F7CDEE" w14:textId="5C6F749F"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0,91</w:t>
            </w:r>
          </w:p>
        </w:tc>
        <w:tc>
          <w:tcPr>
            <w:tcW w:w="0" w:type="auto"/>
            <w:tcBorders>
              <w:top w:val="single" w:sz="4" w:space="0" w:color="auto"/>
              <w:left w:val="nil"/>
              <w:bottom w:val="nil"/>
              <w:right w:val="nil"/>
            </w:tcBorders>
            <w:shd w:val="clear" w:color="auto" w:fill="auto"/>
            <w:noWrap/>
            <w:vAlign w:val="center"/>
            <w:hideMark/>
          </w:tcPr>
          <w:p w14:paraId="4BA41008" w14:textId="21E0BB34"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0,00</w:t>
            </w:r>
          </w:p>
        </w:tc>
        <w:tc>
          <w:tcPr>
            <w:tcW w:w="0" w:type="auto"/>
            <w:tcBorders>
              <w:top w:val="single" w:sz="4" w:space="0" w:color="auto"/>
              <w:left w:val="nil"/>
              <w:bottom w:val="nil"/>
              <w:right w:val="nil"/>
            </w:tcBorders>
            <w:shd w:val="clear" w:color="auto" w:fill="auto"/>
            <w:noWrap/>
            <w:vAlign w:val="center"/>
            <w:hideMark/>
          </w:tcPr>
          <w:p w14:paraId="7007E44F"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single" w:sz="4" w:space="0" w:color="auto"/>
              <w:left w:val="nil"/>
              <w:bottom w:val="nil"/>
              <w:right w:val="nil"/>
            </w:tcBorders>
            <w:shd w:val="clear" w:color="auto" w:fill="auto"/>
            <w:noWrap/>
            <w:vAlign w:val="center"/>
            <w:hideMark/>
          </w:tcPr>
          <w:p w14:paraId="79CEAFFE"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8631,50</w:t>
            </w:r>
          </w:p>
        </w:tc>
        <w:tc>
          <w:tcPr>
            <w:tcW w:w="0" w:type="auto"/>
            <w:tcBorders>
              <w:top w:val="single" w:sz="4" w:space="0" w:color="auto"/>
              <w:left w:val="nil"/>
              <w:bottom w:val="nil"/>
              <w:right w:val="nil"/>
            </w:tcBorders>
            <w:shd w:val="clear" w:color="auto" w:fill="auto"/>
            <w:noWrap/>
            <w:vAlign w:val="center"/>
            <w:hideMark/>
          </w:tcPr>
          <w:p w14:paraId="0942A8E0"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-1,54</w:t>
            </w:r>
          </w:p>
        </w:tc>
        <w:tc>
          <w:tcPr>
            <w:tcW w:w="0" w:type="auto"/>
            <w:tcBorders>
              <w:top w:val="single" w:sz="4" w:space="0" w:color="auto"/>
              <w:left w:val="nil"/>
              <w:bottom w:val="nil"/>
              <w:right w:val="nil"/>
            </w:tcBorders>
            <w:shd w:val="clear" w:color="auto" w:fill="auto"/>
            <w:noWrap/>
            <w:vAlign w:val="center"/>
            <w:hideMark/>
          </w:tcPr>
          <w:p w14:paraId="5D5547C1"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0,124</w:t>
            </w:r>
          </w:p>
        </w:tc>
      </w:tr>
      <w:tr w:rsidR="009A7C44" w:rsidRPr="009A7C44" w14:paraId="212F5D99" w14:textId="77777777" w:rsidTr="009A7C44">
        <w:trPr>
          <w:trHeight w:val="225"/>
        </w:trPr>
        <w:tc>
          <w:tcPr>
            <w:tcW w:w="0" w:type="auto"/>
            <w:tcBorders>
              <w:top w:val="nil"/>
              <w:left w:val="nil"/>
              <w:bottom w:val="nil"/>
              <w:right w:val="nil"/>
            </w:tcBorders>
            <w:shd w:val="clear" w:color="auto" w:fill="auto"/>
            <w:noWrap/>
            <w:vAlign w:val="center"/>
            <w:hideMark/>
          </w:tcPr>
          <w:p w14:paraId="657CB579"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Ideación paranoide</w:t>
            </w:r>
          </w:p>
        </w:tc>
        <w:tc>
          <w:tcPr>
            <w:tcW w:w="0" w:type="auto"/>
            <w:tcBorders>
              <w:top w:val="nil"/>
              <w:left w:val="nil"/>
              <w:bottom w:val="nil"/>
              <w:right w:val="nil"/>
            </w:tcBorders>
            <w:shd w:val="clear" w:color="auto" w:fill="auto"/>
            <w:noWrap/>
            <w:vAlign w:val="center"/>
            <w:hideMark/>
          </w:tcPr>
          <w:p w14:paraId="7C4ABE11" w14:textId="51804ABB"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1,19</w:t>
            </w:r>
          </w:p>
        </w:tc>
        <w:tc>
          <w:tcPr>
            <w:tcW w:w="0" w:type="auto"/>
            <w:tcBorders>
              <w:top w:val="nil"/>
              <w:left w:val="nil"/>
              <w:bottom w:val="nil"/>
              <w:right w:val="nil"/>
            </w:tcBorders>
            <w:shd w:val="clear" w:color="auto" w:fill="auto"/>
            <w:noWrap/>
            <w:vAlign w:val="center"/>
            <w:hideMark/>
          </w:tcPr>
          <w:p w14:paraId="5A6A8D95" w14:textId="7AA347FF"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0,90</w:t>
            </w:r>
          </w:p>
        </w:tc>
        <w:tc>
          <w:tcPr>
            <w:tcW w:w="0" w:type="auto"/>
            <w:tcBorders>
              <w:top w:val="nil"/>
              <w:left w:val="nil"/>
              <w:bottom w:val="nil"/>
              <w:right w:val="nil"/>
            </w:tcBorders>
            <w:shd w:val="clear" w:color="auto" w:fill="auto"/>
            <w:noWrap/>
            <w:vAlign w:val="center"/>
            <w:hideMark/>
          </w:tcPr>
          <w:p w14:paraId="44C66D43" w14:textId="4FD864CF"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1,00</w:t>
            </w:r>
          </w:p>
        </w:tc>
        <w:tc>
          <w:tcPr>
            <w:tcW w:w="0" w:type="auto"/>
            <w:tcBorders>
              <w:top w:val="nil"/>
              <w:left w:val="nil"/>
              <w:bottom w:val="nil"/>
              <w:right w:val="nil"/>
            </w:tcBorders>
            <w:shd w:val="clear" w:color="auto" w:fill="auto"/>
            <w:noWrap/>
            <w:vAlign w:val="center"/>
            <w:hideMark/>
          </w:tcPr>
          <w:p w14:paraId="0B5A7EE8"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29C33C69" w14:textId="2936128F"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1,28</w:t>
            </w:r>
          </w:p>
        </w:tc>
        <w:tc>
          <w:tcPr>
            <w:tcW w:w="0" w:type="auto"/>
            <w:tcBorders>
              <w:top w:val="nil"/>
              <w:left w:val="nil"/>
              <w:bottom w:val="nil"/>
              <w:right w:val="nil"/>
            </w:tcBorders>
            <w:shd w:val="clear" w:color="auto" w:fill="auto"/>
            <w:noWrap/>
            <w:vAlign w:val="center"/>
            <w:hideMark/>
          </w:tcPr>
          <w:p w14:paraId="41F14F7A" w14:textId="3AD9E6E2"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0,98</w:t>
            </w:r>
          </w:p>
        </w:tc>
        <w:tc>
          <w:tcPr>
            <w:tcW w:w="0" w:type="auto"/>
            <w:tcBorders>
              <w:top w:val="nil"/>
              <w:left w:val="nil"/>
              <w:bottom w:val="nil"/>
              <w:right w:val="nil"/>
            </w:tcBorders>
            <w:shd w:val="clear" w:color="auto" w:fill="auto"/>
            <w:noWrap/>
            <w:vAlign w:val="center"/>
            <w:hideMark/>
          </w:tcPr>
          <w:p w14:paraId="6182D229" w14:textId="457A74DC"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1,17</w:t>
            </w:r>
          </w:p>
        </w:tc>
        <w:tc>
          <w:tcPr>
            <w:tcW w:w="0" w:type="auto"/>
            <w:tcBorders>
              <w:top w:val="nil"/>
              <w:left w:val="nil"/>
              <w:bottom w:val="nil"/>
              <w:right w:val="nil"/>
            </w:tcBorders>
            <w:shd w:val="clear" w:color="auto" w:fill="auto"/>
            <w:noWrap/>
            <w:vAlign w:val="center"/>
            <w:hideMark/>
          </w:tcPr>
          <w:p w14:paraId="72C55CBD"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1883A371"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9207,50</w:t>
            </w:r>
          </w:p>
        </w:tc>
        <w:tc>
          <w:tcPr>
            <w:tcW w:w="0" w:type="auto"/>
            <w:tcBorders>
              <w:top w:val="nil"/>
              <w:left w:val="nil"/>
              <w:bottom w:val="nil"/>
              <w:right w:val="nil"/>
            </w:tcBorders>
            <w:shd w:val="clear" w:color="auto" w:fill="auto"/>
            <w:noWrap/>
            <w:vAlign w:val="center"/>
            <w:hideMark/>
          </w:tcPr>
          <w:p w14:paraId="0D21E55E"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-0,59</w:t>
            </w:r>
          </w:p>
        </w:tc>
        <w:tc>
          <w:tcPr>
            <w:tcW w:w="0" w:type="auto"/>
            <w:tcBorders>
              <w:top w:val="nil"/>
              <w:left w:val="nil"/>
              <w:bottom w:val="nil"/>
              <w:right w:val="nil"/>
            </w:tcBorders>
            <w:shd w:val="clear" w:color="auto" w:fill="auto"/>
            <w:noWrap/>
            <w:vAlign w:val="center"/>
            <w:hideMark/>
          </w:tcPr>
          <w:p w14:paraId="68690D47"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0,554</w:t>
            </w:r>
          </w:p>
        </w:tc>
      </w:tr>
      <w:tr w:rsidR="009A7C44" w:rsidRPr="009A7C44" w14:paraId="339AE8D5" w14:textId="77777777" w:rsidTr="009A7C44">
        <w:trPr>
          <w:trHeight w:val="225"/>
        </w:trPr>
        <w:tc>
          <w:tcPr>
            <w:tcW w:w="0" w:type="auto"/>
            <w:tcBorders>
              <w:top w:val="nil"/>
              <w:left w:val="nil"/>
              <w:bottom w:val="nil"/>
              <w:right w:val="nil"/>
            </w:tcBorders>
            <w:shd w:val="clear" w:color="auto" w:fill="auto"/>
            <w:noWrap/>
            <w:vAlign w:val="center"/>
            <w:hideMark/>
          </w:tcPr>
          <w:p w14:paraId="31267346"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Somatización</w:t>
            </w:r>
          </w:p>
        </w:tc>
        <w:tc>
          <w:tcPr>
            <w:tcW w:w="0" w:type="auto"/>
            <w:tcBorders>
              <w:top w:val="nil"/>
              <w:left w:val="nil"/>
              <w:bottom w:val="nil"/>
              <w:right w:val="nil"/>
            </w:tcBorders>
            <w:shd w:val="clear" w:color="auto" w:fill="auto"/>
            <w:noWrap/>
            <w:vAlign w:val="center"/>
            <w:hideMark/>
          </w:tcPr>
          <w:p w14:paraId="2B212337" w14:textId="6D3626ED"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1,17</w:t>
            </w:r>
          </w:p>
        </w:tc>
        <w:tc>
          <w:tcPr>
            <w:tcW w:w="0" w:type="auto"/>
            <w:tcBorders>
              <w:top w:val="nil"/>
              <w:left w:val="nil"/>
              <w:bottom w:val="nil"/>
              <w:right w:val="nil"/>
            </w:tcBorders>
            <w:shd w:val="clear" w:color="auto" w:fill="auto"/>
            <w:noWrap/>
            <w:vAlign w:val="center"/>
            <w:hideMark/>
          </w:tcPr>
          <w:p w14:paraId="3150C634" w14:textId="721DC1DE"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1,09</w:t>
            </w:r>
          </w:p>
        </w:tc>
        <w:tc>
          <w:tcPr>
            <w:tcW w:w="0" w:type="auto"/>
            <w:tcBorders>
              <w:top w:val="nil"/>
              <w:left w:val="nil"/>
              <w:bottom w:val="nil"/>
              <w:right w:val="nil"/>
            </w:tcBorders>
            <w:shd w:val="clear" w:color="auto" w:fill="auto"/>
            <w:noWrap/>
            <w:vAlign w:val="center"/>
            <w:hideMark/>
          </w:tcPr>
          <w:p w14:paraId="02D08ED6" w14:textId="3CB6E768"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1,00</w:t>
            </w:r>
          </w:p>
        </w:tc>
        <w:tc>
          <w:tcPr>
            <w:tcW w:w="0" w:type="auto"/>
            <w:tcBorders>
              <w:top w:val="nil"/>
              <w:left w:val="nil"/>
              <w:bottom w:val="nil"/>
              <w:right w:val="nil"/>
            </w:tcBorders>
            <w:shd w:val="clear" w:color="auto" w:fill="auto"/>
            <w:noWrap/>
            <w:vAlign w:val="center"/>
            <w:hideMark/>
          </w:tcPr>
          <w:p w14:paraId="16046855"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42234E63" w14:textId="1A72B3AB"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1,04</w:t>
            </w:r>
          </w:p>
        </w:tc>
        <w:tc>
          <w:tcPr>
            <w:tcW w:w="0" w:type="auto"/>
            <w:tcBorders>
              <w:top w:val="nil"/>
              <w:left w:val="nil"/>
              <w:bottom w:val="nil"/>
              <w:right w:val="nil"/>
            </w:tcBorders>
            <w:shd w:val="clear" w:color="auto" w:fill="auto"/>
            <w:noWrap/>
            <w:vAlign w:val="center"/>
            <w:hideMark/>
          </w:tcPr>
          <w:p w14:paraId="5F82FDB6" w14:textId="547B2DE3"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1,13</w:t>
            </w:r>
          </w:p>
        </w:tc>
        <w:tc>
          <w:tcPr>
            <w:tcW w:w="0" w:type="auto"/>
            <w:tcBorders>
              <w:top w:val="nil"/>
              <w:left w:val="nil"/>
              <w:bottom w:val="nil"/>
              <w:right w:val="nil"/>
            </w:tcBorders>
            <w:shd w:val="clear" w:color="auto" w:fill="auto"/>
            <w:noWrap/>
            <w:vAlign w:val="center"/>
            <w:hideMark/>
          </w:tcPr>
          <w:p w14:paraId="3F4C0F7A" w14:textId="05E1F3E4"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0,67</w:t>
            </w:r>
          </w:p>
        </w:tc>
        <w:tc>
          <w:tcPr>
            <w:tcW w:w="0" w:type="auto"/>
            <w:tcBorders>
              <w:top w:val="nil"/>
              <w:left w:val="nil"/>
              <w:bottom w:val="nil"/>
              <w:right w:val="nil"/>
            </w:tcBorders>
            <w:shd w:val="clear" w:color="auto" w:fill="auto"/>
            <w:noWrap/>
            <w:vAlign w:val="center"/>
            <w:hideMark/>
          </w:tcPr>
          <w:p w14:paraId="63FA856C"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1CDD72BA"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8669,50</w:t>
            </w:r>
          </w:p>
        </w:tc>
        <w:tc>
          <w:tcPr>
            <w:tcW w:w="0" w:type="auto"/>
            <w:tcBorders>
              <w:top w:val="nil"/>
              <w:left w:val="nil"/>
              <w:bottom w:val="nil"/>
              <w:right w:val="nil"/>
            </w:tcBorders>
            <w:shd w:val="clear" w:color="auto" w:fill="auto"/>
            <w:noWrap/>
            <w:vAlign w:val="center"/>
            <w:hideMark/>
          </w:tcPr>
          <w:p w14:paraId="76871206"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-1,41</w:t>
            </w:r>
          </w:p>
        </w:tc>
        <w:tc>
          <w:tcPr>
            <w:tcW w:w="0" w:type="auto"/>
            <w:tcBorders>
              <w:top w:val="nil"/>
              <w:left w:val="nil"/>
              <w:bottom w:val="nil"/>
              <w:right w:val="nil"/>
            </w:tcBorders>
            <w:shd w:val="clear" w:color="auto" w:fill="auto"/>
            <w:noWrap/>
            <w:vAlign w:val="center"/>
            <w:hideMark/>
          </w:tcPr>
          <w:p w14:paraId="36CB62D2"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0,157</w:t>
            </w:r>
          </w:p>
        </w:tc>
      </w:tr>
      <w:tr w:rsidR="009A7C44" w:rsidRPr="009A7C44" w14:paraId="2BF10A80" w14:textId="77777777" w:rsidTr="009A7C44">
        <w:trPr>
          <w:trHeight w:val="225"/>
        </w:trPr>
        <w:tc>
          <w:tcPr>
            <w:tcW w:w="0" w:type="auto"/>
            <w:tcBorders>
              <w:top w:val="nil"/>
              <w:left w:val="nil"/>
              <w:bottom w:val="nil"/>
              <w:right w:val="nil"/>
            </w:tcBorders>
            <w:shd w:val="clear" w:color="auto" w:fill="auto"/>
            <w:noWrap/>
            <w:vAlign w:val="center"/>
            <w:hideMark/>
          </w:tcPr>
          <w:p w14:paraId="58E30559"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Hostilidad</w:t>
            </w:r>
          </w:p>
        </w:tc>
        <w:tc>
          <w:tcPr>
            <w:tcW w:w="0" w:type="auto"/>
            <w:tcBorders>
              <w:top w:val="nil"/>
              <w:left w:val="nil"/>
              <w:bottom w:val="nil"/>
              <w:right w:val="nil"/>
            </w:tcBorders>
            <w:shd w:val="clear" w:color="auto" w:fill="auto"/>
            <w:noWrap/>
            <w:vAlign w:val="center"/>
            <w:hideMark/>
          </w:tcPr>
          <w:p w14:paraId="18511C99" w14:textId="189A297C"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0,56</w:t>
            </w:r>
          </w:p>
        </w:tc>
        <w:tc>
          <w:tcPr>
            <w:tcW w:w="0" w:type="auto"/>
            <w:tcBorders>
              <w:top w:val="nil"/>
              <w:left w:val="nil"/>
              <w:bottom w:val="nil"/>
              <w:right w:val="nil"/>
            </w:tcBorders>
            <w:shd w:val="clear" w:color="auto" w:fill="auto"/>
            <w:noWrap/>
            <w:vAlign w:val="center"/>
            <w:hideMark/>
          </w:tcPr>
          <w:p w14:paraId="7AC2D752" w14:textId="07DADB5A"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0,77</w:t>
            </w:r>
          </w:p>
        </w:tc>
        <w:tc>
          <w:tcPr>
            <w:tcW w:w="0" w:type="auto"/>
            <w:tcBorders>
              <w:top w:val="nil"/>
              <w:left w:val="nil"/>
              <w:bottom w:val="nil"/>
              <w:right w:val="nil"/>
            </w:tcBorders>
            <w:shd w:val="clear" w:color="auto" w:fill="auto"/>
            <w:noWrap/>
            <w:vAlign w:val="center"/>
            <w:hideMark/>
          </w:tcPr>
          <w:p w14:paraId="1FCB5868" w14:textId="78DFCC8B"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0,33</w:t>
            </w:r>
          </w:p>
        </w:tc>
        <w:tc>
          <w:tcPr>
            <w:tcW w:w="0" w:type="auto"/>
            <w:tcBorders>
              <w:top w:val="nil"/>
              <w:left w:val="nil"/>
              <w:bottom w:val="nil"/>
              <w:right w:val="nil"/>
            </w:tcBorders>
            <w:shd w:val="clear" w:color="auto" w:fill="auto"/>
            <w:noWrap/>
            <w:vAlign w:val="center"/>
            <w:hideMark/>
          </w:tcPr>
          <w:p w14:paraId="570B4BBF"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6765C08A" w14:textId="3D63780B"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0,70</w:t>
            </w:r>
          </w:p>
        </w:tc>
        <w:tc>
          <w:tcPr>
            <w:tcW w:w="0" w:type="auto"/>
            <w:tcBorders>
              <w:top w:val="nil"/>
              <w:left w:val="nil"/>
              <w:bottom w:val="nil"/>
              <w:right w:val="nil"/>
            </w:tcBorders>
            <w:shd w:val="clear" w:color="auto" w:fill="auto"/>
            <w:noWrap/>
            <w:vAlign w:val="center"/>
            <w:hideMark/>
          </w:tcPr>
          <w:p w14:paraId="45986C63" w14:textId="149C49BD"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0,95</w:t>
            </w:r>
          </w:p>
        </w:tc>
        <w:tc>
          <w:tcPr>
            <w:tcW w:w="0" w:type="auto"/>
            <w:tcBorders>
              <w:top w:val="nil"/>
              <w:left w:val="nil"/>
              <w:bottom w:val="nil"/>
              <w:right w:val="nil"/>
            </w:tcBorders>
            <w:shd w:val="clear" w:color="auto" w:fill="auto"/>
            <w:noWrap/>
            <w:vAlign w:val="center"/>
            <w:hideMark/>
          </w:tcPr>
          <w:p w14:paraId="0382EE48" w14:textId="48562EBF"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0,33</w:t>
            </w:r>
          </w:p>
        </w:tc>
        <w:tc>
          <w:tcPr>
            <w:tcW w:w="0" w:type="auto"/>
            <w:tcBorders>
              <w:top w:val="nil"/>
              <w:left w:val="nil"/>
              <w:bottom w:val="nil"/>
              <w:right w:val="nil"/>
            </w:tcBorders>
            <w:shd w:val="clear" w:color="auto" w:fill="auto"/>
            <w:noWrap/>
            <w:vAlign w:val="center"/>
            <w:hideMark/>
          </w:tcPr>
          <w:p w14:paraId="50FBEB3D"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6B7C6E01"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9166,50</w:t>
            </w:r>
          </w:p>
        </w:tc>
        <w:tc>
          <w:tcPr>
            <w:tcW w:w="0" w:type="auto"/>
            <w:tcBorders>
              <w:top w:val="nil"/>
              <w:left w:val="nil"/>
              <w:bottom w:val="nil"/>
              <w:right w:val="nil"/>
            </w:tcBorders>
            <w:shd w:val="clear" w:color="auto" w:fill="auto"/>
            <w:noWrap/>
            <w:vAlign w:val="center"/>
            <w:hideMark/>
          </w:tcPr>
          <w:p w14:paraId="1F951D51"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-0,69</w:t>
            </w:r>
          </w:p>
        </w:tc>
        <w:tc>
          <w:tcPr>
            <w:tcW w:w="0" w:type="auto"/>
            <w:tcBorders>
              <w:top w:val="nil"/>
              <w:left w:val="nil"/>
              <w:bottom w:val="nil"/>
              <w:right w:val="nil"/>
            </w:tcBorders>
            <w:shd w:val="clear" w:color="auto" w:fill="auto"/>
            <w:noWrap/>
            <w:vAlign w:val="center"/>
            <w:hideMark/>
          </w:tcPr>
          <w:p w14:paraId="36927721"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0,492</w:t>
            </w:r>
          </w:p>
        </w:tc>
      </w:tr>
      <w:tr w:rsidR="009A7C44" w:rsidRPr="009A7C44" w14:paraId="6933A46A" w14:textId="77777777" w:rsidTr="009A7C44">
        <w:trPr>
          <w:trHeight w:val="225"/>
        </w:trPr>
        <w:tc>
          <w:tcPr>
            <w:tcW w:w="0" w:type="auto"/>
            <w:tcBorders>
              <w:top w:val="nil"/>
              <w:left w:val="nil"/>
              <w:bottom w:val="nil"/>
              <w:right w:val="nil"/>
            </w:tcBorders>
            <w:shd w:val="clear" w:color="auto" w:fill="auto"/>
            <w:noWrap/>
            <w:vAlign w:val="center"/>
            <w:hideMark/>
          </w:tcPr>
          <w:p w14:paraId="592C9E59"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Depresión</w:t>
            </w:r>
          </w:p>
        </w:tc>
        <w:tc>
          <w:tcPr>
            <w:tcW w:w="0" w:type="auto"/>
            <w:tcBorders>
              <w:top w:val="nil"/>
              <w:left w:val="nil"/>
              <w:bottom w:val="nil"/>
              <w:right w:val="nil"/>
            </w:tcBorders>
            <w:shd w:val="clear" w:color="auto" w:fill="auto"/>
            <w:noWrap/>
            <w:vAlign w:val="center"/>
            <w:hideMark/>
          </w:tcPr>
          <w:p w14:paraId="1FC3B1F9" w14:textId="6D3EADB0"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1,54</w:t>
            </w:r>
          </w:p>
        </w:tc>
        <w:tc>
          <w:tcPr>
            <w:tcW w:w="0" w:type="auto"/>
            <w:tcBorders>
              <w:top w:val="nil"/>
              <w:left w:val="nil"/>
              <w:bottom w:val="nil"/>
              <w:right w:val="nil"/>
            </w:tcBorders>
            <w:shd w:val="clear" w:color="auto" w:fill="auto"/>
            <w:noWrap/>
            <w:vAlign w:val="center"/>
            <w:hideMark/>
          </w:tcPr>
          <w:p w14:paraId="318F57AD" w14:textId="5C7822C6"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1,07</w:t>
            </w:r>
          </w:p>
        </w:tc>
        <w:tc>
          <w:tcPr>
            <w:tcW w:w="0" w:type="auto"/>
            <w:tcBorders>
              <w:top w:val="nil"/>
              <w:left w:val="nil"/>
              <w:bottom w:val="nil"/>
              <w:right w:val="nil"/>
            </w:tcBorders>
            <w:shd w:val="clear" w:color="auto" w:fill="auto"/>
            <w:noWrap/>
            <w:vAlign w:val="center"/>
            <w:hideMark/>
          </w:tcPr>
          <w:p w14:paraId="632366DB" w14:textId="57086A38"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1,33</w:t>
            </w:r>
          </w:p>
        </w:tc>
        <w:tc>
          <w:tcPr>
            <w:tcW w:w="0" w:type="auto"/>
            <w:tcBorders>
              <w:top w:val="nil"/>
              <w:left w:val="nil"/>
              <w:bottom w:val="nil"/>
              <w:right w:val="nil"/>
            </w:tcBorders>
            <w:shd w:val="clear" w:color="auto" w:fill="auto"/>
            <w:noWrap/>
            <w:vAlign w:val="center"/>
            <w:hideMark/>
          </w:tcPr>
          <w:p w14:paraId="602DC5AF"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5705BA84" w14:textId="2C011E6E"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1,39</w:t>
            </w:r>
          </w:p>
        </w:tc>
        <w:tc>
          <w:tcPr>
            <w:tcW w:w="0" w:type="auto"/>
            <w:tcBorders>
              <w:top w:val="nil"/>
              <w:left w:val="nil"/>
              <w:bottom w:val="nil"/>
              <w:right w:val="nil"/>
            </w:tcBorders>
            <w:shd w:val="clear" w:color="auto" w:fill="auto"/>
            <w:noWrap/>
            <w:vAlign w:val="center"/>
            <w:hideMark/>
          </w:tcPr>
          <w:p w14:paraId="11D14208" w14:textId="4AC59D31"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1,18</w:t>
            </w:r>
          </w:p>
        </w:tc>
        <w:tc>
          <w:tcPr>
            <w:tcW w:w="0" w:type="auto"/>
            <w:tcBorders>
              <w:top w:val="nil"/>
              <w:left w:val="nil"/>
              <w:bottom w:val="nil"/>
              <w:right w:val="nil"/>
            </w:tcBorders>
            <w:shd w:val="clear" w:color="auto" w:fill="auto"/>
            <w:noWrap/>
            <w:vAlign w:val="center"/>
            <w:hideMark/>
          </w:tcPr>
          <w:p w14:paraId="23DEEBD9" w14:textId="2D4C22B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1,33</w:t>
            </w:r>
          </w:p>
        </w:tc>
        <w:tc>
          <w:tcPr>
            <w:tcW w:w="0" w:type="auto"/>
            <w:tcBorders>
              <w:top w:val="nil"/>
              <w:left w:val="nil"/>
              <w:bottom w:val="nil"/>
              <w:right w:val="nil"/>
            </w:tcBorders>
            <w:shd w:val="clear" w:color="auto" w:fill="auto"/>
            <w:noWrap/>
            <w:vAlign w:val="center"/>
            <w:hideMark/>
          </w:tcPr>
          <w:p w14:paraId="3A0AAD7D"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46AE5D17"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8631,50</w:t>
            </w:r>
          </w:p>
        </w:tc>
        <w:tc>
          <w:tcPr>
            <w:tcW w:w="0" w:type="auto"/>
            <w:tcBorders>
              <w:top w:val="nil"/>
              <w:left w:val="nil"/>
              <w:bottom w:val="nil"/>
              <w:right w:val="nil"/>
            </w:tcBorders>
            <w:shd w:val="clear" w:color="auto" w:fill="auto"/>
            <w:noWrap/>
            <w:vAlign w:val="center"/>
            <w:hideMark/>
          </w:tcPr>
          <w:p w14:paraId="2A361C8A"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-1,46</w:t>
            </w:r>
          </w:p>
        </w:tc>
        <w:tc>
          <w:tcPr>
            <w:tcW w:w="0" w:type="auto"/>
            <w:tcBorders>
              <w:top w:val="nil"/>
              <w:left w:val="nil"/>
              <w:bottom w:val="nil"/>
              <w:right w:val="nil"/>
            </w:tcBorders>
            <w:shd w:val="clear" w:color="auto" w:fill="auto"/>
            <w:noWrap/>
            <w:vAlign w:val="center"/>
            <w:hideMark/>
          </w:tcPr>
          <w:p w14:paraId="78F1A429"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0,145</w:t>
            </w:r>
          </w:p>
        </w:tc>
      </w:tr>
      <w:tr w:rsidR="009A7C44" w:rsidRPr="009A7C44" w14:paraId="7E531C14" w14:textId="77777777" w:rsidTr="009A7C44">
        <w:trPr>
          <w:trHeight w:val="225"/>
        </w:trPr>
        <w:tc>
          <w:tcPr>
            <w:tcW w:w="0" w:type="auto"/>
            <w:tcBorders>
              <w:top w:val="nil"/>
              <w:left w:val="nil"/>
              <w:bottom w:val="nil"/>
              <w:right w:val="nil"/>
            </w:tcBorders>
            <w:shd w:val="clear" w:color="auto" w:fill="auto"/>
            <w:noWrap/>
            <w:vAlign w:val="center"/>
            <w:hideMark/>
          </w:tcPr>
          <w:p w14:paraId="7D376985"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Inseguridad personal</w:t>
            </w:r>
          </w:p>
        </w:tc>
        <w:tc>
          <w:tcPr>
            <w:tcW w:w="0" w:type="auto"/>
            <w:tcBorders>
              <w:top w:val="nil"/>
              <w:left w:val="nil"/>
              <w:bottom w:val="nil"/>
              <w:right w:val="nil"/>
            </w:tcBorders>
            <w:shd w:val="clear" w:color="auto" w:fill="auto"/>
            <w:noWrap/>
            <w:vAlign w:val="center"/>
            <w:hideMark/>
          </w:tcPr>
          <w:p w14:paraId="51D80C8D" w14:textId="51CAD448"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1,02</w:t>
            </w:r>
          </w:p>
        </w:tc>
        <w:tc>
          <w:tcPr>
            <w:tcW w:w="0" w:type="auto"/>
            <w:tcBorders>
              <w:top w:val="nil"/>
              <w:left w:val="nil"/>
              <w:bottom w:val="nil"/>
              <w:right w:val="nil"/>
            </w:tcBorders>
            <w:shd w:val="clear" w:color="auto" w:fill="auto"/>
            <w:noWrap/>
            <w:vAlign w:val="center"/>
            <w:hideMark/>
          </w:tcPr>
          <w:p w14:paraId="6866532A" w14:textId="2EE32E68"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1,05</w:t>
            </w:r>
          </w:p>
        </w:tc>
        <w:tc>
          <w:tcPr>
            <w:tcW w:w="0" w:type="auto"/>
            <w:tcBorders>
              <w:top w:val="nil"/>
              <w:left w:val="nil"/>
              <w:bottom w:val="nil"/>
              <w:right w:val="nil"/>
            </w:tcBorders>
            <w:shd w:val="clear" w:color="auto" w:fill="auto"/>
            <w:noWrap/>
            <w:vAlign w:val="center"/>
            <w:hideMark/>
          </w:tcPr>
          <w:p w14:paraId="38915936" w14:textId="0E89C99E"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0,67</w:t>
            </w:r>
          </w:p>
        </w:tc>
        <w:tc>
          <w:tcPr>
            <w:tcW w:w="0" w:type="auto"/>
            <w:tcBorders>
              <w:top w:val="nil"/>
              <w:left w:val="nil"/>
              <w:bottom w:val="nil"/>
              <w:right w:val="nil"/>
            </w:tcBorders>
            <w:shd w:val="clear" w:color="auto" w:fill="auto"/>
            <w:noWrap/>
            <w:vAlign w:val="center"/>
            <w:hideMark/>
          </w:tcPr>
          <w:p w14:paraId="3B18361F"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2AE1245F" w14:textId="41F93309"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1,10</w:t>
            </w:r>
          </w:p>
        </w:tc>
        <w:tc>
          <w:tcPr>
            <w:tcW w:w="0" w:type="auto"/>
            <w:tcBorders>
              <w:top w:val="nil"/>
              <w:left w:val="nil"/>
              <w:bottom w:val="nil"/>
              <w:right w:val="nil"/>
            </w:tcBorders>
            <w:shd w:val="clear" w:color="auto" w:fill="auto"/>
            <w:noWrap/>
            <w:vAlign w:val="center"/>
            <w:hideMark/>
          </w:tcPr>
          <w:p w14:paraId="1A3D1393" w14:textId="1A2C5039"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1,06</w:t>
            </w:r>
          </w:p>
        </w:tc>
        <w:tc>
          <w:tcPr>
            <w:tcW w:w="0" w:type="auto"/>
            <w:tcBorders>
              <w:top w:val="nil"/>
              <w:left w:val="nil"/>
              <w:bottom w:val="nil"/>
              <w:right w:val="nil"/>
            </w:tcBorders>
            <w:shd w:val="clear" w:color="auto" w:fill="auto"/>
            <w:noWrap/>
            <w:vAlign w:val="center"/>
            <w:hideMark/>
          </w:tcPr>
          <w:p w14:paraId="3424B7AF" w14:textId="5CDC8B5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0,67</w:t>
            </w:r>
          </w:p>
        </w:tc>
        <w:tc>
          <w:tcPr>
            <w:tcW w:w="0" w:type="auto"/>
            <w:tcBorders>
              <w:top w:val="nil"/>
              <w:left w:val="nil"/>
              <w:bottom w:val="nil"/>
              <w:right w:val="nil"/>
            </w:tcBorders>
            <w:shd w:val="clear" w:color="auto" w:fill="auto"/>
            <w:noWrap/>
            <w:vAlign w:val="center"/>
            <w:hideMark/>
          </w:tcPr>
          <w:p w14:paraId="7FA780C6"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580421B7"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9083,50</w:t>
            </w:r>
          </w:p>
        </w:tc>
        <w:tc>
          <w:tcPr>
            <w:tcW w:w="0" w:type="auto"/>
            <w:tcBorders>
              <w:top w:val="nil"/>
              <w:left w:val="nil"/>
              <w:bottom w:val="nil"/>
              <w:right w:val="nil"/>
            </w:tcBorders>
            <w:shd w:val="clear" w:color="auto" w:fill="auto"/>
            <w:noWrap/>
            <w:vAlign w:val="center"/>
            <w:hideMark/>
          </w:tcPr>
          <w:p w14:paraId="318E5800"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-0,78</w:t>
            </w:r>
          </w:p>
        </w:tc>
        <w:tc>
          <w:tcPr>
            <w:tcW w:w="0" w:type="auto"/>
            <w:tcBorders>
              <w:top w:val="nil"/>
              <w:left w:val="nil"/>
              <w:bottom w:val="nil"/>
              <w:right w:val="nil"/>
            </w:tcBorders>
            <w:shd w:val="clear" w:color="auto" w:fill="auto"/>
            <w:noWrap/>
            <w:vAlign w:val="center"/>
            <w:hideMark/>
          </w:tcPr>
          <w:p w14:paraId="3CD2CEC4"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0,433</w:t>
            </w:r>
          </w:p>
        </w:tc>
      </w:tr>
      <w:tr w:rsidR="009A7C44" w:rsidRPr="009A7C44" w14:paraId="4FF1E0F3" w14:textId="77777777" w:rsidTr="009A7C44">
        <w:trPr>
          <w:trHeight w:val="225"/>
        </w:trPr>
        <w:tc>
          <w:tcPr>
            <w:tcW w:w="0" w:type="auto"/>
            <w:tcBorders>
              <w:top w:val="nil"/>
              <w:left w:val="nil"/>
              <w:bottom w:val="nil"/>
              <w:right w:val="nil"/>
            </w:tcBorders>
            <w:shd w:val="clear" w:color="auto" w:fill="auto"/>
            <w:noWrap/>
            <w:vAlign w:val="center"/>
            <w:hideMark/>
          </w:tcPr>
          <w:p w14:paraId="5569142A"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Síntomas en general</w:t>
            </w:r>
          </w:p>
        </w:tc>
        <w:tc>
          <w:tcPr>
            <w:tcW w:w="0" w:type="auto"/>
            <w:tcBorders>
              <w:top w:val="nil"/>
              <w:left w:val="nil"/>
              <w:bottom w:val="nil"/>
              <w:right w:val="nil"/>
            </w:tcBorders>
            <w:shd w:val="clear" w:color="auto" w:fill="auto"/>
            <w:noWrap/>
            <w:vAlign w:val="center"/>
            <w:hideMark/>
          </w:tcPr>
          <w:p w14:paraId="3B37747D" w14:textId="0EA457D9"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1,04</w:t>
            </w:r>
          </w:p>
        </w:tc>
        <w:tc>
          <w:tcPr>
            <w:tcW w:w="0" w:type="auto"/>
            <w:tcBorders>
              <w:top w:val="nil"/>
              <w:left w:val="nil"/>
              <w:bottom w:val="nil"/>
              <w:right w:val="nil"/>
            </w:tcBorders>
            <w:shd w:val="clear" w:color="auto" w:fill="auto"/>
            <w:noWrap/>
            <w:vAlign w:val="center"/>
            <w:hideMark/>
          </w:tcPr>
          <w:p w14:paraId="597CA218" w14:textId="7708FD1D"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0,68</w:t>
            </w:r>
          </w:p>
        </w:tc>
        <w:tc>
          <w:tcPr>
            <w:tcW w:w="0" w:type="auto"/>
            <w:tcBorders>
              <w:top w:val="nil"/>
              <w:left w:val="nil"/>
              <w:bottom w:val="nil"/>
              <w:right w:val="nil"/>
            </w:tcBorders>
            <w:shd w:val="clear" w:color="auto" w:fill="auto"/>
            <w:noWrap/>
            <w:vAlign w:val="center"/>
            <w:hideMark/>
          </w:tcPr>
          <w:p w14:paraId="1D6365E3" w14:textId="40F19263"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0,89</w:t>
            </w:r>
          </w:p>
        </w:tc>
        <w:tc>
          <w:tcPr>
            <w:tcW w:w="0" w:type="auto"/>
            <w:tcBorders>
              <w:top w:val="nil"/>
              <w:left w:val="nil"/>
              <w:bottom w:val="nil"/>
              <w:right w:val="nil"/>
            </w:tcBorders>
            <w:shd w:val="clear" w:color="auto" w:fill="auto"/>
            <w:noWrap/>
            <w:vAlign w:val="center"/>
            <w:hideMark/>
          </w:tcPr>
          <w:p w14:paraId="09486FEA"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3AFA0B32" w14:textId="1027A84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1,02</w:t>
            </w:r>
          </w:p>
        </w:tc>
        <w:tc>
          <w:tcPr>
            <w:tcW w:w="0" w:type="auto"/>
            <w:tcBorders>
              <w:top w:val="nil"/>
              <w:left w:val="nil"/>
              <w:bottom w:val="nil"/>
              <w:right w:val="nil"/>
            </w:tcBorders>
            <w:shd w:val="clear" w:color="auto" w:fill="auto"/>
            <w:noWrap/>
            <w:vAlign w:val="center"/>
            <w:hideMark/>
          </w:tcPr>
          <w:p w14:paraId="258C56EE" w14:textId="310E5201"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0,79</w:t>
            </w:r>
          </w:p>
        </w:tc>
        <w:tc>
          <w:tcPr>
            <w:tcW w:w="0" w:type="auto"/>
            <w:tcBorders>
              <w:top w:val="nil"/>
              <w:left w:val="nil"/>
              <w:bottom w:val="nil"/>
              <w:right w:val="nil"/>
            </w:tcBorders>
            <w:shd w:val="clear" w:color="auto" w:fill="auto"/>
            <w:noWrap/>
            <w:vAlign w:val="center"/>
            <w:hideMark/>
          </w:tcPr>
          <w:p w14:paraId="13EFB32B" w14:textId="13DA5FAD"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FFFFFF" w:themeColor="background1"/>
                <w:sz w:val="18"/>
                <w:szCs w:val="18"/>
              </w:rPr>
              <w:t>0</w:t>
            </w:r>
            <w:r w:rsidRPr="009A7C44">
              <w:rPr>
                <w:rFonts w:ascii="Arial" w:hAnsi="Arial" w:cs="Arial"/>
                <w:color w:val="000000"/>
                <w:sz w:val="18"/>
                <w:szCs w:val="18"/>
              </w:rPr>
              <w:t>0,94</w:t>
            </w:r>
          </w:p>
        </w:tc>
        <w:tc>
          <w:tcPr>
            <w:tcW w:w="0" w:type="auto"/>
            <w:tcBorders>
              <w:top w:val="nil"/>
              <w:left w:val="nil"/>
              <w:bottom w:val="nil"/>
              <w:right w:val="nil"/>
            </w:tcBorders>
            <w:shd w:val="clear" w:color="auto" w:fill="auto"/>
            <w:noWrap/>
            <w:vAlign w:val="center"/>
            <w:hideMark/>
          </w:tcPr>
          <w:p w14:paraId="6DB92FC4" w14:textId="77777777" w:rsidR="009A7C44" w:rsidRPr="009A7C44" w:rsidRDefault="009A7C44" w:rsidP="009A7C44">
            <w:pPr>
              <w:spacing w:after="0" w:line="240" w:lineRule="auto"/>
              <w:ind w:firstLine="0"/>
              <w:jc w:val="center"/>
              <w:rPr>
                <w:rFonts w:ascii="Arial"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746A666A"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9122,00</w:t>
            </w:r>
          </w:p>
        </w:tc>
        <w:tc>
          <w:tcPr>
            <w:tcW w:w="0" w:type="auto"/>
            <w:tcBorders>
              <w:top w:val="nil"/>
              <w:left w:val="nil"/>
              <w:bottom w:val="nil"/>
              <w:right w:val="nil"/>
            </w:tcBorders>
            <w:shd w:val="clear" w:color="auto" w:fill="auto"/>
            <w:noWrap/>
            <w:vAlign w:val="center"/>
            <w:hideMark/>
          </w:tcPr>
          <w:p w14:paraId="30E7E639"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-0,72</w:t>
            </w:r>
          </w:p>
        </w:tc>
        <w:tc>
          <w:tcPr>
            <w:tcW w:w="0" w:type="auto"/>
            <w:tcBorders>
              <w:top w:val="nil"/>
              <w:left w:val="nil"/>
              <w:bottom w:val="nil"/>
              <w:right w:val="nil"/>
            </w:tcBorders>
            <w:shd w:val="clear" w:color="auto" w:fill="auto"/>
            <w:noWrap/>
            <w:vAlign w:val="center"/>
            <w:hideMark/>
          </w:tcPr>
          <w:p w14:paraId="4B77D9F8" w14:textId="77777777" w:rsidR="009A7C44" w:rsidRPr="009A7C44" w:rsidRDefault="009A7C44" w:rsidP="009A7C44">
            <w:pPr>
              <w:spacing w:after="0" w:line="240" w:lineRule="auto"/>
              <w:ind w:firstLine="0"/>
              <w:jc w:val="center"/>
              <w:rPr>
                <w:rFonts w:ascii="Arial" w:hAnsi="Arial" w:cs="Arial"/>
                <w:color w:val="000000"/>
                <w:sz w:val="18"/>
                <w:szCs w:val="18"/>
              </w:rPr>
            </w:pPr>
            <w:r w:rsidRPr="009A7C44">
              <w:rPr>
                <w:rFonts w:ascii="Arial" w:hAnsi="Arial" w:cs="Arial"/>
                <w:color w:val="000000"/>
                <w:sz w:val="18"/>
                <w:szCs w:val="18"/>
              </w:rPr>
              <w:t>0,474</w:t>
            </w:r>
          </w:p>
        </w:tc>
      </w:tr>
      <w:tr w:rsidR="009A7C44" w:rsidRPr="009A7C44" w14:paraId="449F95D4" w14:textId="77777777" w:rsidTr="009A7C44">
        <w:trPr>
          <w:trHeight w:val="225"/>
        </w:trPr>
        <w:tc>
          <w:tcPr>
            <w:tcW w:w="0" w:type="auto"/>
            <w:gridSpan w:val="12"/>
            <w:tcBorders>
              <w:top w:val="single" w:sz="4" w:space="0" w:color="auto"/>
              <w:left w:val="nil"/>
              <w:bottom w:val="nil"/>
              <w:right w:val="nil"/>
            </w:tcBorders>
            <w:shd w:val="clear" w:color="auto" w:fill="auto"/>
            <w:noWrap/>
            <w:vAlign w:val="center"/>
            <w:hideMark/>
          </w:tcPr>
          <w:p w14:paraId="0D4FACA9" w14:textId="77777777" w:rsidR="009A7C44" w:rsidRPr="009A7C44" w:rsidRDefault="009A7C44" w:rsidP="009A7C44">
            <w:pPr>
              <w:spacing w:after="0" w:line="240" w:lineRule="auto"/>
              <w:ind w:firstLine="0"/>
              <w:jc w:val="left"/>
              <w:rPr>
                <w:rFonts w:ascii="Arial" w:hAnsi="Arial" w:cs="Arial"/>
                <w:color w:val="000000"/>
                <w:sz w:val="18"/>
                <w:szCs w:val="18"/>
              </w:rPr>
            </w:pPr>
            <w:r w:rsidRPr="009A7C44">
              <w:rPr>
                <w:rFonts w:ascii="Arial" w:hAnsi="Arial" w:cs="Arial"/>
                <w:color w:val="000000"/>
                <w:sz w:val="18"/>
                <w:szCs w:val="18"/>
              </w:rPr>
              <w:t>Notas. n = 278; femenino = 150; masculino = 128; M, Media; SD, desviación estándar; Mdn, Mediana.</w:t>
            </w:r>
          </w:p>
        </w:tc>
      </w:tr>
    </w:tbl>
    <w:p w14:paraId="1000A67B" w14:textId="77777777" w:rsidR="009A7C44" w:rsidRDefault="009A7C44" w:rsidP="009A7C44">
      <w:pPr>
        <w:ind w:firstLine="0"/>
      </w:pPr>
    </w:p>
    <w:p w14:paraId="08F361C0" w14:textId="4785FDF8" w:rsidR="009A2149" w:rsidRDefault="009A2149" w:rsidP="004041B6">
      <w:pPr>
        <w:pStyle w:val="Ttulo2"/>
      </w:pPr>
      <w:r w:rsidRPr="00AE36FB">
        <w:t>Discusión</w:t>
      </w:r>
    </w:p>
    <w:p w14:paraId="0BAABEF9" w14:textId="598C2982" w:rsidR="001F285A" w:rsidRDefault="000C3674" w:rsidP="003059F8">
      <w:pPr>
        <w:rPr>
          <w:lang w:eastAsia="en-US"/>
        </w:rPr>
      </w:pPr>
      <w:r>
        <w:rPr>
          <w:lang w:eastAsia="en-US"/>
        </w:rPr>
        <w:t xml:space="preserve">Con el objetivo de </w:t>
      </w:r>
      <w:r w:rsidR="00936A8B">
        <w:rPr>
          <w:lang w:eastAsia="en-US"/>
        </w:rPr>
        <w:t xml:space="preserve">desarrollar una versión breve del SA-45 que </w:t>
      </w:r>
      <w:r w:rsidR="00C06B52">
        <w:rPr>
          <w:lang w:eastAsia="en-US"/>
        </w:rPr>
        <w:t>evalúe los</w:t>
      </w:r>
      <w:r w:rsidR="00936A8B">
        <w:rPr>
          <w:lang w:eastAsia="en-US"/>
        </w:rPr>
        <w:t xml:space="preserve"> síntomas </w:t>
      </w:r>
      <w:r w:rsidR="00C06B52">
        <w:rPr>
          <w:lang w:eastAsia="en-US"/>
        </w:rPr>
        <w:t xml:space="preserve">con un mínimo de </w:t>
      </w:r>
      <w:r w:rsidR="00995FFF">
        <w:t>correlaciones de los ítems con respecto a las distintas dimensiones del cuestionario</w:t>
      </w:r>
      <w:r w:rsidR="00936A8B">
        <w:rPr>
          <w:lang w:eastAsia="en-US"/>
        </w:rPr>
        <w:t xml:space="preserve">, </w:t>
      </w:r>
      <w:r>
        <w:rPr>
          <w:lang w:eastAsia="en-US"/>
        </w:rPr>
        <w:t xml:space="preserve">se </w:t>
      </w:r>
      <w:r w:rsidR="004041B6">
        <w:rPr>
          <w:lang w:eastAsia="en-US"/>
        </w:rPr>
        <w:t>realizó</w:t>
      </w:r>
      <w:r w:rsidR="00F930F4">
        <w:rPr>
          <w:lang w:eastAsia="en-US"/>
        </w:rPr>
        <w:t xml:space="preserve"> </w:t>
      </w:r>
      <w:r>
        <w:rPr>
          <w:lang w:eastAsia="en-US"/>
        </w:rPr>
        <w:t>un análisis factorial exploratorio</w:t>
      </w:r>
      <w:r w:rsidR="00995FFF">
        <w:rPr>
          <w:lang w:eastAsia="en-US"/>
        </w:rPr>
        <w:t xml:space="preserve"> y</w:t>
      </w:r>
      <w:r>
        <w:rPr>
          <w:lang w:eastAsia="en-US"/>
        </w:rPr>
        <w:t xml:space="preserve"> una </w:t>
      </w:r>
      <w:r w:rsidR="00C7277F">
        <w:rPr>
          <w:lang w:eastAsia="en-US"/>
        </w:rPr>
        <w:t>reducción de ítems</w:t>
      </w:r>
      <w:r w:rsidR="00995FFF">
        <w:rPr>
          <w:lang w:eastAsia="en-US"/>
        </w:rPr>
        <w:t>. En cumplimiento con el tercer objetivo de estudio, se llevó a cabo</w:t>
      </w:r>
      <w:r w:rsidR="004041B6" w:rsidRPr="004041B6">
        <w:rPr>
          <w:lang w:eastAsia="en-US"/>
        </w:rPr>
        <w:t xml:space="preserve"> </w:t>
      </w:r>
      <w:r w:rsidR="004041B6">
        <w:rPr>
          <w:lang w:eastAsia="en-US"/>
        </w:rPr>
        <w:t>un análisis factorial confirmatorio de varias estructuras factoriales</w:t>
      </w:r>
      <w:r w:rsidR="00995FFF">
        <w:rPr>
          <w:lang w:eastAsia="en-US"/>
        </w:rPr>
        <w:t xml:space="preserve"> y, con el fin de consolidar </w:t>
      </w:r>
      <w:r w:rsidR="00446C19">
        <w:rPr>
          <w:lang w:eastAsia="en-US"/>
        </w:rPr>
        <w:t>el resultado</w:t>
      </w:r>
      <w:r w:rsidR="00995FFF">
        <w:rPr>
          <w:lang w:eastAsia="en-US"/>
        </w:rPr>
        <w:t xml:space="preserve"> encontrad</w:t>
      </w:r>
      <w:r w:rsidR="00446C19">
        <w:rPr>
          <w:lang w:eastAsia="en-US"/>
        </w:rPr>
        <w:t>o</w:t>
      </w:r>
      <w:r w:rsidR="00995FFF">
        <w:rPr>
          <w:lang w:eastAsia="en-US"/>
        </w:rPr>
        <w:t>,</w:t>
      </w:r>
      <w:r w:rsidR="004041B6">
        <w:rPr>
          <w:lang w:eastAsia="en-US"/>
        </w:rPr>
        <w:t xml:space="preserve"> </w:t>
      </w:r>
      <w:r>
        <w:rPr>
          <w:lang w:eastAsia="en-US"/>
        </w:rPr>
        <w:t>una comprobación de la validez convergente y un análisis multigrupo para determinar la invarianza factorial</w:t>
      </w:r>
      <w:r w:rsidR="005C02F7">
        <w:rPr>
          <w:lang w:eastAsia="en-US"/>
        </w:rPr>
        <w:t xml:space="preserve"> </w:t>
      </w:r>
      <w:r>
        <w:rPr>
          <w:lang w:eastAsia="en-US"/>
        </w:rPr>
        <w:t>por género.</w:t>
      </w:r>
      <w:r w:rsidR="005C02F7">
        <w:rPr>
          <w:lang w:eastAsia="en-US"/>
        </w:rPr>
        <w:t xml:space="preserve"> </w:t>
      </w:r>
    </w:p>
    <w:p w14:paraId="3202FE15" w14:textId="6B4E251A" w:rsidR="0014184A" w:rsidRDefault="004041B6" w:rsidP="0014184A">
      <w:r>
        <w:rPr>
          <w:lang w:eastAsia="en-US"/>
        </w:rPr>
        <w:t>De acuerdo con los valores de corte</w:t>
      </w:r>
      <w:r w:rsidR="00F91988">
        <w:rPr>
          <w:lang w:eastAsia="en-US"/>
        </w:rPr>
        <w:t xml:space="preserve"> </w:t>
      </w:r>
      <w:r>
        <w:rPr>
          <w:lang w:eastAsia="en-US"/>
        </w:rPr>
        <w:t>que</w:t>
      </w:r>
      <w:r w:rsidR="00F91988">
        <w:rPr>
          <w:lang w:eastAsia="en-US"/>
        </w:rPr>
        <w:t xml:space="preserve"> </w:t>
      </w:r>
      <w:r w:rsidR="00936A8B">
        <w:rPr>
          <w:lang w:eastAsia="en-US"/>
        </w:rPr>
        <w:fldChar w:fldCharType="begin" w:fldLock="1"/>
      </w:r>
      <w:r w:rsidR="0097395E">
        <w:rPr>
          <w:lang w:eastAsia="en-US"/>
        </w:rPr>
        <w:instrText>ADDIN CSL_CITATION {"citationItems":[{"id":"ITEM-1","itemData":{"author":[{"dropping-particle":"","family":"Yu","given":"Ching-Yun","non-dropping-particle":"","parse-names":false,"suffix":""}],"id":"ITEM-1","issued":{"date-parts":[["2002"]]},"publisher":"University of California, Los Angeles Los Angeles, CA","title":"Evaluating cutoff criteria of model fit indices for latent variable models with binary and continuous outcomes","type":"thesis"},"uris":["http://www.mendeley.com/documents/?uuid=ae0d5540-4b18-41e9-a2ab-3656237bed89"]}],"mendeley":{"formattedCitation":"(Yu, 2002)","manualFormatting":"Yu (2002)","plainTextFormattedCitation":"(Yu, 2002)","previouslyFormattedCitation":"(Yu, 2002)"},"properties":{"noteIndex":0},"schema":"https://github.com/citation-style-language/schema/raw/master/csl-citation.json"}</w:instrText>
      </w:r>
      <w:r w:rsidR="00936A8B">
        <w:rPr>
          <w:lang w:eastAsia="en-US"/>
        </w:rPr>
        <w:fldChar w:fldCharType="separate"/>
      </w:r>
      <w:r w:rsidR="00936A8B" w:rsidRPr="00936A8B">
        <w:rPr>
          <w:noProof/>
          <w:lang w:eastAsia="en-US"/>
        </w:rPr>
        <w:t xml:space="preserve">Yu </w:t>
      </w:r>
      <w:r w:rsidR="00936A8B">
        <w:rPr>
          <w:noProof/>
          <w:lang w:eastAsia="en-US"/>
        </w:rPr>
        <w:t>(</w:t>
      </w:r>
      <w:r w:rsidR="00936A8B" w:rsidRPr="00936A8B">
        <w:rPr>
          <w:noProof/>
          <w:lang w:eastAsia="en-US"/>
        </w:rPr>
        <w:t>2002)</w:t>
      </w:r>
      <w:r w:rsidR="00936A8B">
        <w:rPr>
          <w:lang w:eastAsia="en-US"/>
        </w:rPr>
        <w:fldChar w:fldCharType="end"/>
      </w:r>
      <w:r w:rsidR="00936A8B">
        <w:rPr>
          <w:lang w:eastAsia="en-US"/>
        </w:rPr>
        <w:t xml:space="preserve"> </w:t>
      </w:r>
      <w:r>
        <w:rPr>
          <w:lang w:eastAsia="en-US"/>
        </w:rPr>
        <w:t>sugiere para la evaluación de modelos de ecuaciones estructurales</w:t>
      </w:r>
      <w:r w:rsidR="00936A8B">
        <w:rPr>
          <w:lang w:eastAsia="en-US"/>
        </w:rPr>
        <w:t xml:space="preserve"> con las características del presente estudio</w:t>
      </w:r>
      <w:r w:rsidR="00F91988">
        <w:rPr>
          <w:lang w:eastAsia="en-US"/>
        </w:rPr>
        <w:t xml:space="preserve">, </w:t>
      </w:r>
      <w:r>
        <w:rPr>
          <w:lang w:eastAsia="en-US"/>
        </w:rPr>
        <w:t xml:space="preserve">se observó que </w:t>
      </w:r>
      <w:r w:rsidR="00C7277F">
        <w:rPr>
          <w:lang w:eastAsia="en-US"/>
        </w:rPr>
        <w:t>el instrumento original no obtuvo unos índices de ajuste adecuados.</w:t>
      </w:r>
      <w:r w:rsidR="006B55F6">
        <w:rPr>
          <w:lang w:eastAsia="en-US"/>
        </w:rPr>
        <w:t xml:space="preserve"> </w:t>
      </w:r>
      <w:r w:rsidR="00927A7C">
        <w:rPr>
          <w:lang w:eastAsia="en-US"/>
        </w:rPr>
        <w:t xml:space="preserve">Tras </w:t>
      </w:r>
      <w:r w:rsidR="00C7277F">
        <w:rPr>
          <w:lang w:eastAsia="en-US"/>
        </w:rPr>
        <w:t>una</w:t>
      </w:r>
      <w:r w:rsidR="00927A7C">
        <w:rPr>
          <w:lang w:eastAsia="en-US"/>
        </w:rPr>
        <w:t xml:space="preserve"> medida de purificación</w:t>
      </w:r>
      <w:r w:rsidR="00C7277F" w:rsidRPr="00C7277F">
        <w:rPr>
          <w:lang w:eastAsia="en-US"/>
        </w:rPr>
        <w:t xml:space="preserve"> </w:t>
      </w:r>
      <w:r w:rsidR="00C7277F">
        <w:rPr>
          <w:lang w:eastAsia="en-US"/>
        </w:rPr>
        <w:t xml:space="preserve">basada en el índice de complejidad de </w:t>
      </w:r>
      <w:r w:rsidR="00C7277F">
        <w:rPr>
          <w:lang w:eastAsia="en-US"/>
        </w:rPr>
        <w:fldChar w:fldCharType="begin" w:fldLock="1"/>
      </w:r>
      <w:r w:rsidR="00C7277F">
        <w:rPr>
          <w:lang w:eastAsia="en-US"/>
        </w:rPr>
        <w:instrText>ADDIN CSL_CITATION {"citationItems":[{"id":"ITEM-1","itemData":{"DOI":"10.1207/s15327906mbr1302_9","ISSN":"0027-3171","author":[{"dropping-particle":"","family":"Hofmann","given":"Richard J.","non-dropping-particle":"","parse-names":false,"suffix":""}],"container-title":"Multivariate Behavioral Research","id":"ITEM-1","issue":"2","issued":{"date-parts":[["1978","4","10"]]},"page":"247-250","title":"Complexity And Simplicity As Objective Indices Descriptive Of Factor Solutions","type":"article-journal","volume":"13"},"uris":["http://www.mendeley.com/documents/?uuid=832843f7-ab03-459c-b5be-09dace7ff0be"]}],"mendeley":{"formattedCitation":"(Hofmann, 1978)","manualFormatting":"Hofmann (1978)","plainTextFormattedCitation":"(Hofmann, 1978)","previouslyFormattedCitation":"(Hofmann, 1978)"},"properties":{"noteIndex":0},"schema":"https://github.com/citation-style-language/schema/raw/master/csl-citation.json"}</w:instrText>
      </w:r>
      <w:r w:rsidR="00C7277F">
        <w:rPr>
          <w:lang w:eastAsia="en-US"/>
        </w:rPr>
        <w:fldChar w:fldCharType="separate"/>
      </w:r>
      <w:r w:rsidR="00C7277F" w:rsidRPr="00936A8B">
        <w:rPr>
          <w:noProof/>
          <w:lang w:eastAsia="en-US"/>
        </w:rPr>
        <w:t xml:space="preserve">Hofmann </w:t>
      </w:r>
      <w:r w:rsidR="00C7277F">
        <w:rPr>
          <w:noProof/>
          <w:lang w:eastAsia="en-US"/>
        </w:rPr>
        <w:t>(</w:t>
      </w:r>
      <w:r w:rsidR="00C7277F" w:rsidRPr="00936A8B">
        <w:rPr>
          <w:noProof/>
          <w:lang w:eastAsia="en-US"/>
        </w:rPr>
        <w:t>1978)</w:t>
      </w:r>
      <w:r w:rsidR="00C7277F">
        <w:rPr>
          <w:lang w:eastAsia="en-US"/>
        </w:rPr>
        <w:fldChar w:fldCharType="end"/>
      </w:r>
      <w:r w:rsidR="00C7277F">
        <w:rPr>
          <w:lang w:eastAsia="en-US"/>
        </w:rPr>
        <w:t>, todos</w:t>
      </w:r>
      <w:r w:rsidR="00927A7C">
        <w:rPr>
          <w:lang w:eastAsia="en-US"/>
        </w:rPr>
        <w:t xml:space="preserve"> los índices de ajuste mostra</w:t>
      </w:r>
      <w:r w:rsidR="006521C0">
        <w:rPr>
          <w:lang w:eastAsia="en-US"/>
        </w:rPr>
        <w:t>ron</w:t>
      </w:r>
      <w:r w:rsidR="00927A7C">
        <w:rPr>
          <w:lang w:eastAsia="en-US"/>
        </w:rPr>
        <w:t xml:space="preserve"> valores</w:t>
      </w:r>
      <w:r w:rsidR="0065284E" w:rsidRPr="0065284E">
        <w:rPr>
          <w:lang w:eastAsia="en-US"/>
        </w:rPr>
        <w:t xml:space="preserve"> </w:t>
      </w:r>
      <w:r w:rsidR="00C7277F">
        <w:rPr>
          <w:lang w:eastAsia="en-US"/>
        </w:rPr>
        <w:t>más favorables.</w:t>
      </w:r>
      <w:r w:rsidR="006B55F6">
        <w:rPr>
          <w:lang w:eastAsia="en-US"/>
        </w:rPr>
        <w:t xml:space="preserve"> A raíz de estos resultados, se comprobó que </w:t>
      </w:r>
      <w:r w:rsidR="009C5C17">
        <w:rPr>
          <w:lang w:eastAsia="en-US"/>
        </w:rPr>
        <w:t xml:space="preserve">una estructura bifactorial era la más idónea para la utilización del instrumento. </w:t>
      </w:r>
      <w:r w:rsidR="00D22FF2">
        <w:rPr>
          <w:lang w:eastAsia="en-US"/>
        </w:rPr>
        <w:t xml:space="preserve">Es importante resaltar este hallazgo, ya que </w:t>
      </w:r>
      <w:r w:rsidR="008F43E8">
        <w:rPr>
          <w:lang w:eastAsia="en-US"/>
        </w:rPr>
        <w:t xml:space="preserve">esta estructura </w:t>
      </w:r>
      <w:r w:rsidR="00D22FF2">
        <w:rPr>
          <w:lang w:eastAsia="en-US"/>
        </w:rPr>
        <w:t xml:space="preserve">permite no sólo la utilización de </w:t>
      </w:r>
      <w:r w:rsidR="00BD5A0D">
        <w:rPr>
          <w:lang w:eastAsia="en-US"/>
        </w:rPr>
        <w:t>los</w:t>
      </w:r>
      <w:r w:rsidR="00D22FF2">
        <w:rPr>
          <w:lang w:eastAsia="en-US"/>
        </w:rPr>
        <w:t xml:space="preserve"> factores individuales, sino también </w:t>
      </w:r>
      <w:r w:rsidR="00121E4A">
        <w:rPr>
          <w:lang w:eastAsia="en-US"/>
        </w:rPr>
        <w:t xml:space="preserve">el uso </w:t>
      </w:r>
      <w:r w:rsidR="007F432D">
        <w:rPr>
          <w:lang w:eastAsia="en-US"/>
        </w:rPr>
        <w:t>d</w:t>
      </w:r>
      <w:r w:rsidR="00D22FF2">
        <w:rPr>
          <w:lang w:eastAsia="en-US"/>
        </w:rPr>
        <w:t xml:space="preserve">el factor </w:t>
      </w:r>
      <w:r w:rsidR="00121E4A">
        <w:rPr>
          <w:lang w:eastAsia="en-US"/>
        </w:rPr>
        <w:t>global que comprende los</w:t>
      </w:r>
      <w:r w:rsidR="00D22FF2">
        <w:rPr>
          <w:lang w:eastAsia="en-US"/>
        </w:rPr>
        <w:t xml:space="preserve"> </w:t>
      </w:r>
      <w:r w:rsidR="00D22FF2">
        <w:rPr>
          <w:i/>
          <w:iCs/>
          <w:lang w:eastAsia="en-US"/>
        </w:rPr>
        <w:t>síntomas en</w:t>
      </w:r>
      <w:r w:rsidR="00D22FF2" w:rsidRPr="00C3317B">
        <w:rPr>
          <w:i/>
          <w:iCs/>
          <w:lang w:eastAsia="en-US"/>
        </w:rPr>
        <w:t xml:space="preserve"> general</w:t>
      </w:r>
      <w:r w:rsidR="00D22FF2">
        <w:rPr>
          <w:lang w:eastAsia="en-US"/>
        </w:rPr>
        <w:t xml:space="preserve"> </w:t>
      </w:r>
      <w:r w:rsidR="00D22FF2">
        <w:rPr>
          <w:lang w:eastAsia="en-US"/>
        </w:rPr>
        <w:fldChar w:fldCharType="begin" w:fldLock="1"/>
      </w:r>
      <w:r w:rsidR="00D22FF2">
        <w:rPr>
          <w:lang w:eastAsia="en-US"/>
        </w:rPr>
        <w:instrText>ADDIN CSL_CITATION {"citationItems":[{"id":"ITEM-1","itemData":{"DOI":"10.1080/00223891.2010.496477","ISSN":"0022-3891","author":[{"dropping-particle":"","family":"Reise","given":"Steven P.","non-dropping-particle":"","parse-names":false,"suffix":""},{"dropping-particle":"","family":"Moore","given":"Tyler M.","non-dropping-particle":"","parse-names":false,"suffix":""},{"dropping-particle":"","family":"Haviland","given":"Mark G.","non-dropping-particle":"","parse-names":false,"suffix":""}],"container-title":"Journal of Personality Assessment","id":"ITEM-1","issue":"6","issued":{"date-parts":[["2010","10","19"]]},"page":"544-559","title":"Bifactor Models and Rotations: Exploring the Extent to Which Multidimensional Data Yield Univocal Scale Scores","type":"article-journal","volume":"92"},"uris":["http://www.mendeley.com/documents/?uuid=bbc21f3e-4ee0-4367-a71f-648a267a9761"]}],"mendeley":{"formattedCitation":"(Reise, Moore, &amp; Haviland, 2010)","plainTextFormattedCitation":"(Reise, Moore, &amp; Haviland, 2010)","previouslyFormattedCitation":"(Reise, Moore, &amp; Haviland, 2010)"},"properties":{"noteIndex":0},"schema":"https://github.com/citation-style-language/schema/raw/master/csl-citation.json"}</w:instrText>
      </w:r>
      <w:r w:rsidR="00D22FF2">
        <w:rPr>
          <w:lang w:eastAsia="en-US"/>
        </w:rPr>
        <w:fldChar w:fldCharType="separate"/>
      </w:r>
      <w:r w:rsidR="00D22FF2" w:rsidRPr="00C32907">
        <w:rPr>
          <w:noProof/>
          <w:lang w:eastAsia="en-US"/>
        </w:rPr>
        <w:t>(Reise, Moore, &amp; Haviland, 2010)</w:t>
      </w:r>
      <w:r w:rsidR="00D22FF2">
        <w:rPr>
          <w:lang w:eastAsia="en-US"/>
        </w:rPr>
        <w:fldChar w:fldCharType="end"/>
      </w:r>
      <w:r w:rsidR="00D22FF2">
        <w:rPr>
          <w:lang w:eastAsia="en-US"/>
        </w:rPr>
        <w:t>.</w:t>
      </w:r>
      <w:r w:rsidR="00B00B3F" w:rsidRPr="00B00B3F">
        <w:rPr>
          <w:lang w:eastAsia="en-US"/>
        </w:rPr>
        <w:t xml:space="preserve"> </w:t>
      </w:r>
      <w:r w:rsidR="0014184A">
        <w:rPr>
          <w:lang w:eastAsia="en-US"/>
        </w:rPr>
        <w:t xml:space="preserve">Este </w:t>
      </w:r>
      <w:r w:rsidR="00586D52">
        <w:rPr>
          <w:lang w:eastAsia="en-US"/>
        </w:rPr>
        <w:t>resultad</w:t>
      </w:r>
      <w:r w:rsidR="0014184A">
        <w:rPr>
          <w:lang w:eastAsia="en-US"/>
        </w:rPr>
        <w:t xml:space="preserve">o cobra mayor importancia teniendo en cuenta la ya mencionada necesidad de poder evaluar un factor </w:t>
      </w:r>
      <w:r w:rsidR="00456B92">
        <w:rPr>
          <w:lang w:eastAsia="en-US"/>
        </w:rPr>
        <w:t>total</w:t>
      </w:r>
      <w:r w:rsidR="0014184A">
        <w:rPr>
          <w:lang w:eastAsia="en-US"/>
        </w:rPr>
        <w:t xml:space="preserve"> debido a que, durante el tratamiento,</w:t>
      </w:r>
      <w:r w:rsidR="0014184A">
        <w:t xml:space="preserve"> un paciente podría abandonar un síntoma y desarrollar otro para reemplazarlo </w:t>
      </w:r>
      <w:r w:rsidR="0014184A">
        <w:fldChar w:fldCharType="begin" w:fldLock="1"/>
      </w:r>
      <w:r w:rsidR="0014184A">
        <w:instrText>ADDIN CSL_CITATION {"citationItems":[{"id":"ITEM-1","itemData":{"DOI":"10.1176/ajp.111.5.343","ISSN":"0002-953X","author":[{"dropping-particle":"","family":"Parloff","given":"Morris B.","non-dropping-particle":"","parse-names":false,"suffix":""},{"dropping-particle":"","family":"Kelman","given":"Herbert C.","non-dropping-particle":"","parse-names":false,"suffix":""},{"dropping-particle":"","family":"Frank","given":"Jerome D.","non-dropping-particle":"","parse-names":false,"suffix":""}],"container-title":"American Journal of Psychiatry","id":"ITEM-1","issue":"5","issued":{"date-parts":[["1954","11"]]},"page":"343-352","title":"Comfort, effectiveness, and self-awareness as criteria of improvement in psychotherapy","type":"article-journal","volume":"111"},"uris":["http://www.mendeley.com/documents/?uuid=5914d91c-28c8-41dd-a024-81f6aa478ecb"]}],"mendeley":{"formattedCitation":"(Parloff et al., 1954)","plainTextFormattedCitation":"(Parloff et al., 1954)","previouslyFormattedCitation":"(Parloff et al., 1954)"},"properties":{"noteIndex":0},"schema":"https://github.com/citation-style-language/schema/raw/master/csl-citation.json"}</w:instrText>
      </w:r>
      <w:r w:rsidR="0014184A">
        <w:fldChar w:fldCharType="separate"/>
      </w:r>
      <w:r w:rsidR="0014184A" w:rsidRPr="00A57F38">
        <w:rPr>
          <w:noProof/>
        </w:rPr>
        <w:t>(Parloff et al., 1954)</w:t>
      </w:r>
      <w:r w:rsidR="0014184A">
        <w:fldChar w:fldCharType="end"/>
      </w:r>
      <w:r w:rsidR="0014184A">
        <w:t xml:space="preserve">. </w:t>
      </w:r>
      <w:r w:rsidR="00BD5A0D">
        <w:t>Además</w:t>
      </w:r>
      <w:r w:rsidR="00E61CBA">
        <w:t xml:space="preserve">, </w:t>
      </w:r>
      <w:r w:rsidR="00E61CBA">
        <w:fldChar w:fldCharType="begin" w:fldLock="1"/>
      </w:r>
      <w:r w:rsidR="0047204E">
        <w:instrText>ADDIN CSL_CITATION {"citationItems":[{"id":"ITEM-1","itemData":{"DOI":"10.1037/1040-3590.13.1.140","ISSN":"1939-134X","author":[{"dropping-particle":"","family":"Krueger","given":"Robert F.","non-dropping-particle":"","parse-names":false,"suffix":""},{"dropping-particle":"","family":"Finger","given":"Michael S.","non-dropping-particle":"","parse-names":false,"suffix":""}],"container-title":"Psychological Assessment","id":"ITEM-1","issue":"1","issued":{"date-parts":[["2001"]]},"page":"140-151","title":"Using item response theory to understand comorbidity among anxiety and unipolar mood disorders.","type":"article-journal","volume":"13"},"uris":["http://www.mendeley.com/documents/?uuid=db862437-68a0-4709-b965-743717825744"]}],"mendeley":{"formattedCitation":"(Krueger &amp; Finger, 2001)","manualFormatting":"Krueger y Finger (2001)","plainTextFormattedCitation":"(Krueger &amp; Finger, 2001)","previouslyFormattedCitation":"(Krueger &amp; Finger, 2001)"},"properties":{"noteIndex":0},"schema":"https://github.com/citation-style-language/schema/raw/master/csl-citation.json"}</w:instrText>
      </w:r>
      <w:r w:rsidR="00E61CBA">
        <w:fldChar w:fldCharType="separate"/>
      </w:r>
      <w:r w:rsidR="00E61CBA" w:rsidRPr="00E61CBA">
        <w:rPr>
          <w:noProof/>
        </w:rPr>
        <w:t xml:space="preserve">Krueger </w:t>
      </w:r>
      <w:r w:rsidR="00E61CBA">
        <w:rPr>
          <w:noProof/>
        </w:rPr>
        <w:t>y</w:t>
      </w:r>
      <w:r w:rsidR="00E61CBA" w:rsidRPr="00E61CBA">
        <w:rPr>
          <w:noProof/>
        </w:rPr>
        <w:t xml:space="preserve"> Finger </w:t>
      </w:r>
      <w:r w:rsidR="00E61CBA">
        <w:rPr>
          <w:noProof/>
        </w:rPr>
        <w:t>(</w:t>
      </w:r>
      <w:r w:rsidR="00E61CBA" w:rsidRPr="00E61CBA">
        <w:rPr>
          <w:noProof/>
        </w:rPr>
        <w:t>2001)</w:t>
      </w:r>
      <w:r w:rsidR="00E61CBA">
        <w:fldChar w:fldCharType="end"/>
      </w:r>
      <w:r w:rsidR="00E61CBA" w:rsidRPr="00E61CBA">
        <w:t xml:space="preserve"> subrayan la necesidad de desarrollar instrumentos de evaluación clínica que abarquen las </w:t>
      </w:r>
      <w:r w:rsidR="0028655F">
        <w:t>particularidades</w:t>
      </w:r>
      <w:r w:rsidR="0028655F" w:rsidRPr="00E61CBA">
        <w:t xml:space="preserve"> </w:t>
      </w:r>
      <w:r w:rsidR="00E61CBA" w:rsidRPr="00E61CBA">
        <w:t xml:space="preserve">compartidas y distintivas de </w:t>
      </w:r>
      <w:r w:rsidR="00E61CBA">
        <w:t>determinados padecimientos psicológicos</w:t>
      </w:r>
      <w:r w:rsidR="00E61CBA" w:rsidRPr="00E61CBA">
        <w:t>.</w:t>
      </w:r>
      <w:r w:rsidR="00E62057">
        <w:t xml:space="preserve"> Un instrumento con una estructura bifactorial permite la evaluación simultánea de ambas características</w:t>
      </w:r>
      <w:r w:rsidR="0047204E">
        <w:t xml:space="preserve"> </w:t>
      </w:r>
      <w:r w:rsidR="0047204E">
        <w:fldChar w:fldCharType="begin" w:fldLock="1"/>
      </w:r>
      <w:r w:rsidR="00AE30D7">
        <w:instrText>ADDIN CSL_CITATION {"citationItems":[{"id":"ITEM-1","itemData":{"DOI":"10.1080/00223891.2010.496477","ISSN":"0022-3891","author":[{"dropping-particle":"","family":"Reise","given":"Steven P.","non-dropping-particle":"","parse-names":false,"suffix":""},{"dropping-particle":"","family":"Moore","given":"Tyler M.","non-dropping-particle":"","parse-names":false,"suffix":""},{"dropping-particle":"","family":"Haviland","given":"Mark G.","non-dropping-particle":"","parse-names":false,"suffix":""}],"container-title":"Journal of Personality Assessment","id":"ITEM-1","issue":"6","issued":{"date-parts":[["2010","10","19"]]},"page":"544-559","title":"Bifactor Models and Rotations: Exploring the Extent to Which Multidimensional Data Yield Univocal Scale Scores","type":"article-journal","volume":"92"},"uris":["http://www.mendeley.com/documents/?uuid=bbc21f3e-4ee0-4367-a71f-648a267a9761"]}],"mendeley":{"formattedCitation":"(Reise et al., 2010)","plainTextFormattedCitation":"(Reise et al., 2010)","previouslyFormattedCitation":"(Reise et al., 2010)"},"properties":{"noteIndex":0},"schema":"https://github.com/citation-style-language/schema/raw/master/csl-citation.json"}</w:instrText>
      </w:r>
      <w:r w:rsidR="0047204E">
        <w:fldChar w:fldCharType="separate"/>
      </w:r>
      <w:r w:rsidR="0047204E" w:rsidRPr="0047204E">
        <w:rPr>
          <w:noProof/>
        </w:rPr>
        <w:t>(Reise et al., 2010)</w:t>
      </w:r>
      <w:r w:rsidR="0047204E">
        <w:fldChar w:fldCharType="end"/>
      </w:r>
      <w:r w:rsidR="00E62057">
        <w:t>.</w:t>
      </w:r>
    </w:p>
    <w:p w14:paraId="4E9096DF" w14:textId="75D4CE0C" w:rsidR="00C7277F" w:rsidRDefault="00B00B3F" w:rsidP="00B00B3F">
      <w:pPr>
        <w:rPr>
          <w:lang w:eastAsia="en-US"/>
        </w:rPr>
      </w:pPr>
      <w:r>
        <w:rPr>
          <w:lang w:eastAsia="en-US"/>
        </w:rPr>
        <w:t>Con relación a los resultados del análisis factorial confirmatorio, debe mencionarse que todos los índices de ajuste representa</w:t>
      </w:r>
      <w:r w:rsidR="0095071B">
        <w:rPr>
          <w:lang w:eastAsia="en-US"/>
        </w:rPr>
        <w:t>ro</w:t>
      </w:r>
      <w:r>
        <w:rPr>
          <w:lang w:eastAsia="en-US"/>
        </w:rPr>
        <w:t xml:space="preserve">n una diferencia mínima entre el modelo hipotetizado y </w:t>
      </w:r>
      <w:r>
        <w:rPr>
          <w:lang w:eastAsia="en-US"/>
        </w:rPr>
        <w:lastRenderedPageBreak/>
        <w:t>los datos observados, lo cual se debe a que no se han utilizado covarianzas residuales entre los ítems.</w:t>
      </w:r>
    </w:p>
    <w:p w14:paraId="346E8A4E" w14:textId="72C58DD5" w:rsidR="00C7277F" w:rsidRDefault="00CC26E4" w:rsidP="003059F8">
      <w:pPr>
        <w:rPr>
          <w:lang w:eastAsia="en-US"/>
        </w:rPr>
      </w:pPr>
      <w:r>
        <w:rPr>
          <w:lang w:eastAsia="en-US"/>
        </w:rPr>
        <w:t xml:space="preserve">Aunque la versión </w:t>
      </w:r>
      <w:r w:rsidR="0097395E">
        <w:rPr>
          <w:lang w:eastAsia="en-US"/>
        </w:rPr>
        <w:t>breve</w:t>
      </w:r>
      <w:r>
        <w:rPr>
          <w:lang w:eastAsia="en-US"/>
        </w:rPr>
        <w:t xml:space="preserve"> de</w:t>
      </w:r>
      <w:r w:rsidR="0097395E">
        <w:rPr>
          <w:lang w:eastAsia="en-US"/>
        </w:rPr>
        <w:t xml:space="preserve">l SA-45 </w:t>
      </w:r>
      <w:r>
        <w:rPr>
          <w:lang w:eastAsia="en-US"/>
        </w:rPr>
        <w:t xml:space="preserve">muestra valores psicométricos adecuados, debe enfatizarse que éstos fueron obtenidos a través de una </w:t>
      </w:r>
      <w:r w:rsidR="0097395E">
        <w:rPr>
          <w:lang w:eastAsia="en-US"/>
        </w:rPr>
        <w:t>medida de purificación</w:t>
      </w:r>
      <w:r>
        <w:rPr>
          <w:lang w:eastAsia="en-US"/>
        </w:rPr>
        <w:t xml:space="preserve">, por lo que comprende solamente </w:t>
      </w:r>
      <w:r w:rsidR="0097395E">
        <w:rPr>
          <w:lang w:eastAsia="en-US"/>
        </w:rPr>
        <w:t>seis factores</w:t>
      </w:r>
      <w:r>
        <w:rPr>
          <w:lang w:eastAsia="en-US"/>
        </w:rPr>
        <w:t xml:space="preserve"> y no </w:t>
      </w:r>
      <w:r w:rsidR="0097395E">
        <w:rPr>
          <w:lang w:eastAsia="en-US"/>
        </w:rPr>
        <w:t>nueve</w:t>
      </w:r>
      <w:r>
        <w:rPr>
          <w:lang w:eastAsia="en-US"/>
        </w:rPr>
        <w:t xml:space="preserve"> como </w:t>
      </w:r>
      <w:r w:rsidR="005A4AE9">
        <w:rPr>
          <w:lang w:eastAsia="en-US"/>
        </w:rPr>
        <w:t xml:space="preserve">lo proponen </w:t>
      </w:r>
      <w:r w:rsidR="005A4AE9">
        <w:rPr>
          <w:lang w:eastAsia="en-US"/>
        </w:rPr>
        <w:fldChar w:fldCharType="begin" w:fldLock="1"/>
      </w:r>
      <w:r w:rsidR="002E6DB4">
        <w:rPr>
          <w:lang w:eastAsia="en-US"/>
        </w:rPr>
        <w:instrText>ADDIN CSL_CITATION {"citationItems":[{"id":"ITEM-1","itemData":{"ISSN":"0214-9915","author":[{"dropping-particle":"","family":"Sandín","given":"Bonifacio","non-dropping-particle":"","parse-names":false,"suffix":""},{"dropping-particle":"","family":"Valiente","given":"Rosa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-1","issue":"2","issued":{"date-parts":[["2008"]]},"page":"290-296","publisher":"Colegio Oficial De Psicologos Del Principado De Asturias","title":"SA-45: forma abreviada del SCL-90","type":"article-journal","volume":"20"},"uris":["http://www.mendeley.com/documents/?uuid=c4b23ce2-96a3-34d1-8b39-2dc936d82379"]}],"mendeley":{"formattedCitation":"(Sandín et al., 2008)","manualFormatting":"Sandín et al. (2008)","plainTextFormattedCitation":"(Sandín et al., 2008)","previouslyFormattedCitation":"(Sandín et al., 2008)"},"properties":{"noteIndex":0},"schema":"https://github.com/citation-style-language/schema/raw/master/csl-citation.json"}</w:instrText>
      </w:r>
      <w:r w:rsidR="005A4AE9">
        <w:rPr>
          <w:lang w:eastAsia="en-US"/>
        </w:rPr>
        <w:fldChar w:fldCharType="separate"/>
      </w:r>
      <w:r w:rsidR="005A4AE9" w:rsidRPr="0097395E">
        <w:rPr>
          <w:noProof/>
          <w:lang w:eastAsia="en-US"/>
        </w:rPr>
        <w:t xml:space="preserve">Sandín et al. </w:t>
      </w:r>
      <w:r w:rsidR="005A4AE9">
        <w:rPr>
          <w:noProof/>
          <w:lang w:eastAsia="en-US"/>
        </w:rPr>
        <w:t>(</w:t>
      </w:r>
      <w:r w:rsidR="005A4AE9" w:rsidRPr="0097395E">
        <w:rPr>
          <w:noProof/>
          <w:lang w:eastAsia="en-US"/>
        </w:rPr>
        <w:t>2008)</w:t>
      </w:r>
      <w:r w:rsidR="005A4AE9">
        <w:rPr>
          <w:lang w:eastAsia="en-US"/>
        </w:rPr>
        <w:fldChar w:fldCharType="end"/>
      </w:r>
      <w:r w:rsidR="005A4AE9">
        <w:rPr>
          <w:lang w:eastAsia="en-US"/>
        </w:rPr>
        <w:t xml:space="preserve"> en la</w:t>
      </w:r>
      <w:r>
        <w:rPr>
          <w:lang w:eastAsia="en-US"/>
        </w:rPr>
        <w:t xml:space="preserve"> versión </w:t>
      </w:r>
      <w:r w:rsidR="0097395E">
        <w:rPr>
          <w:lang w:eastAsia="en-US"/>
        </w:rPr>
        <w:t>original</w:t>
      </w:r>
      <w:r w:rsidR="005A4AE9">
        <w:rPr>
          <w:lang w:eastAsia="en-US"/>
        </w:rPr>
        <w:t>.</w:t>
      </w:r>
      <w:r>
        <w:rPr>
          <w:lang w:eastAsia="en-US"/>
        </w:rPr>
        <w:t xml:space="preserve"> </w:t>
      </w:r>
      <w:r w:rsidR="001544BF">
        <w:rPr>
          <w:lang w:eastAsia="en-US"/>
        </w:rPr>
        <w:t xml:space="preserve">Debido al objetivo de reducir la media de todos los índices de complejidad de </w:t>
      </w:r>
      <w:r w:rsidR="001544BF">
        <w:rPr>
          <w:lang w:eastAsia="en-US"/>
        </w:rPr>
        <w:fldChar w:fldCharType="begin" w:fldLock="1"/>
      </w:r>
      <w:r w:rsidR="001544BF">
        <w:rPr>
          <w:lang w:eastAsia="en-US"/>
        </w:rPr>
        <w:instrText>ADDIN CSL_CITATION {"citationItems":[{"id":"ITEM-1","itemData":{"DOI":"10.1207/s15327906mbr1302_9","ISSN":"0027-3171","author":[{"dropping-particle":"","family":"Hofmann","given":"Richard J.","non-dropping-particle":"","parse-names":false,"suffix":""}],"container-title":"Multivariate Behavioral Research","id":"ITEM-1","issue":"2","issued":{"date-parts":[["1978","4","10"]]},"page":"247-250","title":"Complexity And Simplicity As Objective Indices Descriptive Of Factor Solutions","type":"article-journal","volume":"13"},"uris":["http://www.mendeley.com/documents/?uuid=832843f7-ab03-459c-b5be-09dace7ff0be"]}],"mendeley":{"formattedCitation":"(Hofmann, 1978)","manualFormatting":"Hofmann (1978)","plainTextFormattedCitation":"(Hofmann, 1978)","previouslyFormattedCitation":"(Hofmann, 1978)"},"properties":{"noteIndex":0},"schema":"https://github.com/citation-style-language/schema/raw/master/csl-citation.json"}</w:instrText>
      </w:r>
      <w:r w:rsidR="001544BF">
        <w:rPr>
          <w:lang w:eastAsia="en-US"/>
        </w:rPr>
        <w:fldChar w:fldCharType="separate"/>
      </w:r>
      <w:r w:rsidR="001544BF" w:rsidRPr="00936A8B">
        <w:rPr>
          <w:noProof/>
          <w:lang w:eastAsia="en-US"/>
        </w:rPr>
        <w:t xml:space="preserve">Hofmann </w:t>
      </w:r>
      <w:r w:rsidR="001544BF">
        <w:rPr>
          <w:noProof/>
          <w:lang w:eastAsia="en-US"/>
        </w:rPr>
        <w:t>(</w:t>
      </w:r>
      <w:r w:rsidR="001544BF" w:rsidRPr="00936A8B">
        <w:rPr>
          <w:noProof/>
          <w:lang w:eastAsia="en-US"/>
        </w:rPr>
        <w:t>1978)</w:t>
      </w:r>
      <w:r w:rsidR="001544BF">
        <w:rPr>
          <w:lang w:eastAsia="en-US"/>
        </w:rPr>
        <w:fldChar w:fldCharType="end"/>
      </w:r>
      <w:r w:rsidR="001544BF">
        <w:rPr>
          <w:lang w:eastAsia="en-US"/>
        </w:rPr>
        <w:t xml:space="preserve"> y así obtener </w:t>
      </w:r>
      <w:r w:rsidR="00E63DF1">
        <w:rPr>
          <w:lang w:eastAsia="en-US"/>
        </w:rPr>
        <w:t xml:space="preserve">un instrumento que no comprenda ítems que carguen simultáneamente en varios factores, </w:t>
      </w:r>
      <w:r w:rsidR="00C11C4E">
        <w:rPr>
          <w:lang w:eastAsia="en-US"/>
        </w:rPr>
        <w:t xml:space="preserve">las dimensiones </w:t>
      </w:r>
      <w:r w:rsidR="00C11C4E" w:rsidRPr="00C11C4E">
        <w:rPr>
          <w:i/>
          <w:iCs/>
          <w:lang w:eastAsia="en-US"/>
        </w:rPr>
        <w:t>sensibilidad interpersonal</w:t>
      </w:r>
      <w:r w:rsidR="00C11C4E" w:rsidRPr="00C11C4E">
        <w:rPr>
          <w:lang w:eastAsia="en-US"/>
        </w:rPr>
        <w:t xml:space="preserve">, </w:t>
      </w:r>
      <w:r w:rsidR="00C11C4E" w:rsidRPr="00C11C4E">
        <w:rPr>
          <w:i/>
          <w:iCs/>
          <w:lang w:eastAsia="en-US"/>
        </w:rPr>
        <w:t>ansiedad</w:t>
      </w:r>
      <w:r w:rsidR="00C11C4E" w:rsidRPr="00C11C4E">
        <w:rPr>
          <w:lang w:eastAsia="en-US"/>
        </w:rPr>
        <w:t xml:space="preserve">, </w:t>
      </w:r>
      <w:r w:rsidR="00C11C4E" w:rsidRPr="00C11C4E">
        <w:rPr>
          <w:i/>
          <w:iCs/>
          <w:lang w:eastAsia="en-US"/>
        </w:rPr>
        <w:t>compulsión-obsesión</w:t>
      </w:r>
      <w:r w:rsidR="00C11C4E" w:rsidRPr="00C11C4E">
        <w:rPr>
          <w:lang w:eastAsia="en-US"/>
        </w:rPr>
        <w:t xml:space="preserve"> y </w:t>
      </w:r>
      <w:r w:rsidR="00C11C4E" w:rsidRPr="00C11C4E">
        <w:rPr>
          <w:i/>
          <w:iCs/>
          <w:lang w:eastAsia="en-US"/>
        </w:rPr>
        <w:t>psicoticismo</w:t>
      </w:r>
      <w:r w:rsidR="00C11C4E" w:rsidRPr="00C11C4E">
        <w:rPr>
          <w:lang w:eastAsia="en-US"/>
        </w:rPr>
        <w:t xml:space="preserve"> fueron</w:t>
      </w:r>
      <w:r w:rsidR="008901D3">
        <w:rPr>
          <w:lang w:eastAsia="en-US"/>
        </w:rPr>
        <w:t xml:space="preserve"> excluidas</w:t>
      </w:r>
      <w:r w:rsidR="00C11C4E">
        <w:rPr>
          <w:lang w:eastAsia="en-US"/>
        </w:rPr>
        <w:t xml:space="preserve">. </w:t>
      </w:r>
      <w:r w:rsidR="00F03328">
        <w:rPr>
          <w:lang w:eastAsia="en-US"/>
        </w:rPr>
        <w:t>Esa exclusión está en consonancia con numerosos estudios que encontraron c</w:t>
      </w:r>
      <w:r w:rsidR="002E6DB4">
        <w:rPr>
          <w:lang w:eastAsia="en-US"/>
        </w:rPr>
        <w:t>iertos solapamientos entre las dimensiones del SA-45</w:t>
      </w:r>
      <w:r w:rsidR="00830939">
        <w:rPr>
          <w:lang w:eastAsia="en-US"/>
        </w:rPr>
        <w:t>, o en su caso el</w:t>
      </w:r>
      <w:r w:rsidR="002E6DB4">
        <w:rPr>
          <w:lang w:eastAsia="en-US"/>
        </w:rPr>
        <w:t xml:space="preserve"> SCL-90 </w:t>
      </w:r>
      <w:r w:rsidR="002E6DB4">
        <w:rPr>
          <w:lang w:eastAsia="en-US"/>
        </w:rPr>
        <w:fldChar w:fldCharType="begin" w:fldLock="1"/>
      </w:r>
      <w:r w:rsidR="00BD6C48">
        <w:rPr>
          <w:lang w:eastAsia="en-US"/>
        </w:rPr>
        <w:instrText>ADDIN CSL_CITATION {"citationItems":[{"id":"ITEM-1","itemData":{"ISSN":"0214-9915","author":[{"dropping-particle":"","family":"Sandín","given":"Bonifacio","non-dropping-particle":"","parse-names":false,"suffix":""},{"dropping-particle":"","family":"Valiente","given":"Rosa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-1","issue":"2","issued":{"date-parts":[["2008"]]},"page":"290-296","publisher":"Colegio Oficial De Psicologos Del Principado De Asturias","title":"SA-45: forma abreviada del SCL-90","type":"article-journal","volume":"20"},"uris":["http://www.mendeley.com/documents/?uuid=c4b23ce2-96a3-34d1-8b39-2dc936d82379"]},{"id":"ITEM-2","itemData":{"DOI":"10.5944/ap.16.1.22048","ISSN":"2255-1271","abstract":"AbstractWe describe the internal structure of the Symptom Assessment-45 Questionnaire (SA-45; Davison et al., 1997) in a sample of non-clinical Spanish subjects. The scale was developed for treatment outcome assessment in psychiatric settings; however, many studies have examined its psychometric properties in non-clinical populations. The internal structure of these studies usually replicates the dimensionality proposed in the original study closely. In this work, the scale was administered to a sample of 823 participants. In order to analyse the dimensionality of the instrument in a non-clinical population, exploratory and confirmatory factor analyses using polychoric correlations were carried out. The results obtained, are similar to those obtained for the original model and replicated in later studies, but there are important nuances that should be taken into account in defining a measurement model for the sample used. These data confirm the need for further research in a non-clinical population. ResumenSe describe la estructura interna del Symptom Assess­ment-45 Questionnaire (SA-45; Davison et al., 1997) en una muestra española no clínica. La escala, fue desarro­llada para la evaluación de los tratamientos en entornos psiquiátricos. Sin embargo, muchos estudios han exami­nado sus propiedades psicométricas en población no clí­nica. La estructura interna en estos estudios, usualmente replica la dimensionalidad propuesta en el estudio origi­nal. En este trabajo, la escala fue administrada a una mues­tra de 358 participantes. Para analizar su dimensionalidad en población no clínica, se usó Análisis Factorial Explora­torio y Confirmatorio factorizando la matriz de correlacio­nes policóricas. Los resultados obtenidos, son similares a los del modelo original y replicados en algunos estudios, sin embargo, hay importantes matices que deben ser teni­dos en cuenta para definir el modelo en la muestra usada. Los resultados, confirman la necesidad de más investiga­ción en población no clínica","author":[{"dropping-particle":"","family":"Holgado Tello","given":"Francisco Pablo","non-dropping-particle":"","parse-names":false,"suffix":""},{"dropping-particle":"","family":"Vila Abad","given":"Enrique","non-dropping-particle":"","parse-names":false,"suffix":""},{"dropping-particle":"","family":"Barbero Garcia","given":"Mª Isabel","non-dropping-particle":"","parse-names":false,"suffix":""}],"container-title":"Acción Psicológica","id":"ITEM-2","issue":"1","issued":{"date-parts":[["2019","5","28"]]},"page":"31-42","title":"Factor Structure of the Symptom Assessment-45 Questionnaire (SA-45) [Estructura interna del Factor Structure of the Symptom Assessment-45 Questionnaire (SA-45)]","type":"article-journal","volume":"16"},"uris":["http://www.mendeley.com/documents/?uuid=0dfdb992-1675-46c2-88fb-71b8523250f8"]},{"id":"ITEM-3","itemData":{"author":[{"dropping-particle":"","family":"Bados","given":"Arturo","non-dropping-particle":"","parse-names":false,"suffix":""},{"dropping-particle":"","family":"Balaguer","given":"Gemma","non-dropping-particle":"","parse-names":false,"suffix":""},{"dropping-particle":"","family":"Coronas","given":"Marc","non-dropping-particle":"","parse-names":false,"suffix":""}],"container-title":"Psicología Conductual","id":"ITEM-3","issue":"2","issued":{"date-parts":[["2005"]]},"page":"181-196","title":"¿ Qué mide realmente el SCL 90 R?: estructura factorial en una muestra mixta de universitarios y pacientes","type":"article-journal","volume":"13"},"uris":["http://www.mendeley.com/documents/?uuid=b097169c-2c57-4e6b-8972-2effafb5f87f"]}],"mendeley":{"formattedCitation":"(Bados, Balaguer, &amp; Coronas, 2005; Holgado Tello et al., 2019; Sandín et al., 2008)","plainTextFormattedCitation":"(Bados, Balaguer, &amp; Coronas, 2005; Holgado Tello et al., 2019; Sandín et al., 2008)","previouslyFormattedCitation":"(Bados, Balaguer, &amp; Coronas, 2005; Holgado Tello et al., 2019; Sandín et al., 2008)"},"properties":{"noteIndex":0},"schema":"https://github.com/citation-style-language/schema/raw/master/csl-citation.json"}</w:instrText>
      </w:r>
      <w:r w:rsidR="002E6DB4">
        <w:rPr>
          <w:lang w:eastAsia="en-US"/>
        </w:rPr>
        <w:fldChar w:fldCharType="separate"/>
      </w:r>
      <w:r w:rsidR="002168FA" w:rsidRPr="002168FA">
        <w:rPr>
          <w:noProof/>
          <w:lang w:eastAsia="en-US"/>
        </w:rPr>
        <w:t>(Bados, Balaguer, &amp; Coronas, 2005; Holgado Tello et al., 2019; Sandín et al., 2008)</w:t>
      </w:r>
      <w:r w:rsidR="002E6DB4">
        <w:rPr>
          <w:lang w:eastAsia="en-US"/>
        </w:rPr>
        <w:fldChar w:fldCharType="end"/>
      </w:r>
      <w:r w:rsidR="00F03328">
        <w:rPr>
          <w:lang w:eastAsia="en-US"/>
        </w:rPr>
        <w:t>.</w:t>
      </w:r>
      <w:r w:rsidR="00901E77">
        <w:rPr>
          <w:lang w:eastAsia="en-US"/>
        </w:rPr>
        <w:t xml:space="preserve"> Por otro lado, se advierte que un </w:t>
      </w:r>
      <w:r w:rsidR="00830939">
        <w:rPr>
          <w:lang w:eastAsia="en-US"/>
        </w:rPr>
        <w:t xml:space="preserve">nuevo factor, </w:t>
      </w:r>
      <w:r w:rsidR="00830939" w:rsidRPr="00C11C4E">
        <w:rPr>
          <w:i/>
          <w:iCs/>
          <w:lang w:eastAsia="en-US"/>
        </w:rPr>
        <w:t>inseguridad personal</w:t>
      </w:r>
      <w:r w:rsidR="00830939">
        <w:rPr>
          <w:lang w:eastAsia="en-US"/>
        </w:rPr>
        <w:t xml:space="preserve">, </w:t>
      </w:r>
      <w:r w:rsidR="00901E77">
        <w:rPr>
          <w:lang w:eastAsia="en-US"/>
        </w:rPr>
        <w:t xml:space="preserve">fue </w:t>
      </w:r>
      <w:r w:rsidR="00830939">
        <w:rPr>
          <w:lang w:eastAsia="en-US"/>
        </w:rPr>
        <w:t>agregad</w:t>
      </w:r>
      <w:r w:rsidR="00901E77">
        <w:rPr>
          <w:lang w:eastAsia="en-US"/>
        </w:rPr>
        <w:t>o. A través de estas modificaciones, la media de todos los ICH disminuyó notablemente por lo que el instrumento desarrollado permite una mejor distinción entre los síntomas que evalúa.</w:t>
      </w:r>
      <w:r w:rsidR="00B00B3F">
        <w:rPr>
          <w:lang w:eastAsia="en-US"/>
        </w:rPr>
        <w:t xml:space="preserve"> Además</w:t>
      </w:r>
      <w:r>
        <w:rPr>
          <w:lang w:eastAsia="en-US"/>
        </w:rPr>
        <w:t xml:space="preserve">, se resalta que el análisis de validez convergente mostró asociaciones significativas entre estas dimensiones y los rasgos de la personalidad, </w:t>
      </w:r>
      <w:r w:rsidR="00901E77">
        <w:rPr>
          <w:lang w:eastAsia="en-US"/>
        </w:rPr>
        <w:t xml:space="preserve">en especial con el </w:t>
      </w:r>
      <w:r w:rsidR="00901E77" w:rsidRPr="00901E77">
        <w:rPr>
          <w:i/>
          <w:iCs/>
          <w:lang w:eastAsia="en-US"/>
        </w:rPr>
        <w:t>neuroticismo</w:t>
      </w:r>
      <w:r w:rsidR="00901E77">
        <w:rPr>
          <w:lang w:eastAsia="en-US"/>
        </w:rPr>
        <w:t>, lo cual está en sintonía con estudios previos</w:t>
      </w:r>
      <w:r w:rsidR="002E099C">
        <w:rPr>
          <w:lang w:eastAsia="en-US"/>
        </w:rPr>
        <w:t xml:space="preserve"> </w:t>
      </w:r>
      <w:r w:rsidR="002E099C">
        <w:rPr>
          <w:lang w:eastAsia="en-US"/>
        </w:rPr>
        <w:fldChar w:fldCharType="begin" w:fldLock="1"/>
      </w:r>
      <w:r w:rsidR="00F01C4B">
        <w:rPr>
          <w:lang w:eastAsia="en-US"/>
        </w:rPr>
        <w:instrText>ADDIN CSL_CITATION {"citationItems":[{"id":"ITEM-1","itemData":{"DOI":"10.7334/psicothema2016.239","ISSN":"0214-9915","author":[{"dropping-particle":"","family":"Sandín","given":"Bonifacio","non-dropping-particle":"","parse-names":false,"suffix":""},{"dropping-particle":"","family":"Simons","given":"Jeffrey S","non-dropping-particle":"","parse-names":false,"suffix":""},{"dropping-particle":"","family":"Valiente","given":"Rosa M","non-dropping-particle":"","parse-names":false,"suffix":""},{"dropping-particle":"","family":"Simons","given":"Raluca M","non-dropping-particle":"","parse-names":false,"suffix":""},{"dropping-particle":"","family":"Chorot","given":"Paloma","non-dropping-particle":"","parse-names":false,"suffix":""}],"container-title":"Psicothema","id":"ITEM-1","issue":"3","issued":{"date-parts":[["2017"]]},"page":"421-428","publisher":"Colegio Oficial De Psicologos Del Principado De Asturias","title":"Psychometric properties of the spanish version of The Distress Tolerance Scale and its relationship with personality and psychopathological symptoms","type":"article-journal","volume":"29"},"uris":["http://www.mendeley.com/documents/?uuid=d88ebfbe-308b-4fc2-8934-3db4fce42ab9"]},{"id":"ITEM-2","itemData":{"ISSN":"0214-9915","author":[{"dropping-particle":"","family":"Sandín","given":"Bonifacio","non-dropping-particle":"","parse-names":false,"suffix":""},{"dropping-particle":"","family":"Valiente","given":"Rosa M","non-dropping-particle":"","parse-names":false,"suffix":""},{"dropping-particle":"","family":"Chorot","given":"Paloma","non-dropping-particle":"","parse-names":false,"suffix":""},{"dropping-particle":"","family":"Santed","given":"Miguel A","non-dropping-particle":"","parse-names":false,"suffix":""},{"dropping-particle":"","family":"Lostao","given":"Lourdes","non-dropping-particle":"","parse-names":false,"suffix":""}],"container-title":"Psicothema","id":"ITEM-2","issue":"2","issued":{"date-parts":[["2008"]]},"page":"290-296","publisher":"Colegio Oficial De Psicologos Del Principado De Asturias","title":"SA-45: forma abreviada del SCL-90","type":"article-journal","volume":"20"},"uris":["http://www.mendeley.com/documents/?uuid=c4b23ce2-96a3-34d1-8b39-2dc936d82379"]}],"mendeley":{"formattedCitation":"(Sandín, Simons, Valiente, Simons, &amp; Chorot, 2017; Sandín et al., 2008)","plainTextFormattedCitation":"(Sandín, Simons, Valiente, Simons, &amp; Chorot, 2017; Sandín et al., 2008)","previouslyFormattedCitation":"(Sandín, Simons, Valiente, Simons, &amp; Chorot, 2017; Sandín et al., 2008)"},"properties":{"noteIndex":0},"schema":"https://github.com/citation-style-language/schema/raw/master/csl-citation.json"}</w:instrText>
      </w:r>
      <w:r w:rsidR="002E099C">
        <w:rPr>
          <w:lang w:eastAsia="en-US"/>
        </w:rPr>
        <w:fldChar w:fldCharType="separate"/>
      </w:r>
      <w:r w:rsidR="00B00B3F" w:rsidRPr="00B00B3F">
        <w:rPr>
          <w:noProof/>
          <w:lang w:eastAsia="en-US"/>
        </w:rPr>
        <w:t>(Sandín, Simons, Valiente, Simons, &amp; Chorot, 2017; Sandín et al., 2008)</w:t>
      </w:r>
      <w:r w:rsidR="002E099C">
        <w:rPr>
          <w:lang w:eastAsia="en-US"/>
        </w:rPr>
        <w:fldChar w:fldCharType="end"/>
      </w:r>
      <w:r w:rsidR="00901E77">
        <w:rPr>
          <w:lang w:eastAsia="en-US"/>
        </w:rPr>
        <w:t xml:space="preserve">. </w:t>
      </w:r>
    </w:p>
    <w:p w14:paraId="02CF73FB" w14:textId="4D021F9E" w:rsidR="00980846" w:rsidRDefault="00DA2FF2" w:rsidP="003059F8">
      <w:pPr>
        <w:rPr>
          <w:lang w:eastAsia="en-US"/>
        </w:rPr>
      </w:pPr>
      <w:r>
        <w:rPr>
          <w:lang w:eastAsia="en-US"/>
        </w:rPr>
        <w:t>Por último</w:t>
      </w:r>
      <w:r w:rsidR="004041B6">
        <w:rPr>
          <w:lang w:eastAsia="en-US"/>
        </w:rPr>
        <w:t xml:space="preserve">, </w:t>
      </w:r>
      <w:r>
        <w:rPr>
          <w:lang w:eastAsia="en-US"/>
        </w:rPr>
        <w:t xml:space="preserve">se enfatiza en </w:t>
      </w:r>
      <w:r w:rsidR="004041B6">
        <w:rPr>
          <w:lang w:eastAsia="en-US"/>
        </w:rPr>
        <w:t>los resultados del análisis de multigrupo</w:t>
      </w:r>
      <w:r>
        <w:rPr>
          <w:lang w:eastAsia="en-US"/>
        </w:rPr>
        <w:t>, ya que</w:t>
      </w:r>
      <w:r w:rsidR="00393015">
        <w:rPr>
          <w:lang w:eastAsia="en-US"/>
        </w:rPr>
        <w:t xml:space="preserve"> </w:t>
      </w:r>
      <w:r>
        <w:rPr>
          <w:lang w:eastAsia="en-US"/>
        </w:rPr>
        <w:t>sus valores favorables permiten que el instrumenta pueda utilizarse</w:t>
      </w:r>
      <w:r w:rsidR="004041B6">
        <w:rPr>
          <w:lang w:eastAsia="en-US"/>
        </w:rPr>
        <w:t xml:space="preserve"> en futur</w:t>
      </w:r>
      <w:r>
        <w:rPr>
          <w:lang w:eastAsia="en-US"/>
        </w:rPr>
        <w:t>o</w:t>
      </w:r>
      <w:r w:rsidR="004041B6">
        <w:rPr>
          <w:lang w:eastAsia="en-US"/>
        </w:rPr>
        <w:t xml:space="preserve">s </w:t>
      </w:r>
      <w:r>
        <w:rPr>
          <w:lang w:eastAsia="en-US"/>
        </w:rPr>
        <w:t>estudios</w:t>
      </w:r>
      <w:r w:rsidR="004041B6">
        <w:rPr>
          <w:lang w:eastAsia="en-US"/>
        </w:rPr>
        <w:t xml:space="preserve"> que </w:t>
      </w:r>
      <w:r>
        <w:rPr>
          <w:lang w:eastAsia="en-US"/>
        </w:rPr>
        <w:t>pretenden evalu</w:t>
      </w:r>
      <w:r w:rsidR="004041B6">
        <w:rPr>
          <w:lang w:eastAsia="en-US"/>
        </w:rPr>
        <w:t>ar diferencias de grupo</w:t>
      </w:r>
      <w:r>
        <w:rPr>
          <w:lang w:eastAsia="en-US"/>
        </w:rPr>
        <w:t xml:space="preserve"> con respecto al género</w:t>
      </w:r>
      <w:r w:rsidR="004041B6">
        <w:rPr>
          <w:lang w:eastAsia="en-US"/>
        </w:rPr>
        <w:t xml:space="preserve"> </w:t>
      </w:r>
      <w:r w:rsidR="00EE67E4">
        <w:rPr>
          <w:lang w:eastAsia="en-US"/>
        </w:rPr>
        <w:fldChar w:fldCharType="begin" w:fldLock="1"/>
      </w:r>
      <w:r w:rsidR="00D35F65">
        <w:rPr>
          <w:lang w:eastAsia="en-US"/>
        </w:rPr>
        <w:instrText>ADDIN CSL_CITATION {"citationItems":[{"id":"ITEM-1","itemData":{"DOI":"10.4324/9781315757421","ISBN":"9781315757421","author":[{"dropping-particle":"","family":"Byrne","given":"Barbara M.","non-dropping-particle":"","parse-names":false,"suffix":""}],"editor":[{"dropping-particle":"","family":"Routledge/Taylor &amp; Francis","given":"","non-dropping-particle":"","parse-names":false,"suffix":""}],"id":"ITEM-1","issued":{"date-parts":[["2016","6","10"]]},"publisher":"Routledge","title":"Structural Equation Modeling With AMOS","type":"book"},"uris":["http://www.mendeley.com/documents/?uuid=37d91199-9b77-4a51-a157-7a520ea0b0ce"]}],"mendeley":{"formattedCitation":"(Byrne, 2016)","plainTextFormattedCitation":"(Byrne, 2016)","previouslyFormattedCitation":"(Byrne, 2016)"},"properties":{"noteIndex":0},"schema":"https://github.com/citation-style-language/schema/raw/master/csl-citation.json"}</w:instrText>
      </w:r>
      <w:r w:rsidR="00EE67E4">
        <w:rPr>
          <w:lang w:eastAsia="en-US"/>
        </w:rPr>
        <w:fldChar w:fldCharType="separate"/>
      </w:r>
      <w:r w:rsidR="00EE67E4" w:rsidRPr="00EE67E4">
        <w:rPr>
          <w:noProof/>
          <w:lang w:eastAsia="en-US"/>
        </w:rPr>
        <w:t>(Byrne, 2016)</w:t>
      </w:r>
      <w:r w:rsidR="00EE67E4">
        <w:rPr>
          <w:lang w:eastAsia="en-US"/>
        </w:rPr>
        <w:fldChar w:fldCharType="end"/>
      </w:r>
      <w:r w:rsidR="00510ECB">
        <w:rPr>
          <w:lang w:eastAsia="en-US"/>
        </w:rPr>
        <w:t>.</w:t>
      </w:r>
      <w:r w:rsidR="00A46706">
        <w:rPr>
          <w:lang w:eastAsia="en-US"/>
        </w:rPr>
        <w:t xml:space="preserve"> </w:t>
      </w:r>
    </w:p>
    <w:p w14:paraId="107F4629" w14:textId="2A659F76" w:rsidR="00303130" w:rsidRDefault="00303130" w:rsidP="001427B9">
      <w:pPr>
        <w:pStyle w:val="Ttulo3"/>
      </w:pPr>
      <w:r>
        <w:t>Conclusiones</w:t>
      </w:r>
    </w:p>
    <w:p w14:paraId="276F0C6C" w14:textId="1FD672C0" w:rsidR="00CB18B6" w:rsidRPr="004D2BA3" w:rsidRDefault="00974BD2" w:rsidP="00CB18B6">
      <w:pPr>
        <w:rPr>
          <w:lang w:eastAsia="en-US"/>
        </w:rPr>
      </w:pPr>
      <w:r>
        <w:rPr>
          <w:lang w:eastAsia="en-US"/>
        </w:rPr>
        <w:t>Aunque el desarrollo de una versión breve del SA-45 puede considerarse como exitos</w:t>
      </w:r>
      <w:r w:rsidR="005932F0">
        <w:rPr>
          <w:lang w:eastAsia="en-US"/>
        </w:rPr>
        <w:t>o</w:t>
      </w:r>
      <w:r w:rsidR="00CF1E04">
        <w:rPr>
          <w:lang w:eastAsia="en-US"/>
        </w:rPr>
        <w:t xml:space="preserve">, </w:t>
      </w:r>
      <w:r>
        <w:rPr>
          <w:lang w:eastAsia="en-US"/>
        </w:rPr>
        <w:t xml:space="preserve">se advierte que el presente estudio comprendió determinadas </w:t>
      </w:r>
      <w:r w:rsidR="008251EF">
        <w:rPr>
          <w:lang w:eastAsia="en-US"/>
        </w:rPr>
        <w:t xml:space="preserve">limitaciones: </w:t>
      </w:r>
      <w:r w:rsidR="00CF1E04">
        <w:rPr>
          <w:lang w:eastAsia="en-US"/>
        </w:rPr>
        <w:t>e</w:t>
      </w:r>
      <w:r w:rsidR="00A81608">
        <w:rPr>
          <w:lang w:eastAsia="en-US"/>
        </w:rPr>
        <w:t>l tamaño</w:t>
      </w:r>
      <w:r w:rsidR="000F58D2">
        <w:rPr>
          <w:lang w:eastAsia="en-US"/>
        </w:rPr>
        <w:t xml:space="preserve"> de la</w:t>
      </w:r>
      <w:r w:rsidR="00A81608">
        <w:rPr>
          <w:lang w:eastAsia="en-US"/>
        </w:rPr>
        <w:t xml:space="preserve"> </w:t>
      </w:r>
      <w:r w:rsidR="00CF1E04">
        <w:rPr>
          <w:lang w:eastAsia="en-US"/>
        </w:rPr>
        <w:t>muestra</w:t>
      </w:r>
      <w:r w:rsidR="000F58D2">
        <w:rPr>
          <w:lang w:eastAsia="en-US"/>
        </w:rPr>
        <w:t xml:space="preserve"> podría ser</w:t>
      </w:r>
      <w:r w:rsidR="00A81608">
        <w:rPr>
          <w:lang w:eastAsia="en-US"/>
        </w:rPr>
        <w:t xml:space="preserve"> considera</w:t>
      </w:r>
      <w:r w:rsidR="000F58D2">
        <w:rPr>
          <w:lang w:eastAsia="en-US"/>
        </w:rPr>
        <w:t>do</w:t>
      </w:r>
      <w:r w:rsidR="00A81608">
        <w:rPr>
          <w:lang w:eastAsia="en-US"/>
        </w:rPr>
        <w:t xml:space="preserve"> relativamente pequeño</w:t>
      </w:r>
      <w:r w:rsidR="000F58D2">
        <w:rPr>
          <w:lang w:eastAsia="en-US"/>
        </w:rPr>
        <w:t xml:space="preserve"> y, al haberse realizado un</w:t>
      </w:r>
      <w:r w:rsidR="00A81608">
        <w:rPr>
          <w:lang w:eastAsia="en-US"/>
        </w:rPr>
        <w:t xml:space="preserve"> muestreo </w:t>
      </w:r>
      <w:r w:rsidR="000F58D2">
        <w:rPr>
          <w:lang w:eastAsia="en-US"/>
        </w:rPr>
        <w:t>intencional</w:t>
      </w:r>
      <w:r w:rsidR="00A81608">
        <w:rPr>
          <w:lang w:eastAsia="en-US"/>
        </w:rPr>
        <w:t xml:space="preserve">, </w:t>
      </w:r>
      <w:r w:rsidR="000F58D2">
        <w:rPr>
          <w:lang w:eastAsia="en-US"/>
        </w:rPr>
        <w:t>los valores de la estadística descriptiva no son representativos. Así mismo, debe tener</w:t>
      </w:r>
      <w:r w:rsidR="007D329F">
        <w:rPr>
          <w:lang w:eastAsia="en-US"/>
        </w:rPr>
        <w:t>se en cuenta</w:t>
      </w:r>
      <w:r w:rsidR="000F58D2">
        <w:rPr>
          <w:lang w:eastAsia="en-US"/>
        </w:rPr>
        <w:t xml:space="preserve"> que </w:t>
      </w:r>
      <w:r w:rsidR="005413E7">
        <w:rPr>
          <w:lang w:eastAsia="en-US"/>
        </w:rPr>
        <w:t xml:space="preserve">la presente investigación </w:t>
      </w:r>
      <w:r w:rsidR="000F58D2">
        <w:rPr>
          <w:lang w:eastAsia="en-US"/>
        </w:rPr>
        <w:t>se realizó durante las restricciones gubernamentales que se impusieron debido a la pandemia del COVID-19. Esta circunstancia puede considerarse como un importante factor de influencia que no permite que se extraigan determinadas conclusiones de los valores obtenidos.</w:t>
      </w:r>
      <w:r w:rsidR="009D37C8">
        <w:rPr>
          <w:lang w:eastAsia="en-US"/>
        </w:rPr>
        <w:t xml:space="preserve"> </w:t>
      </w:r>
      <w:r w:rsidR="00B5575C">
        <w:rPr>
          <w:lang w:eastAsia="en-US"/>
        </w:rPr>
        <w:t>Finalmente</w:t>
      </w:r>
      <w:r w:rsidR="00A85A74">
        <w:rPr>
          <w:lang w:eastAsia="en-US"/>
        </w:rPr>
        <w:t xml:space="preserve">, se </w:t>
      </w:r>
      <w:r w:rsidR="00B5575C">
        <w:rPr>
          <w:lang w:eastAsia="en-US"/>
        </w:rPr>
        <w:t xml:space="preserve">destaca que </w:t>
      </w:r>
      <w:r w:rsidR="000F58D2">
        <w:rPr>
          <w:lang w:eastAsia="en-US"/>
        </w:rPr>
        <w:t xml:space="preserve">no </w:t>
      </w:r>
      <w:r w:rsidR="00EE4C8C">
        <w:rPr>
          <w:lang w:eastAsia="en-US"/>
        </w:rPr>
        <w:t xml:space="preserve">se </w:t>
      </w:r>
      <w:r w:rsidR="000F58D2">
        <w:rPr>
          <w:lang w:eastAsia="en-US"/>
        </w:rPr>
        <w:t>utilizó una muestra clínica para contrastar los resultados, por lo que se requieren</w:t>
      </w:r>
      <w:r w:rsidR="00116C5C">
        <w:rPr>
          <w:lang w:eastAsia="en-US"/>
        </w:rPr>
        <w:t xml:space="preserve"> futuros estudios para </w:t>
      </w:r>
      <w:r w:rsidR="00116C5C">
        <w:rPr>
          <w:lang w:eastAsia="en-US"/>
        </w:rPr>
        <w:lastRenderedPageBreak/>
        <w:t xml:space="preserve">poder </w:t>
      </w:r>
      <w:r w:rsidR="000F58D2">
        <w:rPr>
          <w:lang w:eastAsia="en-US"/>
        </w:rPr>
        <w:t xml:space="preserve">consolidar la estructura factorial </w:t>
      </w:r>
      <w:r w:rsidR="000F58D2" w:rsidRPr="004D2BA3">
        <w:rPr>
          <w:lang w:eastAsia="en-US"/>
        </w:rPr>
        <w:t xml:space="preserve">y determinar </w:t>
      </w:r>
      <w:r w:rsidR="001479ED" w:rsidRPr="004D2BA3">
        <w:rPr>
          <w:lang w:eastAsia="en-US"/>
        </w:rPr>
        <w:t>si ésta</w:t>
      </w:r>
      <w:r w:rsidR="000F58D2" w:rsidRPr="004D2BA3">
        <w:rPr>
          <w:lang w:eastAsia="en-US"/>
        </w:rPr>
        <w:t xml:space="preserve"> </w:t>
      </w:r>
      <w:r w:rsidR="001479ED" w:rsidRPr="004D2BA3">
        <w:rPr>
          <w:lang w:eastAsia="en-US"/>
        </w:rPr>
        <w:t>mantiene su</w:t>
      </w:r>
      <w:r w:rsidR="00CE79B0" w:rsidRPr="004D2BA3">
        <w:rPr>
          <w:lang w:eastAsia="en-US"/>
        </w:rPr>
        <w:t>s</w:t>
      </w:r>
      <w:r w:rsidR="001479ED" w:rsidRPr="004D2BA3">
        <w:rPr>
          <w:lang w:eastAsia="en-US"/>
        </w:rPr>
        <w:t xml:space="preserve"> característica</w:t>
      </w:r>
      <w:r w:rsidR="00CE79B0" w:rsidRPr="004D2BA3">
        <w:rPr>
          <w:lang w:eastAsia="en-US"/>
        </w:rPr>
        <w:t>s</w:t>
      </w:r>
      <w:r w:rsidR="001479ED" w:rsidRPr="004D2BA3">
        <w:rPr>
          <w:lang w:eastAsia="en-US"/>
        </w:rPr>
        <w:t xml:space="preserve"> </w:t>
      </w:r>
      <w:r w:rsidR="00CE79B0" w:rsidRPr="004D2BA3">
        <w:rPr>
          <w:lang w:eastAsia="en-US"/>
        </w:rPr>
        <w:t>encontradas</w:t>
      </w:r>
      <w:r w:rsidR="003164B8" w:rsidRPr="004D2BA3">
        <w:rPr>
          <w:lang w:eastAsia="en-US"/>
        </w:rPr>
        <w:t>.</w:t>
      </w:r>
    </w:p>
    <w:p w14:paraId="7F71F768" w14:textId="2C1B4B13" w:rsidR="002A6A62" w:rsidRPr="004D2BA3" w:rsidRDefault="002A6A62" w:rsidP="00226409">
      <w:pPr>
        <w:pStyle w:val="Ttulo1"/>
      </w:pPr>
      <w:r w:rsidRPr="004D2BA3">
        <w:t>Anexos</w:t>
      </w:r>
    </w:p>
    <w:p w14:paraId="4C1055A1" w14:textId="593787F1" w:rsidR="00D83C2C" w:rsidRPr="004D2BA3" w:rsidRDefault="00D83C2C" w:rsidP="00D83C2C">
      <w:pPr>
        <w:pStyle w:val="Descripcin"/>
        <w:keepNext/>
      </w:pPr>
      <w:r w:rsidRPr="004D2BA3">
        <w:t xml:space="preserve">Tabla </w:t>
      </w:r>
      <w:r w:rsidR="003A675A">
        <w:fldChar w:fldCharType="begin"/>
      </w:r>
      <w:r w:rsidR="003A675A">
        <w:instrText xml:space="preserve"> SEQ Tabla \* ARABIC </w:instrText>
      </w:r>
      <w:r w:rsidR="003A675A">
        <w:fldChar w:fldCharType="separate"/>
      </w:r>
      <w:r w:rsidRPr="004D2BA3">
        <w:rPr>
          <w:noProof/>
        </w:rPr>
        <w:t>8</w:t>
      </w:r>
      <w:r w:rsidR="003A675A">
        <w:rPr>
          <w:noProof/>
        </w:rPr>
        <w:fldChar w:fldCharType="end"/>
      </w:r>
    </w:p>
    <w:tbl>
      <w:tblPr>
        <w:tblW w:w="4389" w:type="pct"/>
        <w:tblCellMar>
          <w:left w:w="70" w:type="dxa"/>
          <w:right w:w="70" w:type="dxa"/>
        </w:tblCellMar>
        <w:tblLook w:val="04A0" w:firstRow="1" w:lastRow="0" w:firstColumn="1" w:lastColumn="0" w:noHBand="0" w:noVBand="1"/>
      </w:tblPr>
      <w:tblGrid>
        <w:gridCol w:w="453"/>
        <w:gridCol w:w="552"/>
        <w:gridCol w:w="553"/>
        <w:gridCol w:w="554"/>
        <w:gridCol w:w="554"/>
        <w:gridCol w:w="554"/>
        <w:gridCol w:w="554"/>
        <w:gridCol w:w="554"/>
        <w:gridCol w:w="554"/>
        <w:gridCol w:w="615"/>
        <w:gridCol w:w="615"/>
        <w:gridCol w:w="615"/>
        <w:gridCol w:w="615"/>
        <w:gridCol w:w="604"/>
        <w:gridCol w:w="16"/>
      </w:tblGrid>
      <w:tr w:rsidR="00D83C2C" w:rsidRPr="004D2BA3" w14:paraId="4B6CE314" w14:textId="77777777" w:rsidTr="00D83C2C">
        <w:trPr>
          <w:trHeight w:val="240"/>
        </w:trPr>
        <w:tc>
          <w:tcPr>
            <w:tcW w:w="5000" w:type="pct"/>
            <w:gridSpan w:val="15"/>
            <w:tcBorders>
              <w:top w:val="nil"/>
              <w:left w:val="nil"/>
              <w:bottom w:val="single" w:sz="4" w:space="0" w:color="auto"/>
              <w:right w:val="nil"/>
            </w:tcBorders>
            <w:shd w:val="clear" w:color="auto" w:fill="auto"/>
            <w:noWrap/>
            <w:vAlign w:val="center"/>
            <w:hideMark/>
          </w:tcPr>
          <w:p w14:paraId="3C636029" w14:textId="77777777" w:rsidR="00D83C2C" w:rsidRPr="004D2BA3" w:rsidRDefault="00D83C2C" w:rsidP="00D83C2C">
            <w:pPr>
              <w:spacing w:after="0" w:line="240" w:lineRule="auto"/>
              <w:ind w:firstLine="0"/>
              <w:jc w:val="left"/>
              <w:rPr>
                <w:rFonts w:ascii="Arial" w:hAnsi="Arial" w:cs="Arial"/>
                <w:i/>
                <w:iCs/>
                <w:color w:val="000000"/>
                <w:sz w:val="18"/>
                <w:szCs w:val="18"/>
              </w:rPr>
            </w:pPr>
            <w:r w:rsidRPr="004D2BA3">
              <w:rPr>
                <w:rFonts w:ascii="Arial" w:hAnsi="Arial" w:cs="Arial"/>
                <w:i/>
                <w:iCs/>
                <w:color w:val="000000"/>
                <w:sz w:val="18"/>
                <w:szCs w:val="18"/>
              </w:rPr>
              <w:t xml:space="preserve">SA - 18: </w:t>
            </w:r>
            <w:r w:rsidRPr="004D2BA3">
              <w:rPr>
                <w:rFonts w:ascii="Arial" w:hAnsi="Arial" w:cs="Arial"/>
                <w:i/>
                <w:iCs/>
                <w:noProof/>
                <w:color w:val="000000"/>
                <w:sz w:val="18"/>
                <w:szCs w:val="18"/>
              </w:rPr>
              <w:t>Symptom</w:t>
            </w:r>
            <w:r w:rsidRPr="004D2BA3">
              <w:rPr>
                <w:rFonts w:ascii="Arial" w:hAnsi="Arial" w:cs="Arial"/>
                <w:i/>
                <w:iCs/>
                <w:color w:val="000000"/>
                <w:sz w:val="18"/>
                <w:szCs w:val="18"/>
              </w:rPr>
              <w:t xml:space="preserve"> Assessment-18 Questionnaire</w:t>
            </w:r>
          </w:p>
        </w:tc>
      </w:tr>
      <w:tr w:rsidR="00D83C2C" w:rsidRPr="004D2BA3" w14:paraId="1C6ADDD3" w14:textId="77777777" w:rsidTr="00D83C2C">
        <w:trPr>
          <w:gridAfter w:val="1"/>
          <w:wAfter w:w="10" w:type="pct"/>
          <w:trHeight w:val="255"/>
        </w:trPr>
        <w:tc>
          <w:tcPr>
            <w:tcW w:w="285" w:type="pct"/>
            <w:tcBorders>
              <w:top w:val="nil"/>
              <w:left w:val="nil"/>
              <w:bottom w:val="nil"/>
              <w:right w:val="nil"/>
            </w:tcBorders>
            <w:shd w:val="clear" w:color="auto" w:fill="auto"/>
            <w:noWrap/>
            <w:vAlign w:val="bottom"/>
            <w:hideMark/>
          </w:tcPr>
          <w:p w14:paraId="2B505C78" w14:textId="77777777" w:rsidR="00D83C2C" w:rsidRPr="004D2BA3" w:rsidRDefault="00D83C2C" w:rsidP="00D83C2C">
            <w:pPr>
              <w:spacing w:after="0" w:line="240" w:lineRule="auto"/>
              <w:ind w:firstLine="0"/>
              <w:jc w:val="left"/>
              <w:rPr>
                <w:rFonts w:ascii="Arial" w:hAnsi="Arial" w:cs="Arial"/>
                <w:i/>
                <w:iCs/>
                <w:color w:val="000000"/>
                <w:sz w:val="18"/>
                <w:szCs w:val="18"/>
              </w:rPr>
            </w:pPr>
          </w:p>
        </w:tc>
        <w:tc>
          <w:tcPr>
            <w:tcW w:w="347" w:type="pct"/>
            <w:tcBorders>
              <w:top w:val="nil"/>
              <w:left w:val="nil"/>
              <w:bottom w:val="nil"/>
              <w:right w:val="nil"/>
            </w:tcBorders>
            <w:shd w:val="clear" w:color="auto" w:fill="auto"/>
            <w:noWrap/>
            <w:vAlign w:val="bottom"/>
            <w:hideMark/>
          </w:tcPr>
          <w:p w14:paraId="44F83824" w14:textId="77777777" w:rsidR="00D83C2C" w:rsidRPr="004D2BA3" w:rsidRDefault="00D83C2C" w:rsidP="00D83C2C">
            <w:pPr>
              <w:spacing w:after="0" w:line="240" w:lineRule="auto"/>
              <w:ind w:firstLine="0"/>
              <w:jc w:val="left"/>
              <w:rPr>
                <w:sz w:val="20"/>
                <w:szCs w:val="20"/>
              </w:rPr>
            </w:pPr>
          </w:p>
        </w:tc>
        <w:tc>
          <w:tcPr>
            <w:tcW w:w="347" w:type="pct"/>
            <w:tcBorders>
              <w:top w:val="nil"/>
              <w:left w:val="nil"/>
              <w:bottom w:val="nil"/>
              <w:right w:val="nil"/>
            </w:tcBorders>
            <w:shd w:val="clear" w:color="auto" w:fill="auto"/>
            <w:noWrap/>
            <w:vAlign w:val="bottom"/>
            <w:hideMark/>
          </w:tcPr>
          <w:p w14:paraId="018EA109"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57C49595"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2BAB61A1"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68CD1D06"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1FDF7095"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59EED234"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3A02F912"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1F19FBC3"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42DC219C"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1202393D"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7A5A8B49" w14:textId="77777777" w:rsidR="00D83C2C" w:rsidRPr="004D2BA3" w:rsidRDefault="00D83C2C" w:rsidP="00D83C2C">
            <w:pPr>
              <w:spacing w:after="0" w:line="240" w:lineRule="auto"/>
              <w:ind w:firstLine="0"/>
              <w:jc w:val="left"/>
              <w:rPr>
                <w:sz w:val="20"/>
                <w:szCs w:val="20"/>
              </w:rPr>
            </w:pPr>
          </w:p>
        </w:tc>
        <w:tc>
          <w:tcPr>
            <w:tcW w:w="379" w:type="pct"/>
            <w:tcBorders>
              <w:top w:val="nil"/>
              <w:left w:val="nil"/>
              <w:bottom w:val="nil"/>
              <w:right w:val="nil"/>
            </w:tcBorders>
            <w:shd w:val="clear" w:color="auto" w:fill="auto"/>
            <w:noWrap/>
            <w:vAlign w:val="bottom"/>
            <w:hideMark/>
          </w:tcPr>
          <w:p w14:paraId="7E9E5D36" w14:textId="77777777" w:rsidR="00D83C2C" w:rsidRPr="004D2BA3" w:rsidRDefault="00D83C2C" w:rsidP="00D83C2C">
            <w:pPr>
              <w:spacing w:after="0" w:line="240" w:lineRule="auto"/>
              <w:ind w:firstLine="0"/>
              <w:jc w:val="left"/>
              <w:rPr>
                <w:sz w:val="20"/>
                <w:szCs w:val="20"/>
              </w:rPr>
            </w:pPr>
          </w:p>
        </w:tc>
      </w:tr>
      <w:tr w:rsidR="00D83C2C" w:rsidRPr="004D2BA3" w14:paraId="296A7001" w14:textId="77777777" w:rsidTr="00D83C2C">
        <w:trPr>
          <w:trHeight w:val="2460"/>
        </w:trPr>
        <w:tc>
          <w:tcPr>
            <w:tcW w:w="5000"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4ACCAF35" w14:textId="77777777" w:rsidR="00D83C2C" w:rsidRPr="004D2BA3" w:rsidRDefault="00D83C2C" w:rsidP="00D83C2C">
            <w:pPr>
              <w:spacing w:after="0" w:line="240" w:lineRule="auto"/>
              <w:ind w:firstLine="0"/>
              <w:jc w:val="left"/>
              <w:rPr>
                <w:rFonts w:ascii="Arial" w:hAnsi="Arial" w:cs="Arial"/>
                <w:b/>
                <w:bCs/>
                <w:color w:val="000000"/>
                <w:sz w:val="18"/>
                <w:szCs w:val="18"/>
              </w:rPr>
            </w:pPr>
            <w:r w:rsidRPr="004D2BA3">
              <w:rPr>
                <w:rFonts w:ascii="Arial" w:hAnsi="Arial" w:cs="Arial"/>
                <w:b/>
                <w:bCs/>
                <w:color w:val="000000"/>
                <w:sz w:val="18"/>
                <w:szCs w:val="18"/>
              </w:rPr>
              <w:t>Lea atentamente la siguiente lista. Son problemas y molestias que casi todo el mundo sufre en alguna ocasión. Indique cuánto ha experimentado cada uno de ellos durante los últimos 7 días (incluido el día de hoy).</w:t>
            </w:r>
            <w:r w:rsidRPr="004D2BA3">
              <w:rPr>
                <w:rFonts w:ascii="Arial" w:hAnsi="Arial" w:cs="Arial"/>
                <w:b/>
                <w:bCs/>
                <w:color w:val="000000"/>
                <w:sz w:val="18"/>
                <w:szCs w:val="18"/>
              </w:rPr>
              <w:br/>
            </w:r>
            <w:r w:rsidRPr="004D2BA3">
              <w:rPr>
                <w:rFonts w:ascii="Arial" w:hAnsi="Arial" w:cs="Arial"/>
                <w:b/>
                <w:bCs/>
                <w:color w:val="000000"/>
                <w:sz w:val="18"/>
                <w:szCs w:val="18"/>
              </w:rPr>
              <w:br/>
              <w:t xml:space="preserve">Para ello, tenga en cuenta la siguiente valoración: </w:t>
            </w:r>
            <w:r w:rsidRPr="004D2BA3">
              <w:rPr>
                <w:rFonts w:ascii="Arial" w:hAnsi="Arial" w:cs="Arial"/>
                <w:b/>
                <w:bCs/>
                <w:color w:val="000000"/>
                <w:sz w:val="18"/>
                <w:szCs w:val="18"/>
              </w:rPr>
              <w:br/>
            </w:r>
            <w:r w:rsidRPr="004D2BA3">
              <w:rPr>
                <w:rFonts w:ascii="Arial" w:hAnsi="Arial" w:cs="Arial"/>
                <w:b/>
                <w:bCs/>
                <w:color w:val="000000"/>
                <w:sz w:val="18"/>
                <w:szCs w:val="18"/>
              </w:rPr>
              <w:br/>
              <w:t>0 = Totalmente en desacuerdo</w:t>
            </w:r>
            <w:r w:rsidRPr="004D2BA3">
              <w:rPr>
                <w:rFonts w:ascii="Arial" w:hAnsi="Arial" w:cs="Arial"/>
                <w:b/>
                <w:bCs/>
                <w:color w:val="000000"/>
                <w:sz w:val="18"/>
                <w:szCs w:val="18"/>
              </w:rPr>
              <w:br/>
              <w:t>1 = En desacuerdo</w:t>
            </w:r>
            <w:r w:rsidRPr="004D2BA3">
              <w:rPr>
                <w:rFonts w:ascii="Arial" w:hAnsi="Arial" w:cs="Arial"/>
                <w:b/>
                <w:bCs/>
                <w:color w:val="000000"/>
                <w:sz w:val="18"/>
                <w:szCs w:val="18"/>
              </w:rPr>
              <w:br/>
              <w:t>2 = Ni de acuerdo ni en desacuerdo</w:t>
            </w:r>
            <w:r w:rsidRPr="004D2BA3">
              <w:rPr>
                <w:rFonts w:ascii="Arial" w:hAnsi="Arial" w:cs="Arial"/>
                <w:b/>
                <w:bCs/>
                <w:color w:val="000000"/>
                <w:sz w:val="18"/>
                <w:szCs w:val="18"/>
              </w:rPr>
              <w:br/>
              <w:t>3 = De acuerdo</w:t>
            </w:r>
            <w:r w:rsidRPr="004D2BA3">
              <w:rPr>
                <w:rFonts w:ascii="Arial" w:hAnsi="Arial" w:cs="Arial"/>
                <w:b/>
                <w:bCs/>
                <w:color w:val="000000"/>
                <w:sz w:val="18"/>
                <w:szCs w:val="18"/>
              </w:rPr>
              <w:br/>
              <w:t>4 = Totalmente de acuerdo</w:t>
            </w:r>
          </w:p>
        </w:tc>
      </w:tr>
      <w:tr w:rsidR="00D83C2C" w:rsidRPr="004D2BA3" w14:paraId="574D5860" w14:textId="77777777" w:rsidTr="00D83C2C">
        <w:trPr>
          <w:gridAfter w:val="1"/>
          <w:wAfter w:w="10" w:type="pct"/>
          <w:trHeight w:val="255"/>
        </w:trPr>
        <w:tc>
          <w:tcPr>
            <w:tcW w:w="285" w:type="pct"/>
            <w:tcBorders>
              <w:top w:val="nil"/>
              <w:left w:val="nil"/>
              <w:bottom w:val="nil"/>
              <w:right w:val="nil"/>
            </w:tcBorders>
            <w:shd w:val="clear" w:color="auto" w:fill="auto"/>
            <w:noWrap/>
            <w:vAlign w:val="bottom"/>
            <w:hideMark/>
          </w:tcPr>
          <w:p w14:paraId="7357917B" w14:textId="77777777" w:rsidR="00D83C2C" w:rsidRPr="004D2BA3" w:rsidRDefault="00D83C2C" w:rsidP="00D83C2C">
            <w:pPr>
              <w:spacing w:after="0" w:line="240" w:lineRule="auto"/>
              <w:ind w:firstLine="0"/>
              <w:jc w:val="left"/>
              <w:rPr>
                <w:rFonts w:ascii="Arial" w:hAnsi="Arial" w:cs="Arial"/>
                <w:b/>
                <w:bCs/>
                <w:color w:val="000000"/>
                <w:sz w:val="18"/>
                <w:szCs w:val="18"/>
              </w:rPr>
            </w:pPr>
          </w:p>
        </w:tc>
        <w:tc>
          <w:tcPr>
            <w:tcW w:w="347" w:type="pct"/>
            <w:tcBorders>
              <w:top w:val="nil"/>
              <w:left w:val="nil"/>
              <w:bottom w:val="nil"/>
              <w:right w:val="nil"/>
            </w:tcBorders>
            <w:shd w:val="clear" w:color="auto" w:fill="auto"/>
            <w:noWrap/>
            <w:vAlign w:val="bottom"/>
            <w:hideMark/>
          </w:tcPr>
          <w:p w14:paraId="01750197" w14:textId="77777777" w:rsidR="00D83C2C" w:rsidRPr="004D2BA3" w:rsidRDefault="00D83C2C" w:rsidP="00D83C2C">
            <w:pPr>
              <w:spacing w:after="0" w:line="240" w:lineRule="auto"/>
              <w:ind w:firstLine="0"/>
              <w:jc w:val="left"/>
              <w:rPr>
                <w:sz w:val="20"/>
                <w:szCs w:val="20"/>
              </w:rPr>
            </w:pPr>
          </w:p>
        </w:tc>
        <w:tc>
          <w:tcPr>
            <w:tcW w:w="347" w:type="pct"/>
            <w:tcBorders>
              <w:top w:val="nil"/>
              <w:left w:val="nil"/>
              <w:bottom w:val="nil"/>
              <w:right w:val="nil"/>
            </w:tcBorders>
            <w:shd w:val="clear" w:color="auto" w:fill="auto"/>
            <w:noWrap/>
            <w:vAlign w:val="bottom"/>
            <w:hideMark/>
          </w:tcPr>
          <w:p w14:paraId="00CAB289"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7B2FD97B"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75B7335C"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103A42B1"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261D33EE"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495DEAB5" w14:textId="77777777" w:rsidR="00D83C2C" w:rsidRPr="004D2BA3" w:rsidRDefault="00D83C2C" w:rsidP="00D83C2C">
            <w:pPr>
              <w:spacing w:after="0" w:line="240" w:lineRule="auto"/>
              <w:ind w:firstLine="0"/>
              <w:jc w:val="left"/>
              <w:rPr>
                <w:sz w:val="20"/>
                <w:szCs w:val="20"/>
              </w:rPr>
            </w:pPr>
          </w:p>
        </w:tc>
        <w:tc>
          <w:tcPr>
            <w:tcW w:w="348" w:type="pct"/>
            <w:tcBorders>
              <w:top w:val="nil"/>
              <w:left w:val="nil"/>
              <w:bottom w:val="nil"/>
              <w:right w:val="nil"/>
            </w:tcBorders>
            <w:shd w:val="clear" w:color="auto" w:fill="auto"/>
            <w:noWrap/>
            <w:vAlign w:val="bottom"/>
            <w:hideMark/>
          </w:tcPr>
          <w:p w14:paraId="3301F2E7"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6CD056E4"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0FA253E7"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61798E1F" w14:textId="77777777" w:rsidR="00D83C2C" w:rsidRPr="004D2BA3" w:rsidRDefault="00D83C2C" w:rsidP="00D83C2C">
            <w:pPr>
              <w:spacing w:after="0" w:line="240" w:lineRule="auto"/>
              <w:ind w:firstLine="0"/>
              <w:jc w:val="left"/>
              <w:rPr>
                <w:sz w:val="20"/>
                <w:szCs w:val="20"/>
              </w:rPr>
            </w:pPr>
          </w:p>
        </w:tc>
        <w:tc>
          <w:tcPr>
            <w:tcW w:w="386" w:type="pct"/>
            <w:tcBorders>
              <w:top w:val="nil"/>
              <w:left w:val="nil"/>
              <w:bottom w:val="nil"/>
              <w:right w:val="nil"/>
            </w:tcBorders>
            <w:shd w:val="clear" w:color="auto" w:fill="auto"/>
            <w:noWrap/>
            <w:vAlign w:val="bottom"/>
            <w:hideMark/>
          </w:tcPr>
          <w:p w14:paraId="0F4E26DD" w14:textId="77777777" w:rsidR="00D83C2C" w:rsidRPr="004D2BA3" w:rsidRDefault="00D83C2C" w:rsidP="00D83C2C">
            <w:pPr>
              <w:spacing w:after="0" w:line="240" w:lineRule="auto"/>
              <w:ind w:firstLine="0"/>
              <w:jc w:val="left"/>
              <w:rPr>
                <w:sz w:val="20"/>
                <w:szCs w:val="20"/>
              </w:rPr>
            </w:pPr>
          </w:p>
        </w:tc>
        <w:tc>
          <w:tcPr>
            <w:tcW w:w="379" w:type="pct"/>
            <w:tcBorders>
              <w:top w:val="nil"/>
              <w:left w:val="nil"/>
              <w:bottom w:val="nil"/>
              <w:right w:val="nil"/>
            </w:tcBorders>
            <w:shd w:val="clear" w:color="auto" w:fill="auto"/>
            <w:noWrap/>
            <w:vAlign w:val="bottom"/>
            <w:hideMark/>
          </w:tcPr>
          <w:p w14:paraId="44359978" w14:textId="77777777" w:rsidR="00D83C2C" w:rsidRPr="004D2BA3" w:rsidRDefault="00D83C2C" w:rsidP="00D83C2C">
            <w:pPr>
              <w:spacing w:after="0" w:line="240" w:lineRule="auto"/>
              <w:ind w:firstLine="0"/>
              <w:jc w:val="left"/>
              <w:rPr>
                <w:sz w:val="20"/>
                <w:szCs w:val="20"/>
              </w:rPr>
            </w:pPr>
          </w:p>
        </w:tc>
      </w:tr>
      <w:tr w:rsidR="00D83C2C" w:rsidRPr="004D2BA3" w14:paraId="29AB0708" w14:textId="77777777" w:rsidTr="00D83C2C">
        <w:trPr>
          <w:gridAfter w:val="1"/>
          <w:wAfter w:w="10" w:type="pct"/>
          <w:trHeight w:val="240"/>
        </w:trPr>
        <w:tc>
          <w:tcPr>
            <w:tcW w:w="28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D44352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01.</w:t>
            </w:r>
          </w:p>
        </w:tc>
        <w:tc>
          <w:tcPr>
            <w:tcW w:w="2780" w:type="pct"/>
            <w:gridSpan w:val="8"/>
            <w:tcBorders>
              <w:top w:val="single" w:sz="8" w:space="0" w:color="auto"/>
              <w:left w:val="nil"/>
              <w:bottom w:val="single" w:sz="4" w:space="0" w:color="auto"/>
              <w:right w:val="single" w:sz="8" w:space="0" w:color="000000"/>
            </w:tcBorders>
            <w:shd w:val="clear" w:color="auto" w:fill="auto"/>
            <w:noWrap/>
            <w:vAlign w:val="center"/>
            <w:hideMark/>
          </w:tcPr>
          <w:p w14:paraId="4CB86160"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Miedo a espacios abiertos.</w:t>
            </w:r>
          </w:p>
        </w:tc>
        <w:tc>
          <w:tcPr>
            <w:tcW w:w="386" w:type="pct"/>
            <w:tcBorders>
              <w:top w:val="single" w:sz="8" w:space="0" w:color="auto"/>
              <w:left w:val="nil"/>
              <w:bottom w:val="single" w:sz="4" w:space="0" w:color="auto"/>
              <w:right w:val="single" w:sz="4" w:space="0" w:color="auto"/>
            </w:tcBorders>
            <w:shd w:val="clear" w:color="auto" w:fill="auto"/>
            <w:noWrap/>
            <w:vAlign w:val="center"/>
            <w:hideMark/>
          </w:tcPr>
          <w:p w14:paraId="587C86E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single" w:sz="8" w:space="0" w:color="auto"/>
              <w:left w:val="nil"/>
              <w:bottom w:val="single" w:sz="4" w:space="0" w:color="auto"/>
              <w:right w:val="single" w:sz="4" w:space="0" w:color="auto"/>
            </w:tcBorders>
            <w:shd w:val="clear" w:color="auto" w:fill="auto"/>
            <w:noWrap/>
            <w:vAlign w:val="center"/>
            <w:hideMark/>
          </w:tcPr>
          <w:p w14:paraId="3C501C64"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single" w:sz="8" w:space="0" w:color="auto"/>
              <w:left w:val="nil"/>
              <w:bottom w:val="single" w:sz="4" w:space="0" w:color="auto"/>
              <w:right w:val="single" w:sz="4" w:space="0" w:color="auto"/>
            </w:tcBorders>
            <w:shd w:val="clear" w:color="auto" w:fill="auto"/>
            <w:noWrap/>
            <w:vAlign w:val="center"/>
            <w:hideMark/>
          </w:tcPr>
          <w:p w14:paraId="685E0550"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single" w:sz="8" w:space="0" w:color="auto"/>
              <w:left w:val="nil"/>
              <w:bottom w:val="single" w:sz="4" w:space="0" w:color="auto"/>
              <w:right w:val="single" w:sz="4" w:space="0" w:color="auto"/>
            </w:tcBorders>
            <w:shd w:val="clear" w:color="auto" w:fill="auto"/>
            <w:noWrap/>
            <w:vAlign w:val="center"/>
            <w:hideMark/>
          </w:tcPr>
          <w:p w14:paraId="79FEB7D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single" w:sz="8" w:space="0" w:color="auto"/>
              <w:left w:val="nil"/>
              <w:bottom w:val="single" w:sz="4" w:space="0" w:color="auto"/>
              <w:right w:val="single" w:sz="8" w:space="0" w:color="auto"/>
            </w:tcBorders>
            <w:shd w:val="clear" w:color="auto" w:fill="auto"/>
            <w:noWrap/>
            <w:vAlign w:val="center"/>
            <w:hideMark/>
          </w:tcPr>
          <w:p w14:paraId="3BE05F0B"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27B461B1"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2139962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02.</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3942EEC6"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Desconfiar de las personas.</w:t>
            </w:r>
          </w:p>
        </w:tc>
        <w:tc>
          <w:tcPr>
            <w:tcW w:w="386" w:type="pct"/>
            <w:tcBorders>
              <w:top w:val="nil"/>
              <w:left w:val="nil"/>
              <w:bottom w:val="single" w:sz="4" w:space="0" w:color="auto"/>
              <w:right w:val="single" w:sz="4" w:space="0" w:color="auto"/>
            </w:tcBorders>
            <w:shd w:val="clear" w:color="auto" w:fill="auto"/>
            <w:noWrap/>
            <w:vAlign w:val="center"/>
            <w:hideMark/>
          </w:tcPr>
          <w:p w14:paraId="57CF052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3C04D61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20955FE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1D8C37C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274546A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4B527436"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4E1481C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03.</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03C40EF5"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Entumecimiento u hormigueo.</w:t>
            </w:r>
          </w:p>
        </w:tc>
        <w:tc>
          <w:tcPr>
            <w:tcW w:w="386" w:type="pct"/>
            <w:tcBorders>
              <w:top w:val="nil"/>
              <w:left w:val="nil"/>
              <w:bottom w:val="single" w:sz="4" w:space="0" w:color="auto"/>
              <w:right w:val="single" w:sz="4" w:space="0" w:color="auto"/>
            </w:tcBorders>
            <w:shd w:val="clear" w:color="auto" w:fill="auto"/>
            <w:noWrap/>
            <w:vAlign w:val="center"/>
            <w:hideMark/>
          </w:tcPr>
          <w:p w14:paraId="137E880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7836134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4D8F036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02827AA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62A76820"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65122D76"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35410B44"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04.</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1B5A0CC4" w14:textId="3268DD86" w:rsidR="00D83C2C" w:rsidRPr="00E458BA" w:rsidRDefault="00D83C2C" w:rsidP="00D83C2C">
            <w:pPr>
              <w:spacing w:after="0" w:line="240" w:lineRule="auto"/>
              <w:ind w:firstLine="0"/>
              <w:jc w:val="left"/>
              <w:rPr>
                <w:rFonts w:ascii="Arial" w:hAnsi="Arial" w:cs="Arial"/>
                <w:color w:val="000000"/>
                <w:sz w:val="18"/>
                <w:szCs w:val="18"/>
                <w:lang w:val="pt-BR"/>
              </w:rPr>
            </w:pPr>
            <w:proofErr w:type="spellStart"/>
            <w:r w:rsidRPr="00E458BA">
              <w:rPr>
                <w:rFonts w:ascii="Arial" w:hAnsi="Arial" w:cs="Arial"/>
                <w:color w:val="000000"/>
                <w:sz w:val="18"/>
                <w:szCs w:val="18"/>
                <w:lang w:val="pt-BR"/>
              </w:rPr>
              <w:t>Arrebatos</w:t>
            </w:r>
            <w:proofErr w:type="spellEnd"/>
            <w:r w:rsidRPr="00E458BA">
              <w:rPr>
                <w:rFonts w:ascii="Arial" w:hAnsi="Arial" w:cs="Arial"/>
                <w:color w:val="000000"/>
                <w:sz w:val="18"/>
                <w:szCs w:val="18"/>
                <w:lang w:val="pt-BR"/>
              </w:rPr>
              <w:t xml:space="preserve"> de cólera o </w:t>
            </w:r>
            <w:proofErr w:type="spellStart"/>
            <w:r w:rsidR="004D2BA3" w:rsidRPr="00E458BA">
              <w:rPr>
                <w:rFonts w:ascii="Arial" w:hAnsi="Arial" w:cs="Arial"/>
                <w:color w:val="000000"/>
                <w:sz w:val="18"/>
                <w:szCs w:val="18"/>
                <w:lang w:val="pt-BR"/>
              </w:rPr>
              <w:t>furia</w:t>
            </w:r>
            <w:proofErr w:type="spellEnd"/>
            <w:r w:rsidRPr="00E458BA">
              <w:rPr>
                <w:rFonts w:ascii="Arial" w:hAnsi="Arial" w:cs="Arial"/>
                <w:color w:val="000000"/>
                <w:sz w:val="18"/>
                <w:szCs w:val="18"/>
                <w:lang w:val="pt-BR"/>
              </w:rPr>
              <w:t>.</w:t>
            </w:r>
          </w:p>
        </w:tc>
        <w:tc>
          <w:tcPr>
            <w:tcW w:w="386" w:type="pct"/>
            <w:tcBorders>
              <w:top w:val="nil"/>
              <w:left w:val="nil"/>
              <w:bottom w:val="single" w:sz="4" w:space="0" w:color="auto"/>
              <w:right w:val="single" w:sz="4" w:space="0" w:color="auto"/>
            </w:tcBorders>
            <w:shd w:val="clear" w:color="auto" w:fill="auto"/>
            <w:noWrap/>
            <w:vAlign w:val="center"/>
            <w:hideMark/>
          </w:tcPr>
          <w:p w14:paraId="68A8859B"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241A7350"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25C67C09"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4A91330B"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3F601BA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2672C756"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0566E681"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05.</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57A5A626"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Sentirse solo/a.</w:t>
            </w:r>
          </w:p>
        </w:tc>
        <w:tc>
          <w:tcPr>
            <w:tcW w:w="386" w:type="pct"/>
            <w:tcBorders>
              <w:top w:val="nil"/>
              <w:left w:val="nil"/>
              <w:bottom w:val="single" w:sz="4" w:space="0" w:color="auto"/>
              <w:right w:val="single" w:sz="4" w:space="0" w:color="auto"/>
            </w:tcBorders>
            <w:shd w:val="clear" w:color="auto" w:fill="auto"/>
            <w:noWrap/>
            <w:vAlign w:val="center"/>
            <w:hideMark/>
          </w:tcPr>
          <w:p w14:paraId="08E3DDFE"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28C8191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1F783E1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62F28F95"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0E7B2CC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5A20E0E2"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1C55E25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06.</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25D8207C"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Sentirse inferior.</w:t>
            </w:r>
          </w:p>
        </w:tc>
        <w:tc>
          <w:tcPr>
            <w:tcW w:w="386" w:type="pct"/>
            <w:tcBorders>
              <w:top w:val="nil"/>
              <w:left w:val="nil"/>
              <w:bottom w:val="single" w:sz="4" w:space="0" w:color="auto"/>
              <w:right w:val="single" w:sz="4" w:space="0" w:color="auto"/>
            </w:tcBorders>
            <w:shd w:val="clear" w:color="auto" w:fill="auto"/>
            <w:noWrap/>
            <w:vAlign w:val="center"/>
            <w:hideMark/>
          </w:tcPr>
          <w:p w14:paraId="6F62ED77"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413CE5D1"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584958DE"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10E3239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74D9947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5972032E"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3A602787"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07.</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15D92F53"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Miedo a viajar en medios de transporte colectivos.</w:t>
            </w:r>
          </w:p>
        </w:tc>
        <w:tc>
          <w:tcPr>
            <w:tcW w:w="386" w:type="pct"/>
            <w:tcBorders>
              <w:top w:val="nil"/>
              <w:left w:val="nil"/>
              <w:bottom w:val="single" w:sz="4" w:space="0" w:color="auto"/>
              <w:right w:val="single" w:sz="4" w:space="0" w:color="auto"/>
            </w:tcBorders>
            <w:shd w:val="clear" w:color="auto" w:fill="auto"/>
            <w:noWrap/>
            <w:vAlign w:val="center"/>
            <w:hideMark/>
          </w:tcPr>
          <w:p w14:paraId="47F94F5B"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4266257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63B8CE3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43CB77A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6FBA4EE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156CA107"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05F0E0F1"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08.</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04F2403E"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Otras personas no reconocen sus logros.</w:t>
            </w:r>
          </w:p>
        </w:tc>
        <w:tc>
          <w:tcPr>
            <w:tcW w:w="386" w:type="pct"/>
            <w:tcBorders>
              <w:top w:val="nil"/>
              <w:left w:val="nil"/>
              <w:bottom w:val="single" w:sz="4" w:space="0" w:color="auto"/>
              <w:right w:val="single" w:sz="4" w:space="0" w:color="auto"/>
            </w:tcBorders>
            <w:shd w:val="clear" w:color="auto" w:fill="auto"/>
            <w:noWrap/>
            <w:vAlign w:val="center"/>
            <w:hideMark/>
          </w:tcPr>
          <w:p w14:paraId="5C9730F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2F3E2E2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7F7E41E5"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29B2EE5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506D8AA4"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2ECD3135"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036A4F2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09.</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206B5B32"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Debilidad corporal.</w:t>
            </w:r>
          </w:p>
        </w:tc>
        <w:tc>
          <w:tcPr>
            <w:tcW w:w="386" w:type="pct"/>
            <w:tcBorders>
              <w:top w:val="nil"/>
              <w:left w:val="nil"/>
              <w:bottom w:val="single" w:sz="4" w:space="0" w:color="auto"/>
              <w:right w:val="single" w:sz="4" w:space="0" w:color="auto"/>
            </w:tcBorders>
            <w:shd w:val="clear" w:color="auto" w:fill="auto"/>
            <w:noWrap/>
            <w:vAlign w:val="center"/>
            <w:hideMark/>
          </w:tcPr>
          <w:p w14:paraId="51964057"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0C2F25C5"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07C8BA15"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3A975DFE"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5BFDB31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2D38EC01"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10E597A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10.</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52F7632A"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Tener ganas de romper algo.</w:t>
            </w:r>
          </w:p>
        </w:tc>
        <w:tc>
          <w:tcPr>
            <w:tcW w:w="386" w:type="pct"/>
            <w:tcBorders>
              <w:top w:val="nil"/>
              <w:left w:val="nil"/>
              <w:bottom w:val="single" w:sz="4" w:space="0" w:color="auto"/>
              <w:right w:val="single" w:sz="4" w:space="0" w:color="auto"/>
            </w:tcBorders>
            <w:shd w:val="clear" w:color="auto" w:fill="auto"/>
            <w:noWrap/>
            <w:vAlign w:val="center"/>
            <w:hideMark/>
          </w:tcPr>
          <w:p w14:paraId="77A4345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717A12D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7332163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638B9199"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7C5D956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11D8759F"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7BC2B1B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11.</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77287AAA"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Sentirse triste.</w:t>
            </w:r>
          </w:p>
        </w:tc>
        <w:tc>
          <w:tcPr>
            <w:tcW w:w="386" w:type="pct"/>
            <w:tcBorders>
              <w:top w:val="nil"/>
              <w:left w:val="nil"/>
              <w:bottom w:val="single" w:sz="4" w:space="0" w:color="auto"/>
              <w:right w:val="single" w:sz="4" w:space="0" w:color="auto"/>
            </w:tcBorders>
            <w:shd w:val="clear" w:color="auto" w:fill="auto"/>
            <w:noWrap/>
            <w:vAlign w:val="center"/>
            <w:hideMark/>
          </w:tcPr>
          <w:p w14:paraId="66F6CD2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25296C0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4122CD25"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6F24D48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72FA92A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3C04569D"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382518B9"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12.</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02324162"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Dificultad para tomar decisiones.</w:t>
            </w:r>
          </w:p>
        </w:tc>
        <w:tc>
          <w:tcPr>
            <w:tcW w:w="386" w:type="pct"/>
            <w:tcBorders>
              <w:top w:val="nil"/>
              <w:left w:val="nil"/>
              <w:bottom w:val="single" w:sz="4" w:space="0" w:color="auto"/>
              <w:right w:val="single" w:sz="4" w:space="0" w:color="auto"/>
            </w:tcBorders>
            <w:shd w:val="clear" w:color="auto" w:fill="auto"/>
            <w:noWrap/>
            <w:vAlign w:val="center"/>
            <w:hideMark/>
          </w:tcPr>
          <w:p w14:paraId="5D030DB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5931F967"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6D39BFAE"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5B7B5931"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261984B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143FAE65"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0D7B967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13.</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5948D788" w14:textId="77777777" w:rsidR="00D83C2C" w:rsidRPr="00E458BA" w:rsidRDefault="00D83C2C" w:rsidP="00D83C2C">
            <w:pPr>
              <w:spacing w:after="0" w:line="240" w:lineRule="auto"/>
              <w:ind w:firstLine="0"/>
              <w:jc w:val="left"/>
              <w:rPr>
                <w:rFonts w:ascii="Arial" w:hAnsi="Arial" w:cs="Arial"/>
                <w:color w:val="000000"/>
                <w:sz w:val="18"/>
                <w:szCs w:val="18"/>
                <w:lang w:val="pt-BR"/>
              </w:rPr>
            </w:pPr>
            <w:r w:rsidRPr="00E458BA">
              <w:rPr>
                <w:rFonts w:ascii="Arial" w:hAnsi="Arial" w:cs="Arial"/>
                <w:color w:val="000000"/>
                <w:sz w:val="18"/>
                <w:szCs w:val="18"/>
                <w:lang w:val="pt-BR"/>
              </w:rPr>
              <w:t xml:space="preserve">Evitar lugares o </w:t>
            </w:r>
            <w:proofErr w:type="spellStart"/>
            <w:r w:rsidRPr="00E458BA">
              <w:rPr>
                <w:rFonts w:ascii="Arial" w:hAnsi="Arial" w:cs="Arial"/>
                <w:color w:val="000000"/>
                <w:sz w:val="18"/>
                <w:szCs w:val="18"/>
                <w:lang w:val="pt-BR"/>
              </w:rPr>
              <w:t>actividades</w:t>
            </w:r>
            <w:proofErr w:type="spellEnd"/>
            <w:r w:rsidRPr="00E458BA">
              <w:rPr>
                <w:rFonts w:ascii="Arial" w:hAnsi="Arial" w:cs="Arial"/>
                <w:color w:val="000000"/>
                <w:sz w:val="18"/>
                <w:szCs w:val="18"/>
                <w:lang w:val="pt-BR"/>
              </w:rPr>
              <w:t xml:space="preserve"> temidos.</w:t>
            </w:r>
          </w:p>
        </w:tc>
        <w:tc>
          <w:tcPr>
            <w:tcW w:w="386" w:type="pct"/>
            <w:tcBorders>
              <w:top w:val="nil"/>
              <w:left w:val="nil"/>
              <w:bottom w:val="single" w:sz="4" w:space="0" w:color="auto"/>
              <w:right w:val="single" w:sz="4" w:space="0" w:color="auto"/>
            </w:tcBorders>
            <w:shd w:val="clear" w:color="auto" w:fill="auto"/>
            <w:noWrap/>
            <w:vAlign w:val="center"/>
            <w:hideMark/>
          </w:tcPr>
          <w:p w14:paraId="5A8156FE"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2EF33F44"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44CEEA3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50FD44D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1F477AD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6303395F"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6A1225F1"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14.</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554672CE"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Los demás intentan aprovecharse de usted.</w:t>
            </w:r>
          </w:p>
        </w:tc>
        <w:tc>
          <w:tcPr>
            <w:tcW w:w="386" w:type="pct"/>
            <w:tcBorders>
              <w:top w:val="nil"/>
              <w:left w:val="nil"/>
              <w:bottom w:val="single" w:sz="4" w:space="0" w:color="auto"/>
              <w:right w:val="single" w:sz="4" w:space="0" w:color="auto"/>
            </w:tcBorders>
            <w:shd w:val="clear" w:color="auto" w:fill="auto"/>
            <w:noWrap/>
            <w:vAlign w:val="center"/>
            <w:hideMark/>
          </w:tcPr>
          <w:p w14:paraId="0AAF2407"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7C05D630"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06F6F1BE"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4AA4B4B4"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2BB53D7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30BDF026"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0DBCCE20"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15.</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1F3C6896"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Sensación de pesadez.</w:t>
            </w:r>
          </w:p>
        </w:tc>
        <w:tc>
          <w:tcPr>
            <w:tcW w:w="386" w:type="pct"/>
            <w:tcBorders>
              <w:top w:val="nil"/>
              <w:left w:val="nil"/>
              <w:bottom w:val="single" w:sz="4" w:space="0" w:color="auto"/>
              <w:right w:val="single" w:sz="4" w:space="0" w:color="auto"/>
            </w:tcBorders>
            <w:shd w:val="clear" w:color="auto" w:fill="auto"/>
            <w:noWrap/>
            <w:vAlign w:val="center"/>
            <w:hideMark/>
          </w:tcPr>
          <w:p w14:paraId="6B84F67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66F11BD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4AC6A9E7"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4270DAB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7E8433A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6641395E"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01B2A61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16.</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3D999FDC"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Gritar o tirar cosas.</w:t>
            </w:r>
          </w:p>
        </w:tc>
        <w:tc>
          <w:tcPr>
            <w:tcW w:w="386" w:type="pct"/>
            <w:tcBorders>
              <w:top w:val="nil"/>
              <w:left w:val="nil"/>
              <w:bottom w:val="single" w:sz="4" w:space="0" w:color="auto"/>
              <w:right w:val="single" w:sz="4" w:space="0" w:color="auto"/>
            </w:tcBorders>
            <w:shd w:val="clear" w:color="auto" w:fill="auto"/>
            <w:noWrap/>
            <w:vAlign w:val="center"/>
            <w:hideMark/>
          </w:tcPr>
          <w:p w14:paraId="499691E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3068AA6E"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3A5F116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6C2C902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04A26D21"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43CCD57D" w14:textId="77777777" w:rsidTr="00D83C2C">
        <w:trPr>
          <w:gridAfter w:val="1"/>
          <w:wAfter w:w="10" w:type="pct"/>
          <w:trHeight w:val="240"/>
        </w:trPr>
        <w:tc>
          <w:tcPr>
            <w:tcW w:w="285" w:type="pct"/>
            <w:tcBorders>
              <w:top w:val="nil"/>
              <w:left w:val="single" w:sz="8" w:space="0" w:color="auto"/>
              <w:bottom w:val="single" w:sz="4" w:space="0" w:color="auto"/>
              <w:right w:val="single" w:sz="4" w:space="0" w:color="auto"/>
            </w:tcBorders>
            <w:shd w:val="clear" w:color="auto" w:fill="auto"/>
            <w:noWrap/>
            <w:vAlign w:val="center"/>
            <w:hideMark/>
          </w:tcPr>
          <w:p w14:paraId="6F42B5B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17.</w:t>
            </w:r>
          </w:p>
        </w:tc>
        <w:tc>
          <w:tcPr>
            <w:tcW w:w="2780"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6D4152BD"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Sentirse nervioso/a.</w:t>
            </w:r>
          </w:p>
        </w:tc>
        <w:tc>
          <w:tcPr>
            <w:tcW w:w="386" w:type="pct"/>
            <w:tcBorders>
              <w:top w:val="nil"/>
              <w:left w:val="nil"/>
              <w:bottom w:val="single" w:sz="4" w:space="0" w:color="auto"/>
              <w:right w:val="single" w:sz="4" w:space="0" w:color="auto"/>
            </w:tcBorders>
            <w:shd w:val="clear" w:color="auto" w:fill="auto"/>
            <w:noWrap/>
            <w:vAlign w:val="center"/>
            <w:hideMark/>
          </w:tcPr>
          <w:p w14:paraId="7E101E35"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4" w:space="0" w:color="auto"/>
              <w:right w:val="single" w:sz="4" w:space="0" w:color="auto"/>
            </w:tcBorders>
            <w:shd w:val="clear" w:color="auto" w:fill="auto"/>
            <w:noWrap/>
            <w:vAlign w:val="center"/>
            <w:hideMark/>
          </w:tcPr>
          <w:p w14:paraId="4B63D9B4"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4" w:space="0" w:color="auto"/>
              <w:right w:val="single" w:sz="4" w:space="0" w:color="auto"/>
            </w:tcBorders>
            <w:shd w:val="clear" w:color="auto" w:fill="auto"/>
            <w:noWrap/>
            <w:vAlign w:val="center"/>
            <w:hideMark/>
          </w:tcPr>
          <w:p w14:paraId="50A3B15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4" w:space="0" w:color="auto"/>
              <w:right w:val="single" w:sz="4" w:space="0" w:color="auto"/>
            </w:tcBorders>
            <w:shd w:val="clear" w:color="auto" w:fill="auto"/>
            <w:noWrap/>
            <w:vAlign w:val="center"/>
            <w:hideMark/>
          </w:tcPr>
          <w:p w14:paraId="32D86154"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4" w:space="0" w:color="auto"/>
              <w:right w:val="single" w:sz="8" w:space="0" w:color="auto"/>
            </w:tcBorders>
            <w:shd w:val="clear" w:color="auto" w:fill="auto"/>
            <w:noWrap/>
            <w:vAlign w:val="center"/>
            <w:hideMark/>
          </w:tcPr>
          <w:p w14:paraId="321AA8D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r w:rsidR="00D83C2C" w:rsidRPr="004D2BA3" w14:paraId="4EB81596" w14:textId="77777777" w:rsidTr="00D83C2C">
        <w:trPr>
          <w:gridAfter w:val="1"/>
          <w:wAfter w:w="10" w:type="pct"/>
          <w:trHeight w:val="255"/>
        </w:trPr>
        <w:tc>
          <w:tcPr>
            <w:tcW w:w="285" w:type="pct"/>
            <w:tcBorders>
              <w:top w:val="nil"/>
              <w:left w:val="single" w:sz="8" w:space="0" w:color="auto"/>
              <w:bottom w:val="single" w:sz="8" w:space="0" w:color="auto"/>
              <w:right w:val="single" w:sz="4" w:space="0" w:color="auto"/>
            </w:tcBorders>
            <w:shd w:val="clear" w:color="auto" w:fill="auto"/>
            <w:noWrap/>
            <w:vAlign w:val="center"/>
            <w:hideMark/>
          </w:tcPr>
          <w:p w14:paraId="242706E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18.</w:t>
            </w:r>
          </w:p>
        </w:tc>
        <w:tc>
          <w:tcPr>
            <w:tcW w:w="2780" w:type="pct"/>
            <w:gridSpan w:val="8"/>
            <w:tcBorders>
              <w:top w:val="single" w:sz="4" w:space="0" w:color="auto"/>
              <w:left w:val="nil"/>
              <w:bottom w:val="single" w:sz="8" w:space="0" w:color="auto"/>
              <w:right w:val="single" w:sz="8" w:space="0" w:color="000000"/>
            </w:tcBorders>
            <w:shd w:val="clear" w:color="auto" w:fill="auto"/>
            <w:noWrap/>
            <w:vAlign w:val="center"/>
            <w:hideMark/>
          </w:tcPr>
          <w:p w14:paraId="083FEA37"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La sensación de ser un/a inútil.</w:t>
            </w:r>
          </w:p>
        </w:tc>
        <w:tc>
          <w:tcPr>
            <w:tcW w:w="386" w:type="pct"/>
            <w:tcBorders>
              <w:top w:val="nil"/>
              <w:left w:val="nil"/>
              <w:bottom w:val="single" w:sz="8" w:space="0" w:color="auto"/>
              <w:right w:val="single" w:sz="4" w:space="0" w:color="auto"/>
            </w:tcBorders>
            <w:shd w:val="clear" w:color="auto" w:fill="auto"/>
            <w:noWrap/>
            <w:vAlign w:val="center"/>
            <w:hideMark/>
          </w:tcPr>
          <w:p w14:paraId="1708F8DB"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w:t>
            </w:r>
          </w:p>
        </w:tc>
        <w:tc>
          <w:tcPr>
            <w:tcW w:w="386" w:type="pct"/>
            <w:tcBorders>
              <w:top w:val="nil"/>
              <w:left w:val="nil"/>
              <w:bottom w:val="single" w:sz="8" w:space="0" w:color="auto"/>
              <w:right w:val="single" w:sz="4" w:space="0" w:color="auto"/>
            </w:tcBorders>
            <w:shd w:val="clear" w:color="auto" w:fill="auto"/>
            <w:noWrap/>
            <w:vAlign w:val="center"/>
            <w:hideMark/>
          </w:tcPr>
          <w:p w14:paraId="4E3F97D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w:t>
            </w:r>
          </w:p>
        </w:tc>
        <w:tc>
          <w:tcPr>
            <w:tcW w:w="386" w:type="pct"/>
            <w:tcBorders>
              <w:top w:val="nil"/>
              <w:left w:val="nil"/>
              <w:bottom w:val="single" w:sz="8" w:space="0" w:color="auto"/>
              <w:right w:val="single" w:sz="4" w:space="0" w:color="auto"/>
            </w:tcBorders>
            <w:shd w:val="clear" w:color="auto" w:fill="auto"/>
            <w:noWrap/>
            <w:vAlign w:val="center"/>
            <w:hideMark/>
          </w:tcPr>
          <w:p w14:paraId="78B1DCD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2</w:t>
            </w:r>
          </w:p>
        </w:tc>
        <w:tc>
          <w:tcPr>
            <w:tcW w:w="386" w:type="pct"/>
            <w:tcBorders>
              <w:top w:val="nil"/>
              <w:left w:val="nil"/>
              <w:bottom w:val="single" w:sz="8" w:space="0" w:color="auto"/>
              <w:right w:val="single" w:sz="4" w:space="0" w:color="auto"/>
            </w:tcBorders>
            <w:shd w:val="clear" w:color="auto" w:fill="auto"/>
            <w:noWrap/>
            <w:vAlign w:val="center"/>
            <w:hideMark/>
          </w:tcPr>
          <w:p w14:paraId="5A72F37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3</w:t>
            </w:r>
          </w:p>
        </w:tc>
        <w:tc>
          <w:tcPr>
            <w:tcW w:w="379" w:type="pct"/>
            <w:tcBorders>
              <w:top w:val="nil"/>
              <w:left w:val="nil"/>
              <w:bottom w:val="single" w:sz="8" w:space="0" w:color="auto"/>
              <w:right w:val="single" w:sz="8" w:space="0" w:color="auto"/>
            </w:tcBorders>
            <w:shd w:val="clear" w:color="auto" w:fill="auto"/>
            <w:noWrap/>
            <w:vAlign w:val="center"/>
            <w:hideMark/>
          </w:tcPr>
          <w:p w14:paraId="06F3B6C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4</w:t>
            </w:r>
          </w:p>
        </w:tc>
      </w:tr>
    </w:tbl>
    <w:p w14:paraId="2E1BD2A6" w14:textId="20E43A74" w:rsidR="00D83C2C" w:rsidRPr="004D2BA3" w:rsidRDefault="00D83C2C" w:rsidP="00D83C2C"/>
    <w:p w14:paraId="5470634C" w14:textId="57EDD771" w:rsidR="00D83C2C" w:rsidRPr="004D2BA3" w:rsidRDefault="00D83C2C" w:rsidP="00D83C2C">
      <w:pPr>
        <w:pStyle w:val="Descripcin"/>
        <w:keepNext/>
      </w:pPr>
      <w:r w:rsidRPr="004D2BA3">
        <w:t xml:space="preserve">Tabla </w:t>
      </w:r>
      <w:r w:rsidR="003A675A">
        <w:fldChar w:fldCharType="begin"/>
      </w:r>
      <w:r w:rsidR="003A675A">
        <w:instrText xml:space="preserve"> SEQ Tabla \* ARABIC </w:instrText>
      </w:r>
      <w:r w:rsidR="003A675A">
        <w:fldChar w:fldCharType="separate"/>
      </w:r>
      <w:r w:rsidRPr="004D2BA3">
        <w:rPr>
          <w:noProof/>
        </w:rPr>
        <w:t>9</w:t>
      </w:r>
      <w:r w:rsidR="003A675A">
        <w:rPr>
          <w:noProof/>
        </w:rPr>
        <w:fldChar w:fldCharType="end"/>
      </w:r>
    </w:p>
    <w:tbl>
      <w:tblPr>
        <w:tblW w:w="4320" w:type="dxa"/>
        <w:tblCellMar>
          <w:left w:w="70" w:type="dxa"/>
          <w:right w:w="70" w:type="dxa"/>
        </w:tblCellMar>
        <w:tblLook w:val="04A0" w:firstRow="1" w:lastRow="0" w:firstColumn="1" w:lastColumn="0" w:noHBand="0" w:noVBand="1"/>
      </w:tblPr>
      <w:tblGrid>
        <w:gridCol w:w="2895"/>
        <w:gridCol w:w="475"/>
        <w:gridCol w:w="475"/>
        <w:gridCol w:w="475"/>
      </w:tblGrid>
      <w:tr w:rsidR="00D83C2C" w:rsidRPr="004D2BA3" w14:paraId="3909D57F" w14:textId="77777777" w:rsidTr="00D83C2C">
        <w:trPr>
          <w:trHeight w:val="240"/>
        </w:trPr>
        <w:tc>
          <w:tcPr>
            <w:tcW w:w="4320" w:type="dxa"/>
            <w:gridSpan w:val="4"/>
            <w:tcBorders>
              <w:top w:val="nil"/>
              <w:left w:val="nil"/>
              <w:bottom w:val="single" w:sz="4" w:space="0" w:color="auto"/>
              <w:right w:val="nil"/>
            </w:tcBorders>
            <w:shd w:val="clear" w:color="auto" w:fill="auto"/>
            <w:vAlign w:val="center"/>
            <w:hideMark/>
          </w:tcPr>
          <w:p w14:paraId="37F7D096" w14:textId="77777777" w:rsidR="00D83C2C" w:rsidRPr="004D2BA3" w:rsidRDefault="00D83C2C" w:rsidP="00D83C2C">
            <w:pPr>
              <w:spacing w:after="0" w:line="240" w:lineRule="auto"/>
              <w:ind w:firstLine="0"/>
              <w:jc w:val="left"/>
              <w:rPr>
                <w:rFonts w:ascii="Arial" w:hAnsi="Arial" w:cs="Arial"/>
                <w:i/>
                <w:iCs/>
                <w:color w:val="000000"/>
                <w:sz w:val="18"/>
                <w:szCs w:val="18"/>
              </w:rPr>
            </w:pPr>
            <w:r w:rsidRPr="004D2BA3">
              <w:rPr>
                <w:rFonts w:ascii="Arial" w:hAnsi="Arial" w:cs="Arial"/>
                <w:i/>
                <w:iCs/>
                <w:color w:val="000000"/>
                <w:sz w:val="18"/>
                <w:szCs w:val="18"/>
              </w:rPr>
              <w:t>Asignación de ítems</w:t>
            </w:r>
          </w:p>
        </w:tc>
      </w:tr>
      <w:tr w:rsidR="00D83C2C" w:rsidRPr="004D2BA3" w14:paraId="36E10439" w14:textId="77777777" w:rsidTr="00D83C2C">
        <w:trPr>
          <w:trHeight w:val="240"/>
        </w:trPr>
        <w:tc>
          <w:tcPr>
            <w:tcW w:w="2895" w:type="dxa"/>
            <w:tcBorders>
              <w:top w:val="single" w:sz="4" w:space="0" w:color="auto"/>
              <w:left w:val="nil"/>
              <w:bottom w:val="nil"/>
              <w:right w:val="nil"/>
            </w:tcBorders>
            <w:shd w:val="clear" w:color="auto" w:fill="auto"/>
            <w:noWrap/>
            <w:vAlign w:val="center"/>
            <w:hideMark/>
          </w:tcPr>
          <w:p w14:paraId="49503C28"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Ansiedad fóbica</w:t>
            </w:r>
          </w:p>
        </w:tc>
        <w:tc>
          <w:tcPr>
            <w:tcW w:w="475" w:type="dxa"/>
            <w:tcBorders>
              <w:top w:val="nil"/>
              <w:left w:val="nil"/>
              <w:bottom w:val="nil"/>
              <w:right w:val="nil"/>
            </w:tcBorders>
            <w:shd w:val="clear" w:color="auto" w:fill="auto"/>
            <w:noWrap/>
            <w:vAlign w:val="center"/>
            <w:hideMark/>
          </w:tcPr>
          <w:p w14:paraId="2620AE43"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01.</w:t>
            </w:r>
          </w:p>
        </w:tc>
        <w:tc>
          <w:tcPr>
            <w:tcW w:w="475" w:type="dxa"/>
            <w:tcBorders>
              <w:top w:val="nil"/>
              <w:left w:val="nil"/>
              <w:bottom w:val="nil"/>
              <w:right w:val="nil"/>
            </w:tcBorders>
            <w:shd w:val="clear" w:color="auto" w:fill="auto"/>
            <w:noWrap/>
            <w:vAlign w:val="center"/>
            <w:hideMark/>
          </w:tcPr>
          <w:p w14:paraId="4ECA111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07.</w:t>
            </w:r>
          </w:p>
        </w:tc>
        <w:tc>
          <w:tcPr>
            <w:tcW w:w="475" w:type="dxa"/>
            <w:tcBorders>
              <w:top w:val="nil"/>
              <w:left w:val="nil"/>
              <w:bottom w:val="nil"/>
              <w:right w:val="nil"/>
            </w:tcBorders>
            <w:shd w:val="clear" w:color="auto" w:fill="auto"/>
            <w:noWrap/>
            <w:vAlign w:val="center"/>
            <w:hideMark/>
          </w:tcPr>
          <w:p w14:paraId="38FF580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13.</w:t>
            </w:r>
          </w:p>
        </w:tc>
      </w:tr>
      <w:tr w:rsidR="00D83C2C" w:rsidRPr="004D2BA3" w14:paraId="05BC9D6B" w14:textId="77777777" w:rsidTr="00D83C2C">
        <w:trPr>
          <w:trHeight w:val="240"/>
        </w:trPr>
        <w:tc>
          <w:tcPr>
            <w:tcW w:w="2895" w:type="dxa"/>
            <w:tcBorders>
              <w:top w:val="nil"/>
              <w:left w:val="nil"/>
              <w:bottom w:val="nil"/>
              <w:right w:val="nil"/>
            </w:tcBorders>
            <w:shd w:val="clear" w:color="auto" w:fill="auto"/>
            <w:noWrap/>
            <w:vAlign w:val="center"/>
            <w:hideMark/>
          </w:tcPr>
          <w:p w14:paraId="716BC5F6"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Ideación paranoide</w:t>
            </w:r>
          </w:p>
        </w:tc>
        <w:tc>
          <w:tcPr>
            <w:tcW w:w="475" w:type="dxa"/>
            <w:tcBorders>
              <w:top w:val="nil"/>
              <w:left w:val="nil"/>
              <w:bottom w:val="nil"/>
              <w:right w:val="nil"/>
            </w:tcBorders>
            <w:shd w:val="clear" w:color="auto" w:fill="auto"/>
            <w:noWrap/>
            <w:vAlign w:val="center"/>
            <w:hideMark/>
          </w:tcPr>
          <w:p w14:paraId="4E96649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02.</w:t>
            </w:r>
          </w:p>
        </w:tc>
        <w:tc>
          <w:tcPr>
            <w:tcW w:w="475" w:type="dxa"/>
            <w:tcBorders>
              <w:top w:val="nil"/>
              <w:left w:val="nil"/>
              <w:bottom w:val="nil"/>
              <w:right w:val="nil"/>
            </w:tcBorders>
            <w:shd w:val="clear" w:color="auto" w:fill="auto"/>
            <w:noWrap/>
            <w:vAlign w:val="center"/>
            <w:hideMark/>
          </w:tcPr>
          <w:p w14:paraId="7A9E5A0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08.</w:t>
            </w:r>
          </w:p>
        </w:tc>
        <w:tc>
          <w:tcPr>
            <w:tcW w:w="475" w:type="dxa"/>
            <w:tcBorders>
              <w:top w:val="nil"/>
              <w:left w:val="nil"/>
              <w:bottom w:val="nil"/>
              <w:right w:val="nil"/>
            </w:tcBorders>
            <w:shd w:val="clear" w:color="auto" w:fill="auto"/>
            <w:noWrap/>
            <w:vAlign w:val="center"/>
            <w:hideMark/>
          </w:tcPr>
          <w:p w14:paraId="27F1E3CB"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14.</w:t>
            </w:r>
          </w:p>
        </w:tc>
      </w:tr>
      <w:tr w:rsidR="00D83C2C" w:rsidRPr="004D2BA3" w14:paraId="655BFACB" w14:textId="77777777" w:rsidTr="00D83C2C">
        <w:trPr>
          <w:trHeight w:val="240"/>
        </w:trPr>
        <w:tc>
          <w:tcPr>
            <w:tcW w:w="2895" w:type="dxa"/>
            <w:tcBorders>
              <w:top w:val="nil"/>
              <w:left w:val="nil"/>
              <w:bottom w:val="nil"/>
              <w:right w:val="nil"/>
            </w:tcBorders>
            <w:shd w:val="clear" w:color="auto" w:fill="auto"/>
            <w:noWrap/>
            <w:vAlign w:val="center"/>
            <w:hideMark/>
          </w:tcPr>
          <w:p w14:paraId="2FEFCDF7"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Somatización</w:t>
            </w:r>
          </w:p>
        </w:tc>
        <w:tc>
          <w:tcPr>
            <w:tcW w:w="475" w:type="dxa"/>
            <w:tcBorders>
              <w:top w:val="nil"/>
              <w:left w:val="nil"/>
              <w:bottom w:val="nil"/>
              <w:right w:val="nil"/>
            </w:tcBorders>
            <w:shd w:val="clear" w:color="auto" w:fill="auto"/>
            <w:noWrap/>
            <w:vAlign w:val="center"/>
            <w:hideMark/>
          </w:tcPr>
          <w:p w14:paraId="1DBD4A22"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03.</w:t>
            </w:r>
          </w:p>
        </w:tc>
        <w:tc>
          <w:tcPr>
            <w:tcW w:w="475" w:type="dxa"/>
            <w:tcBorders>
              <w:top w:val="nil"/>
              <w:left w:val="nil"/>
              <w:bottom w:val="nil"/>
              <w:right w:val="nil"/>
            </w:tcBorders>
            <w:shd w:val="clear" w:color="auto" w:fill="auto"/>
            <w:noWrap/>
            <w:vAlign w:val="center"/>
            <w:hideMark/>
          </w:tcPr>
          <w:p w14:paraId="01D1C62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09.</w:t>
            </w:r>
          </w:p>
        </w:tc>
        <w:tc>
          <w:tcPr>
            <w:tcW w:w="475" w:type="dxa"/>
            <w:tcBorders>
              <w:top w:val="nil"/>
              <w:left w:val="nil"/>
              <w:bottom w:val="nil"/>
              <w:right w:val="nil"/>
            </w:tcBorders>
            <w:shd w:val="clear" w:color="auto" w:fill="auto"/>
            <w:noWrap/>
            <w:vAlign w:val="center"/>
            <w:hideMark/>
          </w:tcPr>
          <w:p w14:paraId="67ACA5A8"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15.</w:t>
            </w:r>
          </w:p>
        </w:tc>
      </w:tr>
      <w:tr w:rsidR="00D83C2C" w:rsidRPr="004D2BA3" w14:paraId="509669D4" w14:textId="77777777" w:rsidTr="00D83C2C">
        <w:trPr>
          <w:trHeight w:val="240"/>
        </w:trPr>
        <w:tc>
          <w:tcPr>
            <w:tcW w:w="2895" w:type="dxa"/>
            <w:tcBorders>
              <w:top w:val="nil"/>
              <w:left w:val="nil"/>
              <w:bottom w:val="nil"/>
              <w:right w:val="nil"/>
            </w:tcBorders>
            <w:shd w:val="clear" w:color="auto" w:fill="auto"/>
            <w:noWrap/>
            <w:vAlign w:val="center"/>
            <w:hideMark/>
          </w:tcPr>
          <w:p w14:paraId="14B129A5"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Hostilidad</w:t>
            </w:r>
          </w:p>
        </w:tc>
        <w:tc>
          <w:tcPr>
            <w:tcW w:w="475" w:type="dxa"/>
            <w:tcBorders>
              <w:top w:val="nil"/>
              <w:left w:val="nil"/>
              <w:bottom w:val="nil"/>
              <w:right w:val="nil"/>
            </w:tcBorders>
            <w:shd w:val="clear" w:color="auto" w:fill="auto"/>
            <w:noWrap/>
            <w:vAlign w:val="center"/>
            <w:hideMark/>
          </w:tcPr>
          <w:p w14:paraId="6B9767FF"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04.</w:t>
            </w:r>
          </w:p>
        </w:tc>
        <w:tc>
          <w:tcPr>
            <w:tcW w:w="475" w:type="dxa"/>
            <w:tcBorders>
              <w:top w:val="nil"/>
              <w:left w:val="nil"/>
              <w:bottom w:val="nil"/>
              <w:right w:val="nil"/>
            </w:tcBorders>
            <w:shd w:val="clear" w:color="auto" w:fill="auto"/>
            <w:noWrap/>
            <w:vAlign w:val="center"/>
            <w:hideMark/>
          </w:tcPr>
          <w:p w14:paraId="2A7D7F4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10.</w:t>
            </w:r>
          </w:p>
        </w:tc>
        <w:tc>
          <w:tcPr>
            <w:tcW w:w="475" w:type="dxa"/>
            <w:tcBorders>
              <w:top w:val="nil"/>
              <w:left w:val="nil"/>
              <w:bottom w:val="nil"/>
              <w:right w:val="nil"/>
            </w:tcBorders>
            <w:shd w:val="clear" w:color="auto" w:fill="auto"/>
            <w:noWrap/>
            <w:vAlign w:val="center"/>
            <w:hideMark/>
          </w:tcPr>
          <w:p w14:paraId="2B89628C"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16.</w:t>
            </w:r>
          </w:p>
        </w:tc>
      </w:tr>
      <w:tr w:rsidR="00D83C2C" w:rsidRPr="004D2BA3" w14:paraId="409EE7CD" w14:textId="77777777" w:rsidTr="00D83C2C">
        <w:trPr>
          <w:trHeight w:val="240"/>
        </w:trPr>
        <w:tc>
          <w:tcPr>
            <w:tcW w:w="2895" w:type="dxa"/>
            <w:tcBorders>
              <w:top w:val="nil"/>
              <w:left w:val="nil"/>
              <w:bottom w:val="nil"/>
              <w:right w:val="nil"/>
            </w:tcBorders>
            <w:shd w:val="clear" w:color="auto" w:fill="auto"/>
            <w:noWrap/>
            <w:vAlign w:val="center"/>
            <w:hideMark/>
          </w:tcPr>
          <w:p w14:paraId="3566C31B"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Depresión</w:t>
            </w:r>
          </w:p>
        </w:tc>
        <w:tc>
          <w:tcPr>
            <w:tcW w:w="475" w:type="dxa"/>
            <w:tcBorders>
              <w:top w:val="nil"/>
              <w:left w:val="nil"/>
              <w:bottom w:val="nil"/>
              <w:right w:val="nil"/>
            </w:tcBorders>
            <w:shd w:val="clear" w:color="auto" w:fill="auto"/>
            <w:noWrap/>
            <w:vAlign w:val="center"/>
            <w:hideMark/>
          </w:tcPr>
          <w:p w14:paraId="4257BB8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05.</w:t>
            </w:r>
          </w:p>
        </w:tc>
        <w:tc>
          <w:tcPr>
            <w:tcW w:w="475" w:type="dxa"/>
            <w:tcBorders>
              <w:top w:val="nil"/>
              <w:left w:val="nil"/>
              <w:bottom w:val="nil"/>
              <w:right w:val="nil"/>
            </w:tcBorders>
            <w:shd w:val="clear" w:color="auto" w:fill="auto"/>
            <w:noWrap/>
            <w:vAlign w:val="center"/>
            <w:hideMark/>
          </w:tcPr>
          <w:p w14:paraId="3AC1DFEB"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11.</w:t>
            </w:r>
          </w:p>
        </w:tc>
        <w:tc>
          <w:tcPr>
            <w:tcW w:w="475" w:type="dxa"/>
            <w:tcBorders>
              <w:top w:val="nil"/>
              <w:left w:val="nil"/>
              <w:bottom w:val="nil"/>
              <w:right w:val="nil"/>
            </w:tcBorders>
            <w:shd w:val="clear" w:color="auto" w:fill="auto"/>
            <w:noWrap/>
            <w:vAlign w:val="center"/>
            <w:hideMark/>
          </w:tcPr>
          <w:p w14:paraId="3AB804DA"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17.</w:t>
            </w:r>
          </w:p>
        </w:tc>
      </w:tr>
      <w:tr w:rsidR="00D83C2C" w:rsidRPr="004D2BA3" w14:paraId="70A901DA" w14:textId="77777777" w:rsidTr="00D83C2C">
        <w:trPr>
          <w:trHeight w:val="255"/>
        </w:trPr>
        <w:tc>
          <w:tcPr>
            <w:tcW w:w="2895" w:type="dxa"/>
            <w:tcBorders>
              <w:top w:val="nil"/>
              <w:left w:val="nil"/>
              <w:bottom w:val="single" w:sz="4" w:space="0" w:color="auto"/>
              <w:right w:val="nil"/>
            </w:tcBorders>
            <w:shd w:val="clear" w:color="auto" w:fill="auto"/>
            <w:noWrap/>
            <w:vAlign w:val="center"/>
            <w:hideMark/>
          </w:tcPr>
          <w:p w14:paraId="2B2F7DB0"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Inseguridad personal</w:t>
            </w:r>
          </w:p>
        </w:tc>
        <w:tc>
          <w:tcPr>
            <w:tcW w:w="475" w:type="dxa"/>
            <w:tcBorders>
              <w:top w:val="nil"/>
              <w:left w:val="nil"/>
              <w:bottom w:val="single" w:sz="4" w:space="0" w:color="auto"/>
              <w:right w:val="nil"/>
            </w:tcBorders>
            <w:shd w:val="clear" w:color="auto" w:fill="auto"/>
            <w:noWrap/>
            <w:vAlign w:val="center"/>
            <w:hideMark/>
          </w:tcPr>
          <w:p w14:paraId="57F59716"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06.</w:t>
            </w:r>
          </w:p>
        </w:tc>
        <w:tc>
          <w:tcPr>
            <w:tcW w:w="475" w:type="dxa"/>
            <w:tcBorders>
              <w:top w:val="nil"/>
              <w:left w:val="nil"/>
              <w:bottom w:val="single" w:sz="4" w:space="0" w:color="auto"/>
              <w:right w:val="nil"/>
            </w:tcBorders>
            <w:shd w:val="clear" w:color="auto" w:fill="auto"/>
            <w:noWrap/>
            <w:vAlign w:val="center"/>
            <w:hideMark/>
          </w:tcPr>
          <w:p w14:paraId="03B21225"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12.</w:t>
            </w:r>
          </w:p>
        </w:tc>
        <w:tc>
          <w:tcPr>
            <w:tcW w:w="475" w:type="dxa"/>
            <w:tcBorders>
              <w:top w:val="nil"/>
              <w:left w:val="nil"/>
              <w:bottom w:val="single" w:sz="4" w:space="0" w:color="auto"/>
              <w:right w:val="nil"/>
            </w:tcBorders>
            <w:shd w:val="clear" w:color="auto" w:fill="auto"/>
            <w:noWrap/>
            <w:vAlign w:val="center"/>
            <w:hideMark/>
          </w:tcPr>
          <w:p w14:paraId="616EBF2D" w14:textId="77777777" w:rsidR="00D83C2C" w:rsidRPr="004D2BA3" w:rsidRDefault="00D83C2C" w:rsidP="00D83C2C">
            <w:pPr>
              <w:spacing w:after="0" w:line="240" w:lineRule="auto"/>
              <w:ind w:firstLine="0"/>
              <w:jc w:val="center"/>
              <w:rPr>
                <w:rFonts w:ascii="Arial" w:hAnsi="Arial" w:cs="Arial"/>
                <w:color w:val="000000"/>
                <w:sz w:val="18"/>
                <w:szCs w:val="18"/>
              </w:rPr>
            </w:pPr>
            <w:r w:rsidRPr="004D2BA3">
              <w:rPr>
                <w:rFonts w:ascii="Arial" w:hAnsi="Arial" w:cs="Arial"/>
                <w:color w:val="000000"/>
                <w:sz w:val="18"/>
                <w:szCs w:val="18"/>
              </w:rPr>
              <w:t>18.</w:t>
            </w:r>
          </w:p>
        </w:tc>
      </w:tr>
      <w:tr w:rsidR="00D83C2C" w:rsidRPr="004D2BA3" w14:paraId="3B3F05E8" w14:textId="77777777" w:rsidTr="00D83C2C">
        <w:trPr>
          <w:trHeight w:val="240"/>
        </w:trPr>
        <w:tc>
          <w:tcPr>
            <w:tcW w:w="4320" w:type="dxa"/>
            <w:gridSpan w:val="4"/>
            <w:tcBorders>
              <w:top w:val="single" w:sz="4" w:space="0" w:color="auto"/>
              <w:left w:val="nil"/>
              <w:bottom w:val="nil"/>
              <w:right w:val="nil"/>
            </w:tcBorders>
            <w:shd w:val="clear" w:color="auto" w:fill="auto"/>
            <w:noWrap/>
            <w:vAlign w:val="center"/>
            <w:hideMark/>
          </w:tcPr>
          <w:p w14:paraId="1EB9069A" w14:textId="77777777" w:rsidR="00D83C2C" w:rsidRPr="004D2BA3" w:rsidRDefault="00D83C2C" w:rsidP="00D83C2C">
            <w:pPr>
              <w:spacing w:after="0" w:line="240" w:lineRule="auto"/>
              <w:ind w:firstLine="0"/>
              <w:jc w:val="left"/>
              <w:rPr>
                <w:rFonts w:ascii="Arial" w:hAnsi="Arial" w:cs="Arial"/>
                <w:color w:val="000000"/>
                <w:sz w:val="18"/>
                <w:szCs w:val="18"/>
              </w:rPr>
            </w:pPr>
            <w:r w:rsidRPr="004D2BA3">
              <w:rPr>
                <w:rFonts w:ascii="Arial" w:hAnsi="Arial" w:cs="Arial"/>
                <w:color w:val="000000"/>
                <w:sz w:val="18"/>
                <w:szCs w:val="18"/>
              </w:rPr>
              <w:t>Notas. Ningún ítem invertido</w:t>
            </w:r>
          </w:p>
        </w:tc>
      </w:tr>
    </w:tbl>
    <w:p w14:paraId="331AC16C" w14:textId="77777777" w:rsidR="00D83C2C" w:rsidRDefault="00D83C2C" w:rsidP="00D83C2C"/>
    <w:p w14:paraId="36187D83" w14:textId="6213F7EA" w:rsidR="009A2149" w:rsidRPr="00AE36FB" w:rsidRDefault="009A2149" w:rsidP="00226409">
      <w:pPr>
        <w:pStyle w:val="Ttulo1"/>
      </w:pPr>
      <w:r w:rsidRPr="00AE36FB">
        <w:lastRenderedPageBreak/>
        <w:t>Referencias</w:t>
      </w:r>
    </w:p>
    <w:p w14:paraId="504C2E8D" w14:textId="47611E02" w:rsidR="00E677E1" w:rsidRDefault="00E677E1" w:rsidP="00226409"/>
    <w:p w14:paraId="6A5F0B23" w14:textId="27559387" w:rsidR="00F913E0" w:rsidRPr="00E458BA" w:rsidRDefault="00AE36FB" w:rsidP="00F913E0">
      <w:pPr>
        <w:widowControl w:val="0"/>
        <w:autoSpaceDE w:val="0"/>
        <w:autoSpaceDN w:val="0"/>
        <w:adjustRightInd w:val="0"/>
        <w:ind w:left="480" w:hanging="480"/>
        <w:rPr>
          <w:noProof/>
          <w:lang w:val="en-US"/>
        </w:rPr>
      </w:pPr>
      <w:r>
        <w:fldChar w:fldCharType="begin" w:fldLock="1"/>
      </w:r>
      <w:r w:rsidRPr="00A57608">
        <w:rPr>
          <w:lang w:val="pt-BR"/>
        </w:rPr>
        <w:instrText xml:space="preserve">ADDIN Mendeley Bibliography CSL_BIBLIOGRAPHY </w:instrText>
      </w:r>
      <w:r>
        <w:fldChar w:fldCharType="separate"/>
      </w:r>
      <w:r w:rsidR="00F913E0" w:rsidRPr="00E458BA">
        <w:rPr>
          <w:noProof/>
          <w:lang w:val="pt-BR"/>
        </w:rPr>
        <w:t xml:space="preserve">Bados, A., Balaguer, G., &amp; Coronas, M. (2005). </w:t>
      </w:r>
      <w:r w:rsidR="00F913E0" w:rsidRPr="00F913E0">
        <w:rPr>
          <w:noProof/>
        </w:rPr>
        <w:t xml:space="preserve">¿ Qué mide realmente el SCL 90 R?: estructura factorial en una muestra mixta de universitarios y pacientes. </w:t>
      </w:r>
      <w:r w:rsidR="00F913E0" w:rsidRPr="00E458BA">
        <w:rPr>
          <w:i/>
          <w:iCs/>
          <w:noProof/>
          <w:lang w:val="en-US"/>
        </w:rPr>
        <w:t>Psicología Conductual</w:t>
      </w:r>
      <w:r w:rsidR="00F913E0" w:rsidRPr="00E458BA">
        <w:rPr>
          <w:noProof/>
          <w:lang w:val="en-US"/>
        </w:rPr>
        <w:t xml:space="preserve">, </w:t>
      </w:r>
      <w:r w:rsidR="00F913E0" w:rsidRPr="00E458BA">
        <w:rPr>
          <w:i/>
          <w:iCs/>
          <w:noProof/>
          <w:lang w:val="en-US"/>
        </w:rPr>
        <w:t>13</w:t>
      </w:r>
      <w:r w:rsidR="00F913E0" w:rsidRPr="00E458BA">
        <w:rPr>
          <w:noProof/>
          <w:lang w:val="en-US"/>
        </w:rPr>
        <w:t>(2), 181–196.</w:t>
      </w:r>
    </w:p>
    <w:p w14:paraId="5B3B3154"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Brodman, K. (1949). The Cornell Medical Index. </w:t>
      </w:r>
      <w:r w:rsidRPr="00E458BA">
        <w:rPr>
          <w:i/>
          <w:iCs/>
          <w:noProof/>
          <w:lang w:val="en-US"/>
        </w:rPr>
        <w:t>Journal of the American Medical Association</w:t>
      </w:r>
      <w:r w:rsidRPr="00E458BA">
        <w:rPr>
          <w:noProof/>
          <w:lang w:val="en-US"/>
        </w:rPr>
        <w:t xml:space="preserve">, </w:t>
      </w:r>
      <w:r w:rsidRPr="00E458BA">
        <w:rPr>
          <w:i/>
          <w:iCs/>
          <w:noProof/>
          <w:lang w:val="en-US"/>
        </w:rPr>
        <w:t>140</w:t>
      </w:r>
      <w:r w:rsidRPr="00E458BA">
        <w:rPr>
          <w:noProof/>
          <w:lang w:val="en-US"/>
        </w:rPr>
        <w:t>(6), 530–534. https://doi.org/10.1001/jama.1949.02900410026007</w:t>
      </w:r>
    </w:p>
    <w:p w14:paraId="08E047C6"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Byrne, B. M. (2016). </w:t>
      </w:r>
      <w:r w:rsidRPr="00E458BA">
        <w:rPr>
          <w:i/>
          <w:iCs/>
          <w:noProof/>
          <w:lang w:val="en-US"/>
        </w:rPr>
        <w:t>Structural Equation Modeling With AMOS</w:t>
      </w:r>
      <w:r w:rsidRPr="00E458BA">
        <w:rPr>
          <w:noProof/>
          <w:lang w:val="en-US"/>
        </w:rPr>
        <w:t xml:space="preserve"> (Routledge/Taylor &amp; Francis, ed.). Routledge. https://doi.org/10.4324/9781315757421</w:t>
      </w:r>
    </w:p>
    <w:p w14:paraId="1F2E2BC2"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Chen, F. F. (2007). Sensitivity of Goodness of Fit Indexes to Lack of Measurement Invariance. </w:t>
      </w:r>
      <w:r w:rsidRPr="00E458BA">
        <w:rPr>
          <w:i/>
          <w:iCs/>
          <w:noProof/>
          <w:lang w:val="en-US"/>
        </w:rPr>
        <w:t>Structural Equation Modeling: A Multidisciplinary Journal</w:t>
      </w:r>
      <w:r w:rsidRPr="00E458BA">
        <w:rPr>
          <w:noProof/>
          <w:lang w:val="en-US"/>
        </w:rPr>
        <w:t xml:space="preserve">, </w:t>
      </w:r>
      <w:r w:rsidRPr="00E458BA">
        <w:rPr>
          <w:i/>
          <w:iCs/>
          <w:noProof/>
          <w:lang w:val="en-US"/>
        </w:rPr>
        <w:t>14</w:t>
      </w:r>
      <w:r w:rsidRPr="00E458BA">
        <w:rPr>
          <w:noProof/>
          <w:lang w:val="en-US"/>
        </w:rPr>
        <w:t>(3), 464–504. https://doi.org/10.1080/10705510701301834</w:t>
      </w:r>
    </w:p>
    <w:p w14:paraId="49516720"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Cheung, G. W., &amp; Rensvold, R. B. (2002). Evaluating Goodness-of-Fit Indexes for Testing Measurement Invariance. </w:t>
      </w:r>
      <w:r w:rsidRPr="00E458BA">
        <w:rPr>
          <w:i/>
          <w:iCs/>
          <w:noProof/>
          <w:lang w:val="en-US"/>
        </w:rPr>
        <w:t>Structural Equation Modeling: A Multidisciplinary Journal</w:t>
      </w:r>
      <w:r w:rsidRPr="00E458BA">
        <w:rPr>
          <w:noProof/>
          <w:lang w:val="en-US"/>
        </w:rPr>
        <w:t xml:space="preserve">, </w:t>
      </w:r>
      <w:r w:rsidRPr="00E458BA">
        <w:rPr>
          <w:i/>
          <w:iCs/>
          <w:noProof/>
          <w:lang w:val="en-US"/>
        </w:rPr>
        <w:t>9</w:t>
      </w:r>
      <w:r w:rsidRPr="00E458BA">
        <w:rPr>
          <w:noProof/>
          <w:lang w:val="en-US"/>
        </w:rPr>
        <w:t>(2), 233–255. https://doi.org/10.1207/S15328007SEM0902_5</w:t>
      </w:r>
    </w:p>
    <w:p w14:paraId="52EE1290"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Core Team. (2020). </w:t>
      </w:r>
      <w:r w:rsidRPr="00E458BA">
        <w:rPr>
          <w:i/>
          <w:iCs/>
          <w:noProof/>
          <w:lang w:val="en-US"/>
        </w:rPr>
        <w:t>R: A language and environment for statistical computing</w:t>
      </w:r>
      <w:r w:rsidRPr="00E458BA">
        <w:rPr>
          <w:noProof/>
          <w:lang w:val="en-US"/>
        </w:rPr>
        <w:t>. Vienna, Austria. Retrieved from Vienna, Austria website: https://www.r-project.org/</w:t>
      </w:r>
    </w:p>
    <w:p w14:paraId="124AF349"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Costello, A., &amp; Osborne, J. (2005). Best practices in exploratory factor analysis: Four recommendations for getting the most from your analysis. </w:t>
      </w:r>
      <w:r w:rsidRPr="00E458BA">
        <w:rPr>
          <w:i/>
          <w:iCs/>
          <w:noProof/>
          <w:lang w:val="en-US"/>
        </w:rPr>
        <w:t>Practical Assessment, Research, and Evaluation</w:t>
      </w:r>
      <w:r w:rsidRPr="00E458BA">
        <w:rPr>
          <w:noProof/>
          <w:lang w:val="en-US"/>
        </w:rPr>
        <w:t xml:space="preserve">, </w:t>
      </w:r>
      <w:r w:rsidRPr="00E458BA">
        <w:rPr>
          <w:i/>
          <w:iCs/>
          <w:noProof/>
          <w:lang w:val="en-US"/>
        </w:rPr>
        <w:t>10</w:t>
      </w:r>
      <w:r w:rsidRPr="00E458BA">
        <w:rPr>
          <w:noProof/>
          <w:lang w:val="en-US"/>
        </w:rPr>
        <w:t>(7), 1–9. https://doi.org/10.7275/jyj1-4868</w:t>
      </w:r>
    </w:p>
    <w:p w14:paraId="6063EA3F"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Cyr, J. J., McKenna-Foley, J. M., &amp; Peacock, E. (1985). Factor structure of the SCL-90-R: is there one? </w:t>
      </w:r>
      <w:r w:rsidRPr="00E458BA">
        <w:rPr>
          <w:i/>
          <w:iCs/>
          <w:noProof/>
          <w:lang w:val="en-US"/>
        </w:rPr>
        <w:t>Journal of Personality Assessment</w:t>
      </w:r>
      <w:r w:rsidRPr="00E458BA">
        <w:rPr>
          <w:noProof/>
          <w:lang w:val="en-US"/>
        </w:rPr>
        <w:t xml:space="preserve">, </w:t>
      </w:r>
      <w:r w:rsidRPr="00E458BA">
        <w:rPr>
          <w:i/>
          <w:iCs/>
          <w:noProof/>
          <w:lang w:val="en-US"/>
        </w:rPr>
        <w:t>49</w:t>
      </w:r>
      <w:r w:rsidRPr="00E458BA">
        <w:rPr>
          <w:noProof/>
          <w:lang w:val="en-US"/>
        </w:rPr>
        <w:t>(6), 571–578.</w:t>
      </w:r>
    </w:p>
    <w:p w14:paraId="741E4B99"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Davison, M. L., Bershadsky, B., Bieber, J., Silversmith, D., Maruish, M. E., &amp; Kane, R. L. (1997). Development of a Brief, Multidimensional, Self-Report Instrument for Treatment Outcomes Assessment in Psychiatric Settings: Preliminary Findings. </w:t>
      </w:r>
      <w:r w:rsidRPr="00E458BA">
        <w:rPr>
          <w:i/>
          <w:iCs/>
          <w:noProof/>
          <w:lang w:val="en-US"/>
        </w:rPr>
        <w:t>Assessment</w:t>
      </w:r>
      <w:r w:rsidRPr="00E458BA">
        <w:rPr>
          <w:noProof/>
          <w:lang w:val="en-US"/>
        </w:rPr>
        <w:t xml:space="preserve">, </w:t>
      </w:r>
      <w:r w:rsidRPr="00E458BA">
        <w:rPr>
          <w:i/>
          <w:iCs/>
          <w:noProof/>
          <w:lang w:val="en-US"/>
        </w:rPr>
        <w:t>4</w:t>
      </w:r>
      <w:r w:rsidRPr="00E458BA">
        <w:rPr>
          <w:noProof/>
          <w:lang w:val="en-US"/>
        </w:rPr>
        <w:t>(3), 259–276. https://doi.org/10.1177/107319119700400306</w:t>
      </w:r>
    </w:p>
    <w:p w14:paraId="49472F2F"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Derogatis, L. R. (2000). SCL-90-R. In A. D. Kazdin (Ed.), </w:t>
      </w:r>
      <w:r w:rsidRPr="00E458BA">
        <w:rPr>
          <w:i/>
          <w:iCs/>
          <w:noProof/>
          <w:lang w:val="en-US"/>
        </w:rPr>
        <w:t>Encyclopedia of psychology, Vol. 7.</w:t>
      </w:r>
      <w:r w:rsidRPr="00E458BA">
        <w:rPr>
          <w:noProof/>
          <w:lang w:val="en-US"/>
        </w:rPr>
        <w:t xml:space="preserve"> (pp. 192–193). Washington: Washington: American Psychological Association. </w:t>
      </w:r>
      <w:r w:rsidRPr="00E458BA">
        <w:rPr>
          <w:noProof/>
          <w:lang w:val="en-US"/>
        </w:rPr>
        <w:lastRenderedPageBreak/>
        <w:t>https://doi.org/10.1037/10522-079</w:t>
      </w:r>
    </w:p>
    <w:p w14:paraId="4AE9E8A1"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Derogatis, L. R., &amp; Cleary, P. A. (1977). Confirmation of the dimensional structure of the scl-90: A study in construct validation. </w:t>
      </w:r>
      <w:r w:rsidRPr="00E458BA">
        <w:rPr>
          <w:i/>
          <w:iCs/>
          <w:noProof/>
          <w:lang w:val="en-US"/>
        </w:rPr>
        <w:t>Journal of Clinical Psychology</w:t>
      </w:r>
      <w:r w:rsidRPr="00E458BA">
        <w:rPr>
          <w:noProof/>
          <w:lang w:val="en-US"/>
        </w:rPr>
        <w:t xml:space="preserve">, </w:t>
      </w:r>
      <w:r w:rsidRPr="00E458BA">
        <w:rPr>
          <w:i/>
          <w:iCs/>
          <w:noProof/>
          <w:lang w:val="en-US"/>
        </w:rPr>
        <w:t>33</w:t>
      </w:r>
      <w:r w:rsidRPr="00E458BA">
        <w:rPr>
          <w:noProof/>
          <w:lang w:val="en-US"/>
        </w:rPr>
        <w:t>(4), 981–989. https://doi.org/10.1002/1097-4679(197710)33:4&lt;981::AID-JCLP2270330412&gt;3.0.CO;2-0</w:t>
      </w:r>
    </w:p>
    <w:p w14:paraId="0A8E3811"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de-DE"/>
        </w:rPr>
        <w:t xml:space="preserve">Dunn, T. J., Baguley, T., &amp; Brunsden, V. (2014). </w:t>
      </w:r>
      <w:r w:rsidRPr="00E458BA">
        <w:rPr>
          <w:noProof/>
          <w:lang w:val="en-US"/>
        </w:rPr>
        <w:t xml:space="preserve">From alpha to omega: A practical solution to the pervasive problem of internal consistency estimation. </w:t>
      </w:r>
      <w:r w:rsidRPr="00E458BA">
        <w:rPr>
          <w:i/>
          <w:iCs/>
          <w:noProof/>
          <w:lang w:val="en-US"/>
        </w:rPr>
        <w:t>British Journal of Psychology</w:t>
      </w:r>
      <w:r w:rsidRPr="00E458BA">
        <w:rPr>
          <w:noProof/>
          <w:lang w:val="en-US"/>
        </w:rPr>
        <w:t xml:space="preserve">, </w:t>
      </w:r>
      <w:r w:rsidRPr="00E458BA">
        <w:rPr>
          <w:i/>
          <w:iCs/>
          <w:noProof/>
          <w:lang w:val="en-US"/>
        </w:rPr>
        <w:t>105</w:t>
      </w:r>
      <w:r w:rsidRPr="00E458BA">
        <w:rPr>
          <w:noProof/>
          <w:lang w:val="en-US"/>
        </w:rPr>
        <w:t>(3), 399–412. https://doi.org/10.1111/bjop.12046</w:t>
      </w:r>
    </w:p>
    <w:p w14:paraId="0D0993E9" w14:textId="77777777" w:rsidR="00F913E0" w:rsidRPr="00E458BA" w:rsidRDefault="00F913E0" w:rsidP="00F913E0">
      <w:pPr>
        <w:widowControl w:val="0"/>
        <w:autoSpaceDE w:val="0"/>
        <w:autoSpaceDN w:val="0"/>
        <w:adjustRightInd w:val="0"/>
        <w:ind w:left="480" w:hanging="480"/>
        <w:rPr>
          <w:noProof/>
          <w:lang w:val="de-DE"/>
        </w:rPr>
      </w:pPr>
      <w:r w:rsidRPr="00E458BA">
        <w:rPr>
          <w:noProof/>
          <w:lang w:val="en-US"/>
        </w:rPr>
        <w:t xml:space="preserve">Fabrigar, L. R., Wegener, D. T., MacCallum, R. C., &amp; Strahan, E. J. (1999). Evaluating the use of exploratory factor analysis in psychological research. </w:t>
      </w:r>
      <w:r w:rsidRPr="00E458BA">
        <w:rPr>
          <w:i/>
          <w:iCs/>
          <w:noProof/>
          <w:lang w:val="de-DE"/>
        </w:rPr>
        <w:t>Psychological Methods</w:t>
      </w:r>
      <w:r w:rsidRPr="00E458BA">
        <w:rPr>
          <w:noProof/>
          <w:lang w:val="de-DE"/>
        </w:rPr>
        <w:t xml:space="preserve">, </w:t>
      </w:r>
      <w:r w:rsidRPr="00E458BA">
        <w:rPr>
          <w:i/>
          <w:iCs/>
          <w:noProof/>
          <w:lang w:val="de-DE"/>
        </w:rPr>
        <w:t>4</w:t>
      </w:r>
      <w:r w:rsidRPr="00E458BA">
        <w:rPr>
          <w:noProof/>
          <w:lang w:val="de-DE"/>
        </w:rPr>
        <w:t>(3), 272–299. https://doi.org/10.1037/1082-989X.4.3.272</w:t>
      </w:r>
    </w:p>
    <w:p w14:paraId="437BF9CE"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de-DE"/>
        </w:rPr>
        <w:t xml:space="preserve">Franke, G. H. (2002). </w:t>
      </w:r>
      <w:r w:rsidRPr="00E458BA">
        <w:rPr>
          <w:i/>
          <w:iCs/>
          <w:noProof/>
          <w:lang w:val="de-DE"/>
        </w:rPr>
        <w:t>Die Symptom-Checkliste von Derogatis (SCL-90-R) - Deutsche Version - Manual</w:t>
      </w:r>
      <w:r w:rsidRPr="00E458BA">
        <w:rPr>
          <w:noProof/>
          <w:lang w:val="de-DE"/>
        </w:rPr>
        <w:t xml:space="preserve"> (2nd ed.; R. Baethke-Franke, ed.). </w:t>
      </w:r>
      <w:r w:rsidRPr="00E458BA">
        <w:rPr>
          <w:noProof/>
          <w:lang w:val="en-US"/>
        </w:rPr>
        <w:t>Göttingen: Beltz Test GmbH.</w:t>
      </w:r>
    </w:p>
    <w:p w14:paraId="062B3B77"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Hair, J. F., Black, W. C., Babin, B. J., &amp; Anderson, R. E. (2010). </w:t>
      </w:r>
      <w:r w:rsidRPr="00E458BA">
        <w:rPr>
          <w:i/>
          <w:iCs/>
          <w:noProof/>
          <w:lang w:val="en-US"/>
        </w:rPr>
        <w:t>Multivariate data analysis</w:t>
      </w:r>
      <w:r w:rsidRPr="00E458BA">
        <w:rPr>
          <w:noProof/>
          <w:lang w:val="en-US"/>
        </w:rPr>
        <w:t xml:space="preserve"> (7th ed.). New York: Prentice Hall.</w:t>
      </w:r>
    </w:p>
    <w:p w14:paraId="4394FFB9" w14:textId="77777777" w:rsidR="00F913E0" w:rsidRPr="00E458BA" w:rsidRDefault="00F913E0" w:rsidP="00F913E0">
      <w:pPr>
        <w:widowControl w:val="0"/>
        <w:autoSpaceDE w:val="0"/>
        <w:autoSpaceDN w:val="0"/>
        <w:adjustRightInd w:val="0"/>
        <w:ind w:left="480" w:hanging="480"/>
        <w:rPr>
          <w:noProof/>
          <w:lang w:val="de-DE"/>
        </w:rPr>
      </w:pPr>
      <w:r w:rsidRPr="00E458BA">
        <w:rPr>
          <w:noProof/>
          <w:lang w:val="en-US"/>
        </w:rPr>
        <w:t xml:space="preserve">Hardt, J., Gerbershagen, H. U., &amp; Franke, P. (2000). The symptom check-list, SCL-90-R: its use and characteristics in chronic pain patients. </w:t>
      </w:r>
      <w:r w:rsidRPr="00E458BA">
        <w:rPr>
          <w:i/>
          <w:iCs/>
          <w:noProof/>
          <w:lang w:val="de-DE"/>
        </w:rPr>
        <w:t>European Journal of Pain</w:t>
      </w:r>
      <w:r w:rsidRPr="00E458BA">
        <w:rPr>
          <w:noProof/>
          <w:lang w:val="de-DE"/>
        </w:rPr>
        <w:t xml:space="preserve">, </w:t>
      </w:r>
      <w:r w:rsidRPr="00E458BA">
        <w:rPr>
          <w:i/>
          <w:iCs/>
          <w:noProof/>
          <w:lang w:val="de-DE"/>
        </w:rPr>
        <w:t>4</w:t>
      </w:r>
      <w:r w:rsidRPr="00E458BA">
        <w:rPr>
          <w:noProof/>
          <w:lang w:val="de-DE"/>
        </w:rPr>
        <w:t>(2), 137–148.</w:t>
      </w:r>
    </w:p>
    <w:p w14:paraId="46233E96"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de-DE"/>
        </w:rPr>
        <w:t xml:space="preserve">Hessel, A., Schumacher, J., Geyer, M., &amp; Brähler, E. (2001). Symptom-Checkliste SCL-90-R: Testtheoretische Überprüfung und Normierung. </w:t>
      </w:r>
      <w:r w:rsidRPr="00E458BA">
        <w:rPr>
          <w:i/>
          <w:iCs/>
          <w:noProof/>
          <w:lang w:val="en-US"/>
        </w:rPr>
        <w:t>Diagnostica</w:t>
      </w:r>
      <w:r w:rsidRPr="00E458BA">
        <w:rPr>
          <w:noProof/>
          <w:lang w:val="en-US"/>
        </w:rPr>
        <w:t xml:space="preserve">, </w:t>
      </w:r>
      <w:r w:rsidRPr="00E458BA">
        <w:rPr>
          <w:i/>
          <w:iCs/>
          <w:noProof/>
          <w:lang w:val="en-US"/>
        </w:rPr>
        <w:t>47</w:t>
      </w:r>
      <w:r w:rsidRPr="00E458BA">
        <w:rPr>
          <w:noProof/>
          <w:lang w:val="en-US"/>
        </w:rPr>
        <w:t>(1), 27–39. https://doi.org/10.1026//0012-1924.47.1.27</w:t>
      </w:r>
    </w:p>
    <w:p w14:paraId="5124ED4A"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Hinton, P. (2014). </w:t>
      </w:r>
      <w:r w:rsidRPr="00E458BA">
        <w:rPr>
          <w:i/>
          <w:iCs/>
          <w:noProof/>
          <w:lang w:val="en-US"/>
        </w:rPr>
        <w:t>SPSS Explained</w:t>
      </w:r>
      <w:r w:rsidRPr="00E458BA">
        <w:rPr>
          <w:noProof/>
          <w:lang w:val="en-US"/>
        </w:rPr>
        <w:t>. Routledge. https://doi.org/10.4324/9781315797298</w:t>
      </w:r>
    </w:p>
    <w:p w14:paraId="10AFFFD6"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Hofmann, R. J. (1978). Complexity And Simplicity As Objective Indices Descriptive Of Factor Solutions. </w:t>
      </w:r>
      <w:r w:rsidRPr="00E458BA">
        <w:rPr>
          <w:i/>
          <w:iCs/>
          <w:noProof/>
          <w:lang w:val="en-US"/>
        </w:rPr>
        <w:t>Multivariate Behavioral Research</w:t>
      </w:r>
      <w:r w:rsidRPr="00E458BA">
        <w:rPr>
          <w:noProof/>
          <w:lang w:val="en-US"/>
        </w:rPr>
        <w:t xml:space="preserve">, </w:t>
      </w:r>
      <w:r w:rsidRPr="00E458BA">
        <w:rPr>
          <w:i/>
          <w:iCs/>
          <w:noProof/>
          <w:lang w:val="en-US"/>
        </w:rPr>
        <w:t>13</w:t>
      </w:r>
      <w:r w:rsidRPr="00E458BA">
        <w:rPr>
          <w:noProof/>
          <w:lang w:val="en-US"/>
        </w:rPr>
        <w:t>(2), 247–250. https://doi.org/10.1207/s15327906mbr1302_9</w:t>
      </w:r>
    </w:p>
    <w:p w14:paraId="4AF660F3" w14:textId="77777777" w:rsidR="00F913E0" w:rsidRPr="00F913E0" w:rsidRDefault="00F913E0" w:rsidP="00F913E0">
      <w:pPr>
        <w:widowControl w:val="0"/>
        <w:autoSpaceDE w:val="0"/>
        <w:autoSpaceDN w:val="0"/>
        <w:adjustRightInd w:val="0"/>
        <w:ind w:left="480" w:hanging="480"/>
        <w:rPr>
          <w:noProof/>
        </w:rPr>
      </w:pPr>
      <w:r w:rsidRPr="00E458BA">
        <w:rPr>
          <w:noProof/>
          <w:lang w:val="en-US"/>
        </w:rPr>
        <w:t xml:space="preserve">Holgado Tello, F. P., Vila Abad, E., &amp; Barbero Garcia, M. I. (2019). Factor Structure of the Symptom Assessment-45 Questionnaire (SA-45) [Estructura interna del Factor Structure of the Symptom Assessment-45 Questionnaire (SA-45)]. </w:t>
      </w:r>
      <w:r w:rsidRPr="00F913E0">
        <w:rPr>
          <w:i/>
          <w:iCs/>
          <w:noProof/>
        </w:rPr>
        <w:t>Acción Psicológica</w:t>
      </w:r>
      <w:r w:rsidRPr="00F913E0">
        <w:rPr>
          <w:noProof/>
        </w:rPr>
        <w:t xml:space="preserve">, </w:t>
      </w:r>
      <w:r w:rsidRPr="00F913E0">
        <w:rPr>
          <w:i/>
          <w:iCs/>
          <w:noProof/>
        </w:rPr>
        <w:t>16</w:t>
      </w:r>
      <w:r w:rsidRPr="00F913E0">
        <w:rPr>
          <w:noProof/>
        </w:rPr>
        <w:t>(1), 31–42. https://doi.org/10.5944/ap.16.1.22048</w:t>
      </w:r>
    </w:p>
    <w:p w14:paraId="68F22A8F" w14:textId="77777777" w:rsidR="00F913E0" w:rsidRPr="00E458BA" w:rsidRDefault="00F913E0" w:rsidP="00F913E0">
      <w:pPr>
        <w:widowControl w:val="0"/>
        <w:autoSpaceDE w:val="0"/>
        <w:autoSpaceDN w:val="0"/>
        <w:adjustRightInd w:val="0"/>
        <w:ind w:left="480" w:hanging="480"/>
        <w:rPr>
          <w:noProof/>
          <w:lang w:val="en-US"/>
        </w:rPr>
      </w:pPr>
      <w:r w:rsidRPr="00F913E0">
        <w:rPr>
          <w:noProof/>
        </w:rPr>
        <w:lastRenderedPageBreak/>
        <w:t xml:space="preserve">Hu, L., &amp; Bentler, P. M. (1999). </w:t>
      </w:r>
      <w:r w:rsidRPr="00E458BA">
        <w:rPr>
          <w:noProof/>
          <w:lang w:val="en-US"/>
        </w:rPr>
        <w:t xml:space="preserve">Cutoff criteria for fit indexes in covariance structure analysis: Conventional criteria versus new alternatives. </w:t>
      </w:r>
      <w:r w:rsidRPr="00E458BA">
        <w:rPr>
          <w:i/>
          <w:iCs/>
          <w:noProof/>
          <w:lang w:val="en-US"/>
        </w:rPr>
        <w:t>Structural Equation Modeling: A Multidisciplinary Journal</w:t>
      </w:r>
      <w:r w:rsidRPr="00E458BA">
        <w:rPr>
          <w:noProof/>
          <w:lang w:val="en-US"/>
        </w:rPr>
        <w:t xml:space="preserve">, </w:t>
      </w:r>
      <w:r w:rsidRPr="00E458BA">
        <w:rPr>
          <w:i/>
          <w:iCs/>
          <w:noProof/>
          <w:lang w:val="en-US"/>
        </w:rPr>
        <w:t>6</w:t>
      </w:r>
      <w:r w:rsidRPr="00E458BA">
        <w:rPr>
          <w:noProof/>
          <w:lang w:val="en-US"/>
        </w:rPr>
        <w:t>(1), 1–55. https://doi.org/10.1080/10705519909540118</w:t>
      </w:r>
    </w:p>
    <w:p w14:paraId="2D579973"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Kassambara, A. (2020). </w:t>
      </w:r>
      <w:r w:rsidRPr="00E458BA">
        <w:rPr>
          <w:i/>
          <w:iCs/>
          <w:noProof/>
          <w:lang w:val="en-US"/>
        </w:rPr>
        <w:t>rstatix: pipe-friendly framework for basic statistical tests. R package version 0.6. 0</w:t>
      </w:r>
      <w:r w:rsidRPr="00E458BA">
        <w:rPr>
          <w:noProof/>
          <w:lang w:val="en-US"/>
        </w:rPr>
        <w:t>. Retrieved from https://cran.r-project.org/web/packages/rstatix/index.html</w:t>
      </w:r>
    </w:p>
    <w:p w14:paraId="14A6A107" w14:textId="77777777" w:rsidR="00F913E0" w:rsidRPr="00E458BA" w:rsidRDefault="00F913E0" w:rsidP="00F913E0">
      <w:pPr>
        <w:widowControl w:val="0"/>
        <w:autoSpaceDE w:val="0"/>
        <w:autoSpaceDN w:val="0"/>
        <w:adjustRightInd w:val="0"/>
        <w:ind w:left="480" w:hanging="480"/>
        <w:rPr>
          <w:noProof/>
          <w:lang w:val="de-DE"/>
        </w:rPr>
      </w:pPr>
      <w:r w:rsidRPr="00E458BA">
        <w:rPr>
          <w:noProof/>
          <w:lang w:val="de-DE"/>
        </w:rPr>
        <w:t xml:space="preserve">Koch, J. (2014). Psychologische Diagnostik: Testverfahren im Überblick. </w:t>
      </w:r>
      <w:r w:rsidRPr="00E458BA">
        <w:rPr>
          <w:i/>
          <w:iCs/>
          <w:noProof/>
          <w:lang w:val="de-DE"/>
        </w:rPr>
        <w:t>Deutsches Ärzteblatt International</w:t>
      </w:r>
      <w:r w:rsidRPr="00E458BA">
        <w:rPr>
          <w:noProof/>
          <w:lang w:val="de-DE"/>
        </w:rPr>
        <w:t xml:space="preserve">, </w:t>
      </w:r>
      <w:r w:rsidRPr="00E458BA">
        <w:rPr>
          <w:i/>
          <w:iCs/>
          <w:noProof/>
          <w:lang w:val="de-DE"/>
        </w:rPr>
        <w:t>13</w:t>
      </w:r>
      <w:r w:rsidRPr="00E458BA">
        <w:rPr>
          <w:noProof/>
          <w:lang w:val="de-DE"/>
        </w:rPr>
        <w:t>(8), 361–364.</w:t>
      </w:r>
    </w:p>
    <w:p w14:paraId="577C519F" w14:textId="77777777" w:rsidR="00F913E0" w:rsidRPr="00E458BA" w:rsidRDefault="00F913E0" w:rsidP="00F913E0">
      <w:pPr>
        <w:widowControl w:val="0"/>
        <w:autoSpaceDE w:val="0"/>
        <w:autoSpaceDN w:val="0"/>
        <w:adjustRightInd w:val="0"/>
        <w:ind w:left="480" w:hanging="480"/>
        <w:rPr>
          <w:noProof/>
          <w:lang w:val="de-DE"/>
        </w:rPr>
      </w:pPr>
      <w:r w:rsidRPr="00E458BA">
        <w:rPr>
          <w:noProof/>
          <w:lang w:val="de-DE"/>
        </w:rPr>
        <w:t xml:space="preserve">Korkmaz, S., Goksuluk, D., &amp; Zararsiz, G. (2014). MVN: An R Package for Assessing Multivariate Normality. </w:t>
      </w:r>
      <w:r w:rsidRPr="00E458BA">
        <w:rPr>
          <w:i/>
          <w:iCs/>
          <w:noProof/>
          <w:lang w:val="de-DE"/>
        </w:rPr>
        <w:t>The R Journal</w:t>
      </w:r>
      <w:r w:rsidRPr="00E458BA">
        <w:rPr>
          <w:noProof/>
          <w:lang w:val="de-DE"/>
        </w:rPr>
        <w:t xml:space="preserve">, </w:t>
      </w:r>
      <w:r w:rsidRPr="00E458BA">
        <w:rPr>
          <w:i/>
          <w:iCs/>
          <w:noProof/>
          <w:lang w:val="de-DE"/>
        </w:rPr>
        <w:t>6</w:t>
      </w:r>
      <w:r w:rsidRPr="00E458BA">
        <w:rPr>
          <w:noProof/>
          <w:lang w:val="de-DE"/>
        </w:rPr>
        <w:t>(2), 151–162. https://doi.org/10.32614/RJ-2014-031</w:t>
      </w:r>
    </w:p>
    <w:p w14:paraId="575436EC"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de-DE"/>
        </w:rPr>
        <w:t xml:space="preserve">Krueger, R. F., &amp; Finger, M. S. (2001). </w:t>
      </w:r>
      <w:r w:rsidRPr="00E458BA">
        <w:rPr>
          <w:noProof/>
          <w:lang w:val="en-US"/>
        </w:rPr>
        <w:t xml:space="preserve">Using item response theory to understand comorbidity among anxiety and unipolar mood disorders. </w:t>
      </w:r>
      <w:r w:rsidRPr="00E458BA">
        <w:rPr>
          <w:i/>
          <w:iCs/>
          <w:noProof/>
          <w:lang w:val="en-US"/>
        </w:rPr>
        <w:t>Psychological Assessment</w:t>
      </w:r>
      <w:r w:rsidRPr="00E458BA">
        <w:rPr>
          <w:noProof/>
          <w:lang w:val="en-US"/>
        </w:rPr>
        <w:t xml:space="preserve">, </w:t>
      </w:r>
      <w:r w:rsidRPr="00E458BA">
        <w:rPr>
          <w:i/>
          <w:iCs/>
          <w:noProof/>
          <w:lang w:val="en-US"/>
        </w:rPr>
        <w:t>13</w:t>
      </w:r>
      <w:r w:rsidRPr="00E458BA">
        <w:rPr>
          <w:noProof/>
          <w:lang w:val="en-US"/>
        </w:rPr>
        <w:t>(1), 140–151. https://doi.org/10.1037/1040-3590.13.1.140</w:t>
      </w:r>
    </w:p>
    <w:p w14:paraId="54CBE6BB"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Leys, C., Klein, O., Dominicy, Y., &amp; Ley, C. (2018). Detecting multivariate outliers: Use a robust variant of the Mahalanobis distance. </w:t>
      </w:r>
      <w:r w:rsidRPr="00E458BA">
        <w:rPr>
          <w:i/>
          <w:iCs/>
          <w:noProof/>
          <w:lang w:val="en-US"/>
        </w:rPr>
        <w:t>Journal of Experimental Social Psychology</w:t>
      </w:r>
      <w:r w:rsidRPr="00E458BA">
        <w:rPr>
          <w:noProof/>
          <w:lang w:val="en-US"/>
        </w:rPr>
        <w:t xml:space="preserve">, </w:t>
      </w:r>
      <w:r w:rsidRPr="00E458BA">
        <w:rPr>
          <w:i/>
          <w:iCs/>
          <w:noProof/>
          <w:lang w:val="en-US"/>
        </w:rPr>
        <w:t>74</w:t>
      </w:r>
      <w:r w:rsidRPr="00E458BA">
        <w:rPr>
          <w:noProof/>
          <w:lang w:val="en-US"/>
        </w:rPr>
        <w:t>, 150–156. https://doi.org/10.1016/j.jesp.2017.09.011</w:t>
      </w:r>
    </w:p>
    <w:p w14:paraId="2D5F7C76"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Lipman, R. S., Chase, C., Rickles, K., Covi, L., Derogatis, L. R., &amp; Uhlenhut, E. H. (1969). Factors of Symptom Distress. Doctor Ratings of Anxious Neurotic Outpatients. </w:t>
      </w:r>
      <w:r w:rsidRPr="00E458BA">
        <w:rPr>
          <w:i/>
          <w:iCs/>
          <w:noProof/>
          <w:lang w:val="en-US"/>
        </w:rPr>
        <w:t>Archives of General Psychiatry</w:t>
      </w:r>
      <w:r w:rsidRPr="00E458BA">
        <w:rPr>
          <w:noProof/>
          <w:lang w:val="en-US"/>
        </w:rPr>
        <w:t xml:space="preserve">, </w:t>
      </w:r>
      <w:r w:rsidRPr="00E458BA">
        <w:rPr>
          <w:i/>
          <w:iCs/>
          <w:noProof/>
          <w:lang w:val="en-US"/>
        </w:rPr>
        <w:t>21</w:t>
      </w:r>
      <w:r w:rsidRPr="00E458BA">
        <w:rPr>
          <w:noProof/>
          <w:lang w:val="en-US"/>
        </w:rPr>
        <w:t>(3), 328–338. https://doi.org/10.1001/archpsyc.1969.01740210072009</w:t>
      </w:r>
    </w:p>
    <w:p w14:paraId="43367D41"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Mann, H. B., &amp; Whitney, D. R. (1947). On a Test of Whether one of Two Random Variables is Stochastically Larger than the Other. </w:t>
      </w:r>
      <w:r w:rsidRPr="00E458BA">
        <w:rPr>
          <w:i/>
          <w:iCs/>
          <w:noProof/>
          <w:lang w:val="en-US"/>
        </w:rPr>
        <w:t>The Annals of Mathematical Statistics</w:t>
      </w:r>
      <w:r w:rsidRPr="00E458BA">
        <w:rPr>
          <w:noProof/>
          <w:lang w:val="en-US"/>
        </w:rPr>
        <w:t xml:space="preserve">, </w:t>
      </w:r>
      <w:r w:rsidRPr="00E458BA">
        <w:rPr>
          <w:i/>
          <w:iCs/>
          <w:noProof/>
          <w:lang w:val="en-US"/>
        </w:rPr>
        <w:t>18</w:t>
      </w:r>
      <w:r w:rsidRPr="00E458BA">
        <w:rPr>
          <w:noProof/>
          <w:lang w:val="en-US"/>
        </w:rPr>
        <w:t>(1), 50–60. https://doi.org/10.1214/aoms/1177730491</w:t>
      </w:r>
    </w:p>
    <w:p w14:paraId="1C6FFDE8" w14:textId="77777777" w:rsidR="00F913E0" w:rsidRPr="00E458BA" w:rsidRDefault="00F913E0" w:rsidP="00F913E0">
      <w:pPr>
        <w:widowControl w:val="0"/>
        <w:autoSpaceDE w:val="0"/>
        <w:autoSpaceDN w:val="0"/>
        <w:adjustRightInd w:val="0"/>
        <w:ind w:left="480" w:hanging="480"/>
        <w:rPr>
          <w:noProof/>
          <w:lang w:val="de-DE"/>
        </w:rPr>
      </w:pPr>
      <w:r w:rsidRPr="00E458BA">
        <w:rPr>
          <w:noProof/>
          <w:lang w:val="en-US"/>
        </w:rPr>
        <w:t xml:space="preserve">Mardia, K. V. (1970). Measures of multivariate skewness and kurtosis with applications. </w:t>
      </w:r>
      <w:r w:rsidRPr="00E458BA">
        <w:rPr>
          <w:i/>
          <w:iCs/>
          <w:noProof/>
          <w:lang w:val="de-DE"/>
        </w:rPr>
        <w:t>Biometrika</w:t>
      </w:r>
      <w:r w:rsidRPr="00E458BA">
        <w:rPr>
          <w:noProof/>
          <w:lang w:val="de-DE"/>
        </w:rPr>
        <w:t xml:space="preserve">, </w:t>
      </w:r>
      <w:r w:rsidRPr="00E458BA">
        <w:rPr>
          <w:i/>
          <w:iCs/>
          <w:noProof/>
          <w:lang w:val="de-DE"/>
        </w:rPr>
        <w:t>57</w:t>
      </w:r>
      <w:r w:rsidRPr="00E458BA">
        <w:rPr>
          <w:noProof/>
          <w:lang w:val="de-DE"/>
        </w:rPr>
        <w:t>(3), 519–530. https://doi.org/10.1093/biomet/57.3.519</w:t>
      </w:r>
    </w:p>
    <w:p w14:paraId="0F6C7836"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de-DE"/>
        </w:rPr>
        <w:t xml:space="preserve">Maruish, M. E., Bershadsky, B., &amp; Goldstein, L. (1998). </w:t>
      </w:r>
      <w:r w:rsidRPr="00E458BA">
        <w:rPr>
          <w:noProof/>
          <w:lang w:val="en-US"/>
        </w:rPr>
        <w:t xml:space="preserve">Reliability and Validity of the SA-45: Further Evidence from a Primary Care Setting. </w:t>
      </w:r>
      <w:r w:rsidRPr="00E458BA">
        <w:rPr>
          <w:i/>
          <w:iCs/>
          <w:noProof/>
          <w:lang w:val="en-US"/>
        </w:rPr>
        <w:t>Assessment</w:t>
      </w:r>
      <w:r w:rsidRPr="00E458BA">
        <w:rPr>
          <w:noProof/>
          <w:lang w:val="en-US"/>
        </w:rPr>
        <w:t xml:space="preserve">, </w:t>
      </w:r>
      <w:r w:rsidRPr="00E458BA">
        <w:rPr>
          <w:i/>
          <w:iCs/>
          <w:noProof/>
          <w:lang w:val="en-US"/>
        </w:rPr>
        <w:t>5</w:t>
      </w:r>
      <w:r w:rsidRPr="00E458BA">
        <w:rPr>
          <w:noProof/>
          <w:lang w:val="en-US"/>
        </w:rPr>
        <w:t>(4), 407–419. https://doi.org/10.1177/107319119800500410</w:t>
      </w:r>
    </w:p>
    <w:p w14:paraId="4F4C7BAB"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Montero, I., &amp; León, O. G. (2007). A guide for naming research studies in Psychology. </w:t>
      </w:r>
      <w:r w:rsidRPr="00E458BA">
        <w:rPr>
          <w:i/>
          <w:iCs/>
          <w:noProof/>
          <w:lang w:val="en-US"/>
        </w:rPr>
        <w:lastRenderedPageBreak/>
        <w:t>International Journal of Clinical and Health Psychology</w:t>
      </w:r>
      <w:r w:rsidRPr="00E458BA">
        <w:rPr>
          <w:noProof/>
          <w:lang w:val="en-US"/>
        </w:rPr>
        <w:t xml:space="preserve">, </w:t>
      </w:r>
      <w:r w:rsidRPr="00E458BA">
        <w:rPr>
          <w:i/>
          <w:iCs/>
          <w:noProof/>
          <w:lang w:val="en-US"/>
        </w:rPr>
        <w:t>7</w:t>
      </w:r>
      <w:r w:rsidRPr="00E458BA">
        <w:rPr>
          <w:noProof/>
          <w:lang w:val="en-US"/>
        </w:rPr>
        <w:t>(3), 847–862.</w:t>
      </w:r>
    </w:p>
    <w:p w14:paraId="443136F9"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Müller, J. M., Postert, C., Beyer, T., Furniss, T., &amp; Achtergarde, S. (2010). Comparison of Eleven Short Versions of the Symptom Checklist 90-Revised (SCL-90-R) for Use in the Assessment of General Psychopathology. </w:t>
      </w:r>
      <w:r w:rsidRPr="00E458BA">
        <w:rPr>
          <w:i/>
          <w:iCs/>
          <w:noProof/>
          <w:lang w:val="en-US"/>
        </w:rPr>
        <w:t>Journal of Psychopathology and Behavioral Assessment</w:t>
      </w:r>
      <w:r w:rsidRPr="00E458BA">
        <w:rPr>
          <w:noProof/>
          <w:lang w:val="en-US"/>
        </w:rPr>
        <w:t xml:space="preserve">, </w:t>
      </w:r>
      <w:r w:rsidRPr="00E458BA">
        <w:rPr>
          <w:i/>
          <w:iCs/>
          <w:noProof/>
          <w:lang w:val="en-US"/>
        </w:rPr>
        <w:t>32</w:t>
      </w:r>
      <w:r w:rsidRPr="00E458BA">
        <w:rPr>
          <w:noProof/>
          <w:lang w:val="en-US"/>
        </w:rPr>
        <w:t>(2), 246–254. https://doi.org/10.1007/s10862-009-9141-5</w:t>
      </w:r>
    </w:p>
    <w:p w14:paraId="2F16BEDB"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Olsen, L. R., Mortensen, E. L., &amp; Bech, P. (2004). The SCL-90 and SCL-90R versions validated by item response models in a Danish community sample. </w:t>
      </w:r>
      <w:r w:rsidRPr="00E458BA">
        <w:rPr>
          <w:i/>
          <w:iCs/>
          <w:noProof/>
          <w:lang w:val="en-US"/>
        </w:rPr>
        <w:t>Acta Psychiatrica Scandinavica</w:t>
      </w:r>
      <w:r w:rsidRPr="00E458BA">
        <w:rPr>
          <w:noProof/>
          <w:lang w:val="en-US"/>
        </w:rPr>
        <w:t xml:space="preserve">, </w:t>
      </w:r>
      <w:r w:rsidRPr="00E458BA">
        <w:rPr>
          <w:i/>
          <w:iCs/>
          <w:noProof/>
          <w:lang w:val="en-US"/>
        </w:rPr>
        <w:t>110</w:t>
      </w:r>
      <w:r w:rsidRPr="00E458BA">
        <w:rPr>
          <w:noProof/>
          <w:lang w:val="en-US"/>
        </w:rPr>
        <w:t>(3), 225–229. https://doi.org/10.1111/j.1600-0447.2004.00399.x</w:t>
      </w:r>
    </w:p>
    <w:p w14:paraId="16A4AD94"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Parloff, M. B., Kelman, H. C., &amp; Frank, J. D. (1954). Comfort, effectiveness, and self-awareness as criteria of improvement in psychotherapy. </w:t>
      </w:r>
      <w:r w:rsidRPr="00E458BA">
        <w:rPr>
          <w:i/>
          <w:iCs/>
          <w:noProof/>
          <w:lang w:val="en-US"/>
        </w:rPr>
        <w:t>American Journal of Psychiatry</w:t>
      </w:r>
      <w:r w:rsidRPr="00E458BA">
        <w:rPr>
          <w:noProof/>
          <w:lang w:val="en-US"/>
        </w:rPr>
        <w:t xml:space="preserve">, </w:t>
      </w:r>
      <w:r w:rsidRPr="00E458BA">
        <w:rPr>
          <w:i/>
          <w:iCs/>
          <w:noProof/>
          <w:lang w:val="en-US"/>
        </w:rPr>
        <w:t>111</w:t>
      </w:r>
      <w:r w:rsidRPr="00E458BA">
        <w:rPr>
          <w:noProof/>
          <w:lang w:val="en-US"/>
        </w:rPr>
        <w:t>(5), 343–352. https://doi.org/10.1176/ajp.111.5.343</w:t>
      </w:r>
    </w:p>
    <w:p w14:paraId="46A3CE52" w14:textId="77777777" w:rsidR="00F913E0" w:rsidRPr="00E458BA" w:rsidRDefault="00F913E0" w:rsidP="00F913E0">
      <w:pPr>
        <w:widowControl w:val="0"/>
        <w:autoSpaceDE w:val="0"/>
        <w:autoSpaceDN w:val="0"/>
        <w:adjustRightInd w:val="0"/>
        <w:ind w:left="480" w:hanging="480"/>
        <w:rPr>
          <w:noProof/>
          <w:lang w:val="pt-BR"/>
        </w:rPr>
      </w:pPr>
      <w:r w:rsidRPr="00E458BA">
        <w:rPr>
          <w:noProof/>
          <w:lang w:val="en-US"/>
        </w:rPr>
        <w:t xml:space="preserve">Prada, A. S., &amp; Vicario, B. P. (2010). </w:t>
      </w:r>
      <w:r w:rsidRPr="00F913E0">
        <w:rPr>
          <w:noProof/>
        </w:rPr>
        <w:t xml:space="preserve">Validez y fiabilidad de una versión española del cuestionario SA-45: apoyo empírico preliminar. </w:t>
      </w:r>
      <w:r w:rsidRPr="00F913E0">
        <w:rPr>
          <w:i/>
          <w:iCs/>
          <w:noProof/>
        </w:rPr>
        <w:t>Actas Del XI Congreso de Metodologías de Las Ciencias Sociales y de La Salud: Málaga, 15-18 Septiembre de 2009</w:t>
      </w:r>
      <w:r w:rsidRPr="00F913E0">
        <w:rPr>
          <w:noProof/>
        </w:rPr>
        <w:t xml:space="preserve">, 387–393. </w:t>
      </w:r>
      <w:r w:rsidRPr="00E458BA">
        <w:rPr>
          <w:noProof/>
          <w:lang w:val="pt-BR"/>
        </w:rPr>
        <w:t>Universidad de Málaga (UMA).</w:t>
      </w:r>
    </w:p>
    <w:p w14:paraId="152F0B8A"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pt-BR"/>
        </w:rPr>
        <w:t xml:space="preserve">Reise, S. P., Moore, T. M., &amp; Haviland, M. G. (2010). </w:t>
      </w:r>
      <w:r w:rsidRPr="00E458BA">
        <w:rPr>
          <w:noProof/>
          <w:lang w:val="en-US"/>
        </w:rPr>
        <w:t xml:space="preserve">Bifactor Models and Rotations: Exploring the Extent to Which Multidimensional Data Yield Univocal Scale Scores. </w:t>
      </w:r>
      <w:r w:rsidRPr="00E458BA">
        <w:rPr>
          <w:i/>
          <w:iCs/>
          <w:noProof/>
          <w:lang w:val="en-US"/>
        </w:rPr>
        <w:t>Journal of Personality Assessment</w:t>
      </w:r>
      <w:r w:rsidRPr="00E458BA">
        <w:rPr>
          <w:noProof/>
          <w:lang w:val="en-US"/>
        </w:rPr>
        <w:t xml:space="preserve">, </w:t>
      </w:r>
      <w:r w:rsidRPr="00E458BA">
        <w:rPr>
          <w:i/>
          <w:iCs/>
          <w:noProof/>
          <w:lang w:val="en-US"/>
        </w:rPr>
        <w:t>92</w:t>
      </w:r>
      <w:r w:rsidRPr="00E458BA">
        <w:rPr>
          <w:noProof/>
          <w:lang w:val="en-US"/>
        </w:rPr>
        <w:t>(6), 544–559. https://doi.org/10.1080/00223891.2010.496477</w:t>
      </w:r>
    </w:p>
    <w:p w14:paraId="48DA6840"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Revelle, W. (2019). </w:t>
      </w:r>
      <w:r w:rsidRPr="00E458BA">
        <w:rPr>
          <w:i/>
          <w:iCs/>
          <w:noProof/>
          <w:lang w:val="en-US"/>
        </w:rPr>
        <w:t>psych: Procedures for personality and psychological research</w:t>
      </w:r>
      <w:r w:rsidRPr="00E458BA">
        <w:rPr>
          <w:noProof/>
          <w:lang w:val="en-US"/>
        </w:rPr>
        <w:t>. Retrieved from https://cran.r-project.org/package=psych Version = 1.9.12</w:t>
      </w:r>
    </w:p>
    <w:p w14:paraId="7DDE4526"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de-DE"/>
        </w:rPr>
        <w:t xml:space="preserve">Rief, W., Greitemeyer, M., &amp; Fichter, M. M. (1991). Die Symptom Check List SCL-90-R: Überprüfung an 900 psychosomatischen Patienten. </w:t>
      </w:r>
      <w:r w:rsidRPr="00E458BA">
        <w:rPr>
          <w:i/>
          <w:iCs/>
          <w:noProof/>
          <w:lang w:val="en-US"/>
        </w:rPr>
        <w:t>Diagnostica</w:t>
      </w:r>
      <w:r w:rsidRPr="00E458BA">
        <w:rPr>
          <w:noProof/>
          <w:lang w:val="en-US"/>
        </w:rPr>
        <w:t xml:space="preserve">, </w:t>
      </w:r>
      <w:r w:rsidRPr="00E458BA">
        <w:rPr>
          <w:i/>
          <w:iCs/>
          <w:noProof/>
          <w:lang w:val="en-US"/>
        </w:rPr>
        <w:t>37</w:t>
      </w:r>
      <w:r w:rsidRPr="00E458BA">
        <w:rPr>
          <w:noProof/>
          <w:lang w:val="en-US"/>
        </w:rPr>
        <w:t>(1), 58–65.</w:t>
      </w:r>
    </w:p>
    <w:p w14:paraId="530FC434"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Rosseel, Y. (2012). lavaan : An R Package for Structural Equation Modeling. </w:t>
      </w:r>
      <w:r w:rsidRPr="00E458BA">
        <w:rPr>
          <w:i/>
          <w:iCs/>
          <w:noProof/>
          <w:lang w:val="en-US"/>
        </w:rPr>
        <w:t>Journal of Statistical Software</w:t>
      </w:r>
      <w:r w:rsidRPr="00E458BA">
        <w:rPr>
          <w:noProof/>
          <w:lang w:val="en-US"/>
        </w:rPr>
        <w:t xml:space="preserve">, </w:t>
      </w:r>
      <w:r w:rsidRPr="00E458BA">
        <w:rPr>
          <w:i/>
          <w:iCs/>
          <w:noProof/>
          <w:lang w:val="en-US"/>
        </w:rPr>
        <w:t>48</w:t>
      </w:r>
      <w:r w:rsidRPr="00E458BA">
        <w:rPr>
          <w:noProof/>
          <w:lang w:val="en-US"/>
        </w:rPr>
        <w:t>(2), 1–36. https://doi.org/10.18637/jss.v048.i02</w:t>
      </w:r>
    </w:p>
    <w:p w14:paraId="1EE6F368"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Sandín, B., Simons, J. S., Valiente, R. M., Simons, R. M., &amp; Chorot, P. (2017). Psychometric properties of the spanish version of The Distress Tolerance Scale and its relationship with personality and psychopathological symptoms. </w:t>
      </w:r>
      <w:r w:rsidRPr="00E458BA">
        <w:rPr>
          <w:i/>
          <w:iCs/>
          <w:noProof/>
          <w:lang w:val="en-US"/>
        </w:rPr>
        <w:t>Psicothema</w:t>
      </w:r>
      <w:r w:rsidRPr="00E458BA">
        <w:rPr>
          <w:noProof/>
          <w:lang w:val="en-US"/>
        </w:rPr>
        <w:t xml:space="preserve">, </w:t>
      </w:r>
      <w:r w:rsidRPr="00E458BA">
        <w:rPr>
          <w:i/>
          <w:iCs/>
          <w:noProof/>
          <w:lang w:val="en-US"/>
        </w:rPr>
        <w:t>29</w:t>
      </w:r>
      <w:r w:rsidRPr="00E458BA">
        <w:rPr>
          <w:noProof/>
          <w:lang w:val="en-US"/>
        </w:rPr>
        <w:t>(3), 421–428. https://doi.org/10.7334/psicothema2016.239</w:t>
      </w:r>
    </w:p>
    <w:p w14:paraId="1D14A191"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lastRenderedPageBreak/>
        <w:t xml:space="preserve">Sandín, B., Valiente, R. M., Chorot, P., Santed, M. A., &amp; Lostao, L. (2008). SA-45: forma abreviada del SCL-90. </w:t>
      </w:r>
      <w:r w:rsidRPr="00E458BA">
        <w:rPr>
          <w:i/>
          <w:iCs/>
          <w:noProof/>
          <w:lang w:val="en-US"/>
        </w:rPr>
        <w:t>Psicothema</w:t>
      </w:r>
      <w:r w:rsidRPr="00E458BA">
        <w:rPr>
          <w:noProof/>
          <w:lang w:val="en-US"/>
        </w:rPr>
        <w:t xml:space="preserve">, </w:t>
      </w:r>
      <w:r w:rsidRPr="00E458BA">
        <w:rPr>
          <w:i/>
          <w:iCs/>
          <w:noProof/>
          <w:lang w:val="en-US"/>
        </w:rPr>
        <w:t>20</w:t>
      </w:r>
      <w:r w:rsidRPr="00E458BA">
        <w:rPr>
          <w:noProof/>
          <w:lang w:val="en-US"/>
        </w:rPr>
        <w:t>(2), 290–296.</w:t>
      </w:r>
    </w:p>
    <w:p w14:paraId="3B8707C6"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Satorra, A., &amp; Bentler, P. M. (2000). A Scaled Difference Chi-Square Test Statistic for Moment Structure Analysis. </w:t>
      </w:r>
      <w:r w:rsidRPr="00E458BA">
        <w:rPr>
          <w:i/>
          <w:iCs/>
          <w:noProof/>
          <w:lang w:val="en-US"/>
        </w:rPr>
        <w:t>SSRN Electronic Journal</w:t>
      </w:r>
      <w:r w:rsidRPr="00E458BA">
        <w:rPr>
          <w:noProof/>
          <w:lang w:val="en-US"/>
        </w:rPr>
        <w:t xml:space="preserve">, </w:t>
      </w:r>
      <w:r w:rsidRPr="00E458BA">
        <w:rPr>
          <w:i/>
          <w:iCs/>
          <w:noProof/>
          <w:lang w:val="en-US"/>
        </w:rPr>
        <w:t>66</w:t>
      </w:r>
      <w:r w:rsidRPr="00E458BA">
        <w:rPr>
          <w:noProof/>
          <w:lang w:val="en-US"/>
        </w:rPr>
        <w:t>(4), 507–514. https://doi.org/10.2139/ssrn.199064</w:t>
      </w:r>
    </w:p>
    <w:p w14:paraId="46421770"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Schmitz, N., Hartkamp, N., Kiuse, J., Franke, G. H., Reister, G., &amp; Tress, W. (2000). The symptom check-list-90-R (SCL-90-R): A German validation study. </w:t>
      </w:r>
      <w:r w:rsidRPr="00E458BA">
        <w:rPr>
          <w:i/>
          <w:iCs/>
          <w:noProof/>
          <w:lang w:val="en-US"/>
        </w:rPr>
        <w:t>Quality of Life Research</w:t>
      </w:r>
      <w:r w:rsidRPr="00E458BA">
        <w:rPr>
          <w:noProof/>
          <w:lang w:val="en-US"/>
        </w:rPr>
        <w:t xml:space="preserve">, </w:t>
      </w:r>
      <w:r w:rsidRPr="00E458BA">
        <w:rPr>
          <w:i/>
          <w:iCs/>
          <w:noProof/>
          <w:lang w:val="en-US"/>
        </w:rPr>
        <w:t>9</w:t>
      </w:r>
      <w:r w:rsidRPr="00E458BA">
        <w:rPr>
          <w:noProof/>
          <w:lang w:val="en-US"/>
        </w:rPr>
        <w:t>(2), 185–193. https://doi.org/10.1023/A:1008931926181</w:t>
      </w:r>
    </w:p>
    <w:p w14:paraId="7089FBBA" w14:textId="77777777" w:rsidR="00F913E0" w:rsidRPr="00E458BA" w:rsidRDefault="00F913E0" w:rsidP="00F913E0">
      <w:pPr>
        <w:widowControl w:val="0"/>
        <w:autoSpaceDE w:val="0"/>
        <w:autoSpaceDN w:val="0"/>
        <w:adjustRightInd w:val="0"/>
        <w:ind w:left="480" w:hanging="480"/>
        <w:rPr>
          <w:noProof/>
          <w:lang w:val="en-US"/>
        </w:rPr>
      </w:pPr>
      <w:r w:rsidRPr="00E458BA">
        <w:rPr>
          <w:noProof/>
          <w:lang w:val="en-US"/>
        </w:rPr>
        <w:t xml:space="preserve">Simkin, H., Borchardt Dutera, L., &amp; Azzollini, S. (2020). Evidencias de validez del Compendio Internacional de Ítems de Personalidad Abreviado. </w:t>
      </w:r>
      <w:r w:rsidRPr="00E458BA">
        <w:rPr>
          <w:i/>
          <w:iCs/>
          <w:noProof/>
          <w:lang w:val="en-US"/>
        </w:rPr>
        <w:t>Liberabit: Revista Peruana de Psicología</w:t>
      </w:r>
      <w:r w:rsidRPr="00E458BA">
        <w:rPr>
          <w:noProof/>
          <w:lang w:val="en-US"/>
        </w:rPr>
        <w:t xml:space="preserve">, </w:t>
      </w:r>
      <w:r w:rsidRPr="00E458BA">
        <w:rPr>
          <w:i/>
          <w:iCs/>
          <w:noProof/>
          <w:lang w:val="en-US"/>
        </w:rPr>
        <w:t>26</w:t>
      </w:r>
      <w:r w:rsidRPr="00E458BA">
        <w:rPr>
          <w:noProof/>
          <w:lang w:val="en-US"/>
        </w:rPr>
        <w:t>(1), 1–23. https://doi.org/10.24265/liberabit.2020.v26n1.02</w:t>
      </w:r>
    </w:p>
    <w:p w14:paraId="788AF8D1" w14:textId="77777777" w:rsidR="00F913E0" w:rsidRPr="00E458BA" w:rsidRDefault="00F913E0" w:rsidP="00F913E0">
      <w:pPr>
        <w:widowControl w:val="0"/>
        <w:autoSpaceDE w:val="0"/>
        <w:autoSpaceDN w:val="0"/>
        <w:adjustRightInd w:val="0"/>
        <w:ind w:left="480" w:hanging="480"/>
        <w:rPr>
          <w:noProof/>
          <w:lang w:val="en-US"/>
        </w:rPr>
      </w:pPr>
      <w:r w:rsidRPr="00F913E0">
        <w:rPr>
          <w:noProof/>
        </w:rPr>
        <w:t xml:space="preserve">Venables, W. N., &amp; Ripley, B. D. (2002). </w:t>
      </w:r>
      <w:r w:rsidRPr="00E458BA">
        <w:rPr>
          <w:i/>
          <w:iCs/>
          <w:noProof/>
          <w:lang w:val="en-US"/>
        </w:rPr>
        <w:t>Modern Applied Statistics with S</w:t>
      </w:r>
      <w:r w:rsidRPr="00E458BA">
        <w:rPr>
          <w:noProof/>
          <w:lang w:val="en-US"/>
        </w:rPr>
        <w:t>. New York, NY: Springer. https://doi.org/10.1007/978-0-387-21706-2</w:t>
      </w:r>
    </w:p>
    <w:p w14:paraId="067859A6" w14:textId="77777777" w:rsidR="00F913E0" w:rsidRPr="00F913E0" w:rsidRDefault="00F913E0" w:rsidP="00F913E0">
      <w:pPr>
        <w:widowControl w:val="0"/>
        <w:autoSpaceDE w:val="0"/>
        <w:autoSpaceDN w:val="0"/>
        <w:adjustRightInd w:val="0"/>
        <w:ind w:left="480" w:hanging="480"/>
        <w:rPr>
          <w:noProof/>
        </w:rPr>
      </w:pPr>
      <w:r w:rsidRPr="00E458BA">
        <w:rPr>
          <w:noProof/>
          <w:lang w:val="en-US"/>
        </w:rPr>
        <w:t xml:space="preserve">Yu, C.-Y. (2002). </w:t>
      </w:r>
      <w:r w:rsidRPr="00E458BA">
        <w:rPr>
          <w:i/>
          <w:iCs/>
          <w:noProof/>
          <w:lang w:val="en-US"/>
        </w:rPr>
        <w:t>Evaluating cutoff criteria of model fit indices for latent variable models with binary and continuous outcomes</w:t>
      </w:r>
      <w:r w:rsidRPr="00E458BA">
        <w:rPr>
          <w:noProof/>
          <w:lang w:val="en-US"/>
        </w:rPr>
        <w:t xml:space="preserve">. </w:t>
      </w:r>
      <w:r w:rsidRPr="00F913E0">
        <w:rPr>
          <w:noProof/>
        </w:rPr>
        <w:t>University of California, Los Angeles Los Angeles, CA.</w:t>
      </w:r>
    </w:p>
    <w:p w14:paraId="73C90DC3" w14:textId="2AC3EA3E" w:rsidR="00AE36FB" w:rsidRPr="00AE36FB" w:rsidRDefault="00AE36FB" w:rsidP="00226409">
      <w:r>
        <w:fldChar w:fldCharType="end"/>
      </w:r>
    </w:p>
    <w:p w14:paraId="31C400D8" w14:textId="77777777" w:rsidR="00AE36FB" w:rsidRPr="00AE36FB" w:rsidRDefault="00AE36FB" w:rsidP="00226409"/>
    <w:sectPr w:rsidR="00AE36FB" w:rsidRPr="00AE36FB" w:rsidSect="00AF5582">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22F2F" w14:textId="77777777" w:rsidR="003A675A" w:rsidRDefault="003A675A" w:rsidP="000D622B">
      <w:pPr>
        <w:spacing w:after="0" w:line="240" w:lineRule="auto"/>
      </w:pPr>
      <w:r>
        <w:separator/>
      </w:r>
    </w:p>
  </w:endnote>
  <w:endnote w:type="continuationSeparator" w:id="0">
    <w:p w14:paraId="39BB3C42" w14:textId="77777777" w:rsidR="003A675A" w:rsidRDefault="003A675A" w:rsidP="000D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A370C" w14:textId="77777777" w:rsidR="003A675A" w:rsidRDefault="003A675A" w:rsidP="000D622B">
      <w:pPr>
        <w:spacing w:after="0" w:line="240" w:lineRule="auto"/>
      </w:pPr>
      <w:r>
        <w:separator/>
      </w:r>
    </w:p>
  </w:footnote>
  <w:footnote w:type="continuationSeparator" w:id="0">
    <w:p w14:paraId="72626423" w14:textId="77777777" w:rsidR="003A675A" w:rsidRDefault="003A675A" w:rsidP="000D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335978"/>
      <w:docPartObj>
        <w:docPartGallery w:val="Page Numbers (Top of Page)"/>
        <w:docPartUnique/>
      </w:docPartObj>
    </w:sdtPr>
    <w:sdtEndPr/>
    <w:sdtContent>
      <w:p w14:paraId="34512FF3" w14:textId="5D7D8E3A" w:rsidR="00F01C4B" w:rsidRDefault="00F01C4B">
        <w:pPr>
          <w:pStyle w:val="Encabezado"/>
          <w:jc w:val="right"/>
        </w:pPr>
        <w:r>
          <w:fldChar w:fldCharType="begin"/>
        </w:r>
        <w:r>
          <w:instrText>PAGE   \* MERGEFORMAT</w:instrText>
        </w:r>
        <w:r>
          <w:fldChar w:fldCharType="separate"/>
        </w:r>
        <w:r>
          <w:t>2</w:t>
        </w:r>
        <w:r>
          <w:fldChar w:fldCharType="end"/>
        </w:r>
      </w:p>
    </w:sdtContent>
  </w:sdt>
  <w:p w14:paraId="7FBF774A" w14:textId="77777777" w:rsidR="00F01C4B" w:rsidRDefault="00F01C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551"/>
    <w:multiLevelType w:val="hybridMultilevel"/>
    <w:tmpl w:val="C45EE178"/>
    <w:lvl w:ilvl="0" w:tplc="4F443580">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DEC7EEF"/>
    <w:multiLevelType w:val="multilevel"/>
    <w:tmpl w:val="3BD2686A"/>
    <w:lvl w:ilvl="0">
      <w:start w:val="1"/>
      <w:numFmt w:val="decimal"/>
      <w:pStyle w:val="Ttulo2"/>
      <w:lvlText w:val="%1."/>
      <w:lvlJc w:val="left"/>
      <w:pPr>
        <w:ind w:left="360" w:hanging="360"/>
      </w:pPr>
    </w:lvl>
    <w:lvl w:ilvl="1">
      <w:start w:val="1"/>
      <w:numFmt w:val="decimal"/>
      <w:pStyle w:val="Ttulo3"/>
      <w:lvlText w:val="%1.%2."/>
      <w:lvlJc w:val="left"/>
      <w:pPr>
        <w:ind w:left="792" w:hanging="432"/>
      </w:pPr>
    </w:lvl>
    <w:lvl w:ilvl="2">
      <w:start w:val="1"/>
      <w:numFmt w:val="decimal"/>
      <w:pStyle w:val="Ttulo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1B41A7"/>
    <w:multiLevelType w:val="multilevel"/>
    <w:tmpl w:val="5750F5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1"/>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F0"/>
    <w:rsid w:val="00002269"/>
    <w:rsid w:val="00002B1F"/>
    <w:rsid w:val="00014109"/>
    <w:rsid w:val="0001432E"/>
    <w:rsid w:val="00016D38"/>
    <w:rsid w:val="000251E3"/>
    <w:rsid w:val="0002561A"/>
    <w:rsid w:val="00031A95"/>
    <w:rsid w:val="000346FE"/>
    <w:rsid w:val="000368E4"/>
    <w:rsid w:val="00036BAB"/>
    <w:rsid w:val="000405F3"/>
    <w:rsid w:val="00042FD1"/>
    <w:rsid w:val="00043F14"/>
    <w:rsid w:val="00044429"/>
    <w:rsid w:val="000454C6"/>
    <w:rsid w:val="00045DF9"/>
    <w:rsid w:val="0004612F"/>
    <w:rsid w:val="00051458"/>
    <w:rsid w:val="00052D56"/>
    <w:rsid w:val="00054621"/>
    <w:rsid w:val="0005496D"/>
    <w:rsid w:val="0005579D"/>
    <w:rsid w:val="000618A9"/>
    <w:rsid w:val="00065450"/>
    <w:rsid w:val="000654E3"/>
    <w:rsid w:val="00065974"/>
    <w:rsid w:val="000667EF"/>
    <w:rsid w:val="000702F9"/>
    <w:rsid w:val="000705CB"/>
    <w:rsid w:val="00071C28"/>
    <w:rsid w:val="00071E2B"/>
    <w:rsid w:val="000727FB"/>
    <w:rsid w:val="00074D1B"/>
    <w:rsid w:val="00076D1B"/>
    <w:rsid w:val="0008127E"/>
    <w:rsid w:val="00083D6F"/>
    <w:rsid w:val="000864E9"/>
    <w:rsid w:val="00091F17"/>
    <w:rsid w:val="000A00B3"/>
    <w:rsid w:val="000A0F3F"/>
    <w:rsid w:val="000A3985"/>
    <w:rsid w:val="000A42A3"/>
    <w:rsid w:val="000B3FE1"/>
    <w:rsid w:val="000B61FD"/>
    <w:rsid w:val="000B7D32"/>
    <w:rsid w:val="000C25EE"/>
    <w:rsid w:val="000C3674"/>
    <w:rsid w:val="000C4F19"/>
    <w:rsid w:val="000C5474"/>
    <w:rsid w:val="000C5BD2"/>
    <w:rsid w:val="000D40B4"/>
    <w:rsid w:val="000D6077"/>
    <w:rsid w:val="000D622B"/>
    <w:rsid w:val="000D68AB"/>
    <w:rsid w:val="000D70ED"/>
    <w:rsid w:val="000E471F"/>
    <w:rsid w:val="000E63F8"/>
    <w:rsid w:val="000E790F"/>
    <w:rsid w:val="000E7D4E"/>
    <w:rsid w:val="000F143B"/>
    <w:rsid w:val="000F58D2"/>
    <w:rsid w:val="000F7AA5"/>
    <w:rsid w:val="00100F7E"/>
    <w:rsid w:val="0010102B"/>
    <w:rsid w:val="00101DBF"/>
    <w:rsid w:val="00104AB0"/>
    <w:rsid w:val="00106DB5"/>
    <w:rsid w:val="0011261E"/>
    <w:rsid w:val="00116C5C"/>
    <w:rsid w:val="00117E9F"/>
    <w:rsid w:val="00120080"/>
    <w:rsid w:val="0012133E"/>
    <w:rsid w:val="00121E4A"/>
    <w:rsid w:val="001258BC"/>
    <w:rsid w:val="00127E76"/>
    <w:rsid w:val="001304CC"/>
    <w:rsid w:val="0013277D"/>
    <w:rsid w:val="001348C2"/>
    <w:rsid w:val="00140304"/>
    <w:rsid w:val="0014184A"/>
    <w:rsid w:val="0014197C"/>
    <w:rsid w:val="001420A7"/>
    <w:rsid w:val="001427B9"/>
    <w:rsid w:val="00143AEA"/>
    <w:rsid w:val="0014473F"/>
    <w:rsid w:val="001466DA"/>
    <w:rsid w:val="00146A44"/>
    <w:rsid w:val="001476B9"/>
    <w:rsid w:val="001479ED"/>
    <w:rsid w:val="00152989"/>
    <w:rsid w:val="0015326D"/>
    <w:rsid w:val="0015441C"/>
    <w:rsid w:val="001544BF"/>
    <w:rsid w:val="00162FE2"/>
    <w:rsid w:val="00163973"/>
    <w:rsid w:val="00163A19"/>
    <w:rsid w:val="001646A0"/>
    <w:rsid w:val="00167CD1"/>
    <w:rsid w:val="00171BBE"/>
    <w:rsid w:val="00175041"/>
    <w:rsid w:val="00175CC6"/>
    <w:rsid w:val="0018326C"/>
    <w:rsid w:val="00184277"/>
    <w:rsid w:val="001859D5"/>
    <w:rsid w:val="0018642F"/>
    <w:rsid w:val="00186AFF"/>
    <w:rsid w:val="00190188"/>
    <w:rsid w:val="00190747"/>
    <w:rsid w:val="00190C12"/>
    <w:rsid w:val="001A24D1"/>
    <w:rsid w:val="001A26DE"/>
    <w:rsid w:val="001A2894"/>
    <w:rsid w:val="001A51D3"/>
    <w:rsid w:val="001A7FC6"/>
    <w:rsid w:val="001B2F3C"/>
    <w:rsid w:val="001B36B1"/>
    <w:rsid w:val="001B3E55"/>
    <w:rsid w:val="001B717F"/>
    <w:rsid w:val="001B7B17"/>
    <w:rsid w:val="001B7EC4"/>
    <w:rsid w:val="001C193F"/>
    <w:rsid w:val="001C2130"/>
    <w:rsid w:val="001C4BCA"/>
    <w:rsid w:val="001C57A3"/>
    <w:rsid w:val="001C7DC2"/>
    <w:rsid w:val="001D0A57"/>
    <w:rsid w:val="001D19F9"/>
    <w:rsid w:val="001D1A65"/>
    <w:rsid w:val="001D569B"/>
    <w:rsid w:val="001E2AE0"/>
    <w:rsid w:val="001E56F8"/>
    <w:rsid w:val="001E7884"/>
    <w:rsid w:val="001F0C4B"/>
    <w:rsid w:val="001F0F1A"/>
    <w:rsid w:val="001F1A1A"/>
    <w:rsid w:val="001F285A"/>
    <w:rsid w:val="001F33DA"/>
    <w:rsid w:val="001F445F"/>
    <w:rsid w:val="001F5C03"/>
    <w:rsid w:val="00202BE3"/>
    <w:rsid w:val="002039B0"/>
    <w:rsid w:val="00205ACD"/>
    <w:rsid w:val="0020619C"/>
    <w:rsid w:val="002061ED"/>
    <w:rsid w:val="0020664F"/>
    <w:rsid w:val="00210048"/>
    <w:rsid w:val="00211B0E"/>
    <w:rsid w:val="00215247"/>
    <w:rsid w:val="0021602C"/>
    <w:rsid w:val="0021674A"/>
    <w:rsid w:val="002168FA"/>
    <w:rsid w:val="00217133"/>
    <w:rsid w:val="00221431"/>
    <w:rsid w:val="00223B51"/>
    <w:rsid w:val="00224929"/>
    <w:rsid w:val="00224B63"/>
    <w:rsid w:val="00226409"/>
    <w:rsid w:val="00231DE6"/>
    <w:rsid w:val="002378C7"/>
    <w:rsid w:val="00241420"/>
    <w:rsid w:val="0024392B"/>
    <w:rsid w:val="00244504"/>
    <w:rsid w:val="002461D4"/>
    <w:rsid w:val="00246D19"/>
    <w:rsid w:val="002501C1"/>
    <w:rsid w:val="002523EB"/>
    <w:rsid w:val="002526FA"/>
    <w:rsid w:val="00252FD0"/>
    <w:rsid w:val="00254290"/>
    <w:rsid w:val="0025591D"/>
    <w:rsid w:val="0026080E"/>
    <w:rsid w:val="00266CFB"/>
    <w:rsid w:val="00266F2F"/>
    <w:rsid w:val="002758F3"/>
    <w:rsid w:val="00276BF1"/>
    <w:rsid w:val="00276CA6"/>
    <w:rsid w:val="0027726F"/>
    <w:rsid w:val="00277767"/>
    <w:rsid w:val="002779C4"/>
    <w:rsid w:val="00280895"/>
    <w:rsid w:val="00281E85"/>
    <w:rsid w:val="00282560"/>
    <w:rsid w:val="00284E66"/>
    <w:rsid w:val="0028655F"/>
    <w:rsid w:val="00293DE1"/>
    <w:rsid w:val="00294E8C"/>
    <w:rsid w:val="002963AE"/>
    <w:rsid w:val="00297631"/>
    <w:rsid w:val="002A2BE8"/>
    <w:rsid w:val="002A54E6"/>
    <w:rsid w:val="002A6A62"/>
    <w:rsid w:val="002A7E8F"/>
    <w:rsid w:val="002B0545"/>
    <w:rsid w:val="002B0A7D"/>
    <w:rsid w:val="002B23C2"/>
    <w:rsid w:val="002B3783"/>
    <w:rsid w:val="002B7C21"/>
    <w:rsid w:val="002C09D9"/>
    <w:rsid w:val="002C1CFF"/>
    <w:rsid w:val="002C2049"/>
    <w:rsid w:val="002C2344"/>
    <w:rsid w:val="002C635C"/>
    <w:rsid w:val="002C6E46"/>
    <w:rsid w:val="002D265D"/>
    <w:rsid w:val="002D2674"/>
    <w:rsid w:val="002D2D1C"/>
    <w:rsid w:val="002D37C2"/>
    <w:rsid w:val="002D4284"/>
    <w:rsid w:val="002D54AE"/>
    <w:rsid w:val="002D65BD"/>
    <w:rsid w:val="002D6810"/>
    <w:rsid w:val="002D6F80"/>
    <w:rsid w:val="002D70B1"/>
    <w:rsid w:val="002D7BEC"/>
    <w:rsid w:val="002D7E57"/>
    <w:rsid w:val="002E08EA"/>
    <w:rsid w:val="002E099C"/>
    <w:rsid w:val="002E0A93"/>
    <w:rsid w:val="002E164F"/>
    <w:rsid w:val="002E309C"/>
    <w:rsid w:val="002E31DE"/>
    <w:rsid w:val="002E6DB4"/>
    <w:rsid w:val="002F0326"/>
    <w:rsid w:val="00300F84"/>
    <w:rsid w:val="0030152B"/>
    <w:rsid w:val="00303130"/>
    <w:rsid w:val="003031EC"/>
    <w:rsid w:val="00304FFB"/>
    <w:rsid w:val="0030551B"/>
    <w:rsid w:val="003059F8"/>
    <w:rsid w:val="0030695F"/>
    <w:rsid w:val="00306B0D"/>
    <w:rsid w:val="00311C9E"/>
    <w:rsid w:val="0031208A"/>
    <w:rsid w:val="0031383D"/>
    <w:rsid w:val="00313F6F"/>
    <w:rsid w:val="00314542"/>
    <w:rsid w:val="003164B8"/>
    <w:rsid w:val="0032059F"/>
    <w:rsid w:val="0032683E"/>
    <w:rsid w:val="003269ED"/>
    <w:rsid w:val="003333AB"/>
    <w:rsid w:val="003342CB"/>
    <w:rsid w:val="003344BC"/>
    <w:rsid w:val="00336CEE"/>
    <w:rsid w:val="00337780"/>
    <w:rsid w:val="00341223"/>
    <w:rsid w:val="00341DF8"/>
    <w:rsid w:val="0034483F"/>
    <w:rsid w:val="00346362"/>
    <w:rsid w:val="00347797"/>
    <w:rsid w:val="00347882"/>
    <w:rsid w:val="00353DDD"/>
    <w:rsid w:val="0035461E"/>
    <w:rsid w:val="00361FC6"/>
    <w:rsid w:val="00362864"/>
    <w:rsid w:val="0036331C"/>
    <w:rsid w:val="0036417F"/>
    <w:rsid w:val="00366318"/>
    <w:rsid w:val="00366573"/>
    <w:rsid w:val="00366FB0"/>
    <w:rsid w:val="003675F6"/>
    <w:rsid w:val="00367E60"/>
    <w:rsid w:val="00371868"/>
    <w:rsid w:val="00373981"/>
    <w:rsid w:val="00380E08"/>
    <w:rsid w:val="00381423"/>
    <w:rsid w:val="00381B19"/>
    <w:rsid w:val="0038456D"/>
    <w:rsid w:val="00385944"/>
    <w:rsid w:val="003879C4"/>
    <w:rsid w:val="003914FD"/>
    <w:rsid w:val="00393015"/>
    <w:rsid w:val="003946C6"/>
    <w:rsid w:val="00395760"/>
    <w:rsid w:val="003A01E5"/>
    <w:rsid w:val="003A0320"/>
    <w:rsid w:val="003A5011"/>
    <w:rsid w:val="003A675A"/>
    <w:rsid w:val="003B060B"/>
    <w:rsid w:val="003B1290"/>
    <w:rsid w:val="003B193B"/>
    <w:rsid w:val="003B333A"/>
    <w:rsid w:val="003B77BE"/>
    <w:rsid w:val="003C4179"/>
    <w:rsid w:val="003D436B"/>
    <w:rsid w:val="003D5E4C"/>
    <w:rsid w:val="003D67CF"/>
    <w:rsid w:val="003D69B7"/>
    <w:rsid w:val="003E0959"/>
    <w:rsid w:val="003E1180"/>
    <w:rsid w:val="003E187A"/>
    <w:rsid w:val="003E267E"/>
    <w:rsid w:val="003E578E"/>
    <w:rsid w:val="003E5C88"/>
    <w:rsid w:val="003E6715"/>
    <w:rsid w:val="003F3134"/>
    <w:rsid w:val="003F398E"/>
    <w:rsid w:val="003F52D4"/>
    <w:rsid w:val="003F781A"/>
    <w:rsid w:val="00400217"/>
    <w:rsid w:val="004006F9"/>
    <w:rsid w:val="00401323"/>
    <w:rsid w:val="004041B6"/>
    <w:rsid w:val="004043C3"/>
    <w:rsid w:val="004054ED"/>
    <w:rsid w:val="004055B0"/>
    <w:rsid w:val="00406392"/>
    <w:rsid w:val="00406EB9"/>
    <w:rsid w:val="00407844"/>
    <w:rsid w:val="00407B05"/>
    <w:rsid w:val="00411BC2"/>
    <w:rsid w:val="00412F41"/>
    <w:rsid w:val="00414572"/>
    <w:rsid w:val="00414624"/>
    <w:rsid w:val="00415350"/>
    <w:rsid w:val="004167CD"/>
    <w:rsid w:val="00417B0B"/>
    <w:rsid w:val="00421B36"/>
    <w:rsid w:val="0042215A"/>
    <w:rsid w:val="00426C89"/>
    <w:rsid w:val="00431DDE"/>
    <w:rsid w:val="00432B6C"/>
    <w:rsid w:val="00435BC9"/>
    <w:rsid w:val="00435CCD"/>
    <w:rsid w:val="00435D03"/>
    <w:rsid w:val="0044041C"/>
    <w:rsid w:val="00446C19"/>
    <w:rsid w:val="00447517"/>
    <w:rsid w:val="00450194"/>
    <w:rsid w:val="004524FE"/>
    <w:rsid w:val="00453270"/>
    <w:rsid w:val="004550C2"/>
    <w:rsid w:val="00456B92"/>
    <w:rsid w:val="00457CC9"/>
    <w:rsid w:val="00457E5C"/>
    <w:rsid w:val="004606F4"/>
    <w:rsid w:val="00460EC0"/>
    <w:rsid w:val="00461946"/>
    <w:rsid w:val="00461EDF"/>
    <w:rsid w:val="0046315D"/>
    <w:rsid w:val="004655BC"/>
    <w:rsid w:val="00465AE6"/>
    <w:rsid w:val="00467550"/>
    <w:rsid w:val="00470A8D"/>
    <w:rsid w:val="0047204E"/>
    <w:rsid w:val="00472671"/>
    <w:rsid w:val="00472BF6"/>
    <w:rsid w:val="004737F5"/>
    <w:rsid w:val="00482BAF"/>
    <w:rsid w:val="00482DE3"/>
    <w:rsid w:val="00485E01"/>
    <w:rsid w:val="00486188"/>
    <w:rsid w:val="004862D1"/>
    <w:rsid w:val="004865EE"/>
    <w:rsid w:val="00487BC1"/>
    <w:rsid w:val="00492851"/>
    <w:rsid w:val="00496B88"/>
    <w:rsid w:val="004970AF"/>
    <w:rsid w:val="004A3DBB"/>
    <w:rsid w:val="004A6B52"/>
    <w:rsid w:val="004A70A6"/>
    <w:rsid w:val="004B0531"/>
    <w:rsid w:val="004B1B70"/>
    <w:rsid w:val="004B34E9"/>
    <w:rsid w:val="004C0785"/>
    <w:rsid w:val="004C188A"/>
    <w:rsid w:val="004C217A"/>
    <w:rsid w:val="004C34AA"/>
    <w:rsid w:val="004C4EE4"/>
    <w:rsid w:val="004C5C69"/>
    <w:rsid w:val="004C63AA"/>
    <w:rsid w:val="004C63FF"/>
    <w:rsid w:val="004D2BA3"/>
    <w:rsid w:val="004D2C28"/>
    <w:rsid w:val="004D705E"/>
    <w:rsid w:val="004D7E2C"/>
    <w:rsid w:val="004E0519"/>
    <w:rsid w:val="004E0F82"/>
    <w:rsid w:val="004E20FA"/>
    <w:rsid w:val="004E2F1A"/>
    <w:rsid w:val="004E3D66"/>
    <w:rsid w:val="004E4A9E"/>
    <w:rsid w:val="004E7EB4"/>
    <w:rsid w:val="004F0AD0"/>
    <w:rsid w:val="004F48D7"/>
    <w:rsid w:val="004F6C40"/>
    <w:rsid w:val="004F7917"/>
    <w:rsid w:val="004F7ABF"/>
    <w:rsid w:val="005055C1"/>
    <w:rsid w:val="00510ECB"/>
    <w:rsid w:val="00514D81"/>
    <w:rsid w:val="005151BD"/>
    <w:rsid w:val="0051740C"/>
    <w:rsid w:val="00521634"/>
    <w:rsid w:val="00522B4F"/>
    <w:rsid w:val="005256EA"/>
    <w:rsid w:val="005266EF"/>
    <w:rsid w:val="005268B6"/>
    <w:rsid w:val="00535102"/>
    <w:rsid w:val="0053539A"/>
    <w:rsid w:val="005355B7"/>
    <w:rsid w:val="005413E7"/>
    <w:rsid w:val="005416A5"/>
    <w:rsid w:val="00542B9C"/>
    <w:rsid w:val="0054488E"/>
    <w:rsid w:val="005456C5"/>
    <w:rsid w:val="00545781"/>
    <w:rsid w:val="00546747"/>
    <w:rsid w:val="00553AC7"/>
    <w:rsid w:val="005622A0"/>
    <w:rsid w:val="005672B4"/>
    <w:rsid w:val="00574043"/>
    <w:rsid w:val="00574E66"/>
    <w:rsid w:val="005750A7"/>
    <w:rsid w:val="00576949"/>
    <w:rsid w:val="00580258"/>
    <w:rsid w:val="00580B8F"/>
    <w:rsid w:val="00581DD8"/>
    <w:rsid w:val="00582D15"/>
    <w:rsid w:val="00583EAA"/>
    <w:rsid w:val="00586D52"/>
    <w:rsid w:val="00586EB0"/>
    <w:rsid w:val="005903D8"/>
    <w:rsid w:val="00590487"/>
    <w:rsid w:val="005932F0"/>
    <w:rsid w:val="005A0CE6"/>
    <w:rsid w:val="005A3D4C"/>
    <w:rsid w:val="005A4185"/>
    <w:rsid w:val="005A45BD"/>
    <w:rsid w:val="005A4AE9"/>
    <w:rsid w:val="005A64A7"/>
    <w:rsid w:val="005A68C8"/>
    <w:rsid w:val="005A6C54"/>
    <w:rsid w:val="005A7E7A"/>
    <w:rsid w:val="005B44EF"/>
    <w:rsid w:val="005B4CC3"/>
    <w:rsid w:val="005B546D"/>
    <w:rsid w:val="005B6772"/>
    <w:rsid w:val="005B67C4"/>
    <w:rsid w:val="005C02F7"/>
    <w:rsid w:val="005C298D"/>
    <w:rsid w:val="005C65F6"/>
    <w:rsid w:val="005C6621"/>
    <w:rsid w:val="005D0776"/>
    <w:rsid w:val="005D17F2"/>
    <w:rsid w:val="005D27DB"/>
    <w:rsid w:val="005D4EBB"/>
    <w:rsid w:val="005E08A3"/>
    <w:rsid w:val="005E11BD"/>
    <w:rsid w:val="005E16AC"/>
    <w:rsid w:val="005E34C0"/>
    <w:rsid w:val="005E3644"/>
    <w:rsid w:val="005E4353"/>
    <w:rsid w:val="005E65F3"/>
    <w:rsid w:val="005F1B98"/>
    <w:rsid w:val="005F1E7A"/>
    <w:rsid w:val="005F3497"/>
    <w:rsid w:val="005F46FA"/>
    <w:rsid w:val="005F4E49"/>
    <w:rsid w:val="005F564A"/>
    <w:rsid w:val="005F58AC"/>
    <w:rsid w:val="00600BA6"/>
    <w:rsid w:val="00602AF3"/>
    <w:rsid w:val="00602FE3"/>
    <w:rsid w:val="006040F7"/>
    <w:rsid w:val="006055CE"/>
    <w:rsid w:val="00611C52"/>
    <w:rsid w:val="00613358"/>
    <w:rsid w:val="00615F4F"/>
    <w:rsid w:val="00617021"/>
    <w:rsid w:val="00617AC8"/>
    <w:rsid w:val="00620172"/>
    <w:rsid w:val="00622A37"/>
    <w:rsid w:val="006256A8"/>
    <w:rsid w:val="00630253"/>
    <w:rsid w:val="006306E8"/>
    <w:rsid w:val="006354D7"/>
    <w:rsid w:val="00642649"/>
    <w:rsid w:val="00643E7F"/>
    <w:rsid w:val="0065143C"/>
    <w:rsid w:val="00651E91"/>
    <w:rsid w:val="00651EC5"/>
    <w:rsid w:val="006521C0"/>
    <w:rsid w:val="0065284E"/>
    <w:rsid w:val="00653A8D"/>
    <w:rsid w:val="006555DA"/>
    <w:rsid w:val="00655CBF"/>
    <w:rsid w:val="0065715C"/>
    <w:rsid w:val="00657C6C"/>
    <w:rsid w:val="00662D1A"/>
    <w:rsid w:val="00666BC1"/>
    <w:rsid w:val="006675D4"/>
    <w:rsid w:val="00670EE8"/>
    <w:rsid w:val="00671B0E"/>
    <w:rsid w:val="00673794"/>
    <w:rsid w:val="00676D3D"/>
    <w:rsid w:val="00681BA7"/>
    <w:rsid w:val="00690E51"/>
    <w:rsid w:val="006915FF"/>
    <w:rsid w:val="0069315D"/>
    <w:rsid w:val="006936F9"/>
    <w:rsid w:val="00693797"/>
    <w:rsid w:val="00695281"/>
    <w:rsid w:val="0069713B"/>
    <w:rsid w:val="006971E4"/>
    <w:rsid w:val="006A10CD"/>
    <w:rsid w:val="006A2AD6"/>
    <w:rsid w:val="006A5037"/>
    <w:rsid w:val="006A5496"/>
    <w:rsid w:val="006A5E04"/>
    <w:rsid w:val="006B225A"/>
    <w:rsid w:val="006B233E"/>
    <w:rsid w:val="006B4812"/>
    <w:rsid w:val="006B55F6"/>
    <w:rsid w:val="006B725B"/>
    <w:rsid w:val="006B77CB"/>
    <w:rsid w:val="006C0C46"/>
    <w:rsid w:val="006C30D7"/>
    <w:rsid w:val="006C5513"/>
    <w:rsid w:val="006C5AF2"/>
    <w:rsid w:val="006D1848"/>
    <w:rsid w:val="006D2BA8"/>
    <w:rsid w:val="006D38CE"/>
    <w:rsid w:val="006D48EC"/>
    <w:rsid w:val="006D58A1"/>
    <w:rsid w:val="006E1AE4"/>
    <w:rsid w:val="006E29F6"/>
    <w:rsid w:val="006E36EC"/>
    <w:rsid w:val="006E3D3D"/>
    <w:rsid w:val="006E48A1"/>
    <w:rsid w:val="006F0BE4"/>
    <w:rsid w:val="006F0DDA"/>
    <w:rsid w:val="006F1A09"/>
    <w:rsid w:val="006F3C22"/>
    <w:rsid w:val="006F5FCB"/>
    <w:rsid w:val="006F78D5"/>
    <w:rsid w:val="00701742"/>
    <w:rsid w:val="0070708B"/>
    <w:rsid w:val="00707F51"/>
    <w:rsid w:val="00710840"/>
    <w:rsid w:val="0071432D"/>
    <w:rsid w:val="007167E6"/>
    <w:rsid w:val="00717452"/>
    <w:rsid w:val="0071772D"/>
    <w:rsid w:val="007202FD"/>
    <w:rsid w:val="0072064D"/>
    <w:rsid w:val="007234B3"/>
    <w:rsid w:val="007251A4"/>
    <w:rsid w:val="00725AA7"/>
    <w:rsid w:val="0072677F"/>
    <w:rsid w:val="00730640"/>
    <w:rsid w:val="00732407"/>
    <w:rsid w:val="00733992"/>
    <w:rsid w:val="007349D0"/>
    <w:rsid w:val="0073610C"/>
    <w:rsid w:val="0073626E"/>
    <w:rsid w:val="00736BEE"/>
    <w:rsid w:val="00740640"/>
    <w:rsid w:val="00744E4B"/>
    <w:rsid w:val="00747721"/>
    <w:rsid w:val="00750C5D"/>
    <w:rsid w:val="0076005E"/>
    <w:rsid w:val="00763ADE"/>
    <w:rsid w:val="007641D5"/>
    <w:rsid w:val="007648FD"/>
    <w:rsid w:val="00764AA0"/>
    <w:rsid w:val="00765E80"/>
    <w:rsid w:val="0076652F"/>
    <w:rsid w:val="00767831"/>
    <w:rsid w:val="00770DCD"/>
    <w:rsid w:val="007720B4"/>
    <w:rsid w:val="00772BE0"/>
    <w:rsid w:val="00773A74"/>
    <w:rsid w:val="0077403F"/>
    <w:rsid w:val="00775E51"/>
    <w:rsid w:val="0077775A"/>
    <w:rsid w:val="0078073E"/>
    <w:rsid w:val="00782DD2"/>
    <w:rsid w:val="00783BD3"/>
    <w:rsid w:val="00784330"/>
    <w:rsid w:val="00787D1C"/>
    <w:rsid w:val="007929FD"/>
    <w:rsid w:val="00792BDD"/>
    <w:rsid w:val="00793520"/>
    <w:rsid w:val="007955BB"/>
    <w:rsid w:val="00795903"/>
    <w:rsid w:val="00795FB0"/>
    <w:rsid w:val="00796F1F"/>
    <w:rsid w:val="007A7229"/>
    <w:rsid w:val="007B1C36"/>
    <w:rsid w:val="007B3494"/>
    <w:rsid w:val="007B36A4"/>
    <w:rsid w:val="007C0358"/>
    <w:rsid w:val="007C1A27"/>
    <w:rsid w:val="007C2B95"/>
    <w:rsid w:val="007C71AE"/>
    <w:rsid w:val="007C784A"/>
    <w:rsid w:val="007D04ED"/>
    <w:rsid w:val="007D10B1"/>
    <w:rsid w:val="007D110F"/>
    <w:rsid w:val="007D1507"/>
    <w:rsid w:val="007D329F"/>
    <w:rsid w:val="007D63CF"/>
    <w:rsid w:val="007E2E90"/>
    <w:rsid w:val="007E339F"/>
    <w:rsid w:val="007E3486"/>
    <w:rsid w:val="007E67C6"/>
    <w:rsid w:val="007F38E0"/>
    <w:rsid w:val="007F432D"/>
    <w:rsid w:val="007F5DF6"/>
    <w:rsid w:val="007F68CA"/>
    <w:rsid w:val="007F6DB4"/>
    <w:rsid w:val="008041E2"/>
    <w:rsid w:val="00805C2E"/>
    <w:rsid w:val="00810D58"/>
    <w:rsid w:val="0081177E"/>
    <w:rsid w:val="00813F89"/>
    <w:rsid w:val="00817090"/>
    <w:rsid w:val="00821C32"/>
    <w:rsid w:val="008251EF"/>
    <w:rsid w:val="008257AF"/>
    <w:rsid w:val="00826092"/>
    <w:rsid w:val="008269AA"/>
    <w:rsid w:val="00827A5D"/>
    <w:rsid w:val="00830748"/>
    <w:rsid w:val="00830939"/>
    <w:rsid w:val="008318FE"/>
    <w:rsid w:val="008320B3"/>
    <w:rsid w:val="00833487"/>
    <w:rsid w:val="00834207"/>
    <w:rsid w:val="00835147"/>
    <w:rsid w:val="00837166"/>
    <w:rsid w:val="008375C4"/>
    <w:rsid w:val="00840F1C"/>
    <w:rsid w:val="00845A28"/>
    <w:rsid w:val="00850787"/>
    <w:rsid w:val="008544D3"/>
    <w:rsid w:val="0086129B"/>
    <w:rsid w:val="00861C55"/>
    <w:rsid w:val="008628CA"/>
    <w:rsid w:val="0086307B"/>
    <w:rsid w:val="00865CDE"/>
    <w:rsid w:val="00873A4B"/>
    <w:rsid w:val="00876418"/>
    <w:rsid w:val="00877A73"/>
    <w:rsid w:val="00880ADC"/>
    <w:rsid w:val="00882148"/>
    <w:rsid w:val="008836E7"/>
    <w:rsid w:val="008844F6"/>
    <w:rsid w:val="00885740"/>
    <w:rsid w:val="008901D3"/>
    <w:rsid w:val="00892A68"/>
    <w:rsid w:val="00895B7F"/>
    <w:rsid w:val="008976BC"/>
    <w:rsid w:val="00897B60"/>
    <w:rsid w:val="008A059B"/>
    <w:rsid w:val="008A0EF5"/>
    <w:rsid w:val="008A6414"/>
    <w:rsid w:val="008A73AF"/>
    <w:rsid w:val="008A7957"/>
    <w:rsid w:val="008B0B63"/>
    <w:rsid w:val="008B1AA8"/>
    <w:rsid w:val="008B2911"/>
    <w:rsid w:val="008B3E19"/>
    <w:rsid w:val="008B7D76"/>
    <w:rsid w:val="008C1ADA"/>
    <w:rsid w:val="008C2150"/>
    <w:rsid w:val="008C2279"/>
    <w:rsid w:val="008C3474"/>
    <w:rsid w:val="008D2592"/>
    <w:rsid w:val="008D4267"/>
    <w:rsid w:val="008E0DC1"/>
    <w:rsid w:val="008E1671"/>
    <w:rsid w:val="008E261C"/>
    <w:rsid w:val="008E2C9A"/>
    <w:rsid w:val="008E7DD0"/>
    <w:rsid w:val="008F0F62"/>
    <w:rsid w:val="008F43E8"/>
    <w:rsid w:val="00901582"/>
    <w:rsid w:val="00901E77"/>
    <w:rsid w:val="00902AF0"/>
    <w:rsid w:val="00903425"/>
    <w:rsid w:val="0090403A"/>
    <w:rsid w:val="00904070"/>
    <w:rsid w:val="009045E9"/>
    <w:rsid w:val="009049E5"/>
    <w:rsid w:val="009136A9"/>
    <w:rsid w:val="00913BB6"/>
    <w:rsid w:val="00916FD9"/>
    <w:rsid w:val="00921D24"/>
    <w:rsid w:val="00922967"/>
    <w:rsid w:val="00925F62"/>
    <w:rsid w:val="0092637F"/>
    <w:rsid w:val="0092649B"/>
    <w:rsid w:val="00927A7C"/>
    <w:rsid w:val="009330D2"/>
    <w:rsid w:val="00934A18"/>
    <w:rsid w:val="00935306"/>
    <w:rsid w:val="00936A8B"/>
    <w:rsid w:val="009372B3"/>
    <w:rsid w:val="00937CDA"/>
    <w:rsid w:val="00940978"/>
    <w:rsid w:val="009430BA"/>
    <w:rsid w:val="00943803"/>
    <w:rsid w:val="0094471E"/>
    <w:rsid w:val="0094482B"/>
    <w:rsid w:val="00945463"/>
    <w:rsid w:val="0095071B"/>
    <w:rsid w:val="00950882"/>
    <w:rsid w:val="009534E9"/>
    <w:rsid w:val="009718BB"/>
    <w:rsid w:val="0097395E"/>
    <w:rsid w:val="00974BD2"/>
    <w:rsid w:val="00975A02"/>
    <w:rsid w:val="00975F2B"/>
    <w:rsid w:val="00980846"/>
    <w:rsid w:val="00981991"/>
    <w:rsid w:val="00987E6D"/>
    <w:rsid w:val="009908E7"/>
    <w:rsid w:val="00990BD6"/>
    <w:rsid w:val="00991076"/>
    <w:rsid w:val="00992DBB"/>
    <w:rsid w:val="009937E0"/>
    <w:rsid w:val="00995D4B"/>
    <w:rsid w:val="00995FFF"/>
    <w:rsid w:val="00996395"/>
    <w:rsid w:val="009A2149"/>
    <w:rsid w:val="009A2992"/>
    <w:rsid w:val="009A7C44"/>
    <w:rsid w:val="009B01A2"/>
    <w:rsid w:val="009B212C"/>
    <w:rsid w:val="009B3F23"/>
    <w:rsid w:val="009B4B47"/>
    <w:rsid w:val="009B4CE2"/>
    <w:rsid w:val="009B5F60"/>
    <w:rsid w:val="009B7690"/>
    <w:rsid w:val="009B7D65"/>
    <w:rsid w:val="009C4751"/>
    <w:rsid w:val="009C4BDD"/>
    <w:rsid w:val="009C4F9A"/>
    <w:rsid w:val="009C5C17"/>
    <w:rsid w:val="009D0BA8"/>
    <w:rsid w:val="009D190E"/>
    <w:rsid w:val="009D2B0F"/>
    <w:rsid w:val="009D37C8"/>
    <w:rsid w:val="009D3837"/>
    <w:rsid w:val="009D485A"/>
    <w:rsid w:val="009D49D4"/>
    <w:rsid w:val="009D54D2"/>
    <w:rsid w:val="009D7084"/>
    <w:rsid w:val="009E0F7A"/>
    <w:rsid w:val="009E35DA"/>
    <w:rsid w:val="009E7641"/>
    <w:rsid w:val="009F30CB"/>
    <w:rsid w:val="009F3A66"/>
    <w:rsid w:val="00A0069D"/>
    <w:rsid w:val="00A007E1"/>
    <w:rsid w:val="00A00EA5"/>
    <w:rsid w:val="00A024F9"/>
    <w:rsid w:val="00A0673D"/>
    <w:rsid w:val="00A130DF"/>
    <w:rsid w:val="00A13E9E"/>
    <w:rsid w:val="00A143EC"/>
    <w:rsid w:val="00A16AAC"/>
    <w:rsid w:val="00A16B0C"/>
    <w:rsid w:val="00A21DF0"/>
    <w:rsid w:val="00A247E2"/>
    <w:rsid w:val="00A25D7E"/>
    <w:rsid w:val="00A26260"/>
    <w:rsid w:val="00A30C3F"/>
    <w:rsid w:val="00A3402D"/>
    <w:rsid w:val="00A374ED"/>
    <w:rsid w:val="00A44864"/>
    <w:rsid w:val="00A44C8A"/>
    <w:rsid w:val="00A466A4"/>
    <w:rsid w:val="00A46706"/>
    <w:rsid w:val="00A46A71"/>
    <w:rsid w:val="00A471A8"/>
    <w:rsid w:val="00A5199D"/>
    <w:rsid w:val="00A51F02"/>
    <w:rsid w:val="00A53E42"/>
    <w:rsid w:val="00A5414E"/>
    <w:rsid w:val="00A546FC"/>
    <w:rsid w:val="00A54FA7"/>
    <w:rsid w:val="00A57608"/>
    <w:rsid w:val="00A57F38"/>
    <w:rsid w:val="00A621D3"/>
    <w:rsid w:val="00A641FD"/>
    <w:rsid w:val="00A70F43"/>
    <w:rsid w:val="00A726CA"/>
    <w:rsid w:val="00A7291B"/>
    <w:rsid w:val="00A7458F"/>
    <w:rsid w:val="00A74BB0"/>
    <w:rsid w:val="00A75B96"/>
    <w:rsid w:val="00A76BA4"/>
    <w:rsid w:val="00A77860"/>
    <w:rsid w:val="00A802CA"/>
    <w:rsid w:val="00A81608"/>
    <w:rsid w:val="00A81B01"/>
    <w:rsid w:val="00A85A74"/>
    <w:rsid w:val="00A85E09"/>
    <w:rsid w:val="00A9195D"/>
    <w:rsid w:val="00A92630"/>
    <w:rsid w:val="00A93C16"/>
    <w:rsid w:val="00A9525A"/>
    <w:rsid w:val="00A96D82"/>
    <w:rsid w:val="00A97988"/>
    <w:rsid w:val="00AA242E"/>
    <w:rsid w:val="00AA2AA3"/>
    <w:rsid w:val="00AA6481"/>
    <w:rsid w:val="00AA65E9"/>
    <w:rsid w:val="00AB0297"/>
    <w:rsid w:val="00AB1B3D"/>
    <w:rsid w:val="00AB2508"/>
    <w:rsid w:val="00AB338F"/>
    <w:rsid w:val="00AB359A"/>
    <w:rsid w:val="00AB4DA5"/>
    <w:rsid w:val="00AB7EE6"/>
    <w:rsid w:val="00AC0E6D"/>
    <w:rsid w:val="00AC3F41"/>
    <w:rsid w:val="00AC4CAD"/>
    <w:rsid w:val="00AC536E"/>
    <w:rsid w:val="00AC6A0B"/>
    <w:rsid w:val="00AD2C55"/>
    <w:rsid w:val="00AD5062"/>
    <w:rsid w:val="00AD5E4C"/>
    <w:rsid w:val="00AE0B6D"/>
    <w:rsid w:val="00AE1D94"/>
    <w:rsid w:val="00AE30D7"/>
    <w:rsid w:val="00AE36FB"/>
    <w:rsid w:val="00AE3B6A"/>
    <w:rsid w:val="00AF2FBC"/>
    <w:rsid w:val="00AF3081"/>
    <w:rsid w:val="00AF5582"/>
    <w:rsid w:val="00AF594A"/>
    <w:rsid w:val="00AF70AC"/>
    <w:rsid w:val="00AF7679"/>
    <w:rsid w:val="00B00B3F"/>
    <w:rsid w:val="00B01B8C"/>
    <w:rsid w:val="00B03E6A"/>
    <w:rsid w:val="00B052BB"/>
    <w:rsid w:val="00B064D2"/>
    <w:rsid w:val="00B13930"/>
    <w:rsid w:val="00B14651"/>
    <w:rsid w:val="00B16D24"/>
    <w:rsid w:val="00B16E26"/>
    <w:rsid w:val="00B171F2"/>
    <w:rsid w:val="00B21849"/>
    <w:rsid w:val="00B23B71"/>
    <w:rsid w:val="00B27E50"/>
    <w:rsid w:val="00B30D12"/>
    <w:rsid w:val="00B3445B"/>
    <w:rsid w:val="00B357EE"/>
    <w:rsid w:val="00B47B33"/>
    <w:rsid w:val="00B503E9"/>
    <w:rsid w:val="00B52CDE"/>
    <w:rsid w:val="00B53356"/>
    <w:rsid w:val="00B5575C"/>
    <w:rsid w:val="00B60F58"/>
    <w:rsid w:val="00B61567"/>
    <w:rsid w:val="00B61CE2"/>
    <w:rsid w:val="00B62C2B"/>
    <w:rsid w:val="00B62E6C"/>
    <w:rsid w:val="00B66A4F"/>
    <w:rsid w:val="00B672BB"/>
    <w:rsid w:val="00B719DC"/>
    <w:rsid w:val="00B72B4D"/>
    <w:rsid w:val="00B751F3"/>
    <w:rsid w:val="00B753A7"/>
    <w:rsid w:val="00B76B55"/>
    <w:rsid w:val="00B850DD"/>
    <w:rsid w:val="00B9039C"/>
    <w:rsid w:val="00B9065F"/>
    <w:rsid w:val="00B9268D"/>
    <w:rsid w:val="00B94BC9"/>
    <w:rsid w:val="00B964C8"/>
    <w:rsid w:val="00BA047D"/>
    <w:rsid w:val="00BA4645"/>
    <w:rsid w:val="00BA569A"/>
    <w:rsid w:val="00BA57B4"/>
    <w:rsid w:val="00BA7BCA"/>
    <w:rsid w:val="00BB1E12"/>
    <w:rsid w:val="00BB4F92"/>
    <w:rsid w:val="00BB7BEC"/>
    <w:rsid w:val="00BB7C74"/>
    <w:rsid w:val="00BC3072"/>
    <w:rsid w:val="00BC4618"/>
    <w:rsid w:val="00BC50AA"/>
    <w:rsid w:val="00BD1198"/>
    <w:rsid w:val="00BD1DD1"/>
    <w:rsid w:val="00BD5A0D"/>
    <w:rsid w:val="00BD6C48"/>
    <w:rsid w:val="00BD7C05"/>
    <w:rsid w:val="00BE0225"/>
    <w:rsid w:val="00BE04B4"/>
    <w:rsid w:val="00BE3448"/>
    <w:rsid w:val="00BE3711"/>
    <w:rsid w:val="00BE6FE9"/>
    <w:rsid w:val="00BE7A2B"/>
    <w:rsid w:val="00BF2122"/>
    <w:rsid w:val="00BF2A51"/>
    <w:rsid w:val="00BF2FFC"/>
    <w:rsid w:val="00BF4F19"/>
    <w:rsid w:val="00BF7BE9"/>
    <w:rsid w:val="00C01EBD"/>
    <w:rsid w:val="00C033B1"/>
    <w:rsid w:val="00C0343E"/>
    <w:rsid w:val="00C06B52"/>
    <w:rsid w:val="00C10516"/>
    <w:rsid w:val="00C11150"/>
    <w:rsid w:val="00C11C4E"/>
    <w:rsid w:val="00C12654"/>
    <w:rsid w:val="00C13ADD"/>
    <w:rsid w:val="00C162D8"/>
    <w:rsid w:val="00C168B9"/>
    <w:rsid w:val="00C2014A"/>
    <w:rsid w:val="00C20428"/>
    <w:rsid w:val="00C210DB"/>
    <w:rsid w:val="00C22092"/>
    <w:rsid w:val="00C22477"/>
    <w:rsid w:val="00C22A9D"/>
    <w:rsid w:val="00C27980"/>
    <w:rsid w:val="00C300E1"/>
    <w:rsid w:val="00C30264"/>
    <w:rsid w:val="00C31D8A"/>
    <w:rsid w:val="00C32907"/>
    <w:rsid w:val="00C3317B"/>
    <w:rsid w:val="00C34384"/>
    <w:rsid w:val="00C347BB"/>
    <w:rsid w:val="00C3570D"/>
    <w:rsid w:val="00C3585C"/>
    <w:rsid w:val="00C378B6"/>
    <w:rsid w:val="00C4068E"/>
    <w:rsid w:val="00C40777"/>
    <w:rsid w:val="00C41D15"/>
    <w:rsid w:val="00C41E43"/>
    <w:rsid w:val="00C4222F"/>
    <w:rsid w:val="00C43382"/>
    <w:rsid w:val="00C45527"/>
    <w:rsid w:val="00C4576E"/>
    <w:rsid w:val="00C46071"/>
    <w:rsid w:val="00C463DD"/>
    <w:rsid w:val="00C50328"/>
    <w:rsid w:val="00C522AF"/>
    <w:rsid w:val="00C52CB0"/>
    <w:rsid w:val="00C53C17"/>
    <w:rsid w:val="00C56481"/>
    <w:rsid w:val="00C63312"/>
    <w:rsid w:val="00C64B52"/>
    <w:rsid w:val="00C65729"/>
    <w:rsid w:val="00C6578F"/>
    <w:rsid w:val="00C657EF"/>
    <w:rsid w:val="00C658AD"/>
    <w:rsid w:val="00C7277F"/>
    <w:rsid w:val="00C72C26"/>
    <w:rsid w:val="00C848EA"/>
    <w:rsid w:val="00C84FD1"/>
    <w:rsid w:val="00C850AA"/>
    <w:rsid w:val="00C8573A"/>
    <w:rsid w:val="00C87A2F"/>
    <w:rsid w:val="00C87BA7"/>
    <w:rsid w:val="00C95AA7"/>
    <w:rsid w:val="00C960E5"/>
    <w:rsid w:val="00C978EE"/>
    <w:rsid w:val="00CA075B"/>
    <w:rsid w:val="00CA286F"/>
    <w:rsid w:val="00CA2B23"/>
    <w:rsid w:val="00CA64A4"/>
    <w:rsid w:val="00CA7848"/>
    <w:rsid w:val="00CB18B6"/>
    <w:rsid w:val="00CB2C88"/>
    <w:rsid w:val="00CB4363"/>
    <w:rsid w:val="00CB573B"/>
    <w:rsid w:val="00CB7CFE"/>
    <w:rsid w:val="00CC1955"/>
    <w:rsid w:val="00CC26E4"/>
    <w:rsid w:val="00CC4C75"/>
    <w:rsid w:val="00CC631E"/>
    <w:rsid w:val="00CC633B"/>
    <w:rsid w:val="00CC747C"/>
    <w:rsid w:val="00CC7A72"/>
    <w:rsid w:val="00CC7D38"/>
    <w:rsid w:val="00CD16E9"/>
    <w:rsid w:val="00CD1F39"/>
    <w:rsid w:val="00CD63FB"/>
    <w:rsid w:val="00CD6E8D"/>
    <w:rsid w:val="00CE4CC6"/>
    <w:rsid w:val="00CE79B0"/>
    <w:rsid w:val="00CF1E04"/>
    <w:rsid w:val="00CF2C72"/>
    <w:rsid w:val="00CF4753"/>
    <w:rsid w:val="00D00554"/>
    <w:rsid w:val="00D04051"/>
    <w:rsid w:val="00D047D2"/>
    <w:rsid w:val="00D13C78"/>
    <w:rsid w:val="00D1491C"/>
    <w:rsid w:val="00D17034"/>
    <w:rsid w:val="00D22FF2"/>
    <w:rsid w:val="00D232DD"/>
    <w:rsid w:val="00D259F5"/>
    <w:rsid w:val="00D262E7"/>
    <w:rsid w:val="00D272E9"/>
    <w:rsid w:val="00D35F65"/>
    <w:rsid w:val="00D367B1"/>
    <w:rsid w:val="00D43692"/>
    <w:rsid w:val="00D43D25"/>
    <w:rsid w:val="00D44E78"/>
    <w:rsid w:val="00D4502B"/>
    <w:rsid w:val="00D47741"/>
    <w:rsid w:val="00D53856"/>
    <w:rsid w:val="00D53E97"/>
    <w:rsid w:val="00D574AB"/>
    <w:rsid w:val="00D57C8B"/>
    <w:rsid w:val="00D625EE"/>
    <w:rsid w:val="00D65893"/>
    <w:rsid w:val="00D666A3"/>
    <w:rsid w:val="00D66D7C"/>
    <w:rsid w:val="00D700EA"/>
    <w:rsid w:val="00D70B94"/>
    <w:rsid w:val="00D72762"/>
    <w:rsid w:val="00D767C3"/>
    <w:rsid w:val="00D77BE8"/>
    <w:rsid w:val="00D80DC2"/>
    <w:rsid w:val="00D83C2C"/>
    <w:rsid w:val="00D85267"/>
    <w:rsid w:val="00D862B9"/>
    <w:rsid w:val="00D92BC0"/>
    <w:rsid w:val="00D92D7C"/>
    <w:rsid w:val="00D95831"/>
    <w:rsid w:val="00DA2FF2"/>
    <w:rsid w:val="00DA35E7"/>
    <w:rsid w:val="00DA36BE"/>
    <w:rsid w:val="00DA5E17"/>
    <w:rsid w:val="00DB107F"/>
    <w:rsid w:val="00DB2DA6"/>
    <w:rsid w:val="00DB4EAA"/>
    <w:rsid w:val="00DB77C6"/>
    <w:rsid w:val="00DC1969"/>
    <w:rsid w:val="00DC5BEC"/>
    <w:rsid w:val="00DC69BC"/>
    <w:rsid w:val="00DD0452"/>
    <w:rsid w:val="00DD0AEE"/>
    <w:rsid w:val="00DD0BDE"/>
    <w:rsid w:val="00DD18E5"/>
    <w:rsid w:val="00DD1A16"/>
    <w:rsid w:val="00DD2ED4"/>
    <w:rsid w:val="00DD3074"/>
    <w:rsid w:val="00DD30D1"/>
    <w:rsid w:val="00DD3B2A"/>
    <w:rsid w:val="00DD4AA0"/>
    <w:rsid w:val="00DD4D65"/>
    <w:rsid w:val="00DD5A06"/>
    <w:rsid w:val="00DD71C7"/>
    <w:rsid w:val="00DE20C1"/>
    <w:rsid w:val="00DE3ECF"/>
    <w:rsid w:val="00DE5BFE"/>
    <w:rsid w:val="00DE633A"/>
    <w:rsid w:val="00DE63AA"/>
    <w:rsid w:val="00DE7174"/>
    <w:rsid w:val="00DE7A43"/>
    <w:rsid w:val="00DF4902"/>
    <w:rsid w:val="00DF6060"/>
    <w:rsid w:val="00DF64C3"/>
    <w:rsid w:val="00DF6719"/>
    <w:rsid w:val="00E0297F"/>
    <w:rsid w:val="00E03BD1"/>
    <w:rsid w:val="00E150DD"/>
    <w:rsid w:val="00E160F2"/>
    <w:rsid w:val="00E16AB3"/>
    <w:rsid w:val="00E2039A"/>
    <w:rsid w:val="00E20A89"/>
    <w:rsid w:val="00E22B01"/>
    <w:rsid w:val="00E23504"/>
    <w:rsid w:val="00E26CA9"/>
    <w:rsid w:val="00E26FF9"/>
    <w:rsid w:val="00E362C9"/>
    <w:rsid w:val="00E4084B"/>
    <w:rsid w:val="00E44266"/>
    <w:rsid w:val="00E45054"/>
    <w:rsid w:val="00E458BA"/>
    <w:rsid w:val="00E458D5"/>
    <w:rsid w:val="00E473D5"/>
    <w:rsid w:val="00E47539"/>
    <w:rsid w:val="00E54A37"/>
    <w:rsid w:val="00E551FE"/>
    <w:rsid w:val="00E55809"/>
    <w:rsid w:val="00E56F87"/>
    <w:rsid w:val="00E57A76"/>
    <w:rsid w:val="00E61CBA"/>
    <w:rsid w:val="00E62057"/>
    <w:rsid w:val="00E63DF1"/>
    <w:rsid w:val="00E66772"/>
    <w:rsid w:val="00E6712E"/>
    <w:rsid w:val="00E676EF"/>
    <w:rsid w:val="00E677E1"/>
    <w:rsid w:val="00E71E70"/>
    <w:rsid w:val="00E74356"/>
    <w:rsid w:val="00E74B3F"/>
    <w:rsid w:val="00E7510B"/>
    <w:rsid w:val="00E75493"/>
    <w:rsid w:val="00E76473"/>
    <w:rsid w:val="00E81257"/>
    <w:rsid w:val="00E85BF0"/>
    <w:rsid w:val="00E9131C"/>
    <w:rsid w:val="00E929EA"/>
    <w:rsid w:val="00E93048"/>
    <w:rsid w:val="00E946EF"/>
    <w:rsid w:val="00E96F52"/>
    <w:rsid w:val="00EA0CDA"/>
    <w:rsid w:val="00EA2B3F"/>
    <w:rsid w:val="00EA30D8"/>
    <w:rsid w:val="00EA3E28"/>
    <w:rsid w:val="00EA570D"/>
    <w:rsid w:val="00EA7BD3"/>
    <w:rsid w:val="00EA7E39"/>
    <w:rsid w:val="00EB24C2"/>
    <w:rsid w:val="00EB36EC"/>
    <w:rsid w:val="00EC1CD1"/>
    <w:rsid w:val="00EC4F07"/>
    <w:rsid w:val="00EC5CB2"/>
    <w:rsid w:val="00EC6839"/>
    <w:rsid w:val="00ED0567"/>
    <w:rsid w:val="00ED21A6"/>
    <w:rsid w:val="00ED4E83"/>
    <w:rsid w:val="00ED64D4"/>
    <w:rsid w:val="00EE45B1"/>
    <w:rsid w:val="00EE4C8C"/>
    <w:rsid w:val="00EE5D09"/>
    <w:rsid w:val="00EE67E4"/>
    <w:rsid w:val="00EF4039"/>
    <w:rsid w:val="00EF56B9"/>
    <w:rsid w:val="00EF5EE9"/>
    <w:rsid w:val="00EF75BA"/>
    <w:rsid w:val="00EF7897"/>
    <w:rsid w:val="00F01C4B"/>
    <w:rsid w:val="00F03328"/>
    <w:rsid w:val="00F07446"/>
    <w:rsid w:val="00F10327"/>
    <w:rsid w:val="00F10442"/>
    <w:rsid w:val="00F121E2"/>
    <w:rsid w:val="00F12D0A"/>
    <w:rsid w:val="00F13404"/>
    <w:rsid w:val="00F13D27"/>
    <w:rsid w:val="00F16474"/>
    <w:rsid w:val="00F175D1"/>
    <w:rsid w:val="00F17AC8"/>
    <w:rsid w:val="00F20E34"/>
    <w:rsid w:val="00F2663F"/>
    <w:rsid w:val="00F2727E"/>
    <w:rsid w:val="00F31B2D"/>
    <w:rsid w:val="00F32B6C"/>
    <w:rsid w:val="00F32FAD"/>
    <w:rsid w:val="00F35552"/>
    <w:rsid w:val="00F36BED"/>
    <w:rsid w:val="00F422F2"/>
    <w:rsid w:val="00F42394"/>
    <w:rsid w:val="00F46726"/>
    <w:rsid w:val="00F53B0D"/>
    <w:rsid w:val="00F5639B"/>
    <w:rsid w:val="00F60CA0"/>
    <w:rsid w:val="00F620EB"/>
    <w:rsid w:val="00F62C12"/>
    <w:rsid w:val="00F659D1"/>
    <w:rsid w:val="00F66834"/>
    <w:rsid w:val="00F8225A"/>
    <w:rsid w:val="00F8696F"/>
    <w:rsid w:val="00F913E0"/>
    <w:rsid w:val="00F91988"/>
    <w:rsid w:val="00F930F4"/>
    <w:rsid w:val="00F9598E"/>
    <w:rsid w:val="00FA3E8E"/>
    <w:rsid w:val="00FA499A"/>
    <w:rsid w:val="00FA4F41"/>
    <w:rsid w:val="00FA79B4"/>
    <w:rsid w:val="00FB0460"/>
    <w:rsid w:val="00FB0785"/>
    <w:rsid w:val="00FB0C68"/>
    <w:rsid w:val="00FB29E1"/>
    <w:rsid w:val="00FB3E87"/>
    <w:rsid w:val="00FB46AF"/>
    <w:rsid w:val="00FB470B"/>
    <w:rsid w:val="00FB49CC"/>
    <w:rsid w:val="00FB6289"/>
    <w:rsid w:val="00FB79BD"/>
    <w:rsid w:val="00FC0C7A"/>
    <w:rsid w:val="00FC3D76"/>
    <w:rsid w:val="00FC42AB"/>
    <w:rsid w:val="00FD26EB"/>
    <w:rsid w:val="00FD2F72"/>
    <w:rsid w:val="00FD721D"/>
    <w:rsid w:val="00FE0AB5"/>
    <w:rsid w:val="00FE268B"/>
    <w:rsid w:val="00FE2A43"/>
    <w:rsid w:val="00FE3DDC"/>
    <w:rsid w:val="00FE4049"/>
    <w:rsid w:val="00FE7441"/>
    <w:rsid w:val="00FF0865"/>
    <w:rsid w:val="00FF1314"/>
    <w:rsid w:val="00FF1358"/>
    <w:rsid w:val="00FF2D9E"/>
    <w:rsid w:val="00FF3327"/>
    <w:rsid w:val="00FF7738"/>
    <w:rsid w:val="00FF7A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094FB"/>
  <w15:chartTrackingRefBased/>
  <w15:docId w15:val="{1F2E3900-83DB-4FBC-A32E-52372196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
        <w:color w:val="8496B0" w:themeColor="text2" w:themeTint="99"/>
        <w:sz w:val="32"/>
        <w:szCs w:val="32"/>
        <w:lang w:val="es-ES" w:eastAsia="en-US" w:bidi="ar-SA"/>
      </w:rPr>
    </w:rPrDefault>
    <w:pPrDefault>
      <w:pPr>
        <w:spacing w:after="200" w:line="48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4A"/>
    <w:pPr>
      <w:spacing w:line="360" w:lineRule="auto"/>
      <w:ind w:left="0" w:firstLine="720"/>
    </w:pPr>
    <w:rPr>
      <w:b w:val="0"/>
      <w:color w:val="auto"/>
      <w:sz w:val="24"/>
      <w:szCs w:val="24"/>
      <w:lang w:eastAsia="es-ES"/>
    </w:rPr>
  </w:style>
  <w:style w:type="paragraph" w:styleId="Ttulo1">
    <w:name w:val="heading 1"/>
    <w:basedOn w:val="Prrafodelista"/>
    <w:next w:val="Normal"/>
    <w:link w:val="Ttulo1Car"/>
    <w:uiPriority w:val="9"/>
    <w:qFormat/>
    <w:rsid w:val="001646A0"/>
    <w:pPr>
      <w:ind w:left="0" w:firstLine="0"/>
      <w:outlineLvl w:val="0"/>
    </w:pPr>
    <w:rPr>
      <w:color w:val="2E74B5" w:themeColor="accent5" w:themeShade="BF"/>
      <w:sz w:val="32"/>
      <w:szCs w:val="32"/>
    </w:rPr>
  </w:style>
  <w:style w:type="paragraph" w:styleId="Ttulo2">
    <w:name w:val="heading 2"/>
    <w:basedOn w:val="Ttulo1"/>
    <w:next w:val="Normal"/>
    <w:link w:val="Ttulo2Car"/>
    <w:uiPriority w:val="9"/>
    <w:unhideWhenUsed/>
    <w:qFormat/>
    <w:rsid w:val="00175041"/>
    <w:pPr>
      <w:numPr>
        <w:numId w:val="17"/>
      </w:numPr>
      <w:outlineLvl w:val="1"/>
    </w:pPr>
    <w:rPr>
      <w:rFonts w:eastAsiaTheme="minorHAnsi"/>
      <w:lang w:eastAsia="en-US"/>
    </w:rPr>
  </w:style>
  <w:style w:type="paragraph" w:styleId="Ttulo3">
    <w:name w:val="heading 3"/>
    <w:basedOn w:val="Ttulo2"/>
    <w:next w:val="Normal"/>
    <w:link w:val="Ttulo3Car"/>
    <w:uiPriority w:val="9"/>
    <w:unhideWhenUsed/>
    <w:qFormat/>
    <w:rsid w:val="00BB4F92"/>
    <w:pPr>
      <w:numPr>
        <w:ilvl w:val="1"/>
      </w:numPr>
      <w:ind w:left="1135" w:hanging="851"/>
      <w:mirrorIndents/>
      <w:outlineLvl w:val="2"/>
    </w:pPr>
    <w:rPr>
      <w:rFonts w:eastAsia="Times New Roman"/>
    </w:rPr>
  </w:style>
  <w:style w:type="paragraph" w:styleId="Ttulo4">
    <w:name w:val="heading 4"/>
    <w:basedOn w:val="Ttulo3"/>
    <w:next w:val="Normal"/>
    <w:link w:val="Ttulo4Car"/>
    <w:uiPriority w:val="9"/>
    <w:unhideWhenUsed/>
    <w:qFormat/>
    <w:rsid w:val="006A2AD6"/>
    <w:pPr>
      <w:numPr>
        <w:ilvl w:val="2"/>
      </w:numPr>
      <w:outlineLvl w:val="3"/>
    </w:pPr>
    <w:rPr>
      <w:sz w:val="28"/>
      <w:szCs w:val="28"/>
      <w:lang w:val="en-US"/>
    </w:rPr>
  </w:style>
  <w:style w:type="paragraph" w:styleId="Ttulo5">
    <w:name w:val="heading 5"/>
    <w:basedOn w:val="Normal"/>
    <w:next w:val="Normal"/>
    <w:link w:val="Ttulo5Car"/>
    <w:uiPriority w:val="9"/>
    <w:semiHidden/>
    <w:unhideWhenUsed/>
    <w:qFormat/>
    <w:rsid w:val="00C407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46A0"/>
    <w:rPr>
      <w:b w:val="0"/>
      <w:color w:val="2E74B5" w:themeColor="accent5" w:themeShade="BF"/>
      <w:lang w:eastAsia="es-ES"/>
    </w:rPr>
  </w:style>
  <w:style w:type="paragraph" w:styleId="Prrafodelista">
    <w:name w:val="List Paragraph"/>
    <w:basedOn w:val="Normal"/>
    <w:uiPriority w:val="34"/>
    <w:qFormat/>
    <w:rsid w:val="00E551FE"/>
    <w:pPr>
      <w:ind w:left="720"/>
      <w:contextualSpacing/>
    </w:pPr>
  </w:style>
  <w:style w:type="character" w:customStyle="1" w:styleId="Ttulo2Car">
    <w:name w:val="Título 2 Car"/>
    <w:basedOn w:val="Fuentedeprrafopredeter"/>
    <w:link w:val="Ttulo2"/>
    <w:uiPriority w:val="9"/>
    <w:rsid w:val="00175041"/>
    <w:rPr>
      <w:rFonts w:eastAsiaTheme="minorHAnsi"/>
      <w:b w:val="0"/>
      <w:color w:val="2E74B5" w:themeColor="accent5" w:themeShade="BF"/>
    </w:rPr>
  </w:style>
  <w:style w:type="character" w:customStyle="1" w:styleId="Ttulo3Car">
    <w:name w:val="Título 3 Car"/>
    <w:basedOn w:val="Fuentedeprrafopredeter"/>
    <w:link w:val="Ttulo3"/>
    <w:uiPriority w:val="9"/>
    <w:rsid w:val="00BB4F92"/>
    <w:rPr>
      <w:b w:val="0"/>
      <w:color w:val="2E74B5" w:themeColor="accent5" w:themeShade="BF"/>
    </w:rPr>
  </w:style>
  <w:style w:type="character" w:customStyle="1" w:styleId="Ttulo4Car">
    <w:name w:val="Título 4 Car"/>
    <w:basedOn w:val="Fuentedeprrafopredeter"/>
    <w:link w:val="Ttulo4"/>
    <w:uiPriority w:val="9"/>
    <w:rsid w:val="006A2AD6"/>
    <w:rPr>
      <w:b w:val="0"/>
      <w:color w:val="2E74B5" w:themeColor="accent5" w:themeShade="BF"/>
      <w:sz w:val="28"/>
      <w:szCs w:val="28"/>
      <w:lang w:val="en-US"/>
    </w:rPr>
  </w:style>
  <w:style w:type="paragraph" w:styleId="Sinespaciado">
    <w:name w:val="No Spacing"/>
    <w:uiPriority w:val="1"/>
    <w:qFormat/>
    <w:rsid w:val="009A2149"/>
    <w:pPr>
      <w:spacing w:after="0" w:line="240" w:lineRule="auto"/>
      <w:ind w:firstLine="284"/>
    </w:pPr>
    <w:rPr>
      <w:b w:val="0"/>
      <w:color w:val="auto"/>
      <w:sz w:val="24"/>
      <w:szCs w:val="24"/>
      <w:lang w:eastAsia="es-ES"/>
    </w:rPr>
  </w:style>
  <w:style w:type="paragraph" w:styleId="Descripcin">
    <w:name w:val="caption"/>
    <w:basedOn w:val="Normal"/>
    <w:next w:val="Normal"/>
    <w:uiPriority w:val="35"/>
    <w:unhideWhenUsed/>
    <w:qFormat/>
    <w:rsid w:val="00E54A37"/>
    <w:pPr>
      <w:spacing w:line="240" w:lineRule="auto"/>
      <w:ind w:firstLine="0"/>
    </w:pPr>
    <w:rPr>
      <w:i/>
      <w:iCs/>
      <w:color w:val="44546A" w:themeColor="text2"/>
      <w:szCs w:val="18"/>
    </w:rPr>
  </w:style>
  <w:style w:type="paragraph" w:styleId="Textodeglobo">
    <w:name w:val="Balloon Text"/>
    <w:basedOn w:val="Normal"/>
    <w:link w:val="TextodegloboCar"/>
    <w:uiPriority w:val="99"/>
    <w:semiHidden/>
    <w:unhideWhenUsed/>
    <w:rsid w:val="001D1A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A65"/>
    <w:rPr>
      <w:rFonts w:ascii="Segoe UI" w:hAnsi="Segoe UI" w:cs="Segoe UI"/>
      <w:b w:val="0"/>
      <w:color w:val="auto"/>
      <w:sz w:val="18"/>
      <w:szCs w:val="18"/>
      <w:lang w:eastAsia="es-ES"/>
    </w:rPr>
  </w:style>
  <w:style w:type="paragraph" w:styleId="Encabezado">
    <w:name w:val="header"/>
    <w:basedOn w:val="Normal"/>
    <w:link w:val="EncabezadoCar"/>
    <w:uiPriority w:val="99"/>
    <w:unhideWhenUsed/>
    <w:rsid w:val="000D62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622B"/>
    <w:rPr>
      <w:b w:val="0"/>
      <w:color w:val="auto"/>
      <w:sz w:val="24"/>
      <w:szCs w:val="24"/>
      <w:lang w:eastAsia="es-ES"/>
    </w:rPr>
  </w:style>
  <w:style w:type="paragraph" w:styleId="Piedepgina">
    <w:name w:val="footer"/>
    <w:basedOn w:val="Normal"/>
    <w:link w:val="PiedepginaCar"/>
    <w:uiPriority w:val="99"/>
    <w:unhideWhenUsed/>
    <w:rsid w:val="000D62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622B"/>
    <w:rPr>
      <w:b w:val="0"/>
      <w:color w:val="auto"/>
      <w:sz w:val="24"/>
      <w:szCs w:val="24"/>
      <w:lang w:eastAsia="es-ES"/>
    </w:rPr>
  </w:style>
  <w:style w:type="character" w:styleId="Hipervnculo">
    <w:name w:val="Hyperlink"/>
    <w:basedOn w:val="Fuentedeprrafopredeter"/>
    <w:uiPriority w:val="99"/>
    <w:unhideWhenUsed/>
    <w:rsid w:val="0094482B"/>
    <w:rPr>
      <w:color w:val="0563C1" w:themeColor="hyperlink"/>
      <w:u w:val="single"/>
    </w:rPr>
  </w:style>
  <w:style w:type="character" w:styleId="Mencinsinresolver">
    <w:name w:val="Unresolved Mention"/>
    <w:basedOn w:val="Fuentedeprrafopredeter"/>
    <w:uiPriority w:val="99"/>
    <w:semiHidden/>
    <w:unhideWhenUsed/>
    <w:rsid w:val="0094482B"/>
    <w:rPr>
      <w:color w:val="605E5C"/>
      <w:shd w:val="clear" w:color="auto" w:fill="E1DFDD"/>
    </w:rPr>
  </w:style>
  <w:style w:type="character" w:customStyle="1" w:styleId="Ttulo5Car">
    <w:name w:val="Título 5 Car"/>
    <w:basedOn w:val="Fuentedeprrafopredeter"/>
    <w:link w:val="Ttulo5"/>
    <w:uiPriority w:val="9"/>
    <w:semiHidden/>
    <w:rsid w:val="00C40777"/>
    <w:rPr>
      <w:rFonts w:asciiTheme="majorHAnsi" w:eastAsiaTheme="majorEastAsia" w:hAnsiTheme="majorHAnsi" w:cstheme="majorBidi"/>
      <w:b w:val="0"/>
      <w:color w:val="2F5496"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50521">
      <w:bodyDiv w:val="1"/>
      <w:marLeft w:val="0"/>
      <w:marRight w:val="0"/>
      <w:marTop w:val="0"/>
      <w:marBottom w:val="0"/>
      <w:divBdr>
        <w:top w:val="none" w:sz="0" w:space="0" w:color="auto"/>
        <w:left w:val="none" w:sz="0" w:space="0" w:color="auto"/>
        <w:bottom w:val="none" w:sz="0" w:space="0" w:color="auto"/>
        <w:right w:val="none" w:sz="0" w:space="0" w:color="auto"/>
      </w:divBdr>
    </w:div>
    <w:div w:id="146750457">
      <w:bodyDiv w:val="1"/>
      <w:marLeft w:val="0"/>
      <w:marRight w:val="0"/>
      <w:marTop w:val="0"/>
      <w:marBottom w:val="0"/>
      <w:divBdr>
        <w:top w:val="none" w:sz="0" w:space="0" w:color="auto"/>
        <w:left w:val="none" w:sz="0" w:space="0" w:color="auto"/>
        <w:bottom w:val="none" w:sz="0" w:space="0" w:color="auto"/>
        <w:right w:val="none" w:sz="0" w:space="0" w:color="auto"/>
      </w:divBdr>
    </w:div>
    <w:div w:id="191919609">
      <w:bodyDiv w:val="1"/>
      <w:marLeft w:val="0"/>
      <w:marRight w:val="0"/>
      <w:marTop w:val="0"/>
      <w:marBottom w:val="0"/>
      <w:divBdr>
        <w:top w:val="none" w:sz="0" w:space="0" w:color="auto"/>
        <w:left w:val="none" w:sz="0" w:space="0" w:color="auto"/>
        <w:bottom w:val="none" w:sz="0" w:space="0" w:color="auto"/>
        <w:right w:val="none" w:sz="0" w:space="0" w:color="auto"/>
      </w:divBdr>
    </w:div>
    <w:div w:id="398021227">
      <w:bodyDiv w:val="1"/>
      <w:marLeft w:val="0"/>
      <w:marRight w:val="0"/>
      <w:marTop w:val="0"/>
      <w:marBottom w:val="0"/>
      <w:divBdr>
        <w:top w:val="none" w:sz="0" w:space="0" w:color="auto"/>
        <w:left w:val="none" w:sz="0" w:space="0" w:color="auto"/>
        <w:bottom w:val="none" w:sz="0" w:space="0" w:color="auto"/>
        <w:right w:val="none" w:sz="0" w:space="0" w:color="auto"/>
      </w:divBdr>
    </w:div>
    <w:div w:id="457336999">
      <w:bodyDiv w:val="1"/>
      <w:marLeft w:val="0"/>
      <w:marRight w:val="0"/>
      <w:marTop w:val="0"/>
      <w:marBottom w:val="0"/>
      <w:divBdr>
        <w:top w:val="none" w:sz="0" w:space="0" w:color="auto"/>
        <w:left w:val="none" w:sz="0" w:space="0" w:color="auto"/>
        <w:bottom w:val="none" w:sz="0" w:space="0" w:color="auto"/>
        <w:right w:val="none" w:sz="0" w:space="0" w:color="auto"/>
      </w:divBdr>
    </w:div>
    <w:div w:id="533036512">
      <w:bodyDiv w:val="1"/>
      <w:marLeft w:val="0"/>
      <w:marRight w:val="0"/>
      <w:marTop w:val="0"/>
      <w:marBottom w:val="0"/>
      <w:divBdr>
        <w:top w:val="none" w:sz="0" w:space="0" w:color="auto"/>
        <w:left w:val="none" w:sz="0" w:space="0" w:color="auto"/>
        <w:bottom w:val="none" w:sz="0" w:space="0" w:color="auto"/>
        <w:right w:val="none" w:sz="0" w:space="0" w:color="auto"/>
      </w:divBdr>
    </w:div>
    <w:div w:id="595597576">
      <w:bodyDiv w:val="1"/>
      <w:marLeft w:val="0"/>
      <w:marRight w:val="0"/>
      <w:marTop w:val="0"/>
      <w:marBottom w:val="0"/>
      <w:divBdr>
        <w:top w:val="none" w:sz="0" w:space="0" w:color="auto"/>
        <w:left w:val="none" w:sz="0" w:space="0" w:color="auto"/>
        <w:bottom w:val="none" w:sz="0" w:space="0" w:color="auto"/>
        <w:right w:val="none" w:sz="0" w:space="0" w:color="auto"/>
      </w:divBdr>
    </w:div>
    <w:div w:id="623542135">
      <w:bodyDiv w:val="1"/>
      <w:marLeft w:val="0"/>
      <w:marRight w:val="0"/>
      <w:marTop w:val="0"/>
      <w:marBottom w:val="0"/>
      <w:divBdr>
        <w:top w:val="none" w:sz="0" w:space="0" w:color="auto"/>
        <w:left w:val="none" w:sz="0" w:space="0" w:color="auto"/>
        <w:bottom w:val="none" w:sz="0" w:space="0" w:color="auto"/>
        <w:right w:val="none" w:sz="0" w:space="0" w:color="auto"/>
      </w:divBdr>
    </w:div>
    <w:div w:id="626854920">
      <w:bodyDiv w:val="1"/>
      <w:marLeft w:val="0"/>
      <w:marRight w:val="0"/>
      <w:marTop w:val="0"/>
      <w:marBottom w:val="0"/>
      <w:divBdr>
        <w:top w:val="none" w:sz="0" w:space="0" w:color="auto"/>
        <w:left w:val="none" w:sz="0" w:space="0" w:color="auto"/>
        <w:bottom w:val="none" w:sz="0" w:space="0" w:color="auto"/>
        <w:right w:val="none" w:sz="0" w:space="0" w:color="auto"/>
      </w:divBdr>
    </w:div>
    <w:div w:id="673724706">
      <w:bodyDiv w:val="1"/>
      <w:marLeft w:val="0"/>
      <w:marRight w:val="0"/>
      <w:marTop w:val="0"/>
      <w:marBottom w:val="0"/>
      <w:divBdr>
        <w:top w:val="none" w:sz="0" w:space="0" w:color="auto"/>
        <w:left w:val="none" w:sz="0" w:space="0" w:color="auto"/>
        <w:bottom w:val="none" w:sz="0" w:space="0" w:color="auto"/>
        <w:right w:val="none" w:sz="0" w:space="0" w:color="auto"/>
      </w:divBdr>
    </w:div>
    <w:div w:id="711612797">
      <w:bodyDiv w:val="1"/>
      <w:marLeft w:val="0"/>
      <w:marRight w:val="0"/>
      <w:marTop w:val="0"/>
      <w:marBottom w:val="0"/>
      <w:divBdr>
        <w:top w:val="none" w:sz="0" w:space="0" w:color="auto"/>
        <w:left w:val="none" w:sz="0" w:space="0" w:color="auto"/>
        <w:bottom w:val="none" w:sz="0" w:space="0" w:color="auto"/>
        <w:right w:val="none" w:sz="0" w:space="0" w:color="auto"/>
      </w:divBdr>
    </w:div>
    <w:div w:id="714744000">
      <w:bodyDiv w:val="1"/>
      <w:marLeft w:val="0"/>
      <w:marRight w:val="0"/>
      <w:marTop w:val="0"/>
      <w:marBottom w:val="0"/>
      <w:divBdr>
        <w:top w:val="none" w:sz="0" w:space="0" w:color="auto"/>
        <w:left w:val="none" w:sz="0" w:space="0" w:color="auto"/>
        <w:bottom w:val="none" w:sz="0" w:space="0" w:color="auto"/>
        <w:right w:val="none" w:sz="0" w:space="0" w:color="auto"/>
      </w:divBdr>
    </w:div>
    <w:div w:id="719520937">
      <w:bodyDiv w:val="1"/>
      <w:marLeft w:val="0"/>
      <w:marRight w:val="0"/>
      <w:marTop w:val="0"/>
      <w:marBottom w:val="0"/>
      <w:divBdr>
        <w:top w:val="none" w:sz="0" w:space="0" w:color="auto"/>
        <w:left w:val="none" w:sz="0" w:space="0" w:color="auto"/>
        <w:bottom w:val="none" w:sz="0" w:space="0" w:color="auto"/>
        <w:right w:val="none" w:sz="0" w:space="0" w:color="auto"/>
      </w:divBdr>
    </w:div>
    <w:div w:id="870217933">
      <w:bodyDiv w:val="1"/>
      <w:marLeft w:val="0"/>
      <w:marRight w:val="0"/>
      <w:marTop w:val="0"/>
      <w:marBottom w:val="0"/>
      <w:divBdr>
        <w:top w:val="none" w:sz="0" w:space="0" w:color="auto"/>
        <w:left w:val="none" w:sz="0" w:space="0" w:color="auto"/>
        <w:bottom w:val="none" w:sz="0" w:space="0" w:color="auto"/>
        <w:right w:val="none" w:sz="0" w:space="0" w:color="auto"/>
      </w:divBdr>
    </w:div>
    <w:div w:id="968054954">
      <w:bodyDiv w:val="1"/>
      <w:marLeft w:val="0"/>
      <w:marRight w:val="0"/>
      <w:marTop w:val="0"/>
      <w:marBottom w:val="0"/>
      <w:divBdr>
        <w:top w:val="none" w:sz="0" w:space="0" w:color="auto"/>
        <w:left w:val="none" w:sz="0" w:space="0" w:color="auto"/>
        <w:bottom w:val="none" w:sz="0" w:space="0" w:color="auto"/>
        <w:right w:val="none" w:sz="0" w:space="0" w:color="auto"/>
      </w:divBdr>
    </w:div>
    <w:div w:id="970549342">
      <w:bodyDiv w:val="1"/>
      <w:marLeft w:val="0"/>
      <w:marRight w:val="0"/>
      <w:marTop w:val="0"/>
      <w:marBottom w:val="0"/>
      <w:divBdr>
        <w:top w:val="none" w:sz="0" w:space="0" w:color="auto"/>
        <w:left w:val="none" w:sz="0" w:space="0" w:color="auto"/>
        <w:bottom w:val="none" w:sz="0" w:space="0" w:color="auto"/>
        <w:right w:val="none" w:sz="0" w:space="0" w:color="auto"/>
      </w:divBdr>
    </w:div>
    <w:div w:id="994213880">
      <w:bodyDiv w:val="1"/>
      <w:marLeft w:val="0"/>
      <w:marRight w:val="0"/>
      <w:marTop w:val="0"/>
      <w:marBottom w:val="0"/>
      <w:divBdr>
        <w:top w:val="none" w:sz="0" w:space="0" w:color="auto"/>
        <w:left w:val="none" w:sz="0" w:space="0" w:color="auto"/>
        <w:bottom w:val="none" w:sz="0" w:space="0" w:color="auto"/>
        <w:right w:val="none" w:sz="0" w:space="0" w:color="auto"/>
      </w:divBdr>
    </w:div>
    <w:div w:id="1004865444">
      <w:bodyDiv w:val="1"/>
      <w:marLeft w:val="0"/>
      <w:marRight w:val="0"/>
      <w:marTop w:val="0"/>
      <w:marBottom w:val="0"/>
      <w:divBdr>
        <w:top w:val="none" w:sz="0" w:space="0" w:color="auto"/>
        <w:left w:val="none" w:sz="0" w:space="0" w:color="auto"/>
        <w:bottom w:val="none" w:sz="0" w:space="0" w:color="auto"/>
        <w:right w:val="none" w:sz="0" w:space="0" w:color="auto"/>
      </w:divBdr>
    </w:div>
    <w:div w:id="1018702720">
      <w:bodyDiv w:val="1"/>
      <w:marLeft w:val="0"/>
      <w:marRight w:val="0"/>
      <w:marTop w:val="0"/>
      <w:marBottom w:val="0"/>
      <w:divBdr>
        <w:top w:val="none" w:sz="0" w:space="0" w:color="auto"/>
        <w:left w:val="none" w:sz="0" w:space="0" w:color="auto"/>
        <w:bottom w:val="none" w:sz="0" w:space="0" w:color="auto"/>
        <w:right w:val="none" w:sz="0" w:space="0" w:color="auto"/>
      </w:divBdr>
    </w:div>
    <w:div w:id="1059280478">
      <w:bodyDiv w:val="1"/>
      <w:marLeft w:val="0"/>
      <w:marRight w:val="0"/>
      <w:marTop w:val="0"/>
      <w:marBottom w:val="0"/>
      <w:divBdr>
        <w:top w:val="none" w:sz="0" w:space="0" w:color="auto"/>
        <w:left w:val="none" w:sz="0" w:space="0" w:color="auto"/>
        <w:bottom w:val="none" w:sz="0" w:space="0" w:color="auto"/>
        <w:right w:val="none" w:sz="0" w:space="0" w:color="auto"/>
      </w:divBdr>
    </w:div>
    <w:div w:id="1071385334">
      <w:bodyDiv w:val="1"/>
      <w:marLeft w:val="0"/>
      <w:marRight w:val="0"/>
      <w:marTop w:val="0"/>
      <w:marBottom w:val="0"/>
      <w:divBdr>
        <w:top w:val="none" w:sz="0" w:space="0" w:color="auto"/>
        <w:left w:val="none" w:sz="0" w:space="0" w:color="auto"/>
        <w:bottom w:val="none" w:sz="0" w:space="0" w:color="auto"/>
        <w:right w:val="none" w:sz="0" w:space="0" w:color="auto"/>
      </w:divBdr>
    </w:div>
    <w:div w:id="1077050110">
      <w:bodyDiv w:val="1"/>
      <w:marLeft w:val="0"/>
      <w:marRight w:val="0"/>
      <w:marTop w:val="0"/>
      <w:marBottom w:val="0"/>
      <w:divBdr>
        <w:top w:val="none" w:sz="0" w:space="0" w:color="auto"/>
        <w:left w:val="none" w:sz="0" w:space="0" w:color="auto"/>
        <w:bottom w:val="none" w:sz="0" w:space="0" w:color="auto"/>
        <w:right w:val="none" w:sz="0" w:space="0" w:color="auto"/>
      </w:divBdr>
    </w:div>
    <w:div w:id="1203595990">
      <w:bodyDiv w:val="1"/>
      <w:marLeft w:val="0"/>
      <w:marRight w:val="0"/>
      <w:marTop w:val="0"/>
      <w:marBottom w:val="0"/>
      <w:divBdr>
        <w:top w:val="none" w:sz="0" w:space="0" w:color="auto"/>
        <w:left w:val="none" w:sz="0" w:space="0" w:color="auto"/>
        <w:bottom w:val="none" w:sz="0" w:space="0" w:color="auto"/>
        <w:right w:val="none" w:sz="0" w:space="0" w:color="auto"/>
      </w:divBdr>
      <w:divsChild>
        <w:div w:id="1537742490">
          <w:marLeft w:val="0"/>
          <w:marRight w:val="0"/>
          <w:marTop w:val="0"/>
          <w:marBottom w:val="0"/>
          <w:divBdr>
            <w:top w:val="none" w:sz="0" w:space="0" w:color="auto"/>
            <w:left w:val="none" w:sz="0" w:space="0" w:color="auto"/>
            <w:bottom w:val="none" w:sz="0" w:space="0" w:color="auto"/>
            <w:right w:val="none" w:sz="0" w:space="0" w:color="auto"/>
          </w:divBdr>
        </w:div>
        <w:div w:id="751005710">
          <w:marLeft w:val="0"/>
          <w:marRight w:val="0"/>
          <w:marTop w:val="0"/>
          <w:marBottom w:val="0"/>
          <w:divBdr>
            <w:top w:val="none" w:sz="0" w:space="0" w:color="auto"/>
            <w:left w:val="none" w:sz="0" w:space="0" w:color="auto"/>
            <w:bottom w:val="none" w:sz="0" w:space="0" w:color="auto"/>
            <w:right w:val="none" w:sz="0" w:space="0" w:color="auto"/>
          </w:divBdr>
        </w:div>
        <w:div w:id="1985964102">
          <w:marLeft w:val="0"/>
          <w:marRight w:val="0"/>
          <w:marTop w:val="0"/>
          <w:marBottom w:val="0"/>
          <w:divBdr>
            <w:top w:val="none" w:sz="0" w:space="0" w:color="auto"/>
            <w:left w:val="none" w:sz="0" w:space="0" w:color="auto"/>
            <w:bottom w:val="none" w:sz="0" w:space="0" w:color="auto"/>
            <w:right w:val="none" w:sz="0" w:space="0" w:color="auto"/>
          </w:divBdr>
        </w:div>
        <w:div w:id="1544976150">
          <w:marLeft w:val="0"/>
          <w:marRight w:val="0"/>
          <w:marTop w:val="0"/>
          <w:marBottom w:val="0"/>
          <w:divBdr>
            <w:top w:val="none" w:sz="0" w:space="0" w:color="auto"/>
            <w:left w:val="none" w:sz="0" w:space="0" w:color="auto"/>
            <w:bottom w:val="none" w:sz="0" w:space="0" w:color="auto"/>
            <w:right w:val="none" w:sz="0" w:space="0" w:color="auto"/>
          </w:divBdr>
        </w:div>
        <w:div w:id="723019956">
          <w:marLeft w:val="0"/>
          <w:marRight w:val="0"/>
          <w:marTop w:val="0"/>
          <w:marBottom w:val="0"/>
          <w:divBdr>
            <w:top w:val="none" w:sz="0" w:space="0" w:color="auto"/>
            <w:left w:val="none" w:sz="0" w:space="0" w:color="auto"/>
            <w:bottom w:val="none" w:sz="0" w:space="0" w:color="auto"/>
            <w:right w:val="none" w:sz="0" w:space="0" w:color="auto"/>
          </w:divBdr>
        </w:div>
        <w:div w:id="2030374337">
          <w:marLeft w:val="0"/>
          <w:marRight w:val="0"/>
          <w:marTop w:val="0"/>
          <w:marBottom w:val="0"/>
          <w:divBdr>
            <w:top w:val="none" w:sz="0" w:space="0" w:color="auto"/>
            <w:left w:val="none" w:sz="0" w:space="0" w:color="auto"/>
            <w:bottom w:val="none" w:sz="0" w:space="0" w:color="auto"/>
            <w:right w:val="none" w:sz="0" w:space="0" w:color="auto"/>
          </w:divBdr>
        </w:div>
        <w:div w:id="961837276">
          <w:marLeft w:val="0"/>
          <w:marRight w:val="0"/>
          <w:marTop w:val="0"/>
          <w:marBottom w:val="0"/>
          <w:divBdr>
            <w:top w:val="none" w:sz="0" w:space="0" w:color="auto"/>
            <w:left w:val="none" w:sz="0" w:space="0" w:color="auto"/>
            <w:bottom w:val="none" w:sz="0" w:space="0" w:color="auto"/>
            <w:right w:val="none" w:sz="0" w:space="0" w:color="auto"/>
          </w:divBdr>
        </w:div>
        <w:div w:id="902179613">
          <w:marLeft w:val="0"/>
          <w:marRight w:val="0"/>
          <w:marTop w:val="0"/>
          <w:marBottom w:val="0"/>
          <w:divBdr>
            <w:top w:val="none" w:sz="0" w:space="0" w:color="auto"/>
            <w:left w:val="none" w:sz="0" w:space="0" w:color="auto"/>
            <w:bottom w:val="none" w:sz="0" w:space="0" w:color="auto"/>
            <w:right w:val="none" w:sz="0" w:space="0" w:color="auto"/>
          </w:divBdr>
        </w:div>
        <w:div w:id="2076659127">
          <w:marLeft w:val="0"/>
          <w:marRight w:val="0"/>
          <w:marTop w:val="0"/>
          <w:marBottom w:val="0"/>
          <w:divBdr>
            <w:top w:val="none" w:sz="0" w:space="0" w:color="auto"/>
            <w:left w:val="none" w:sz="0" w:space="0" w:color="auto"/>
            <w:bottom w:val="none" w:sz="0" w:space="0" w:color="auto"/>
            <w:right w:val="none" w:sz="0" w:space="0" w:color="auto"/>
          </w:divBdr>
        </w:div>
        <w:div w:id="236280930">
          <w:marLeft w:val="0"/>
          <w:marRight w:val="0"/>
          <w:marTop w:val="0"/>
          <w:marBottom w:val="0"/>
          <w:divBdr>
            <w:top w:val="none" w:sz="0" w:space="0" w:color="auto"/>
            <w:left w:val="none" w:sz="0" w:space="0" w:color="auto"/>
            <w:bottom w:val="none" w:sz="0" w:space="0" w:color="auto"/>
            <w:right w:val="none" w:sz="0" w:space="0" w:color="auto"/>
          </w:divBdr>
        </w:div>
        <w:div w:id="1160464660">
          <w:marLeft w:val="0"/>
          <w:marRight w:val="0"/>
          <w:marTop w:val="0"/>
          <w:marBottom w:val="0"/>
          <w:divBdr>
            <w:top w:val="none" w:sz="0" w:space="0" w:color="auto"/>
            <w:left w:val="none" w:sz="0" w:space="0" w:color="auto"/>
            <w:bottom w:val="none" w:sz="0" w:space="0" w:color="auto"/>
            <w:right w:val="none" w:sz="0" w:space="0" w:color="auto"/>
          </w:divBdr>
        </w:div>
        <w:div w:id="597062726">
          <w:marLeft w:val="0"/>
          <w:marRight w:val="0"/>
          <w:marTop w:val="0"/>
          <w:marBottom w:val="0"/>
          <w:divBdr>
            <w:top w:val="none" w:sz="0" w:space="0" w:color="auto"/>
            <w:left w:val="none" w:sz="0" w:space="0" w:color="auto"/>
            <w:bottom w:val="none" w:sz="0" w:space="0" w:color="auto"/>
            <w:right w:val="none" w:sz="0" w:space="0" w:color="auto"/>
          </w:divBdr>
        </w:div>
        <w:div w:id="1215770447">
          <w:marLeft w:val="0"/>
          <w:marRight w:val="0"/>
          <w:marTop w:val="0"/>
          <w:marBottom w:val="0"/>
          <w:divBdr>
            <w:top w:val="none" w:sz="0" w:space="0" w:color="auto"/>
            <w:left w:val="none" w:sz="0" w:space="0" w:color="auto"/>
            <w:bottom w:val="none" w:sz="0" w:space="0" w:color="auto"/>
            <w:right w:val="none" w:sz="0" w:space="0" w:color="auto"/>
          </w:divBdr>
        </w:div>
        <w:div w:id="62678201">
          <w:marLeft w:val="0"/>
          <w:marRight w:val="0"/>
          <w:marTop w:val="0"/>
          <w:marBottom w:val="0"/>
          <w:divBdr>
            <w:top w:val="none" w:sz="0" w:space="0" w:color="auto"/>
            <w:left w:val="none" w:sz="0" w:space="0" w:color="auto"/>
            <w:bottom w:val="none" w:sz="0" w:space="0" w:color="auto"/>
            <w:right w:val="none" w:sz="0" w:space="0" w:color="auto"/>
          </w:divBdr>
        </w:div>
        <w:div w:id="649557616">
          <w:marLeft w:val="0"/>
          <w:marRight w:val="0"/>
          <w:marTop w:val="0"/>
          <w:marBottom w:val="0"/>
          <w:divBdr>
            <w:top w:val="none" w:sz="0" w:space="0" w:color="auto"/>
            <w:left w:val="none" w:sz="0" w:space="0" w:color="auto"/>
            <w:bottom w:val="none" w:sz="0" w:space="0" w:color="auto"/>
            <w:right w:val="none" w:sz="0" w:space="0" w:color="auto"/>
          </w:divBdr>
        </w:div>
        <w:div w:id="1441097471">
          <w:marLeft w:val="0"/>
          <w:marRight w:val="0"/>
          <w:marTop w:val="0"/>
          <w:marBottom w:val="0"/>
          <w:divBdr>
            <w:top w:val="none" w:sz="0" w:space="0" w:color="auto"/>
            <w:left w:val="none" w:sz="0" w:space="0" w:color="auto"/>
            <w:bottom w:val="none" w:sz="0" w:space="0" w:color="auto"/>
            <w:right w:val="none" w:sz="0" w:space="0" w:color="auto"/>
          </w:divBdr>
        </w:div>
        <w:div w:id="2051491756">
          <w:marLeft w:val="0"/>
          <w:marRight w:val="0"/>
          <w:marTop w:val="0"/>
          <w:marBottom w:val="0"/>
          <w:divBdr>
            <w:top w:val="none" w:sz="0" w:space="0" w:color="auto"/>
            <w:left w:val="none" w:sz="0" w:space="0" w:color="auto"/>
            <w:bottom w:val="none" w:sz="0" w:space="0" w:color="auto"/>
            <w:right w:val="none" w:sz="0" w:space="0" w:color="auto"/>
          </w:divBdr>
        </w:div>
        <w:div w:id="1018045228">
          <w:marLeft w:val="0"/>
          <w:marRight w:val="0"/>
          <w:marTop w:val="0"/>
          <w:marBottom w:val="0"/>
          <w:divBdr>
            <w:top w:val="none" w:sz="0" w:space="0" w:color="auto"/>
            <w:left w:val="none" w:sz="0" w:space="0" w:color="auto"/>
            <w:bottom w:val="none" w:sz="0" w:space="0" w:color="auto"/>
            <w:right w:val="none" w:sz="0" w:space="0" w:color="auto"/>
          </w:divBdr>
        </w:div>
        <w:div w:id="1768386412">
          <w:marLeft w:val="0"/>
          <w:marRight w:val="0"/>
          <w:marTop w:val="0"/>
          <w:marBottom w:val="0"/>
          <w:divBdr>
            <w:top w:val="none" w:sz="0" w:space="0" w:color="auto"/>
            <w:left w:val="none" w:sz="0" w:space="0" w:color="auto"/>
            <w:bottom w:val="none" w:sz="0" w:space="0" w:color="auto"/>
            <w:right w:val="none" w:sz="0" w:space="0" w:color="auto"/>
          </w:divBdr>
        </w:div>
        <w:div w:id="1036201483">
          <w:marLeft w:val="0"/>
          <w:marRight w:val="0"/>
          <w:marTop w:val="0"/>
          <w:marBottom w:val="0"/>
          <w:divBdr>
            <w:top w:val="none" w:sz="0" w:space="0" w:color="auto"/>
            <w:left w:val="none" w:sz="0" w:space="0" w:color="auto"/>
            <w:bottom w:val="none" w:sz="0" w:space="0" w:color="auto"/>
            <w:right w:val="none" w:sz="0" w:space="0" w:color="auto"/>
          </w:divBdr>
        </w:div>
        <w:div w:id="1821311934">
          <w:marLeft w:val="0"/>
          <w:marRight w:val="0"/>
          <w:marTop w:val="0"/>
          <w:marBottom w:val="0"/>
          <w:divBdr>
            <w:top w:val="none" w:sz="0" w:space="0" w:color="auto"/>
            <w:left w:val="none" w:sz="0" w:space="0" w:color="auto"/>
            <w:bottom w:val="none" w:sz="0" w:space="0" w:color="auto"/>
            <w:right w:val="none" w:sz="0" w:space="0" w:color="auto"/>
          </w:divBdr>
        </w:div>
        <w:div w:id="376710539">
          <w:marLeft w:val="0"/>
          <w:marRight w:val="0"/>
          <w:marTop w:val="0"/>
          <w:marBottom w:val="0"/>
          <w:divBdr>
            <w:top w:val="none" w:sz="0" w:space="0" w:color="auto"/>
            <w:left w:val="none" w:sz="0" w:space="0" w:color="auto"/>
            <w:bottom w:val="none" w:sz="0" w:space="0" w:color="auto"/>
            <w:right w:val="none" w:sz="0" w:space="0" w:color="auto"/>
          </w:divBdr>
        </w:div>
        <w:div w:id="1772048573">
          <w:marLeft w:val="0"/>
          <w:marRight w:val="0"/>
          <w:marTop w:val="0"/>
          <w:marBottom w:val="0"/>
          <w:divBdr>
            <w:top w:val="none" w:sz="0" w:space="0" w:color="auto"/>
            <w:left w:val="none" w:sz="0" w:space="0" w:color="auto"/>
            <w:bottom w:val="none" w:sz="0" w:space="0" w:color="auto"/>
            <w:right w:val="none" w:sz="0" w:space="0" w:color="auto"/>
          </w:divBdr>
        </w:div>
        <w:div w:id="48264709">
          <w:marLeft w:val="0"/>
          <w:marRight w:val="0"/>
          <w:marTop w:val="0"/>
          <w:marBottom w:val="0"/>
          <w:divBdr>
            <w:top w:val="none" w:sz="0" w:space="0" w:color="auto"/>
            <w:left w:val="none" w:sz="0" w:space="0" w:color="auto"/>
            <w:bottom w:val="none" w:sz="0" w:space="0" w:color="auto"/>
            <w:right w:val="none" w:sz="0" w:space="0" w:color="auto"/>
          </w:divBdr>
        </w:div>
        <w:div w:id="1369379703">
          <w:marLeft w:val="0"/>
          <w:marRight w:val="0"/>
          <w:marTop w:val="0"/>
          <w:marBottom w:val="0"/>
          <w:divBdr>
            <w:top w:val="none" w:sz="0" w:space="0" w:color="auto"/>
            <w:left w:val="none" w:sz="0" w:space="0" w:color="auto"/>
            <w:bottom w:val="none" w:sz="0" w:space="0" w:color="auto"/>
            <w:right w:val="none" w:sz="0" w:space="0" w:color="auto"/>
          </w:divBdr>
        </w:div>
        <w:div w:id="1346249374">
          <w:marLeft w:val="0"/>
          <w:marRight w:val="0"/>
          <w:marTop w:val="0"/>
          <w:marBottom w:val="0"/>
          <w:divBdr>
            <w:top w:val="none" w:sz="0" w:space="0" w:color="auto"/>
            <w:left w:val="none" w:sz="0" w:space="0" w:color="auto"/>
            <w:bottom w:val="none" w:sz="0" w:space="0" w:color="auto"/>
            <w:right w:val="none" w:sz="0" w:space="0" w:color="auto"/>
          </w:divBdr>
        </w:div>
        <w:div w:id="548954276">
          <w:marLeft w:val="0"/>
          <w:marRight w:val="0"/>
          <w:marTop w:val="0"/>
          <w:marBottom w:val="0"/>
          <w:divBdr>
            <w:top w:val="none" w:sz="0" w:space="0" w:color="auto"/>
            <w:left w:val="none" w:sz="0" w:space="0" w:color="auto"/>
            <w:bottom w:val="none" w:sz="0" w:space="0" w:color="auto"/>
            <w:right w:val="none" w:sz="0" w:space="0" w:color="auto"/>
          </w:divBdr>
        </w:div>
        <w:div w:id="412943551">
          <w:marLeft w:val="0"/>
          <w:marRight w:val="0"/>
          <w:marTop w:val="0"/>
          <w:marBottom w:val="0"/>
          <w:divBdr>
            <w:top w:val="none" w:sz="0" w:space="0" w:color="auto"/>
            <w:left w:val="none" w:sz="0" w:space="0" w:color="auto"/>
            <w:bottom w:val="none" w:sz="0" w:space="0" w:color="auto"/>
            <w:right w:val="none" w:sz="0" w:space="0" w:color="auto"/>
          </w:divBdr>
        </w:div>
        <w:div w:id="569652567">
          <w:marLeft w:val="0"/>
          <w:marRight w:val="0"/>
          <w:marTop w:val="0"/>
          <w:marBottom w:val="0"/>
          <w:divBdr>
            <w:top w:val="none" w:sz="0" w:space="0" w:color="auto"/>
            <w:left w:val="none" w:sz="0" w:space="0" w:color="auto"/>
            <w:bottom w:val="none" w:sz="0" w:space="0" w:color="auto"/>
            <w:right w:val="none" w:sz="0" w:space="0" w:color="auto"/>
          </w:divBdr>
        </w:div>
        <w:div w:id="1512329995">
          <w:marLeft w:val="0"/>
          <w:marRight w:val="0"/>
          <w:marTop w:val="0"/>
          <w:marBottom w:val="0"/>
          <w:divBdr>
            <w:top w:val="none" w:sz="0" w:space="0" w:color="auto"/>
            <w:left w:val="none" w:sz="0" w:space="0" w:color="auto"/>
            <w:bottom w:val="none" w:sz="0" w:space="0" w:color="auto"/>
            <w:right w:val="none" w:sz="0" w:space="0" w:color="auto"/>
          </w:divBdr>
        </w:div>
        <w:div w:id="2061635427">
          <w:marLeft w:val="0"/>
          <w:marRight w:val="0"/>
          <w:marTop w:val="0"/>
          <w:marBottom w:val="0"/>
          <w:divBdr>
            <w:top w:val="none" w:sz="0" w:space="0" w:color="auto"/>
            <w:left w:val="none" w:sz="0" w:space="0" w:color="auto"/>
            <w:bottom w:val="none" w:sz="0" w:space="0" w:color="auto"/>
            <w:right w:val="none" w:sz="0" w:space="0" w:color="auto"/>
          </w:divBdr>
        </w:div>
        <w:div w:id="1464619818">
          <w:marLeft w:val="0"/>
          <w:marRight w:val="0"/>
          <w:marTop w:val="0"/>
          <w:marBottom w:val="0"/>
          <w:divBdr>
            <w:top w:val="none" w:sz="0" w:space="0" w:color="auto"/>
            <w:left w:val="none" w:sz="0" w:space="0" w:color="auto"/>
            <w:bottom w:val="none" w:sz="0" w:space="0" w:color="auto"/>
            <w:right w:val="none" w:sz="0" w:space="0" w:color="auto"/>
          </w:divBdr>
        </w:div>
        <w:div w:id="459109831">
          <w:marLeft w:val="0"/>
          <w:marRight w:val="0"/>
          <w:marTop w:val="0"/>
          <w:marBottom w:val="0"/>
          <w:divBdr>
            <w:top w:val="none" w:sz="0" w:space="0" w:color="auto"/>
            <w:left w:val="none" w:sz="0" w:space="0" w:color="auto"/>
            <w:bottom w:val="none" w:sz="0" w:space="0" w:color="auto"/>
            <w:right w:val="none" w:sz="0" w:space="0" w:color="auto"/>
          </w:divBdr>
        </w:div>
        <w:div w:id="9186781">
          <w:marLeft w:val="0"/>
          <w:marRight w:val="0"/>
          <w:marTop w:val="0"/>
          <w:marBottom w:val="0"/>
          <w:divBdr>
            <w:top w:val="none" w:sz="0" w:space="0" w:color="auto"/>
            <w:left w:val="none" w:sz="0" w:space="0" w:color="auto"/>
            <w:bottom w:val="none" w:sz="0" w:space="0" w:color="auto"/>
            <w:right w:val="none" w:sz="0" w:space="0" w:color="auto"/>
          </w:divBdr>
        </w:div>
        <w:div w:id="2067217359">
          <w:marLeft w:val="0"/>
          <w:marRight w:val="0"/>
          <w:marTop w:val="0"/>
          <w:marBottom w:val="0"/>
          <w:divBdr>
            <w:top w:val="none" w:sz="0" w:space="0" w:color="auto"/>
            <w:left w:val="none" w:sz="0" w:space="0" w:color="auto"/>
            <w:bottom w:val="none" w:sz="0" w:space="0" w:color="auto"/>
            <w:right w:val="none" w:sz="0" w:space="0" w:color="auto"/>
          </w:divBdr>
        </w:div>
        <w:div w:id="11036008">
          <w:marLeft w:val="0"/>
          <w:marRight w:val="0"/>
          <w:marTop w:val="0"/>
          <w:marBottom w:val="0"/>
          <w:divBdr>
            <w:top w:val="none" w:sz="0" w:space="0" w:color="auto"/>
            <w:left w:val="none" w:sz="0" w:space="0" w:color="auto"/>
            <w:bottom w:val="none" w:sz="0" w:space="0" w:color="auto"/>
            <w:right w:val="none" w:sz="0" w:space="0" w:color="auto"/>
          </w:divBdr>
        </w:div>
        <w:div w:id="1552502588">
          <w:marLeft w:val="0"/>
          <w:marRight w:val="0"/>
          <w:marTop w:val="0"/>
          <w:marBottom w:val="0"/>
          <w:divBdr>
            <w:top w:val="none" w:sz="0" w:space="0" w:color="auto"/>
            <w:left w:val="none" w:sz="0" w:space="0" w:color="auto"/>
            <w:bottom w:val="none" w:sz="0" w:space="0" w:color="auto"/>
            <w:right w:val="none" w:sz="0" w:space="0" w:color="auto"/>
          </w:divBdr>
        </w:div>
        <w:div w:id="1407145686">
          <w:marLeft w:val="0"/>
          <w:marRight w:val="0"/>
          <w:marTop w:val="0"/>
          <w:marBottom w:val="0"/>
          <w:divBdr>
            <w:top w:val="none" w:sz="0" w:space="0" w:color="auto"/>
            <w:left w:val="none" w:sz="0" w:space="0" w:color="auto"/>
            <w:bottom w:val="none" w:sz="0" w:space="0" w:color="auto"/>
            <w:right w:val="none" w:sz="0" w:space="0" w:color="auto"/>
          </w:divBdr>
        </w:div>
        <w:div w:id="71515340">
          <w:marLeft w:val="0"/>
          <w:marRight w:val="0"/>
          <w:marTop w:val="0"/>
          <w:marBottom w:val="0"/>
          <w:divBdr>
            <w:top w:val="none" w:sz="0" w:space="0" w:color="auto"/>
            <w:left w:val="none" w:sz="0" w:space="0" w:color="auto"/>
            <w:bottom w:val="none" w:sz="0" w:space="0" w:color="auto"/>
            <w:right w:val="none" w:sz="0" w:space="0" w:color="auto"/>
          </w:divBdr>
        </w:div>
        <w:div w:id="146168839">
          <w:marLeft w:val="0"/>
          <w:marRight w:val="0"/>
          <w:marTop w:val="0"/>
          <w:marBottom w:val="0"/>
          <w:divBdr>
            <w:top w:val="none" w:sz="0" w:space="0" w:color="auto"/>
            <w:left w:val="none" w:sz="0" w:space="0" w:color="auto"/>
            <w:bottom w:val="none" w:sz="0" w:space="0" w:color="auto"/>
            <w:right w:val="none" w:sz="0" w:space="0" w:color="auto"/>
          </w:divBdr>
        </w:div>
        <w:div w:id="458692230">
          <w:marLeft w:val="0"/>
          <w:marRight w:val="0"/>
          <w:marTop w:val="0"/>
          <w:marBottom w:val="0"/>
          <w:divBdr>
            <w:top w:val="none" w:sz="0" w:space="0" w:color="auto"/>
            <w:left w:val="none" w:sz="0" w:space="0" w:color="auto"/>
            <w:bottom w:val="none" w:sz="0" w:space="0" w:color="auto"/>
            <w:right w:val="none" w:sz="0" w:space="0" w:color="auto"/>
          </w:divBdr>
        </w:div>
        <w:div w:id="619462065">
          <w:marLeft w:val="0"/>
          <w:marRight w:val="0"/>
          <w:marTop w:val="0"/>
          <w:marBottom w:val="0"/>
          <w:divBdr>
            <w:top w:val="none" w:sz="0" w:space="0" w:color="auto"/>
            <w:left w:val="none" w:sz="0" w:space="0" w:color="auto"/>
            <w:bottom w:val="none" w:sz="0" w:space="0" w:color="auto"/>
            <w:right w:val="none" w:sz="0" w:space="0" w:color="auto"/>
          </w:divBdr>
        </w:div>
        <w:div w:id="1026638327">
          <w:marLeft w:val="0"/>
          <w:marRight w:val="0"/>
          <w:marTop w:val="0"/>
          <w:marBottom w:val="0"/>
          <w:divBdr>
            <w:top w:val="none" w:sz="0" w:space="0" w:color="auto"/>
            <w:left w:val="none" w:sz="0" w:space="0" w:color="auto"/>
            <w:bottom w:val="none" w:sz="0" w:space="0" w:color="auto"/>
            <w:right w:val="none" w:sz="0" w:space="0" w:color="auto"/>
          </w:divBdr>
        </w:div>
        <w:div w:id="778567898">
          <w:marLeft w:val="0"/>
          <w:marRight w:val="0"/>
          <w:marTop w:val="0"/>
          <w:marBottom w:val="0"/>
          <w:divBdr>
            <w:top w:val="none" w:sz="0" w:space="0" w:color="auto"/>
            <w:left w:val="none" w:sz="0" w:space="0" w:color="auto"/>
            <w:bottom w:val="none" w:sz="0" w:space="0" w:color="auto"/>
            <w:right w:val="none" w:sz="0" w:space="0" w:color="auto"/>
          </w:divBdr>
        </w:div>
        <w:div w:id="1098210383">
          <w:marLeft w:val="0"/>
          <w:marRight w:val="0"/>
          <w:marTop w:val="0"/>
          <w:marBottom w:val="0"/>
          <w:divBdr>
            <w:top w:val="none" w:sz="0" w:space="0" w:color="auto"/>
            <w:left w:val="none" w:sz="0" w:space="0" w:color="auto"/>
            <w:bottom w:val="none" w:sz="0" w:space="0" w:color="auto"/>
            <w:right w:val="none" w:sz="0" w:space="0" w:color="auto"/>
          </w:divBdr>
        </w:div>
        <w:div w:id="1450201911">
          <w:marLeft w:val="0"/>
          <w:marRight w:val="0"/>
          <w:marTop w:val="0"/>
          <w:marBottom w:val="0"/>
          <w:divBdr>
            <w:top w:val="none" w:sz="0" w:space="0" w:color="auto"/>
            <w:left w:val="none" w:sz="0" w:space="0" w:color="auto"/>
            <w:bottom w:val="none" w:sz="0" w:space="0" w:color="auto"/>
            <w:right w:val="none" w:sz="0" w:space="0" w:color="auto"/>
          </w:divBdr>
        </w:div>
        <w:div w:id="290139093">
          <w:marLeft w:val="0"/>
          <w:marRight w:val="0"/>
          <w:marTop w:val="0"/>
          <w:marBottom w:val="0"/>
          <w:divBdr>
            <w:top w:val="none" w:sz="0" w:space="0" w:color="auto"/>
            <w:left w:val="none" w:sz="0" w:space="0" w:color="auto"/>
            <w:bottom w:val="none" w:sz="0" w:space="0" w:color="auto"/>
            <w:right w:val="none" w:sz="0" w:space="0" w:color="auto"/>
          </w:divBdr>
        </w:div>
        <w:div w:id="277764186">
          <w:marLeft w:val="0"/>
          <w:marRight w:val="0"/>
          <w:marTop w:val="0"/>
          <w:marBottom w:val="0"/>
          <w:divBdr>
            <w:top w:val="none" w:sz="0" w:space="0" w:color="auto"/>
            <w:left w:val="none" w:sz="0" w:space="0" w:color="auto"/>
            <w:bottom w:val="none" w:sz="0" w:space="0" w:color="auto"/>
            <w:right w:val="none" w:sz="0" w:space="0" w:color="auto"/>
          </w:divBdr>
        </w:div>
        <w:div w:id="351036395">
          <w:marLeft w:val="0"/>
          <w:marRight w:val="0"/>
          <w:marTop w:val="0"/>
          <w:marBottom w:val="0"/>
          <w:divBdr>
            <w:top w:val="none" w:sz="0" w:space="0" w:color="auto"/>
            <w:left w:val="none" w:sz="0" w:space="0" w:color="auto"/>
            <w:bottom w:val="none" w:sz="0" w:space="0" w:color="auto"/>
            <w:right w:val="none" w:sz="0" w:space="0" w:color="auto"/>
          </w:divBdr>
        </w:div>
        <w:div w:id="1333724152">
          <w:marLeft w:val="0"/>
          <w:marRight w:val="0"/>
          <w:marTop w:val="0"/>
          <w:marBottom w:val="0"/>
          <w:divBdr>
            <w:top w:val="none" w:sz="0" w:space="0" w:color="auto"/>
            <w:left w:val="none" w:sz="0" w:space="0" w:color="auto"/>
            <w:bottom w:val="none" w:sz="0" w:space="0" w:color="auto"/>
            <w:right w:val="none" w:sz="0" w:space="0" w:color="auto"/>
          </w:divBdr>
        </w:div>
        <w:div w:id="1308051001">
          <w:marLeft w:val="0"/>
          <w:marRight w:val="0"/>
          <w:marTop w:val="0"/>
          <w:marBottom w:val="0"/>
          <w:divBdr>
            <w:top w:val="none" w:sz="0" w:space="0" w:color="auto"/>
            <w:left w:val="none" w:sz="0" w:space="0" w:color="auto"/>
            <w:bottom w:val="none" w:sz="0" w:space="0" w:color="auto"/>
            <w:right w:val="none" w:sz="0" w:space="0" w:color="auto"/>
          </w:divBdr>
        </w:div>
        <w:div w:id="97526137">
          <w:marLeft w:val="0"/>
          <w:marRight w:val="0"/>
          <w:marTop w:val="0"/>
          <w:marBottom w:val="0"/>
          <w:divBdr>
            <w:top w:val="none" w:sz="0" w:space="0" w:color="auto"/>
            <w:left w:val="none" w:sz="0" w:space="0" w:color="auto"/>
            <w:bottom w:val="none" w:sz="0" w:space="0" w:color="auto"/>
            <w:right w:val="none" w:sz="0" w:space="0" w:color="auto"/>
          </w:divBdr>
        </w:div>
        <w:div w:id="633759588">
          <w:marLeft w:val="0"/>
          <w:marRight w:val="0"/>
          <w:marTop w:val="0"/>
          <w:marBottom w:val="0"/>
          <w:divBdr>
            <w:top w:val="none" w:sz="0" w:space="0" w:color="auto"/>
            <w:left w:val="none" w:sz="0" w:space="0" w:color="auto"/>
            <w:bottom w:val="none" w:sz="0" w:space="0" w:color="auto"/>
            <w:right w:val="none" w:sz="0" w:space="0" w:color="auto"/>
          </w:divBdr>
        </w:div>
        <w:div w:id="288049582">
          <w:marLeft w:val="0"/>
          <w:marRight w:val="0"/>
          <w:marTop w:val="0"/>
          <w:marBottom w:val="0"/>
          <w:divBdr>
            <w:top w:val="none" w:sz="0" w:space="0" w:color="auto"/>
            <w:left w:val="none" w:sz="0" w:space="0" w:color="auto"/>
            <w:bottom w:val="none" w:sz="0" w:space="0" w:color="auto"/>
            <w:right w:val="none" w:sz="0" w:space="0" w:color="auto"/>
          </w:divBdr>
        </w:div>
        <w:div w:id="1036614515">
          <w:marLeft w:val="0"/>
          <w:marRight w:val="0"/>
          <w:marTop w:val="0"/>
          <w:marBottom w:val="0"/>
          <w:divBdr>
            <w:top w:val="none" w:sz="0" w:space="0" w:color="auto"/>
            <w:left w:val="none" w:sz="0" w:space="0" w:color="auto"/>
            <w:bottom w:val="none" w:sz="0" w:space="0" w:color="auto"/>
            <w:right w:val="none" w:sz="0" w:space="0" w:color="auto"/>
          </w:divBdr>
        </w:div>
        <w:div w:id="377508633">
          <w:marLeft w:val="0"/>
          <w:marRight w:val="0"/>
          <w:marTop w:val="0"/>
          <w:marBottom w:val="0"/>
          <w:divBdr>
            <w:top w:val="none" w:sz="0" w:space="0" w:color="auto"/>
            <w:left w:val="none" w:sz="0" w:space="0" w:color="auto"/>
            <w:bottom w:val="none" w:sz="0" w:space="0" w:color="auto"/>
            <w:right w:val="none" w:sz="0" w:space="0" w:color="auto"/>
          </w:divBdr>
        </w:div>
        <w:div w:id="48383494">
          <w:marLeft w:val="0"/>
          <w:marRight w:val="0"/>
          <w:marTop w:val="0"/>
          <w:marBottom w:val="0"/>
          <w:divBdr>
            <w:top w:val="none" w:sz="0" w:space="0" w:color="auto"/>
            <w:left w:val="none" w:sz="0" w:space="0" w:color="auto"/>
            <w:bottom w:val="none" w:sz="0" w:space="0" w:color="auto"/>
            <w:right w:val="none" w:sz="0" w:space="0" w:color="auto"/>
          </w:divBdr>
        </w:div>
        <w:div w:id="1958028574">
          <w:marLeft w:val="0"/>
          <w:marRight w:val="0"/>
          <w:marTop w:val="0"/>
          <w:marBottom w:val="0"/>
          <w:divBdr>
            <w:top w:val="none" w:sz="0" w:space="0" w:color="auto"/>
            <w:left w:val="none" w:sz="0" w:space="0" w:color="auto"/>
            <w:bottom w:val="none" w:sz="0" w:space="0" w:color="auto"/>
            <w:right w:val="none" w:sz="0" w:space="0" w:color="auto"/>
          </w:divBdr>
        </w:div>
        <w:div w:id="228003817">
          <w:marLeft w:val="0"/>
          <w:marRight w:val="0"/>
          <w:marTop w:val="0"/>
          <w:marBottom w:val="0"/>
          <w:divBdr>
            <w:top w:val="none" w:sz="0" w:space="0" w:color="auto"/>
            <w:left w:val="none" w:sz="0" w:space="0" w:color="auto"/>
            <w:bottom w:val="none" w:sz="0" w:space="0" w:color="auto"/>
            <w:right w:val="none" w:sz="0" w:space="0" w:color="auto"/>
          </w:divBdr>
        </w:div>
        <w:div w:id="1783645060">
          <w:marLeft w:val="0"/>
          <w:marRight w:val="0"/>
          <w:marTop w:val="0"/>
          <w:marBottom w:val="0"/>
          <w:divBdr>
            <w:top w:val="none" w:sz="0" w:space="0" w:color="auto"/>
            <w:left w:val="none" w:sz="0" w:space="0" w:color="auto"/>
            <w:bottom w:val="none" w:sz="0" w:space="0" w:color="auto"/>
            <w:right w:val="none" w:sz="0" w:space="0" w:color="auto"/>
          </w:divBdr>
        </w:div>
        <w:div w:id="725299521">
          <w:marLeft w:val="0"/>
          <w:marRight w:val="0"/>
          <w:marTop w:val="0"/>
          <w:marBottom w:val="0"/>
          <w:divBdr>
            <w:top w:val="none" w:sz="0" w:space="0" w:color="auto"/>
            <w:left w:val="none" w:sz="0" w:space="0" w:color="auto"/>
            <w:bottom w:val="none" w:sz="0" w:space="0" w:color="auto"/>
            <w:right w:val="none" w:sz="0" w:space="0" w:color="auto"/>
          </w:divBdr>
        </w:div>
        <w:div w:id="244413847">
          <w:marLeft w:val="0"/>
          <w:marRight w:val="0"/>
          <w:marTop w:val="0"/>
          <w:marBottom w:val="0"/>
          <w:divBdr>
            <w:top w:val="none" w:sz="0" w:space="0" w:color="auto"/>
            <w:left w:val="none" w:sz="0" w:space="0" w:color="auto"/>
            <w:bottom w:val="none" w:sz="0" w:space="0" w:color="auto"/>
            <w:right w:val="none" w:sz="0" w:space="0" w:color="auto"/>
          </w:divBdr>
        </w:div>
        <w:div w:id="1169443336">
          <w:marLeft w:val="0"/>
          <w:marRight w:val="0"/>
          <w:marTop w:val="0"/>
          <w:marBottom w:val="0"/>
          <w:divBdr>
            <w:top w:val="none" w:sz="0" w:space="0" w:color="auto"/>
            <w:left w:val="none" w:sz="0" w:space="0" w:color="auto"/>
            <w:bottom w:val="none" w:sz="0" w:space="0" w:color="auto"/>
            <w:right w:val="none" w:sz="0" w:space="0" w:color="auto"/>
          </w:divBdr>
        </w:div>
        <w:div w:id="820999579">
          <w:marLeft w:val="0"/>
          <w:marRight w:val="0"/>
          <w:marTop w:val="0"/>
          <w:marBottom w:val="0"/>
          <w:divBdr>
            <w:top w:val="none" w:sz="0" w:space="0" w:color="auto"/>
            <w:left w:val="none" w:sz="0" w:space="0" w:color="auto"/>
            <w:bottom w:val="none" w:sz="0" w:space="0" w:color="auto"/>
            <w:right w:val="none" w:sz="0" w:space="0" w:color="auto"/>
          </w:divBdr>
        </w:div>
        <w:div w:id="1501197674">
          <w:marLeft w:val="0"/>
          <w:marRight w:val="0"/>
          <w:marTop w:val="0"/>
          <w:marBottom w:val="0"/>
          <w:divBdr>
            <w:top w:val="none" w:sz="0" w:space="0" w:color="auto"/>
            <w:left w:val="none" w:sz="0" w:space="0" w:color="auto"/>
            <w:bottom w:val="none" w:sz="0" w:space="0" w:color="auto"/>
            <w:right w:val="none" w:sz="0" w:space="0" w:color="auto"/>
          </w:divBdr>
        </w:div>
        <w:div w:id="231431790">
          <w:marLeft w:val="0"/>
          <w:marRight w:val="0"/>
          <w:marTop w:val="0"/>
          <w:marBottom w:val="0"/>
          <w:divBdr>
            <w:top w:val="none" w:sz="0" w:space="0" w:color="auto"/>
            <w:left w:val="none" w:sz="0" w:space="0" w:color="auto"/>
            <w:bottom w:val="none" w:sz="0" w:space="0" w:color="auto"/>
            <w:right w:val="none" w:sz="0" w:space="0" w:color="auto"/>
          </w:divBdr>
        </w:div>
        <w:div w:id="1331520875">
          <w:marLeft w:val="0"/>
          <w:marRight w:val="0"/>
          <w:marTop w:val="0"/>
          <w:marBottom w:val="0"/>
          <w:divBdr>
            <w:top w:val="none" w:sz="0" w:space="0" w:color="auto"/>
            <w:left w:val="none" w:sz="0" w:space="0" w:color="auto"/>
            <w:bottom w:val="none" w:sz="0" w:space="0" w:color="auto"/>
            <w:right w:val="none" w:sz="0" w:space="0" w:color="auto"/>
          </w:divBdr>
        </w:div>
        <w:div w:id="1573388619">
          <w:marLeft w:val="0"/>
          <w:marRight w:val="0"/>
          <w:marTop w:val="0"/>
          <w:marBottom w:val="0"/>
          <w:divBdr>
            <w:top w:val="none" w:sz="0" w:space="0" w:color="auto"/>
            <w:left w:val="none" w:sz="0" w:space="0" w:color="auto"/>
            <w:bottom w:val="none" w:sz="0" w:space="0" w:color="auto"/>
            <w:right w:val="none" w:sz="0" w:space="0" w:color="auto"/>
          </w:divBdr>
        </w:div>
        <w:div w:id="433676795">
          <w:marLeft w:val="0"/>
          <w:marRight w:val="0"/>
          <w:marTop w:val="0"/>
          <w:marBottom w:val="0"/>
          <w:divBdr>
            <w:top w:val="none" w:sz="0" w:space="0" w:color="auto"/>
            <w:left w:val="none" w:sz="0" w:space="0" w:color="auto"/>
            <w:bottom w:val="none" w:sz="0" w:space="0" w:color="auto"/>
            <w:right w:val="none" w:sz="0" w:space="0" w:color="auto"/>
          </w:divBdr>
        </w:div>
        <w:div w:id="1823961243">
          <w:marLeft w:val="0"/>
          <w:marRight w:val="0"/>
          <w:marTop w:val="0"/>
          <w:marBottom w:val="0"/>
          <w:divBdr>
            <w:top w:val="none" w:sz="0" w:space="0" w:color="auto"/>
            <w:left w:val="none" w:sz="0" w:space="0" w:color="auto"/>
            <w:bottom w:val="none" w:sz="0" w:space="0" w:color="auto"/>
            <w:right w:val="none" w:sz="0" w:space="0" w:color="auto"/>
          </w:divBdr>
        </w:div>
      </w:divsChild>
    </w:div>
    <w:div w:id="1233663391">
      <w:bodyDiv w:val="1"/>
      <w:marLeft w:val="0"/>
      <w:marRight w:val="0"/>
      <w:marTop w:val="0"/>
      <w:marBottom w:val="0"/>
      <w:divBdr>
        <w:top w:val="none" w:sz="0" w:space="0" w:color="auto"/>
        <w:left w:val="none" w:sz="0" w:space="0" w:color="auto"/>
        <w:bottom w:val="none" w:sz="0" w:space="0" w:color="auto"/>
        <w:right w:val="none" w:sz="0" w:space="0" w:color="auto"/>
      </w:divBdr>
    </w:div>
    <w:div w:id="1298799669">
      <w:bodyDiv w:val="1"/>
      <w:marLeft w:val="0"/>
      <w:marRight w:val="0"/>
      <w:marTop w:val="0"/>
      <w:marBottom w:val="0"/>
      <w:divBdr>
        <w:top w:val="none" w:sz="0" w:space="0" w:color="auto"/>
        <w:left w:val="none" w:sz="0" w:space="0" w:color="auto"/>
        <w:bottom w:val="none" w:sz="0" w:space="0" w:color="auto"/>
        <w:right w:val="none" w:sz="0" w:space="0" w:color="auto"/>
      </w:divBdr>
    </w:div>
    <w:div w:id="1321612755">
      <w:bodyDiv w:val="1"/>
      <w:marLeft w:val="0"/>
      <w:marRight w:val="0"/>
      <w:marTop w:val="0"/>
      <w:marBottom w:val="0"/>
      <w:divBdr>
        <w:top w:val="none" w:sz="0" w:space="0" w:color="auto"/>
        <w:left w:val="none" w:sz="0" w:space="0" w:color="auto"/>
        <w:bottom w:val="none" w:sz="0" w:space="0" w:color="auto"/>
        <w:right w:val="none" w:sz="0" w:space="0" w:color="auto"/>
      </w:divBdr>
    </w:div>
    <w:div w:id="1326207491">
      <w:bodyDiv w:val="1"/>
      <w:marLeft w:val="0"/>
      <w:marRight w:val="0"/>
      <w:marTop w:val="0"/>
      <w:marBottom w:val="0"/>
      <w:divBdr>
        <w:top w:val="none" w:sz="0" w:space="0" w:color="auto"/>
        <w:left w:val="none" w:sz="0" w:space="0" w:color="auto"/>
        <w:bottom w:val="none" w:sz="0" w:space="0" w:color="auto"/>
        <w:right w:val="none" w:sz="0" w:space="0" w:color="auto"/>
      </w:divBdr>
    </w:div>
    <w:div w:id="1352032154">
      <w:bodyDiv w:val="1"/>
      <w:marLeft w:val="0"/>
      <w:marRight w:val="0"/>
      <w:marTop w:val="0"/>
      <w:marBottom w:val="0"/>
      <w:divBdr>
        <w:top w:val="none" w:sz="0" w:space="0" w:color="auto"/>
        <w:left w:val="none" w:sz="0" w:space="0" w:color="auto"/>
        <w:bottom w:val="none" w:sz="0" w:space="0" w:color="auto"/>
        <w:right w:val="none" w:sz="0" w:space="0" w:color="auto"/>
      </w:divBdr>
    </w:div>
    <w:div w:id="1357198013">
      <w:bodyDiv w:val="1"/>
      <w:marLeft w:val="0"/>
      <w:marRight w:val="0"/>
      <w:marTop w:val="0"/>
      <w:marBottom w:val="0"/>
      <w:divBdr>
        <w:top w:val="none" w:sz="0" w:space="0" w:color="auto"/>
        <w:left w:val="none" w:sz="0" w:space="0" w:color="auto"/>
        <w:bottom w:val="none" w:sz="0" w:space="0" w:color="auto"/>
        <w:right w:val="none" w:sz="0" w:space="0" w:color="auto"/>
      </w:divBdr>
    </w:div>
    <w:div w:id="1397194671">
      <w:bodyDiv w:val="1"/>
      <w:marLeft w:val="0"/>
      <w:marRight w:val="0"/>
      <w:marTop w:val="0"/>
      <w:marBottom w:val="0"/>
      <w:divBdr>
        <w:top w:val="none" w:sz="0" w:space="0" w:color="auto"/>
        <w:left w:val="none" w:sz="0" w:space="0" w:color="auto"/>
        <w:bottom w:val="none" w:sz="0" w:space="0" w:color="auto"/>
        <w:right w:val="none" w:sz="0" w:space="0" w:color="auto"/>
      </w:divBdr>
    </w:div>
    <w:div w:id="1421876355">
      <w:bodyDiv w:val="1"/>
      <w:marLeft w:val="0"/>
      <w:marRight w:val="0"/>
      <w:marTop w:val="0"/>
      <w:marBottom w:val="0"/>
      <w:divBdr>
        <w:top w:val="none" w:sz="0" w:space="0" w:color="auto"/>
        <w:left w:val="none" w:sz="0" w:space="0" w:color="auto"/>
        <w:bottom w:val="none" w:sz="0" w:space="0" w:color="auto"/>
        <w:right w:val="none" w:sz="0" w:space="0" w:color="auto"/>
      </w:divBdr>
    </w:div>
    <w:div w:id="1444108375">
      <w:bodyDiv w:val="1"/>
      <w:marLeft w:val="0"/>
      <w:marRight w:val="0"/>
      <w:marTop w:val="0"/>
      <w:marBottom w:val="0"/>
      <w:divBdr>
        <w:top w:val="none" w:sz="0" w:space="0" w:color="auto"/>
        <w:left w:val="none" w:sz="0" w:space="0" w:color="auto"/>
        <w:bottom w:val="none" w:sz="0" w:space="0" w:color="auto"/>
        <w:right w:val="none" w:sz="0" w:space="0" w:color="auto"/>
      </w:divBdr>
    </w:div>
    <w:div w:id="1502312019">
      <w:bodyDiv w:val="1"/>
      <w:marLeft w:val="0"/>
      <w:marRight w:val="0"/>
      <w:marTop w:val="0"/>
      <w:marBottom w:val="0"/>
      <w:divBdr>
        <w:top w:val="none" w:sz="0" w:space="0" w:color="auto"/>
        <w:left w:val="none" w:sz="0" w:space="0" w:color="auto"/>
        <w:bottom w:val="none" w:sz="0" w:space="0" w:color="auto"/>
        <w:right w:val="none" w:sz="0" w:space="0" w:color="auto"/>
      </w:divBdr>
      <w:divsChild>
        <w:div w:id="1349066176">
          <w:marLeft w:val="0"/>
          <w:marRight w:val="0"/>
          <w:marTop w:val="0"/>
          <w:marBottom w:val="0"/>
          <w:divBdr>
            <w:top w:val="none" w:sz="0" w:space="0" w:color="auto"/>
            <w:left w:val="none" w:sz="0" w:space="0" w:color="auto"/>
            <w:bottom w:val="none" w:sz="0" w:space="0" w:color="auto"/>
            <w:right w:val="none" w:sz="0" w:space="0" w:color="auto"/>
          </w:divBdr>
        </w:div>
        <w:div w:id="1858495451">
          <w:marLeft w:val="0"/>
          <w:marRight w:val="0"/>
          <w:marTop w:val="0"/>
          <w:marBottom w:val="0"/>
          <w:divBdr>
            <w:top w:val="none" w:sz="0" w:space="0" w:color="auto"/>
            <w:left w:val="none" w:sz="0" w:space="0" w:color="auto"/>
            <w:bottom w:val="none" w:sz="0" w:space="0" w:color="auto"/>
            <w:right w:val="none" w:sz="0" w:space="0" w:color="auto"/>
          </w:divBdr>
        </w:div>
        <w:div w:id="2103381064">
          <w:marLeft w:val="0"/>
          <w:marRight w:val="0"/>
          <w:marTop w:val="0"/>
          <w:marBottom w:val="0"/>
          <w:divBdr>
            <w:top w:val="none" w:sz="0" w:space="0" w:color="auto"/>
            <w:left w:val="none" w:sz="0" w:space="0" w:color="auto"/>
            <w:bottom w:val="none" w:sz="0" w:space="0" w:color="auto"/>
            <w:right w:val="none" w:sz="0" w:space="0" w:color="auto"/>
          </w:divBdr>
        </w:div>
        <w:div w:id="944112035">
          <w:marLeft w:val="0"/>
          <w:marRight w:val="0"/>
          <w:marTop w:val="0"/>
          <w:marBottom w:val="0"/>
          <w:divBdr>
            <w:top w:val="none" w:sz="0" w:space="0" w:color="auto"/>
            <w:left w:val="none" w:sz="0" w:space="0" w:color="auto"/>
            <w:bottom w:val="none" w:sz="0" w:space="0" w:color="auto"/>
            <w:right w:val="none" w:sz="0" w:space="0" w:color="auto"/>
          </w:divBdr>
        </w:div>
        <w:div w:id="1179155426">
          <w:marLeft w:val="0"/>
          <w:marRight w:val="0"/>
          <w:marTop w:val="0"/>
          <w:marBottom w:val="0"/>
          <w:divBdr>
            <w:top w:val="none" w:sz="0" w:space="0" w:color="auto"/>
            <w:left w:val="none" w:sz="0" w:space="0" w:color="auto"/>
            <w:bottom w:val="none" w:sz="0" w:space="0" w:color="auto"/>
            <w:right w:val="none" w:sz="0" w:space="0" w:color="auto"/>
          </w:divBdr>
        </w:div>
        <w:div w:id="755787688">
          <w:marLeft w:val="0"/>
          <w:marRight w:val="0"/>
          <w:marTop w:val="0"/>
          <w:marBottom w:val="0"/>
          <w:divBdr>
            <w:top w:val="none" w:sz="0" w:space="0" w:color="auto"/>
            <w:left w:val="none" w:sz="0" w:space="0" w:color="auto"/>
            <w:bottom w:val="none" w:sz="0" w:space="0" w:color="auto"/>
            <w:right w:val="none" w:sz="0" w:space="0" w:color="auto"/>
          </w:divBdr>
        </w:div>
        <w:div w:id="1210919723">
          <w:marLeft w:val="0"/>
          <w:marRight w:val="0"/>
          <w:marTop w:val="0"/>
          <w:marBottom w:val="0"/>
          <w:divBdr>
            <w:top w:val="none" w:sz="0" w:space="0" w:color="auto"/>
            <w:left w:val="none" w:sz="0" w:space="0" w:color="auto"/>
            <w:bottom w:val="none" w:sz="0" w:space="0" w:color="auto"/>
            <w:right w:val="none" w:sz="0" w:space="0" w:color="auto"/>
          </w:divBdr>
        </w:div>
        <w:div w:id="400564666">
          <w:marLeft w:val="0"/>
          <w:marRight w:val="0"/>
          <w:marTop w:val="0"/>
          <w:marBottom w:val="0"/>
          <w:divBdr>
            <w:top w:val="none" w:sz="0" w:space="0" w:color="auto"/>
            <w:left w:val="none" w:sz="0" w:space="0" w:color="auto"/>
            <w:bottom w:val="none" w:sz="0" w:space="0" w:color="auto"/>
            <w:right w:val="none" w:sz="0" w:space="0" w:color="auto"/>
          </w:divBdr>
        </w:div>
        <w:div w:id="1780906179">
          <w:marLeft w:val="0"/>
          <w:marRight w:val="0"/>
          <w:marTop w:val="0"/>
          <w:marBottom w:val="0"/>
          <w:divBdr>
            <w:top w:val="none" w:sz="0" w:space="0" w:color="auto"/>
            <w:left w:val="none" w:sz="0" w:space="0" w:color="auto"/>
            <w:bottom w:val="none" w:sz="0" w:space="0" w:color="auto"/>
            <w:right w:val="none" w:sz="0" w:space="0" w:color="auto"/>
          </w:divBdr>
        </w:div>
        <w:div w:id="2009747253">
          <w:marLeft w:val="0"/>
          <w:marRight w:val="0"/>
          <w:marTop w:val="0"/>
          <w:marBottom w:val="0"/>
          <w:divBdr>
            <w:top w:val="none" w:sz="0" w:space="0" w:color="auto"/>
            <w:left w:val="none" w:sz="0" w:space="0" w:color="auto"/>
            <w:bottom w:val="none" w:sz="0" w:space="0" w:color="auto"/>
            <w:right w:val="none" w:sz="0" w:space="0" w:color="auto"/>
          </w:divBdr>
        </w:div>
        <w:div w:id="1240140044">
          <w:marLeft w:val="0"/>
          <w:marRight w:val="0"/>
          <w:marTop w:val="0"/>
          <w:marBottom w:val="0"/>
          <w:divBdr>
            <w:top w:val="none" w:sz="0" w:space="0" w:color="auto"/>
            <w:left w:val="none" w:sz="0" w:space="0" w:color="auto"/>
            <w:bottom w:val="none" w:sz="0" w:space="0" w:color="auto"/>
            <w:right w:val="none" w:sz="0" w:space="0" w:color="auto"/>
          </w:divBdr>
        </w:div>
        <w:div w:id="649134244">
          <w:marLeft w:val="0"/>
          <w:marRight w:val="0"/>
          <w:marTop w:val="0"/>
          <w:marBottom w:val="0"/>
          <w:divBdr>
            <w:top w:val="none" w:sz="0" w:space="0" w:color="auto"/>
            <w:left w:val="none" w:sz="0" w:space="0" w:color="auto"/>
            <w:bottom w:val="none" w:sz="0" w:space="0" w:color="auto"/>
            <w:right w:val="none" w:sz="0" w:space="0" w:color="auto"/>
          </w:divBdr>
        </w:div>
        <w:div w:id="423305768">
          <w:marLeft w:val="0"/>
          <w:marRight w:val="0"/>
          <w:marTop w:val="0"/>
          <w:marBottom w:val="0"/>
          <w:divBdr>
            <w:top w:val="none" w:sz="0" w:space="0" w:color="auto"/>
            <w:left w:val="none" w:sz="0" w:space="0" w:color="auto"/>
            <w:bottom w:val="none" w:sz="0" w:space="0" w:color="auto"/>
            <w:right w:val="none" w:sz="0" w:space="0" w:color="auto"/>
          </w:divBdr>
        </w:div>
        <w:div w:id="1884488071">
          <w:marLeft w:val="0"/>
          <w:marRight w:val="0"/>
          <w:marTop w:val="0"/>
          <w:marBottom w:val="0"/>
          <w:divBdr>
            <w:top w:val="none" w:sz="0" w:space="0" w:color="auto"/>
            <w:left w:val="none" w:sz="0" w:space="0" w:color="auto"/>
            <w:bottom w:val="none" w:sz="0" w:space="0" w:color="auto"/>
            <w:right w:val="none" w:sz="0" w:space="0" w:color="auto"/>
          </w:divBdr>
        </w:div>
        <w:div w:id="529992636">
          <w:marLeft w:val="0"/>
          <w:marRight w:val="0"/>
          <w:marTop w:val="0"/>
          <w:marBottom w:val="0"/>
          <w:divBdr>
            <w:top w:val="none" w:sz="0" w:space="0" w:color="auto"/>
            <w:left w:val="none" w:sz="0" w:space="0" w:color="auto"/>
            <w:bottom w:val="none" w:sz="0" w:space="0" w:color="auto"/>
            <w:right w:val="none" w:sz="0" w:space="0" w:color="auto"/>
          </w:divBdr>
        </w:div>
        <w:div w:id="652757812">
          <w:marLeft w:val="0"/>
          <w:marRight w:val="0"/>
          <w:marTop w:val="0"/>
          <w:marBottom w:val="0"/>
          <w:divBdr>
            <w:top w:val="none" w:sz="0" w:space="0" w:color="auto"/>
            <w:left w:val="none" w:sz="0" w:space="0" w:color="auto"/>
            <w:bottom w:val="none" w:sz="0" w:space="0" w:color="auto"/>
            <w:right w:val="none" w:sz="0" w:space="0" w:color="auto"/>
          </w:divBdr>
        </w:div>
        <w:div w:id="695539795">
          <w:marLeft w:val="0"/>
          <w:marRight w:val="0"/>
          <w:marTop w:val="0"/>
          <w:marBottom w:val="0"/>
          <w:divBdr>
            <w:top w:val="none" w:sz="0" w:space="0" w:color="auto"/>
            <w:left w:val="none" w:sz="0" w:space="0" w:color="auto"/>
            <w:bottom w:val="none" w:sz="0" w:space="0" w:color="auto"/>
            <w:right w:val="none" w:sz="0" w:space="0" w:color="auto"/>
          </w:divBdr>
        </w:div>
        <w:div w:id="622612826">
          <w:marLeft w:val="0"/>
          <w:marRight w:val="0"/>
          <w:marTop w:val="0"/>
          <w:marBottom w:val="0"/>
          <w:divBdr>
            <w:top w:val="none" w:sz="0" w:space="0" w:color="auto"/>
            <w:left w:val="none" w:sz="0" w:space="0" w:color="auto"/>
            <w:bottom w:val="none" w:sz="0" w:space="0" w:color="auto"/>
            <w:right w:val="none" w:sz="0" w:space="0" w:color="auto"/>
          </w:divBdr>
        </w:div>
        <w:div w:id="285627409">
          <w:marLeft w:val="0"/>
          <w:marRight w:val="0"/>
          <w:marTop w:val="0"/>
          <w:marBottom w:val="0"/>
          <w:divBdr>
            <w:top w:val="none" w:sz="0" w:space="0" w:color="auto"/>
            <w:left w:val="none" w:sz="0" w:space="0" w:color="auto"/>
            <w:bottom w:val="none" w:sz="0" w:space="0" w:color="auto"/>
            <w:right w:val="none" w:sz="0" w:space="0" w:color="auto"/>
          </w:divBdr>
        </w:div>
        <w:div w:id="955137867">
          <w:marLeft w:val="0"/>
          <w:marRight w:val="0"/>
          <w:marTop w:val="0"/>
          <w:marBottom w:val="0"/>
          <w:divBdr>
            <w:top w:val="none" w:sz="0" w:space="0" w:color="auto"/>
            <w:left w:val="none" w:sz="0" w:space="0" w:color="auto"/>
            <w:bottom w:val="none" w:sz="0" w:space="0" w:color="auto"/>
            <w:right w:val="none" w:sz="0" w:space="0" w:color="auto"/>
          </w:divBdr>
        </w:div>
        <w:div w:id="1188760799">
          <w:marLeft w:val="0"/>
          <w:marRight w:val="0"/>
          <w:marTop w:val="0"/>
          <w:marBottom w:val="0"/>
          <w:divBdr>
            <w:top w:val="none" w:sz="0" w:space="0" w:color="auto"/>
            <w:left w:val="none" w:sz="0" w:space="0" w:color="auto"/>
            <w:bottom w:val="none" w:sz="0" w:space="0" w:color="auto"/>
            <w:right w:val="none" w:sz="0" w:space="0" w:color="auto"/>
          </w:divBdr>
        </w:div>
        <w:div w:id="1568875711">
          <w:marLeft w:val="0"/>
          <w:marRight w:val="0"/>
          <w:marTop w:val="0"/>
          <w:marBottom w:val="0"/>
          <w:divBdr>
            <w:top w:val="none" w:sz="0" w:space="0" w:color="auto"/>
            <w:left w:val="none" w:sz="0" w:space="0" w:color="auto"/>
            <w:bottom w:val="none" w:sz="0" w:space="0" w:color="auto"/>
            <w:right w:val="none" w:sz="0" w:space="0" w:color="auto"/>
          </w:divBdr>
        </w:div>
        <w:div w:id="992870933">
          <w:marLeft w:val="0"/>
          <w:marRight w:val="0"/>
          <w:marTop w:val="0"/>
          <w:marBottom w:val="0"/>
          <w:divBdr>
            <w:top w:val="none" w:sz="0" w:space="0" w:color="auto"/>
            <w:left w:val="none" w:sz="0" w:space="0" w:color="auto"/>
            <w:bottom w:val="none" w:sz="0" w:space="0" w:color="auto"/>
            <w:right w:val="none" w:sz="0" w:space="0" w:color="auto"/>
          </w:divBdr>
        </w:div>
        <w:div w:id="1511527187">
          <w:marLeft w:val="0"/>
          <w:marRight w:val="0"/>
          <w:marTop w:val="0"/>
          <w:marBottom w:val="0"/>
          <w:divBdr>
            <w:top w:val="none" w:sz="0" w:space="0" w:color="auto"/>
            <w:left w:val="none" w:sz="0" w:space="0" w:color="auto"/>
            <w:bottom w:val="none" w:sz="0" w:space="0" w:color="auto"/>
            <w:right w:val="none" w:sz="0" w:space="0" w:color="auto"/>
          </w:divBdr>
        </w:div>
        <w:div w:id="1414862513">
          <w:marLeft w:val="0"/>
          <w:marRight w:val="0"/>
          <w:marTop w:val="0"/>
          <w:marBottom w:val="0"/>
          <w:divBdr>
            <w:top w:val="none" w:sz="0" w:space="0" w:color="auto"/>
            <w:left w:val="none" w:sz="0" w:space="0" w:color="auto"/>
            <w:bottom w:val="none" w:sz="0" w:space="0" w:color="auto"/>
            <w:right w:val="none" w:sz="0" w:space="0" w:color="auto"/>
          </w:divBdr>
        </w:div>
        <w:div w:id="465591051">
          <w:marLeft w:val="0"/>
          <w:marRight w:val="0"/>
          <w:marTop w:val="0"/>
          <w:marBottom w:val="0"/>
          <w:divBdr>
            <w:top w:val="none" w:sz="0" w:space="0" w:color="auto"/>
            <w:left w:val="none" w:sz="0" w:space="0" w:color="auto"/>
            <w:bottom w:val="none" w:sz="0" w:space="0" w:color="auto"/>
            <w:right w:val="none" w:sz="0" w:space="0" w:color="auto"/>
          </w:divBdr>
        </w:div>
        <w:div w:id="1445921671">
          <w:marLeft w:val="0"/>
          <w:marRight w:val="0"/>
          <w:marTop w:val="0"/>
          <w:marBottom w:val="0"/>
          <w:divBdr>
            <w:top w:val="none" w:sz="0" w:space="0" w:color="auto"/>
            <w:left w:val="none" w:sz="0" w:space="0" w:color="auto"/>
            <w:bottom w:val="none" w:sz="0" w:space="0" w:color="auto"/>
            <w:right w:val="none" w:sz="0" w:space="0" w:color="auto"/>
          </w:divBdr>
        </w:div>
        <w:div w:id="1531915354">
          <w:marLeft w:val="0"/>
          <w:marRight w:val="0"/>
          <w:marTop w:val="0"/>
          <w:marBottom w:val="0"/>
          <w:divBdr>
            <w:top w:val="none" w:sz="0" w:space="0" w:color="auto"/>
            <w:left w:val="none" w:sz="0" w:space="0" w:color="auto"/>
            <w:bottom w:val="none" w:sz="0" w:space="0" w:color="auto"/>
            <w:right w:val="none" w:sz="0" w:space="0" w:color="auto"/>
          </w:divBdr>
        </w:div>
        <w:div w:id="159389871">
          <w:marLeft w:val="0"/>
          <w:marRight w:val="0"/>
          <w:marTop w:val="0"/>
          <w:marBottom w:val="0"/>
          <w:divBdr>
            <w:top w:val="none" w:sz="0" w:space="0" w:color="auto"/>
            <w:left w:val="none" w:sz="0" w:space="0" w:color="auto"/>
            <w:bottom w:val="none" w:sz="0" w:space="0" w:color="auto"/>
            <w:right w:val="none" w:sz="0" w:space="0" w:color="auto"/>
          </w:divBdr>
        </w:div>
        <w:div w:id="94517864">
          <w:marLeft w:val="0"/>
          <w:marRight w:val="0"/>
          <w:marTop w:val="0"/>
          <w:marBottom w:val="0"/>
          <w:divBdr>
            <w:top w:val="none" w:sz="0" w:space="0" w:color="auto"/>
            <w:left w:val="none" w:sz="0" w:space="0" w:color="auto"/>
            <w:bottom w:val="none" w:sz="0" w:space="0" w:color="auto"/>
            <w:right w:val="none" w:sz="0" w:space="0" w:color="auto"/>
          </w:divBdr>
        </w:div>
        <w:div w:id="1077365905">
          <w:marLeft w:val="0"/>
          <w:marRight w:val="0"/>
          <w:marTop w:val="0"/>
          <w:marBottom w:val="0"/>
          <w:divBdr>
            <w:top w:val="none" w:sz="0" w:space="0" w:color="auto"/>
            <w:left w:val="none" w:sz="0" w:space="0" w:color="auto"/>
            <w:bottom w:val="none" w:sz="0" w:space="0" w:color="auto"/>
            <w:right w:val="none" w:sz="0" w:space="0" w:color="auto"/>
          </w:divBdr>
        </w:div>
        <w:div w:id="137693497">
          <w:marLeft w:val="0"/>
          <w:marRight w:val="0"/>
          <w:marTop w:val="0"/>
          <w:marBottom w:val="0"/>
          <w:divBdr>
            <w:top w:val="none" w:sz="0" w:space="0" w:color="auto"/>
            <w:left w:val="none" w:sz="0" w:space="0" w:color="auto"/>
            <w:bottom w:val="none" w:sz="0" w:space="0" w:color="auto"/>
            <w:right w:val="none" w:sz="0" w:space="0" w:color="auto"/>
          </w:divBdr>
        </w:div>
        <w:div w:id="1272203091">
          <w:marLeft w:val="0"/>
          <w:marRight w:val="0"/>
          <w:marTop w:val="0"/>
          <w:marBottom w:val="0"/>
          <w:divBdr>
            <w:top w:val="none" w:sz="0" w:space="0" w:color="auto"/>
            <w:left w:val="none" w:sz="0" w:space="0" w:color="auto"/>
            <w:bottom w:val="none" w:sz="0" w:space="0" w:color="auto"/>
            <w:right w:val="none" w:sz="0" w:space="0" w:color="auto"/>
          </w:divBdr>
        </w:div>
        <w:div w:id="1193685513">
          <w:marLeft w:val="0"/>
          <w:marRight w:val="0"/>
          <w:marTop w:val="0"/>
          <w:marBottom w:val="0"/>
          <w:divBdr>
            <w:top w:val="none" w:sz="0" w:space="0" w:color="auto"/>
            <w:left w:val="none" w:sz="0" w:space="0" w:color="auto"/>
            <w:bottom w:val="none" w:sz="0" w:space="0" w:color="auto"/>
            <w:right w:val="none" w:sz="0" w:space="0" w:color="auto"/>
          </w:divBdr>
        </w:div>
        <w:div w:id="216480850">
          <w:marLeft w:val="0"/>
          <w:marRight w:val="0"/>
          <w:marTop w:val="0"/>
          <w:marBottom w:val="0"/>
          <w:divBdr>
            <w:top w:val="none" w:sz="0" w:space="0" w:color="auto"/>
            <w:left w:val="none" w:sz="0" w:space="0" w:color="auto"/>
            <w:bottom w:val="none" w:sz="0" w:space="0" w:color="auto"/>
            <w:right w:val="none" w:sz="0" w:space="0" w:color="auto"/>
          </w:divBdr>
        </w:div>
        <w:div w:id="774640012">
          <w:marLeft w:val="0"/>
          <w:marRight w:val="0"/>
          <w:marTop w:val="0"/>
          <w:marBottom w:val="0"/>
          <w:divBdr>
            <w:top w:val="none" w:sz="0" w:space="0" w:color="auto"/>
            <w:left w:val="none" w:sz="0" w:space="0" w:color="auto"/>
            <w:bottom w:val="none" w:sz="0" w:space="0" w:color="auto"/>
            <w:right w:val="none" w:sz="0" w:space="0" w:color="auto"/>
          </w:divBdr>
        </w:div>
        <w:div w:id="652828715">
          <w:marLeft w:val="0"/>
          <w:marRight w:val="0"/>
          <w:marTop w:val="0"/>
          <w:marBottom w:val="0"/>
          <w:divBdr>
            <w:top w:val="none" w:sz="0" w:space="0" w:color="auto"/>
            <w:left w:val="none" w:sz="0" w:space="0" w:color="auto"/>
            <w:bottom w:val="none" w:sz="0" w:space="0" w:color="auto"/>
            <w:right w:val="none" w:sz="0" w:space="0" w:color="auto"/>
          </w:divBdr>
        </w:div>
        <w:div w:id="2055540880">
          <w:marLeft w:val="0"/>
          <w:marRight w:val="0"/>
          <w:marTop w:val="0"/>
          <w:marBottom w:val="0"/>
          <w:divBdr>
            <w:top w:val="none" w:sz="0" w:space="0" w:color="auto"/>
            <w:left w:val="none" w:sz="0" w:space="0" w:color="auto"/>
            <w:bottom w:val="none" w:sz="0" w:space="0" w:color="auto"/>
            <w:right w:val="none" w:sz="0" w:space="0" w:color="auto"/>
          </w:divBdr>
        </w:div>
        <w:div w:id="1937983586">
          <w:marLeft w:val="0"/>
          <w:marRight w:val="0"/>
          <w:marTop w:val="0"/>
          <w:marBottom w:val="0"/>
          <w:divBdr>
            <w:top w:val="none" w:sz="0" w:space="0" w:color="auto"/>
            <w:left w:val="none" w:sz="0" w:space="0" w:color="auto"/>
            <w:bottom w:val="none" w:sz="0" w:space="0" w:color="auto"/>
            <w:right w:val="none" w:sz="0" w:space="0" w:color="auto"/>
          </w:divBdr>
        </w:div>
        <w:div w:id="1884824162">
          <w:marLeft w:val="0"/>
          <w:marRight w:val="0"/>
          <w:marTop w:val="0"/>
          <w:marBottom w:val="0"/>
          <w:divBdr>
            <w:top w:val="none" w:sz="0" w:space="0" w:color="auto"/>
            <w:left w:val="none" w:sz="0" w:space="0" w:color="auto"/>
            <w:bottom w:val="none" w:sz="0" w:space="0" w:color="auto"/>
            <w:right w:val="none" w:sz="0" w:space="0" w:color="auto"/>
          </w:divBdr>
        </w:div>
        <w:div w:id="232088153">
          <w:marLeft w:val="0"/>
          <w:marRight w:val="0"/>
          <w:marTop w:val="0"/>
          <w:marBottom w:val="0"/>
          <w:divBdr>
            <w:top w:val="none" w:sz="0" w:space="0" w:color="auto"/>
            <w:left w:val="none" w:sz="0" w:space="0" w:color="auto"/>
            <w:bottom w:val="none" w:sz="0" w:space="0" w:color="auto"/>
            <w:right w:val="none" w:sz="0" w:space="0" w:color="auto"/>
          </w:divBdr>
        </w:div>
        <w:div w:id="388193418">
          <w:marLeft w:val="0"/>
          <w:marRight w:val="0"/>
          <w:marTop w:val="0"/>
          <w:marBottom w:val="0"/>
          <w:divBdr>
            <w:top w:val="none" w:sz="0" w:space="0" w:color="auto"/>
            <w:left w:val="none" w:sz="0" w:space="0" w:color="auto"/>
            <w:bottom w:val="none" w:sz="0" w:space="0" w:color="auto"/>
            <w:right w:val="none" w:sz="0" w:space="0" w:color="auto"/>
          </w:divBdr>
        </w:div>
        <w:div w:id="926692088">
          <w:marLeft w:val="0"/>
          <w:marRight w:val="0"/>
          <w:marTop w:val="0"/>
          <w:marBottom w:val="0"/>
          <w:divBdr>
            <w:top w:val="none" w:sz="0" w:space="0" w:color="auto"/>
            <w:left w:val="none" w:sz="0" w:space="0" w:color="auto"/>
            <w:bottom w:val="none" w:sz="0" w:space="0" w:color="auto"/>
            <w:right w:val="none" w:sz="0" w:space="0" w:color="auto"/>
          </w:divBdr>
        </w:div>
        <w:div w:id="1584802005">
          <w:marLeft w:val="0"/>
          <w:marRight w:val="0"/>
          <w:marTop w:val="0"/>
          <w:marBottom w:val="0"/>
          <w:divBdr>
            <w:top w:val="none" w:sz="0" w:space="0" w:color="auto"/>
            <w:left w:val="none" w:sz="0" w:space="0" w:color="auto"/>
            <w:bottom w:val="none" w:sz="0" w:space="0" w:color="auto"/>
            <w:right w:val="none" w:sz="0" w:space="0" w:color="auto"/>
          </w:divBdr>
        </w:div>
        <w:div w:id="260262402">
          <w:marLeft w:val="0"/>
          <w:marRight w:val="0"/>
          <w:marTop w:val="0"/>
          <w:marBottom w:val="0"/>
          <w:divBdr>
            <w:top w:val="none" w:sz="0" w:space="0" w:color="auto"/>
            <w:left w:val="none" w:sz="0" w:space="0" w:color="auto"/>
            <w:bottom w:val="none" w:sz="0" w:space="0" w:color="auto"/>
            <w:right w:val="none" w:sz="0" w:space="0" w:color="auto"/>
          </w:divBdr>
        </w:div>
        <w:div w:id="1447429322">
          <w:marLeft w:val="0"/>
          <w:marRight w:val="0"/>
          <w:marTop w:val="0"/>
          <w:marBottom w:val="0"/>
          <w:divBdr>
            <w:top w:val="none" w:sz="0" w:space="0" w:color="auto"/>
            <w:left w:val="none" w:sz="0" w:space="0" w:color="auto"/>
            <w:bottom w:val="none" w:sz="0" w:space="0" w:color="auto"/>
            <w:right w:val="none" w:sz="0" w:space="0" w:color="auto"/>
          </w:divBdr>
        </w:div>
        <w:div w:id="1300955254">
          <w:marLeft w:val="0"/>
          <w:marRight w:val="0"/>
          <w:marTop w:val="0"/>
          <w:marBottom w:val="0"/>
          <w:divBdr>
            <w:top w:val="none" w:sz="0" w:space="0" w:color="auto"/>
            <w:left w:val="none" w:sz="0" w:space="0" w:color="auto"/>
            <w:bottom w:val="none" w:sz="0" w:space="0" w:color="auto"/>
            <w:right w:val="none" w:sz="0" w:space="0" w:color="auto"/>
          </w:divBdr>
        </w:div>
        <w:div w:id="1042362073">
          <w:marLeft w:val="0"/>
          <w:marRight w:val="0"/>
          <w:marTop w:val="0"/>
          <w:marBottom w:val="0"/>
          <w:divBdr>
            <w:top w:val="none" w:sz="0" w:space="0" w:color="auto"/>
            <w:left w:val="none" w:sz="0" w:space="0" w:color="auto"/>
            <w:bottom w:val="none" w:sz="0" w:space="0" w:color="auto"/>
            <w:right w:val="none" w:sz="0" w:space="0" w:color="auto"/>
          </w:divBdr>
        </w:div>
        <w:div w:id="1225676255">
          <w:marLeft w:val="0"/>
          <w:marRight w:val="0"/>
          <w:marTop w:val="0"/>
          <w:marBottom w:val="0"/>
          <w:divBdr>
            <w:top w:val="none" w:sz="0" w:space="0" w:color="auto"/>
            <w:left w:val="none" w:sz="0" w:space="0" w:color="auto"/>
            <w:bottom w:val="none" w:sz="0" w:space="0" w:color="auto"/>
            <w:right w:val="none" w:sz="0" w:space="0" w:color="auto"/>
          </w:divBdr>
        </w:div>
        <w:div w:id="1963074756">
          <w:marLeft w:val="0"/>
          <w:marRight w:val="0"/>
          <w:marTop w:val="0"/>
          <w:marBottom w:val="0"/>
          <w:divBdr>
            <w:top w:val="none" w:sz="0" w:space="0" w:color="auto"/>
            <w:left w:val="none" w:sz="0" w:space="0" w:color="auto"/>
            <w:bottom w:val="none" w:sz="0" w:space="0" w:color="auto"/>
            <w:right w:val="none" w:sz="0" w:space="0" w:color="auto"/>
          </w:divBdr>
        </w:div>
        <w:div w:id="69010124">
          <w:marLeft w:val="0"/>
          <w:marRight w:val="0"/>
          <w:marTop w:val="0"/>
          <w:marBottom w:val="0"/>
          <w:divBdr>
            <w:top w:val="none" w:sz="0" w:space="0" w:color="auto"/>
            <w:left w:val="none" w:sz="0" w:space="0" w:color="auto"/>
            <w:bottom w:val="none" w:sz="0" w:space="0" w:color="auto"/>
            <w:right w:val="none" w:sz="0" w:space="0" w:color="auto"/>
          </w:divBdr>
        </w:div>
        <w:div w:id="1294678623">
          <w:marLeft w:val="0"/>
          <w:marRight w:val="0"/>
          <w:marTop w:val="0"/>
          <w:marBottom w:val="0"/>
          <w:divBdr>
            <w:top w:val="none" w:sz="0" w:space="0" w:color="auto"/>
            <w:left w:val="none" w:sz="0" w:space="0" w:color="auto"/>
            <w:bottom w:val="none" w:sz="0" w:space="0" w:color="auto"/>
            <w:right w:val="none" w:sz="0" w:space="0" w:color="auto"/>
          </w:divBdr>
        </w:div>
        <w:div w:id="1780484911">
          <w:marLeft w:val="0"/>
          <w:marRight w:val="0"/>
          <w:marTop w:val="0"/>
          <w:marBottom w:val="0"/>
          <w:divBdr>
            <w:top w:val="none" w:sz="0" w:space="0" w:color="auto"/>
            <w:left w:val="none" w:sz="0" w:space="0" w:color="auto"/>
            <w:bottom w:val="none" w:sz="0" w:space="0" w:color="auto"/>
            <w:right w:val="none" w:sz="0" w:space="0" w:color="auto"/>
          </w:divBdr>
        </w:div>
        <w:div w:id="553351448">
          <w:marLeft w:val="0"/>
          <w:marRight w:val="0"/>
          <w:marTop w:val="0"/>
          <w:marBottom w:val="0"/>
          <w:divBdr>
            <w:top w:val="none" w:sz="0" w:space="0" w:color="auto"/>
            <w:left w:val="none" w:sz="0" w:space="0" w:color="auto"/>
            <w:bottom w:val="none" w:sz="0" w:space="0" w:color="auto"/>
            <w:right w:val="none" w:sz="0" w:space="0" w:color="auto"/>
          </w:divBdr>
        </w:div>
        <w:div w:id="1031803762">
          <w:marLeft w:val="0"/>
          <w:marRight w:val="0"/>
          <w:marTop w:val="0"/>
          <w:marBottom w:val="0"/>
          <w:divBdr>
            <w:top w:val="none" w:sz="0" w:space="0" w:color="auto"/>
            <w:left w:val="none" w:sz="0" w:space="0" w:color="auto"/>
            <w:bottom w:val="none" w:sz="0" w:space="0" w:color="auto"/>
            <w:right w:val="none" w:sz="0" w:space="0" w:color="auto"/>
          </w:divBdr>
        </w:div>
        <w:div w:id="490680720">
          <w:marLeft w:val="0"/>
          <w:marRight w:val="0"/>
          <w:marTop w:val="0"/>
          <w:marBottom w:val="0"/>
          <w:divBdr>
            <w:top w:val="none" w:sz="0" w:space="0" w:color="auto"/>
            <w:left w:val="none" w:sz="0" w:space="0" w:color="auto"/>
            <w:bottom w:val="none" w:sz="0" w:space="0" w:color="auto"/>
            <w:right w:val="none" w:sz="0" w:space="0" w:color="auto"/>
          </w:divBdr>
        </w:div>
        <w:div w:id="1749840797">
          <w:marLeft w:val="0"/>
          <w:marRight w:val="0"/>
          <w:marTop w:val="0"/>
          <w:marBottom w:val="0"/>
          <w:divBdr>
            <w:top w:val="none" w:sz="0" w:space="0" w:color="auto"/>
            <w:left w:val="none" w:sz="0" w:space="0" w:color="auto"/>
            <w:bottom w:val="none" w:sz="0" w:space="0" w:color="auto"/>
            <w:right w:val="none" w:sz="0" w:space="0" w:color="auto"/>
          </w:divBdr>
        </w:div>
        <w:div w:id="2022511632">
          <w:marLeft w:val="0"/>
          <w:marRight w:val="0"/>
          <w:marTop w:val="0"/>
          <w:marBottom w:val="0"/>
          <w:divBdr>
            <w:top w:val="none" w:sz="0" w:space="0" w:color="auto"/>
            <w:left w:val="none" w:sz="0" w:space="0" w:color="auto"/>
            <w:bottom w:val="none" w:sz="0" w:space="0" w:color="auto"/>
            <w:right w:val="none" w:sz="0" w:space="0" w:color="auto"/>
          </w:divBdr>
        </w:div>
        <w:div w:id="932083919">
          <w:marLeft w:val="0"/>
          <w:marRight w:val="0"/>
          <w:marTop w:val="0"/>
          <w:marBottom w:val="0"/>
          <w:divBdr>
            <w:top w:val="none" w:sz="0" w:space="0" w:color="auto"/>
            <w:left w:val="none" w:sz="0" w:space="0" w:color="auto"/>
            <w:bottom w:val="none" w:sz="0" w:space="0" w:color="auto"/>
            <w:right w:val="none" w:sz="0" w:space="0" w:color="auto"/>
          </w:divBdr>
        </w:div>
        <w:div w:id="1173032345">
          <w:marLeft w:val="0"/>
          <w:marRight w:val="0"/>
          <w:marTop w:val="0"/>
          <w:marBottom w:val="0"/>
          <w:divBdr>
            <w:top w:val="none" w:sz="0" w:space="0" w:color="auto"/>
            <w:left w:val="none" w:sz="0" w:space="0" w:color="auto"/>
            <w:bottom w:val="none" w:sz="0" w:space="0" w:color="auto"/>
            <w:right w:val="none" w:sz="0" w:space="0" w:color="auto"/>
          </w:divBdr>
        </w:div>
        <w:div w:id="913204916">
          <w:marLeft w:val="0"/>
          <w:marRight w:val="0"/>
          <w:marTop w:val="0"/>
          <w:marBottom w:val="0"/>
          <w:divBdr>
            <w:top w:val="none" w:sz="0" w:space="0" w:color="auto"/>
            <w:left w:val="none" w:sz="0" w:space="0" w:color="auto"/>
            <w:bottom w:val="none" w:sz="0" w:space="0" w:color="auto"/>
            <w:right w:val="none" w:sz="0" w:space="0" w:color="auto"/>
          </w:divBdr>
        </w:div>
        <w:div w:id="517816672">
          <w:marLeft w:val="0"/>
          <w:marRight w:val="0"/>
          <w:marTop w:val="0"/>
          <w:marBottom w:val="0"/>
          <w:divBdr>
            <w:top w:val="none" w:sz="0" w:space="0" w:color="auto"/>
            <w:left w:val="none" w:sz="0" w:space="0" w:color="auto"/>
            <w:bottom w:val="none" w:sz="0" w:space="0" w:color="auto"/>
            <w:right w:val="none" w:sz="0" w:space="0" w:color="auto"/>
          </w:divBdr>
        </w:div>
        <w:div w:id="592057743">
          <w:marLeft w:val="0"/>
          <w:marRight w:val="0"/>
          <w:marTop w:val="0"/>
          <w:marBottom w:val="0"/>
          <w:divBdr>
            <w:top w:val="none" w:sz="0" w:space="0" w:color="auto"/>
            <w:left w:val="none" w:sz="0" w:space="0" w:color="auto"/>
            <w:bottom w:val="none" w:sz="0" w:space="0" w:color="auto"/>
            <w:right w:val="none" w:sz="0" w:space="0" w:color="auto"/>
          </w:divBdr>
        </w:div>
        <w:div w:id="784540156">
          <w:marLeft w:val="0"/>
          <w:marRight w:val="0"/>
          <w:marTop w:val="0"/>
          <w:marBottom w:val="0"/>
          <w:divBdr>
            <w:top w:val="none" w:sz="0" w:space="0" w:color="auto"/>
            <w:left w:val="none" w:sz="0" w:space="0" w:color="auto"/>
            <w:bottom w:val="none" w:sz="0" w:space="0" w:color="auto"/>
            <w:right w:val="none" w:sz="0" w:space="0" w:color="auto"/>
          </w:divBdr>
        </w:div>
        <w:div w:id="1643267999">
          <w:marLeft w:val="0"/>
          <w:marRight w:val="0"/>
          <w:marTop w:val="0"/>
          <w:marBottom w:val="0"/>
          <w:divBdr>
            <w:top w:val="none" w:sz="0" w:space="0" w:color="auto"/>
            <w:left w:val="none" w:sz="0" w:space="0" w:color="auto"/>
            <w:bottom w:val="none" w:sz="0" w:space="0" w:color="auto"/>
            <w:right w:val="none" w:sz="0" w:space="0" w:color="auto"/>
          </w:divBdr>
        </w:div>
        <w:div w:id="1150944682">
          <w:marLeft w:val="0"/>
          <w:marRight w:val="0"/>
          <w:marTop w:val="0"/>
          <w:marBottom w:val="0"/>
          <w:divBdr>
            <w:top w:val="none" w:sz="0" w:space="0" w:color="auto"/>
            <w:left w:val="none" w:sz="0" w:space="0" w:color="auto"/>
            <w:bottom w:val="none" w:sz="0" w:space="0" w:color="auto"/>
            <w:right w:val="none" w:sz="0" w:space="0" w:color="auto"/>
          </w:divBdr>
        </w:div>
        <w:div w:id="1694502120">
          <w:marLeft w:val="0"/>
          <w:marRight w:val="0"/>
          <w:marTop w:val="0"/>
          <w:marBottom w:val="0"/>
          <w:divBdr>
            <w:top w:val="none" w:sz="0" w:space="0" w:color="auto"/>
            <w:left w:val="none" w:sz="0" w:space="0" w:color="auto"/>
            <w:bottom w:val="none" w:sz="0" w:space="0" w:color="auto"/>
            <w:right w:val="none" w:sz="0" w:space="0" w:color="auto"/>
          </w:divBdr>
        </w:div>
        <w:div w:id="899485686">
          <w:marLeft w:val="0"/>
          <w:marRight w:val="0"/>
          <w:marTop w:val="0"/>
          <w:marBottom w:val="0"/>
          <w:divBdr>
            <w:top w:val="none" w:sz="0" w:space="0" w:color="auto"/>
            <w:left w:val="none" w:sz="0" w:space="0" w:color="auto"/>
            <w:bottom w:val="none" w:sz="0" w:space="0" w:color="auto"/>
            <w:right w:val="none" w:sz="0" w:space="0" w:color="auto"/>
          </w:divBdr>
        </w:div>
        <w:div w:id="1851094065">
          <w:marLeft w:val="0"/>
          <w:marRight w:val="0"/>
          <w:marTop w:val="0"/>
          <w:marBottom w:val="0"/>
          <w:divBdr>
            <w:top w:val="none" w:sz="0" w:space="0" w:color="auto"/>
            <w:left w:val="none" w:sz="0" w:space="0" w:color="auto"/>
            <w:bottom w:val="none" w:sz="0" w:space="0" w:color="auto"/>
            <w:right w:val="none" w:sz="0" w:space="0" w:color="auto"/>
          </w:divBdr>
        </w:div>
        <w:div w:id="817069508">
          <w:marLeft w:val="0"/>
          <w:marRight w:val="0"/>
          <w:marTop w:val="0"/>
          <w:marBottom w:val="0"/>
          <w:divBdr>
            <w:top w:val="none" w:sz="0" w:space="0" w:color="auto"/>
            <w:left w:val="none" w:sz="0" w:space="0" w:color="auto"/>
            <w:bottom w:val="none" w:sz="0" w:space="0" w:color="auto"/>
            <w:right w:val="none" w:sz="0" w:space="0" w:color="auto"/>
          </w:divBdr>
        </w:div>
      </w:divsChild>
    </w:div>
    <w:div w:id="1508866836">
      <w:bodyDiv w:val="1"/>
      <w:marLeft w:val="0"/>
      <w:marRight w:val="0"/>
      <w:marTop w:val="0"/>
      <w:marBottom w:val="0"/>
      <w:divBdr>
        <w:top w:val="none" w:sz="0" w:space="0" w:color="auto"/>
        <w:left w:val="none" w:sz="0" w:space="0" w:color="auto"/>
        <w:bottom w:val="none" w:sz="0" w:space="0" w:color="auto"/>
        <w:right w:val="none" w:sz="0" w:space="0" w:color="auto"/>
      </w:divBdr>
    </w:div>
    <w:div w:id="1576665852">
      <w:bodyDiv w:val="1"/>
      <w:marLeft w:val="0"/>
      <w:marRight w:val="0"/>
      <w:marTop w:val="0"/>
      <w:marBottom w:val="0"/>
      <w:divBdr>
        <w:top w:val="none" w:sz="0" w:space="0" w:color="auto"/>
        <w:left w:val="none" w:sz="0" w:space="0" w:color="auto"/>
        <w:bottom w:val="none" w:sz="0" w:space="0" w:color="auto"/>
        <w:right w:val="none" w:sz="0" w:space="0" w:color="auto"/>
      </w:divBdr>
    </w:div>
    <w:div w:id="1706709984">
      <w:bodyDiv w:val="1"/>
      <w:marLeft w:val="0"/>
      <w:marRight w:val="0"/>
      <w:marTop w:val="0"/>
      <w:marBottom w:val="0"/>
      <w:divBdr>
        <w:top w:val="none" w:sz="0" w:space="0" w:color="auto"/>
        <w:left w:val="none" w:sz="0" w:space="0" w:color="auto"/>
        <w:bottom w:val="none" w:sz="0" w:space="0" w:color="auto"/>
        <w:right w:val="none" w:sz="0" w:space="0" w:color="auto"/>
      </w:divBdr>
    </w:div>
    <w:div w:id="1743212314">
      <w:bodyDiv w:val="1"/>
      <w:marLeft w:val="0"/>
      <w:marRight w:val="0"/>
      <w:marTop w:val="0"/>
      <w:marBottom w:val="0"/>
      <w:divBdr>
        <w:top w:val="none" w:sz="0" w:space="0" w:color="auto"/>
        <w:left w:val="none" w:sz="0" w:space="0" w:color="auto"/>
        <w:bottom w:val="none" w:sz="0" w:space="0" w:color="auto"/>
        <w:right w:val="none" w:sz="0" w:space="0" w:color="auto"/>
      </w:divBdr>
    </w:div>
    <w:div w:id="1802383415">
      <w:bodyDiv w:val="1"/>
      <w:marLeft w:val="0"/>
      <w:marRight w:val="0"/>
      <w:marTop w:val="0"/>
      <w:marBottom w:val="0"/>
      <w:divBdr>
        <w:top w:val="none" w:sz="0" w:space="0" w:color="auto"/>
        <w:left w:val="none" w:sz="0" w:space="0" w:color="auto"/>
        <w:bottom w:val="none" w:sz="0" w:space="0" w:color="auto"/>
        <w:right w:val="none" w:sz="0" w:space="0" w:color="auto"/>
      </w:divBdr>
    </w:div>
    <w:div w:id="1872263891">
      <w:bodyDiv w:val="1"/>
      <w:marLeft w:val="0"/>
      <w:marRight w:val="0"/>
      <w:marTop w:val="0"/>
      <w:marBottom w:val="0"/>
      <w:divBdr>
        <w:top w:val="none" w:sz="0" w:space="0" w:color="auto"/>
        <w:left w:val="none" w:sz="0" w:space="0" w:color="auto"/>
        <w:bottom w:val="none" w:sz="0" w:space="0" w:color="auto"/>
        <w:right w:val="none" w:sz="0" w:space="0" w:color="auto"/>
      </w:divBdr>
    </w:div>
    <w:div w:id="1960918898">
      <w:bodyDiv w:val="1"/>
      <w:marLeft w:val="0"/>
      <w:marRight w:val="0"/>
      <w:marTop w:val="0"/>
      <w:marBottom w:val="0"/>
      <w:divBdr>
        <w:top w:val="none" w:sz="0" w:space="0" w:color="auto"/>
        <w:left w:val="none" w:sz="0" w:space="0" w:color="auto"/>
        <w:bottom w:val="none" w:sz="0" w:space="0" w:color="auto"/>
        <w:right w:val="none" w:sz="0" w:space="0" w:color="auto"/>
      </w:divBdr>
    </w:div>
    <w:div w:id="1969319003">
      <w:bodyDiv w:val="1"/>
      <w:marLeft w:val="0"/>
      <w:marRight w:val="0"/>
      <w:marTop w:val="0"/>
      <w:marBottom w:val="0"/>
      <w:divBdr>
        <w:top w:val="none" w:sz="0" w:space="0" w:color="auto"/>
        <w:left w:val="none" w:sz="0" w:space="0" w:color="auto"/>
        <w:bottom w:val="none" w:sz="0" w:space="0" w:color="auto"/>
        <w:right w:val="none" w:sz="0" w:space="0" w:color="auto"/>
      </w:divBdr>
    </w:div>
    <w:div w:id="1981038577">
      <w:bodyDiv w:val="1"/>
      <w:marLeft w:val="0"/>
      <w:marRight w:val="0"/>
      <w:marTop w:val="0"/>
      <w:marBottom w:val="0"/>
      <w:divBdr>
        <w:top w:val="none" w:sz="0" w:space="0" w:color="auto"/>
        <w:left w:val="none" w:sz="0" w:space="0" w:color="auto"/>
        <w:bottom w:val="none" w:sz="0" w:space="0" w:color="auto"/>
        <w:right w:val="none" w:sz="0" w:space="0" w:color="auto"/>
      </w:divBdr>
    </w:div>
    <w:div w:id="1995722289">
      <w:bodyDiv w:val="1"/>
      <w:marLeft w:val="0"/>
      <w:marRight w:val="0"/>
      <w:marTop w:val="0"/>
      <w:marBottom w:val="0"/>
      <w:divBdr>
        <w:top w:val="none" w:sz="0" w:space="0" w:color="auto"/>
        <w:left w:val="none" w:sz="0" w:space="0" w:color="auto"/>
        <w:bottom w:val="none" w:sz="0" w:space="0" w:color="auto"/>
        <w:right w:val="none" w:sz="0" w:space="0" w:color="auto"/>
      </w:divBdr>
    </w:div>
    <w:div w:id="2038001940">
      <w:bodyDiv w:val="1"/>
      <w:marLeft w:val="0"/>
      <w:marRight w:val="0"/>
      <w:marTop w:val="0"/>
      <w:marBottom w:val="0"/>
      <w:divBdr>
        <w:top w:val="none" w:sz="0" w:space="0" w:color="auto"/>
        <w:left w:val="none" w:sz="0" w:space="0" w:color="auto"/>
        <w:bottom w:val="none" w:sz="0" w:space="0" w:color="auto"/>
        <w:right w:val="none" w:sz="0" w:space="0" w:color="auto"/>
      </w:divBdr>
    </w:div>
    <w:div w:id="2112122861">
      <w:bodyDiv w:val="1"/>
      <w:marLeft w:val="0"/>
      <w:marRight w:val="0"/>
      <w:marTop w:val="0"/>
      <w:marBottom w:val="0"/>
      <w:divBdr>
        <w:top w:val="none" w:sz="0" w:space="0" w:color="auto"/>
        <w:left w:val="none" w:sz="0" w:space="0" w:color="auto"/>
        <w:bottom w:val="none" w:sz="0" w:space="0" w:color="auto"/>
        <w:right w:val="none" w:sz="0" w:space="0" w:color="auto"/>
      </w:divBdr>
    </w:div>
    <w:div w:id="2132476685">
      <w:bodyDiv w:val="1"/>
      <w:marLeft w:val="0"/>
      <w:marRight w:val="0"/>
      <w:marTop w:val="0"/>
      <w:marBottom w:val="0"/>
      <w:divBdr>
        <w:top w:val="none" w:sz="0" w:space="0" w:color="auto"/>
        <w:left w:val="none" w:sz="0" w:space="0" w:color="auto"/>
        <w:bottom w:val="none" w:sz="0" w:space="0" w:color="auto"/>
        <w:right w:val="none" w:sz="0" w:space="0" w:color="auto"/>
      </w:divBdr>
    </w:div>
    <w:div w:id="21459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64703-7BC2-499A-B451-93994CA7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19118</Words>
  <Characters>105152</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Christian Schetsche</cp:lastModifiedBy>
  <cp:revision>25</cp:revision>
  <dcterms:created xsi:type="dcterms:W3CDTF">2020-12-22T13:27:00Z</dcterms:created>
  <dcterms:modified xsi:type="dcterms:W3CDTF">2021-01-23T17:38:00Z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http://www.zotero.org/styles/thieme-german</vt:lpwstr>
  </property>
  <property fmtid="{D5CDD505-2E9C-101B-9397-08002B2CF9AE}" pid="21" name="Mendeley Recent Style Name 9_1">
    <vt:lpwstr>Thieme-German (German)</vt:lpwstr>
  </property>
  <property fmtid="{D5CDD505-2E9C-101B-9397-08002B2CF9AE}" pid="22" name="Mendeley Document_1">
    <vt:lpwstr>True</vt:lpwstr>
  </property>
  <property fmtid="{D5CDD505-2E9C-101B-9397-08002B2CF9AE}" pid="23" name="Mendeley Unique User Id_1">
    <vt:lpwstr>355e1db2-d01f-35ec-b2cf-70155c3d5be3</vt:lpwstr>
  </property>
  <property fmtid="{D5CDD505-2E9C-101B-9397-08002B2CF9AE}" pid="24" name="Mendeley Citation Style_1">
    <vt:lpwstr>http://www.zotero.org/styles/apa-6th-edition</vt:lpwstr>
  </property>
</Properties>
</file>