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E5255" w14:textId="476A434B" w:rsidR="00C413D4" w:rsidRPr="005911B0" w:rsidRDefault="00153DC5" w:rsidP="00D779C8">
      <w:pPr>
        <w:pStyle w:val="Titulodeartculo"/>
        <w:rPr>
          <w:lang w:val="en-US"/>
        </w:rPr>
      </w:pPr>
      <w:r w:rsidRPr="005911B0">
        <w:rPr>
          <w:lang w:val="en-US"/>
        </w:rPr>
        <w:t xml:space="preserve"> </w:t>
      </w:r>
      <w:r w:rsidR="00D779C8" w:rsidRPr="00D779C8">
        <w:rPr>
          <w:lang w:val="en"/>
        </w:rPr>
        <w:t xml:space="preserve">Coping Strategies and </w:t>
      </w:r>
      <w:r w:rsidR="00D779C8">
        <w:rPr>
          <w:lang w:val="en"/>
        </w:rPr>
        <w:t>t</w:t>
      </w:r>
      <w:r w:rsidR="00D779C8" w:rsidRPr="00D779C8">
        <w:rPr>
          <w:lang w:val="en"/>
        </w:rPr>
        <w:t xml:space="preserve">heir Positive or Negative Effect on </w:t>
      </w:r>
      <w:r w:rsidR="005B7764">
        <w:rPr>
          <w:lang w:val="en"/>
        </w:rPr>
        <w:t xml:space="preserve">University Students’ </w:t>
      </w:r>
      <w:r w:rsidR="00D779C8" w:rsidRPr="00D779C8">
        <w:rPr>
          <w:lang w:val="en"/>
        </w:rPr>
        <w:t xml:space="preserve">Psychological Well-being </w:t>
      </w:r>
      <w:r w:rsidR="005B7764">
        <w:rPr>
          <w:lang w:val="en"/>
        </w:rPr>
        <w:t>d</w:t>
      </w:r>
      <w:r w:rsidR="00D779C8" w:rsidRPr="00D779C8">
        <w:rPr>
          <w:lang w:val="en"/>
        </w:rPr>
        <w:t>uring the COVID-19 Pandemic</w:t>
      </w:r>
    </w:p>
    <w:p w14:paraId="6C942DCA" w14:textId="77777777" w:rsidR="00B845A1" w:rsidRPr="005911B0" w:rsidRDefault="00B845A1" w:rsidP="00C413D4">
      <w:pPr>
        <w:rPr>
          <w:i/>
          <w:sz w:val="28"/>
          <w:szCs w:val="28"/>
          <w:lang w:val="en-US"/>
        </w:rPr>
      </w:pPr>
    </w:p>
    <w:p w14:paraId="0BAD9FA3" w14:textId="098C1666" w:rsidR="00C413D4" w:rsidRPr="005911B0" w:rsidRDefault="00C413D4" w:rsidP="00C413D4">
      <w:pPr>
        <w:rPr>
          <w:rFonts w:ascii="Times" w:hAnsi="Times"/>
          <w:i/>
          <w:sz w:val="28"/>
          <w:szCs w:val="28"/>
          <w:lang w:val="en-US"/>
        </w:rPr>
      </w:pPr>
      <w:r w:rsidRPr="00D779C8">
        <w:rPr>
          <w:noProof/>
          <w:lang w:val="es-ES" w:eastAsia="es-ES"/>
        </w:rPr>
        <mc:AlternateContent>
          <mc:Choice Requires="wps">
            <w:drawing>
              <wp:anchor distT="4294967295" distB="4294967295" distL="114300" distR="114300" simplePos="0" relativeHeight="251658240"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svg="http://schemas.microsoft.com/office/drawing/2016/SVG/main" xmlns:pic="http://schemas.openxmlformats.org/drawingml/2006/picture" xmlns:a="http://schemas.openxmlformats.org/drawingml/2006/main">
            <w:pict w14:anchorId="38E54874">
              <v:line id="Straight Connector 8"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windowText" strokeweight="2pt" from="0,5.25pt" to="486pt,5.25pt" w14:anchorId="34FA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o:lock v:ext="edit" shapetype="f"/>
              </v:line>
            </w:pict>
          </mc:Fallback>
        </mc:AlternateContent>
      </w:r>
    </w:p>
    <w:p w14:paraId="1B312314" w14:textId="77777777" w:rsidR="00C413D4" w:rsidRPr="005911B0" w:rsidRDefault="00C413D4" w:rsidP="00C413D4">
      <w:pPr>
        <w:rPr>
          <w:b/>
          <w:sz w:val="20"/>
          <w:szCs w:val="20"/>
          <w:lang w:val="en-US"/>
        </w:rPr>
      </w:pPr>
    </w:p>
    <w:p w14:paraId="61F0B918" w14:textId="7AB7DCB9" w:rsidR="00C43335" w:rsidRPr="00010C48" w:rsidRDefault="00C413D4" w:rsidP="00C43335">
      <w:pPr>
        <w:pStyle w:val="TtuloResumen"/>
        <w:rPr>
          <w:lang w:val="en-US"/>
        </w:rPr>
      </w:pPr>
      <w:r w:rsidRPr="00010C48">
        <w:rPr>
          <w:lang w:val="en-US"/>
        </w:rPr>
        <w:t>Abstract</w:t>
      </w:r>
    </w:p>
    <w:p w14:paraId="72A0B438" w14:textId="64F3CC70" w:rsidR="00D779C8" w:rsidRPr="00010C48" w:rsidRDefault="00D779C8" w:rsidP="00D779C8">
      <w:pPr>
        <w:jc w:val="both"/>
        <w:rPr>
          <w:sz w:val="20"/>
          <w:szCs w:val="20"/>
          <w:lang w:val="en-US"/>
        </w:rPr>
      </w:pPr>
      <w:r w:rsidRPr="00010C48">
        <w:rPr>
          <w:sz w:val="20"/>
          <w:szCs w:val="20"/>
          <w:lang w:val="en-US"/>
        </w:rPr>
        <w:t xml:space="preserve">This study aimed to determine which coping strategies influence psychological well-being of university students in the Dominican Republic during the COVID-19 pandemic. Participants from a private university in Santo Domingo between 18-25 participated (n=135). They completed an online survey with a sociodemographic section, the Psychological Well-being Scale (EBP), and the Coping Orientation to Problems Experienced scale (COPE-48). Six multiple regression analyses with forward selection were conducted to create prediction models for each dimension of psychological well-being with coping strategies' dimensions as independent variables. The models explained 23% to 40% of the psychological well-being variance.  A factor analysis classified the coping strategies as (1) positive, exerting a positive influence on well-being, and (2) negative, exerting a negative effect on well-being. The models' positive strategies were: (1) acceptance and personal growth and (2) search for social support. The model's negative strategies were: (1) alcohol or drug use, (2) focus on emotions and vent, (3) denial, and (4) restrain coping. Physical distancing measures and mistrust of health authorities during the pandemic make it difficult to engage in positive coping strategies, allowing people to more easily engage in strategies that negatively affect psychological well-being, increasing the risk of developing clinically relevant symptoms. </w:t>
      </w:r>
    </w:p>
    <w:p w14:paraId="547103FF" w14:textId="77777777" w:rsidR="00C413D4" w:rsidRPr="00010C48" w:rsidRDefault="00C413D4" w:rsidP="00C413D4">
      <w:pPr>
        <w:rPr>
          <w:sz w:val="20"/>
          <w:szCs w:val="20"/>
          <w:lang w:val="en-US"/>
        </w:rPr>
      </w:pPr>
    </w:p>
    <w:p w14:paraId="0EB33005" w14:textId="77777777" w:rsidR="00C413D4" w:rsidRPr="00010C48" w:rsidRDefault="00C413D4" w:rsidP="00C413D4">
      <w:pPr>
        <w:rPr>
          <w:b/>
          <w:sz w:val="20"/>
          <w:szCs w:val="20"/>
          <w:lang w:val="en-US"/>
        </w:rPr>
      </w:pPr>
      <w:r w:rsidRPr="00010C48">
        <w:rPr>
          <w:b/>
          <w:sz w:val="20"/>
          <w:szCs w:val="20"/>
          <w:lang w:val="en-US"/>
        </w:rPr>
        <w:t>Keywords</w:t>
      </w:r>
    </w:p>
    <w:p w14:paraId="120BB988" w14:textId="77777777" w:rsidR="00D779C8" w:rsidRPr="00010C48" w:rsidRDefault="00D779C8" w:rsidP="00D779C8">
      <w:pPr>
        <w:jc w:val="both"/>
        <w:rPr>
          <w:sz w:val="20"/>
          <w:szCs w:val="20"/>
          <w:lang w:val="en-US"/>
        </w:rPr>
      </w:pPr>
      <w:r w:rsidRPr="00010C48">
        <w:rPr>
          <w:sz w:val="20"/>
          <w:szCs w:val="20"/>
          <w:lang w:val="en-US"/>
        </w:rPr>
        <w:t>Psychological Well-being; Coping; COVID-19; Dominican Republic</w:t>
      </w:r>
    </w:p>
    <w:p w14:paraId="3C2A8692" w14:textId="66D94A7B" w:rsidR="00153DC5" w:rsidRPr="005911B0" w:rsidRDefault="00153DC5" w:rsidP="007A7C7C">
      <w:pPr>
        <w:jc w:val="both"/>
        <w:rPr>
          <w:bCs/>
          <w:sz w:val="20"/>
          <w:szCs w:val="20"/>
          <w:lang w:val="en-US"/>
        </w:rPr>
      </w:pPr>
    </w:p>
    <w:p w14:paraId="390B33BD" w14:textId="77777777" w:rsidR="00D779C8" w:rsidRPr="005911B0" w:rsidRDefault="00D779C8" w:rsidP="007A7C7C">
      <w:pPr>
        <w:jc w:val="both"/>
        <w:rPr>
          <w:bCs/>
          <w:sz w:val="20"/>
          <w:szCs w:val="20"/>
          <w:lang w:val="en-US"/>
        </w:rPr>
      </w:pPr>
    </w:p>
    <w:p w14:paraId="1D18B459" w14:textId="66788A19" w:rsidR="009E37BF" w:rsidRPr="00D779C8" w:rsidRDefault="009E37BF" w:rsidP="009E37BF">
      <w:pPr>
        <w:pBdr>
          <w:top w:val="nil"/>
          <w:left w:val="nil"/>
          <w:bottom w:val="nil"/>
          <w:right w:val="nil"/>
          <w:between w:val="nil"/>
        </w:pBdr>
        <w:spacing w:after="120"/>
        <w:jc w:val="center"/>
        <w:rPr>
          <w:b/>
          <w:smallCaps/>
          <w:color w:val="000000"/>
          <w:sz w:val="20"/>
          <w:szCs w:val="20"/>
          <w:lang w:val="es-ES"/>
        </w:rPr>
      </w:pPr>
      <w:r w:rsidRPr="00D779C8">
        <w:rPr>
          <w:b/>
          <w:smallCaps/>
          <w:color w:val="000000"/>
          <w:sz w:val="20"/>
          <w:szCs w:val="20"/>
          <w:lang w:val="es-ES"/>
        </w:rPr>
        <w:t>Resumen</w:t>
      </w:r>
    </w:p>
    <w:p w14:paraId="7F46411D" w14:textId="562D1E17" w:rsidR="005B7764" w:rsidRPr="005B7764" w:rsidRDefault="005B7764" w:rsidP="005B7764">
      <w:pPr>
        <w:jc w:val="both"/>
        <w:rPr>
          <w:sz w:val="20"/>
          <w:szCs w:val="20"/>
          <w:lang w:val="es-ES"/>
        </w:rPr>
      </w:pPr>
      <w:r>
        <w:rPr>
          <w:sz w:val="20"/>
          <w:szCs w:val="20"/>
          <w:lang w:val="es-ES"/>
        </w:rPr>
        <w:t>Este estudio exploró</w:t>
      </w:r>
      <w:r w:rsidRPr="005B7764">
        <w:rPr>
          <w:sz w:val="20"/>
          <w:szCs w:val="20"/>
          <w:lang w:val="es-ES"/>
        </w:rPr>
        <w:t xml:space="preserve"> </w:t>
      </w:r>
      <w:r>
        <w:rPr>
          <w:sz w:val="20"/>
          <w:szCs w:val="20"/>
          <w:lang w:val="es-ES"/>
        </w:rPr>
        <w:t>la influencia de las estrategias de afrontamiento en el bienestar psicológico de</w:t>
      </w:r>
      <w:r w:rsidRPr="005B7764">
        <w:rPr>
          <w:sz w:val="20"/>
          <w:szCs w:val="20"/>
          <w:lang w:val="es-ES"/>
        </w:rPr>
        <w:t xml:space="preserve"> estudiantes universitarios </w:t>
      </w:r>
      <w:r>
        <w:rPr>
          <w:sz w:val="20"/>
          <w:szCs w:val="20"/>
          <w:lang w:val="es-ES"/>
        </w:rPr>
        <w:t>dominicanos</w:t>
      </w:r>
      <w:r w:rsidRPr="005B7764">
        <w:rPr>
          <w:sz w:val="20"/>
          <w:szCs w:val="20"/>
          <w:lang w:val="es-ES"/>
        </w:rPr>
        <w:t xml:space="preserve"> durante la pandemia del COVID-19. Participaron 135 estudiantes de una universidad privada entre 18 y 25 años, </w:t>
      </w:r>
      <w:r>
        <w:rPr>
          <w:sz w:val="20"/>
          <w:szCs w:val="20"/>
          <w:lang w:val="es-ES"/>
        </w:rPr>
        <w:t>completando</w:t>
      </w:r>
      <w:r w:rsidRPr="005B7764">
        <w:rPr>
          <w:sz w:val="20"/>
          <w:szCs w:val="20"/>
          <w:lang w:val="es-ES"/>
        </w:rPr>
        <w:t xml:space="preserve"> una encuesta </w:t>
      </w:r>
      <w:r>
        <w:rPr>
          <w:sz w:val="20"/>
          <w:szCs w:val="20"/>
          <w:lang w:val="es-ES"/>
        </w:rPr>
        <w:t>virtual</w:t>
      </w:r>
      <w:r w:rsidRPr="005B7764">
        <w:rPr>
          <w:sz w:val="20"/>
          <w:szCs w:val="20"/>
          <w:lang w:val="es-ES"/>
        </w:rPr>
        <w:t xml:space="preserve"> con </w:t>
      </w:r>
      <w:r>
        <w:rPr>
          <w:sz w:val="20"/>
          <w:szCs w:val="20"/>
          <w:lang w:val="es-ES"/>
        </w:rPr>
        <w:t xml:space="preserve">la </w:t>
      </w:r>
      <w:r w:rsidRPr="005B7764">
        <w:rPr>
          <w:sz w:val="20"/>
          <w:szCs w:val="20"/>
          <w:lang w:val="es-ES"/>
        </w:rPr>
        <w:t xml:space="preserve">Escala de Bienestar Psicológico (EBP) y la escala de Orientación hacia el Afrontamiento de Problemas Experimentados (COPE-48). </w:t>
      </w:r>
      <w:r>
        <w:rPr>
          <w:sz w:val="20"/>
          <w:szCs w:val="20"/>
          <w:lang w:val="es-ES"/>
        </w:rPr>
        <w:t xml:space="preserve">Seis regresiones múltiples con selección forward crearon modelos de predicción de cada </w:t>
      </w:r>
      <w:r w:rsidRPr="005B7764">
        <w:rPr>
          <w:sz w:val="20"/>
          <w:szCs w:val="20"/>
          <w:lang w:val="es-ES"/>
        </w:rPr>
        <w:t xml:space="preserve">dimensión del bienestar psicológico con las estrategias de afrontamiento como variables independientes. Los modelos explicaron </w:t>
      </w:r>
      <w:r>
        <w:rPr>
          <w:sz w:val="20"/>
          <w:szCs w:val="20"/>
          <w:lang w:val="es-ES"/>
        </w:rPr>
        <w:t>del</w:t>
      </w:r>
      <w:r w:rsidRPr="005B7764">
        <w:rPr>
          <w:sz w:val="20"/>
          <w:szCs w:val="20"/>
          <w:lang w:val="es-ES"/>
        </w:rPr>
        <w:t xml:space="preserve"> 23% </w:t>
      </w:r>
      <w:r>
        <w:rPr>
          <w:sz w:val="20"/>
          <w:szCs w:val="20"/>
          <w:lang w:val="es-ES"/>
        </w:rPr>
        <w:t>al</w:t>
      </w:r>
      <w:r w:rsidRPr="005B7764">
        <w:rPr>
          <w:sz w:val="20"/>
          <w:szCs w:val="20"/>
          <w:lang w:val="es-ES"/>
        </w:rPr>
        <w:t xml:space="preserve"> 40% de la varianza del bienestar psicológico. Un análisis factorial clasificó las estrategias de afrontamiento en: (1) positivas, ejerciendo una influencia positiva en el bienestar; y (2) negativas, ejerciendo una influencia negativa en el bienestar. Las estrategias positivas </w:t>
      </w:r>
      <w:r>
        <w:rPr>
          <w:sz w:val="20"/>
          <w:szCs w:val="20"/>
          <w:lang w:val="es-ES"/>
        </w:rPr>
        <w:t>significativas</w:t>
      </w:r>
      <w:r w:rsidRPr="005B7764">
        <w:rPr>
          <w:sz w:val="20"/>
          <w:szCs w:val="20"/>
          <w:lang w:val="es-ES"/>
        </w:rPr>
        <w:t xml:space="preserve"> fueron: (1) aceptación y crecimiento personal y (2) búsqueda de apoyo social. Las estrategias negativas </w:t>
      </w:r>
      <w:r>
        <w:rPr>
          <w:sz w:val="20"/>
          <w:szCs w:val="20"/>
          <w:lang w:val="es-ES"/>
        </w:rPr>
        <w:t>significativas</w:t>
      </w:r>
      <w:r w:rsidRPr="005B7764">
        <w:rPr>
          <w:sz w:val="20"/>
          <w:szCs w:val="20"/>
          <w:lang w:val="es-ES"/>
        </w:rPr>
        <w:t xml:space="preserve"> fueron: (1) consumo de alcohol</w:t>
      </w:r>
      <w:r>
        <w:rPr>
          <w:sz w:val="20"/>
          <w:szCs w:val="20"/>
          <w:lang w:val="es-ES"/>
        </w:rPr>
        <w:t xml:space="preserve"> o </w:t>
      </w:r>
      <w:r w:rsidRPr="005B7764">
        <w:rPr>
          <w:sz w:val="20"/>
          <w:szCs w:val="20"/>
          <w:lang w:val="es-ES"/>
        </w:rPr>
        <w:t xml:space="preserve">drogas, (2) centrarse en las emociones y desahogarse, (3) negación, y (4) refrenar el afrontamiento. Las medidas de distanciamiento y la desconfianza </w:t>
      </w:r>
      <w:r>
        <w:rPr>
          <w:sz w:val="20"/>
          <w:szCs w:val="20"/>
          <w:lang w:val="es-ES"/>
        </w:rPr>
        <w:t>en</w:t>
      </w:r>
      <w:r w:rsidRPr="005B7764">
        <w:rPr>
          <w:sz w:val="20"/>
          <w:szCs w:val="20"/>
          <w:lang w:val="es-ES"/>
        </w:rPr>
        <w:t xml:space="preserve"> autoridades de salud durante la pandemia </w:t>
      </w:r>
      <w:r>
        <w:rPr>
          <w:sz w:val="20"/>
          <w:szCs w:val="20"/>
          <w:lang w:val="es-ES"/>
        </w:rPr>
        <w:t>dificultan</w:t>
      </w:r>
      <w:r w:rsidRPr="005B7764">
        <w:rPr>
          <w:sz w:val="20"/>
          <w:szCs w:val="20"/>
          <w:lang w:val="es-ES"/>
        </w:rPr>
        <w:t xml:space="preserve"> </w:t>
      </w:r>
      <w:r>
        <w:rPr>
          <w:sz w:val="20"/>
          <w:szCs w:val="20"/>
          <w:lang w:val="es-ES"/>
        </w:rPr>
        <w:t xml:space="preserve">usar </w:t>
      </w:r>
      <w:r w:rsidRPr="005B7764">
        <w:rPr>
          <w:sz w:val="20"/>
          <w:szCs w:val="20"/>
          <w:lang w:val="es-ES"/>
        </w:rPr>
        <w:t xml:space="preserve">estrategias de afrontamiento positivas, permitiendo </w:t>
      </w:r>
      <w:r w:rsidR="00AC75CB">
        <w:rPr>
          <w:sz w:val="20"/>
          <w:szCs w:val="20"/>
          <w:lang w:val="es-ES"/>
        </w:rPr>
        <w:t>el uso de</w:t>
      </w:r>
      <w:r w:rsidRPr="005B7764">
        <w:rPr>
          <w:sz w:val="20"/>
          <w:szCs w:val="20"/>
          <w:lang w:val="es-ES"/>
        </w:rPr>
        <w:t xml:space="preserve"> estrategias </w:t>
      </w:r>
      <w:r>
        <w:rPr>
          <w:sz w:val="20"/>
          <w:szCs w:val="20"/>
          <w:lang w:val="es-ES"/>
        </w:rPr>
        <w:t>negativas</w:t>
      </w:r>
      <w:r w:rsidRPr="005B7764">
        <w:rPr>
          <w:sz w:val="20"/>
          <w:szCs w:val="20"/>
          <w:lang w:val="es-ES"/>
        </w:rPr>
        <w:t xml:space="preserve">. Esto aumenta el riesgo de desarrollar sintomatologías clínicamente relevantes. </w:t>
      </w:r>
    </w:p>
    <w:p w14:paraId="5D82692C" w14:textId="77777777" w:rsidR="005B7764" w:rsidRDefault="005B7764" w:rsidP="009E37BF">
      <w:pPr>
        <w:jc w:val="both"/>
        <w:rPr>
          <w:sz w:val="20"/>
          <w:szCs w:val="20"/>
          <w:lang w:val="es-ES"/>
        </w:rPr>
      </w:pPr>
    </w:p>
    <w:p w14:paraId="126AA7B0" w14:textId="07E5BB4B" w:rsidR="009E37BF" w:rsidRPr="00D779C8" w:rsidRDefault="009E37BF" w:rsidP="009E37BF">
      <w:pPr>
        <w:jc w:val="both"/>
        <w:rPr>
          <w:b/>
          <w:sz w:val="20"/>
          <w:szCs w:val="20"/>
          <w:lang w:val="es-ES"/>
        </w:rPr>
      </w:pPr>
      <w:r w:rsidRPr="00D779C8">
        <w:rPr>
          <w:b/>
          <w:sz w:val="20"/>
          <w:szCs w:val="20"/>
          <w:lang w:val="es-ES"/>
        </w:rPr>
        <w:t>Palabras clave</w:t>
      </w:r>
    </w:p>
    <w:p w14:paraId="3B35E00C" w14:textId="0E3E7C5C" w:rsidR="00483D6B" w:rsidRPr="00D779C8" w:rsidRDefault="00E55124" w:rsidP="005B7764">
      <w:pPr>
        <w:jc w:val="both"/>
        <w:rPr>
          <w:b/>
          <w:lang w:val="es-ES"/>
        </w:rPr>
      </w:pPr>
      <w:r w:rsidRPr="00D779C8">
        <w:rPr>
          <w:bCs/>
          <w:noProof/>
          <w:sz w:val="20"/>
          <w:szCs w:val="20"/>
          <w:lang w:val="es-ES"/>
        </w:rPr>
        <w:drawing>
          <wp:anchor distT="0" distB="0" distL="114300" distR="114300" simplePos="0" relativeHeight="251658241"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1"/>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005B7764" w:rsidRPr="005B7764">
        <w:rPr>
          <w:sz w:val="20"/>
          <w:szCs w:val="20"/>
          <w:lang w:val="es-ES"/>
        </w:rPr>
        <w:t>Bienestar Psicológico; Afrontamiento; COVID-19; República Dominicana</w:t>
      </w:r>
    </w:p>
    <w:p w14:paraId="3F538DA7" w14:textId="37457493" w:rsidR="00153DC5" w:rsidRPr="00D779C8" w:rsidRDefault="0059034C" w:rsidP="00D779C8">
      <w:pPr>
        <w:pStyle w:val="Ttuloprincipiodeartculo"/>
      </w:pPr>
      <w:r w:rsidRPr="00D779C8">
        <w:br w:type="page"/>
      </w:r>
      <w:r w:rsidR="00D779C8" w:rsidRPr="00D779C8">
        <w:lastRenderedPageBreak/>
        <w:t>Estrategias de Afrontamiento y su Efecto Positivo o Negativo en el Bienestar Psicológico de Estudiantes Universitarios Durante la Pandemia del COVID-19</w:t>
      </w:r>
    </w:p>
    <w:p w14:paraId="4FA726CB" w14:textId="27A8D19F" w:rsidR="006A1BA2" w:rsidRPr="005C7724" w:rsidRDefault="00D779C8" w:rsidP="00554C1F">
      <w:pPr>
        <w:pStyle w:val="Ttulosinternos"/>
        <w:rPr>
          <w:bCs/>
          <w:lang w:val="es-ES"/>
        </w:rPr>
      </w:pPr>
      <w:r w:rsidRPr="005C7724">
        <w:rPr>
          <w:lang w:val="es-ES"/>
        </w:rPr>
        <w:t>Introducción</w:t>
      </w:r>
    </w:p>
    <w:p w14:paraId="748EAFBF" w14:textId="77777777" w:rsidR="0094722C" w:rsidRPr="0094722C" w:rsidRDefault="0094722C" w:rsidP="00554C1F">
      <w:pPr>
        <w:pStyle w:val="Prrafocomn"/>
        <w:jc w:val="left"/>
        <w:rPr>
          <w:lang w:val="es-ES"/>
        </w:rPr>
      </w:pPr>
      <w:r w:rsidRPr="0094722C">
        <w:rPr>
          <w:lang w:val="es-ES"/>
        </w:rPr>
        <w:t xml:space="preserve">El COVID-19 es una enfermedad respiratoria infecciosa producida por el virus SARS-CoV-2 </w:t>
      </w:r>
      <w:r w:rsidRPr="0094722C">
        <w:rPr>
          <w:lang w:val="es-ES"/>
        </w:rPr>
        <w:fldChar w:fldCharType="begin" w:fldLock="1"/>
      </w:r>
      <w:r w:rsidRPr="0094722C">
        <w:rPr>
          <w:lang w:val="es-ES"/>
        </w:rPr>
        <w:instrText>ADDIN CSL_CITATION {"citationItems":[{"id":"ITEM-1","itemData":{"DOI":"10.1038/s41586-020-2008-3","ISSN":"0028-0836","author":[{"dropping-particle":"","family":"Wu","given":"Fan","non-dropping-particle":"","parse-names":false,"suffix":""},{"dropping-particle":"","family":"Zhao","given":"Su","non-dropping-particle":"","parse-names":false,"suffix":""},{"dropping-particle":"","family":"Yu","given":"Bin","non-dropping-particle":"","parse-names":false,"suffix":""},{"dropping-particle":"","family":"Chen","given":"Yan-Mei","non-dropping-particle":"","parse-names":false,"suffix":""},{"dropping-particle":"","family":"Wang","given":"Wen","non-dropping-particle":"","parse-names":false,"suffix":""},{"dropping-particle":"","family":"Song","given":"Zhi-Gang","non-dropping-particle":"","parse-names":false,"suffix":""},{"dropping-particle":"","family":"Hu","given":"Yi","non-dropping-particle":"","parse-names":false,"suffix":""},{"dropping-particle":"","family":"Tao","given":"Zhao-Wu","non-dropping-particle":"","parse-names":false,"suffix":""},{"dropping-particle":"","family":"Tian","given":"Jun-Hua","non-dropping-particle":"","parse-names":false,"suffix":""},{"dropping-particle":"","family":"Pei","given":"Yuan-Yuan","non-dropping-particle":"","parse-names":false,"suffix":""},{"dropping-particle":"","family":"Yuan","given":"Ming-Li","non-dropping-particle":"","parse-names":false,"suffix":""},{"dropping-particle":"","family":"Zhang","given":"Yu-Ling","non-dropping-particle":"","parse-names":false,"suffix":""},{"dropping-particle":"","family":"Dai","given":"Fa-Hui","non-dropping-particle":"","parse-names":false,"suffix":""},{"dropping-particle":"","family":"Liu","given":"Yi","non-dropping-particle":"","parse-names":false,"suffix":""},{"dropping-particle":"","family":"Wang","given":"Qi-Min","non-dropping-particle":"","parse-names":false,"suffix":""},{"dropping-particle":"","family":"Zheng","given":"Jiao-Jiao","non-dropping-particle":"","parse-names":false,"suffix":""},{"dropping-particle":"","family":"Xu","given":"Lin","non-dropping-particle":"","parse-names":false,"suffix":""},{"dropping-particle":"","family":"Holmes","given":"Edward C.","non-dropping-particle":"","parse-names":false,"suffix":""},{"dropping-particle":"","family":"Zhang","given":"Yong-Zhen","non-dropping-particle":"","parse-names":false,"suffix":""}],"container-title":"Nature","id":"ITEM-1","issued":{"date-parts":[["2020","3","3"]]},"page":"265-269","title":"A new coronavirus associated with human respiratory disease in China","type":"article-journal","volume":"579"},"uris":["http://www.mendeley.com/documents/?uuid=a5ffdaa9-fa97-40e7-a4fc-8fd43903d3e5"]}],"mendeley":{"formattedCitation":"(Wu et al., 2020)","plainTextFormattedCitation":"(Wu et al., 2020)","previouslyFormattedCitation":"(Wu et al., 2020)"},"properties":{"noteIndex":0},"schema":"https://github.com/citation-style-language/schema/raw/master/csl-citation.json"}</w:instrText>
      </w:r>
      <w:r w:rsidRPr="0094722C">
        <w:rPr>
          <w:lang w:val="es-ES"/>
        </w:rPr>
        <w:fldChar w:fldCharType="separate"/>
      </w:r>
      <w:r w:rsidRPr="0094722C">
        <w:rPr>
          <w:noProof/>
          <w:lang w:val="es-ES"/>
        </w:rPr>
        <w:t>(Wu et al., 2020)</w:t>
      </w:r>
      <w:r w:rsidRPr="0094722C">
        <w:rPr>
          <w:lang w:val="es-ES"/>
        </w:rPr>
        <w:fldChar w:fldCharType="end"/>
      </w:r>
      <w:r w:rsidRPr="0094722C">
        <w:rPr>
          <w:lang w:val="es-ES"/>
        </w:rPr>
        <w:t xml:space="preserve">. Debido a la letalidad del virus, su forma y velocidad de transmisión </w:t>
      </w:r>
      <w:r w:rsidRPr="0094722C">
        <w:rPr>
          <w:lang w:val="es-ES"/>
        </w:rPr>
        <w:fldChar w:fldCharType="begin" w:fldLock="1"/>
      </w:r>
      <w:r w:rsidRPr="0094722C">
        <w:rPr>
          <w:lang w:val="es-ES"/>
        </w:rPr>
        <w:instrText>ADDIN CSL_CITATION {"citationItems":[{"id":"ITEM-1","itemData":{"DOI":"10.1016/S1473-3099(20)30120-1","ISSN":"14733099","author":[{"dropping-particle":"","family":"Dong","given":"Ensheng","non-dropping-particle":"","parse-names":false,"suffix":""},{"dropping-particle":"","family":"Du","given":"Hongru","non-dropping-particle":"","parse-names":false,"suffix":""},{"dropping-particle":"","family":"Gardner","given":"Lauren","non-dropping-particle":"","parse-names":false,"suffix":""}],"container-title":"The Lancet Infectious Diseases","id":"ITEM-1","issue":"5","issued":{"date-parts":[["2020","5"]]},"page":"533-534","title":"An interactive web-based dashboard to track COVID-19 in real time","type":"article-journal","volume":"20"},"uris":["http://www.mendeley.com/documents/?uuid=6f9e77f3-6873-4236-bf77-ba55060ff489"]}],"mendeley":{"formattedCitation":"(Dong et al., 2020)","plainTextFormattedCitation":"(Dong et al., 2020)","previouslyFormattedCitation":"(Dong et al., 2020)"},"properties":{"noteIndex":0},"schema":"https://github.com/citation-style-language/schema/raw/master/csl-citation.json"}</w:instrText>
      </w:r>
      <w:r w:rsidRPr="0094722C">
        <w:rPr>
          <w:lang w:val="es-ES"/>
        </w:rPr>
        <w:fldChar w:fldCharType="separate"/>
      </w:r>
      <w:r w:rsidRPr="0094722C">
        <w:rPr>
          <w:noProof/>
          <w:lang w:val="es-ES"/>
        </w:rPr>
        <w:t>(Dong et al., 2020)</w:t>
      </w:r>
      <w:r w:rsidRPr="0094722C">
        <w:rPr>
          <w:lang w:val="es-ES"/>
        </w:rPr>
        <w:fldChar w:fldCharType="end"/>
      </w:r>
      <w:r w:rsidRPr="0094722C">
        <w:rPr>
          <w:lang w:val="es-ES"/>
        </w:rPr>
        <w:t xml:space="preserve">, la </w:t>
      </w:r>
      <w:r w:rsidRPr="0094722C">
        <w:rPr>
          <w:lang w:val="es-ES"/>
        </w:rPr>
        <w:fldChar w:fldCharType="begin" w:fldLock="1"/>
      </w:r>
      <w:r w:rsidRPr="0094722C">
        <w:rPr>
          <w:lang w:val="es-ES"/>
        </w:rPr>
        <w:instrText>ADDIN CSL_CITATION {"citationItems":[{"id":"ITEM-1","itemData":{"abstract":"The decision to introduce, adapt, or lift PHSM should be based on a risk assessment with a standard methodology 5 to balance the risk of relaxing measures, capacity to detect a resurgence in cases, capacity to manage extra patients in health facilities or other locations, and ability to reintroduce public health and social measures, if needed. A national risk assessment should be supported and implemented through subnational or even community level risk assessment, as the transmission of COVID-19 is not typically homogenous within a country. The risk assessment must address the following questions: 1. What is the likely impact of adjusting public health and social measures in terms of the risk of case resurgence? 2. Is the public health system able to identify, isolate, and care for cases and quarantine contacts? 3. Is the public health system able to rapidly detect a resurgence of cases? 4. Is the health care system able to absorb an extra patient load and provide medical care in case of resurgence? The risk assessment should be based on the following indicators: 1. Epidemiological factors: incidence of confirmed and probable COVID-19 cases; rate of hospitalizations and ICU admissions; number of deaths; percent positive among people tested; results of serological testing (providing availability of reliable assays). a1 2. Health care capacities: health system (hospital and non-hospital) functions and capacity (admissions and discharges), health care workers, ICU and non-ICU bed capacity, triage at health care facilities, stocks of personal protective equipment, treatment of COVID-19 and non-COVID-19 patients according to national standards and crisis standards of care; health workforce. 3. Public health capacities: rate of identification and testing of new suspected cases, isolation of new confirmed cases, identification and quarantine of contacts, number of public health rapid response teams to investigate suspect cases and clusters. 4. Availability of effective pharmaceutical interventions: Currently there are no COVID-19 specific therapeutics or vaccines. WHO, in collaboration with international partners, is implementing protocols for clinical trials to develop specific treatments and vaccines 6 for COVID-19. The future availability of safe and effective pharmaceutical tools will be important in decision to implement or lift PHSM. a WHO is working with global partners to understand the sero-epidemiology of COVID-19 and the extent of immunity in the p…","author":[{"dropping-particle":"","family":"World Health Organization","given":"","non-dropping-particle":"","parse-names":false,"suffix":""}],"container-title":"World Health Organisation Interim Guidance","id":"ITEM-1","issue":"November","issued":{"date-parts":[["2020"]]},"number-of-pages":"1-13","title":"Considerations in adjusting public health and social measures in the context of COVID-19","type":"report"},"uris":["http://www.mendeley.com/documents/?uuid=bafe2fe4-cbde-4d0e-af40-040426adaba3"]}],"mendeley":{"formattedCitation":"(World Health Organization, 2020)","manualFormatting":"Organización Mundial de la Salud (2020a)","plainTextFormattedCitation":"(World Health Organization, 2020)","previouslyFormattedCitation":"(World Health Organization, 2020)"},"properties":{"noteIndex":0},"schema":"https://github.com/citation-style-language/schema/raw/master/csl-citation.json"}</w:instrText>
      </w:r>
      <w:r w:rsidRPr="0094722C">
        <w:rPr>
          <w:lang w:val="es-ES"/>
        </w:rPr>
        <w:fldChar w:fldCharType="separate"/>
      </w:r>
      <w:r w:rsidRPr="0094722C">
        <w:rPr>
          <w:noProof/>
          <w:lang w:val="es-ES"/>
        </w:rPr>
        <w:t>Organización Mundial de la Salud (2020a)</w:t>
      </w:r>
      <w:r w:rsidRPr="0094722C">
        <w:rPr>
          <w:lang w:val="es-ES"/>
        </w:rPr>
        <w:fldChar w:fldCharType="end"/>
      </w:r>
      <w:r w:rsidRPr="0094722C">
        <w:rPr>
          <w:lang w:val="es-ES"/>
        </w:rPr>
        <w:t xml:space="preserve"> recomienda a las personas prevenir el contagio a través del distanciamiento físico, el uso de mascarillas y el lavado frecuente de manos. Dependiendo de la capacidad de atención de los sistemas de salud de algunos países, sus líderes han declarado estados de emergencia, cerrado fronteras, ordenado toques de queda, y cerrado lugares de conglomeración de personas </w:t>
      </w:r>
      <w:r w:rsidRPr="0094722C">
        <w:rPr>
          <w:lang w:val="es-ES"/>
        </w:rPr>
        <w:fldChar w:fldCharType="begin" w:fldLock="1"/>
      </w:r>
      <w:r w:rsidRPr="0094722C">
        <w:rPr>
          <w:lang w:val="es-ES"/>
        </w:rPr>
        <w:instrText>ADDIN CSL_CITATION {"citationItems":[{"id":"ITEM-1","itemData":{"DOI":"10.1126/science.abd9338","ISSN":"0036-8075","abstract":"Governments are attempting to control the COVID-19 pandemic with nonpharmaceutical interventions (NPIs). However, the effectiveness of different NPIs at reducing transmission is poorly understood. We gathered chronological data on the implementation of NPIs for several European, and other, countries between January and the end of May 2020. We estimate the effectiveness of NPIs, ranging from limiting gathering sizes, business closures, and closure of educational institutions to stay-at-home orders. To do so, we used a Bayesian hierarchical model that links NPI implementation dates to national case and death counts and supported the results with extensive empirical validation. Closing all educational institutions, limiting gatherings to 10 people or less, and closing face-to-face businesses each reduced transmission considerably. The additional effect of stay-at-home orders was comparatively small.","author":[{"dropping-particle":"","family":"Brauner","given":"Jan M.","non-dropping-particle":"","parse-names":false,"suffix":""},{"dropping-particle":"","family":"Mindermann","given":"Sören","non-dropping-particle":"","parse-names":false,"suffix":""},{"dropping-particle":"","family":"Sharma","given":"Mrinank","non-dropping-particle":"","parse-names":false,"suffix":""},{"dropping-particle":"","family":"Johnston","given":"David","non-dropping-particle":"","parse-names":false,"suffix":""},{"dropping-particle":"","family":"Salvatier","given":"John","non-dropping-particle":"","parse-names":false,"suffix":""},{"dropping-particle":"","family":"Gavenčiak","given":"Tomáš","non-dropping-particle":"","parse-names":false,"suffix":""},{"dropping-particle":"","family":"Stephenson","given":"Anna B.","non-dropping-particle":"","parse-names":false,"suffix":""},{"dropping-particle":"","family":"Leech","given":"Gavin","non-dropping-particle":"","parse-names":false,"suffix":""},{"dropping-particle":"","family":"Altman","given":"George","non-dropping-particle":"","parse-names":false,"suffix":""},{"dropping-particle":"","family":"Mikulik","given":"Vladimir","non-dropping-particle":"","parse-names":false,"suffix":""},{"dropping-particle":"","family":"Norman","given":"Alexander John","non-dropping-particle":"","parse-names":false,"suffix":""},{"dropping-particle":"","family":"Monrad","given":"Joshua Teperowski","non-dropping-particle":"","parse-names":false,"suffix":""},{"dropping-particle":"","family":"Besiroglu","given":"Tamay","non-dropping-particle":"","parse-names":false,"suffix":""},{"dropping-particle":"","family":"Ge","given":"Hong","non-dropping-particle":"","parse-names":false,"suffix":""},{"dropping-particle":"","family":"Hartwick","given":"Meghan A.","non-dropping-particle":"","parse-names":false,"suffix":""},{"dropping-particle":"","family":"Teh","given":"Yee Whye","non-dropping-particle":"","parse-names":false,"suffix":""},{"dropping-particle":"","family":"Chindelevitch","given":"Leonid","non-dropping-particle":"","parse-names":false,"suffix":""},{"dropping-particle":"","family":"Gal","given":"Yarin","non-dropping-particle":"","parse-names":false,"suffix":""},{"dropping-particle":"","family":"Kulveit","given":"Jan","non-dropping-particle":"","parse-names":false,"suffix":""}],"container-title":"Science","id":"ITEM-1","issued":{"date-parts":[["2020","12","15"]]},"page":"eabd9338","title":"Inferring the effectiveness of government interventions against COVID-19","type":"article-journal"},"uris":["http://www.mendeley.com/documents/?uuid=88ca1e65-f3ae-485f-b09b-6adbe4485387"]}],"mendeley":{"formattedCitation":"(Brauner et al., 2020)","plainTextFormattedCitation":"(Brauner et al., 2020)","previouslyFormattedCitation":"(Brauner et al., 2020)"},"properties":{"noteIndex":0},"schema":"https://github.com/citation-style-language/schema/raw/master/csl-citation.json"}</w:instrText>
      </w:r>
      <w:r w:rsidRPr="0094722C">
        <w:rPr>
          <w:lang w:val="es-ES"/>
        </w:rPr>
        <w:fldChar w:fldCharType="separate"/>
      </w:r>
      <w:r w:rsidRPr="0094722C">
        <w:rPr>
          <w:noProof/>
          <w:lang w:val="es-ES"/>
        </w:rPr>
        <w:t>(Brauner et al., 2020)</w:t>
      </w:r>
      <w:r w:rsidRPr="0094722C">
        <w:rPr>
          <w:lang w:val="es-ES"/>
        </w:rPr>
        <w:fldChar w:fldCharType="end"/>
      </w:r>
      <w:r w:rsidRPr="0094722C">
        <w:rPr>
          <w:lang w:val="es-ES"/>
        </w:rPr>
        <w:t>.</w:t>
      </w:r>
    </w:p>
    <w:p w14:paraId="20F93297" w14:textId="77777777" w:rsidR="0094722C" w:rsidRPr="0094722C" w:rsidRDefault="0094722C" w:rsidP="00554C1F">
      <w:pPr>
        <w:pStyle w:val="Prrafocomn"/>
        <w:jc w:val="left"/>
        <w:rPr>
          <w:lang w:val="es-DO"/>
        </w:rPr>
      </w:pPr>
      <w:r w:rsidRPr="0094722C">
        <w:rPr>
          <w:lang w:val="es-ES"/>
        </w:rPr>
        <w:t xml:space="preserve">El temor de contraer o propagar el virus </w:t>
      </w:r>
      <w:r w:rsidRPr="0094722C">
        <w:rPr>
          <w:lang w:val="es-ES"/>
        </w:rPr>
        <w:fldChar w:fldCharType="begin" w:fldLock="1"/>
      </w:r>
      <w:r w:rsidRPr="0094722C">
        <w:rPr>
          <w:lang w:val="es-ES"/>
        </w:rPr>
        <w:instrText>ADDIN CSL_CITATION {"citationItems":[{"id":"ITEM-1","itemData":{"DOI":"10.3389/fpsyg.2020.565153","ISSN":"16641078","abstract":"Starting from April 1st, 2020, the nationwide partial lockdown in Vietnam has shown the effectiveness in stopping the community transmission of COVID-19, however, it also produced adverse impacts on the economy and inhabitants’ life. A cross-sectional study using a web-based approach was conducted in the second week of April 2020 to examine the influence of the national social distancing on the quality of life and economic well-being of Vietnamese citizens under COVID-19 pandemic. The data included socio-economic characteristics, impact of COVID-19 on household income, health status, and health-related quality of life (HRQOL). Ordered logistic regression and multivariable Tobit regression model were employed to examine factors correlated to income change and HRQOL. Results showed that among 341 participants, 66.9% reported household income loss due to the impact of COVID-19. People holding undergraduate degrees, working in other sectors rather than healthcare, and having definite-term contract had a higher likelihood of income reduction. The mean score of EQ-5D-5L and EQ-VAS was 0.95 (± 0.07) and 88.2 (± 11.0), respectively. The domain of Anxiety/Depression had the highest proportion of reporting any problems among 5 dimensions of EQ-5D-5L (38.7%). Being female, having chronic conditions and living in the family with 3–5 members were associated with lower HRQOL scores. A comprehensive assessment of the influence of COVID-19 along with public health interventions, especially mental health programs, should be implemented to mitigate the negative effects of this pandemic on the economic status and quality of life of citizens.","author":[{"dropping-particle":"","family":"Tran","given":"Bach Xuan","non-dropping-particle":"","parse-names":false,"suffix":""},{"dropping-particle":"","family":"Nguyen","given":"Hien Thi","non-dropping-particle":"","parse-names":false,"suffix":""},{"dropping-particle":"","family":"Le","given":"Huong Thi","non-dropping-particle":"","parse-names":false,"suffix":""},{"dropping-particle":"","family":"Latkin","given":"Carl A.","non-dropping-particle":"","parse-names":false,"suffix":""},{"dropping-particle":"","family":"Pham","given":"Hai Quang","non-dropping-particle":"","parse-names":false,"suffix":""},{"dropping-particle":"","family":"Vu","given":"Linh Gia","non-dropping-particle":"","parse-names":false,"suffix":""},{"dropping-particle":"","family":"Le","given":"Xuan Thi Thanh","non-dropping-particle":"","parse-names":false,"suffix":""},{"dropping-particle":"","family":"Nguyen","given":"Thao Thanh","non-dropping-particle":"","parse-names":false,"suffix":""},{"dropping-particle":"","family":"Pham","given":"Quan Thi","non-dropping-particle":"","parse-names":false,"suffix":""},{"dropping-particle":"","family":"Ta","given":"Nhung Thi Kim","non-dropping-particle":"","parse-names":false,"suffix":""},{"dropping-particle":"","family":"Nguyen","given":"Quynh Thi","non-dropping-particle":"","parse-names":false,"suffix":""},{"dropping-particle":"","family":"Ho","given":"Cyrus S.H.","non-dropping-particle":"","parse-names":false,"suffix":""},{"dropping-particle":"","family":"Ho","given":"Roger C.M.","non-dropping-particle":"","parse-names":false,"suffix":""}],"container-title":"Frontiers in Psychology","id":"ITEM-1","issued":{"date-parts":[["2020"]]},"page":"565153","title":"Impact of COVID-19 on economic well-being and quality of life of the Vietnamese during the national social distancing","type":"article-journal","volume":"11"},"uris":["http://www.mendeley.com/documents/?uuid=a4c01993-103b-457f-b14f-fc44b6b01bee"]}],"mendeley":{"formattedCitation":"(Tran et al., 2020)","plainTextFormattedCitation":"(Tran et al., 2020)","previouslyFormattedCitation":"(Tran et al., 2020)"},"properties":{"noteIndex":0},"schema":"https://github.com/citation-style-language/schema/raw/master/csl-citation.json"}</w:instrText>
      </w:r>
      <w:r w:rsidRPr="0094722C">
        <w:rPr>
          <w:lang w:val="es-ES"/>
        </w:rPr>
        <w:fldChar w:fldCharType="separate"/>
      </w:r>
      <w:r w:rsidRPr="0094722C">
        <w:rPr>
          <w:noProof/>
          <w:lang w:val="es-ES"/>
        </w:rPr>
        <w:t>(Tran et al., 2020)</w:t>
      </w:r>
      <w:r w:rsidRPr="0094722C">
        <w:rPr>
          <w:lang w:val="es-ES"/>
        </w:rPr>
        <w:fldChar w:fldCharType="end"/>
      </w:r>
      <w:r w:rsidRPr="0094722C">
        <w:rPr>
          <w:lang w:val="es-ES"/>
        </w:rPr>
        <w:t xml:space="preserve">, el malestar producido por las medidas para controlar su propagación, la inseguridad financiera y la incertidumbre sobre el futuro, han hecho del COVID-19 un potencial detonante de una crisis de salud mental </w:t>
      </w:r>
      <w:r w:rsidRPr="0094722C">
        <w:rPr>
          <w:lang w:val="es-ES"/>
        </w:rPr>
        <w:fldChar w:fldCharType="begin" w:fldLock="1"/>
      </w:r>
      <w:r w:rsidRPr="0094722C">
        <w:rPr>
          <w:lang w:val="es-ES"/>
        </w:rPr>
        <w:instrText>ADDIN CSL_CITATION {"citationItems":[{"id":"ITEM-1","itemData":{"DOI":"10.1038/s41562-020-0884-z","ISSN":"2397-3374","PMID":"32355299","abstract":"The COVID-19 pandemic represents a massive global health crisis. Because the crisis requires large-scale behaviour change and places significant psychological burdens on individuals, insights from the social and behavioural sciences can be used to help align human behaviour with the recommendations of epidemiologists and public health experts. Here we discuss evidence from a selection of research topics relevant to pandemics, including work on navigating threats, social and cultural influences on behaviour, science communication, moral decision-making, leadership, and stress and coping. In each section, we note the nature and quality of prior research, including uncertainty and unsettled issues. We identify several insights for effective response to the COVID-19 pandemic and highlight important gaps researchers should move quickly to fill in the coming weeks and months.","author":[{"dropping-particle":"","family":"Bavel","given":"Jay J.","non-dropping-particle":"Van","parse-names":false,"suffix":""},{"dropping-particle":"","family":"Baicker","given":"Katherine","non-dropping-particle":"","parse-names":false,"suffix":""},{"dropping-particle":"","family":"Boggio","given":"Paulo S.","non-dropping-particle":"","parse-names":false,"suffix":""},{"dropping-particle":"","family":"Capraro","given":"Valerio","non-dropping-particle":"","parse-names":false,"suffix":""},{"dropping-particle":"","family":"Cichocka","given":"Aleksandra","non-dropping-particle":"","parse-names":false,"suffix":""},{"dropping-particle":"","family":"Cikara","given":"Mina","non-dropping-particle":"","parse-names":false,"suffix":""},{"dropping-particle":"","family":"Crockett","given":"Molly J.","non-dropping-particle":"","parse-names":false,"suffix":""},{"dropping-particle":"","family":"Crum","given":"Alia J.","non-dropping-particle":"","parse-names":false,"suffix":""},{"dropping-particle":"","family":"Douglas","given":"Karen M.","non-dropping-particle":"","parse-names":false,"suffix":""},{"dropping-particle":"","family":"Druckman","given":"James N.","non-dropping-particle":"","parse-names":false,"suffix":""},{"dropping-particle":"","family":"Drury","given":"John","non-dropping-particle":"","parse-names":false,"suffix":""},{"dropping-particle":"","family":"Dube","given":"Oeindrila","non-dropping-particle":"","parse-names":false,"suffix":""},{"dropping-particle":"","family":"Ellemers","given":"Naomi","non-dropping-particle":"","parse-names":false,"suffix":""},{"dropping-particle":"","family":"Finkel","given":"Eli J.","non-dropping-particle":"","parse-names":false,"suffix":""},{"dropping-particle":"","family":"Fowler","given":"James H.","non-dropping-particle":"","parse-names":false,"suffix":""},{"dropping-particle":"","family":"Gelfand","given":"Michele","non-dropping-particle":"","parse-names":false,"suffix":""},{"dropping-particle":"","family":"Han","given":"Shihui","non-dropping-particle":"","parse-names":false,"suffix":""},{"dropping-particle":"","family":"Haslam","given":"S. Alexander","non-dropping-particle":"","parse-names":false,"suffix":""},{"dropping-particle":"","family":"Jetten","given":"Jolanda","non-dropping-particle":"","parse-names":false,"suffix":""},{"dropping-particle":"","family":"Kitayama","given":"Shinobu","non-dropping-particle":"","parse-names":false,"suffix":""},{"dropping-particle":"","family":"Mobbs","given":"Dean","non-dropping-particle":"","parse-names":false,"suffix":""},{"dropping-particle":"","family":"Napper","given":"Lucy E.","non-dropping-particle":"","parse-names":false,"suffix":""},{"dropping-particle":"","family":"Packer","given":"Dominic J.","non-dropping-particle":"","parse-names":false,"suffix":""},{"dropping-particle":"","family":"Pennycook","given":"Gordon","non-dropping-particle":"","parse-names":false,"suffix":""},{"dropping-particle":"","family":"Peters","given":"Ellen","non-dropping-particle":"","parse-names":false,"suffix":""},{"dropping-particle":"","family":"Petty","given":"Richard E.","non-dropping-particle":"","parse-names":false,"suffix":""},{"dropping-particle":"","family":"Rand","given":"David G.","non-dropping-particle":"","parse-names":false,"suffix":""},{"dropping-particle":"","family":"Reicher","given":"Stephen D.","non-dropping-particle":"","parse-names":false,"suffix":""},{"dropping-particle":"","family":"Schnall","given":"Simone","non-dropping-particle":"","parse-names":false,"suffix":""},{"dropping-particle":"","family":"Shariff","given":"Azim","non-dropping-particle":"","parse-names":false,"suffix":""},{"dropping-particle":"","family":"Skitka","given":"Linda J.","non-dropping-particle":"","parse-names":false,"suffix":""},{"dropping-particle":"","family":"Smith","given":"Sandra Susan","non-dropping-particle":"","parse-names":false,"suffix":""},{"dropping-particle":"","family":"Sunstein","given":"Cass R.","non-dropping-particle":"","parse-names":false,"suffix":""},{"dropping-particle":"","family":"Tabri","given":"Nassim","non-dropping-particle":"","parse-names":false,"suffix":""},{"dropping-particle":"","family":"Tucker","given":"Joshua A.","non-dropping-particle":"","parse-names":false,"suffix":""},{"dropping-particle":"van der","family":"Linden","given":"Sander","non-dropping-particle":"","parse-names":false,"suffix":""},{"dropping-particle":"van","family":"Lange","given":"Paul","non-dropping-particle":"","parse-names":false,"suffix":""},{"dropping-particle":"","family":"Weeden","given":"Kim A.","non-dropping-particle":"","parse-names":false,"suffix":""},{"dropping-particle":"","family":"Wohl","given":"Michael J. A.","non-dropping-particle":"","parse-names":false,"suffix":""},{"dropping-particle":"","family":"Zaki","given":"Jamil","non-dropping-particle":"","parse-names":false,"suffix":""},{"dropping-particle":"","family":"Zion","given":"Sean R.","non-dropping-particle":"","parse-names":false,"suffix":""},{"dropping-particle":"","family":"Willer","given":"Robb","non-dropping-particle":"","parse-names":false,"suffix":""}],"container-title":"Nature Human Behaviour","id":"ITEM-1","issue":"5","issued":{"date-parts":[["2020","5","30"]]},"page":"460-471","publisher":"Springer US","title":"Using social and behavioural science to support COVID-19 pandemic response","type":"article-journal","volume":"4"},"uris":["http://www.mendeley.com/documents/?uuid=4ab6f718-0c4b-4f9d-a520-d2a14580c534"]}],"mendeley":{"formattedCitation":"(Van Bavel et al., 2020)","plainTextFormattedCitation":"(Van Bavel et al., 2020)","previouslyFormattedCitation":"(Van Bavel et al., 2020)"},"properties":{"noteIndex":0},"schema":"https://github.com/citation-style-language/schema/raw/master/csl-citation.json"}</w:instrText>
      </w:r>
      <w:r w:rsidRPr="0094722C">
        <w:rPr>
          <w:lang w:val="es-ES"/>
        </w:rPr>
        <w:fldChar w:fldCharType="separate"/>
      </w:r>
      <w:r w:rsidRPr="0094722C">
        <w:rPr>
          <w:noProof/>
          <w:lang w:val="es-ES"/>
        </w:rPr>
        <w:t>(Van Bavel et al., 2020)</w:t>
      </w:r>
      <w:r w:rsidRPr="0094722C">
        <w:rPr>
          <w:lang w:val="es-ES"/>
        </w:rPr>
        <w:fldChar w:fldCharType="end"/>
      </w:r>
      <w:r w:rsidRPr="0094722C">
        <w:rPr>
          <w:lang w:val="es-ES"/>
        </w:rPr>
        <w:t xml:space="preserve">. Durante la pandemia, varios estudios han encontrado que las personas presentan niveles altos de ansiedad </w:t>
      </w:r>
      <w:r w:rsidRPr="0094722C">
        <w:rPr>
          <w:lang w:val="es-ES"/>
        </w:rPr>
        <w:fldChar w:fldCharType="begin" w:fldLock="1"/>
      </w:r>
      <w:r w:rsidRPr="0094722C">
        <w:rPr>
          <w:lang w:val="es-ES"/>
        </w:rPr>
        <w:instrText>ADDIN CSL_CITATION {"citationItems":[{"id":"ITEM-1","itemData":{"DOI":"10.1111/acps.13219","ISSN":"16000447","PMID":"32716520","abstract":"Background: The COVID-19 pandemic in Ireland resulted in a nationwide quarantine on March 27, 2020. This study represents the first assessment of rates of anxiety and depression in the general population of Ireland during the pandemic. Aims: Our first aim was to estimate the probable prevalence rates of generalized anxiety disorder (GAD) and depression and to identify sociodemographic risk factors associated with screening positive for GAD or depression. Our second aim was to determine if COVID-19 related anxiety was highest amongst those in society at greatest risk of morality from COVID-19. Method: Self-report data were collected from a nationally representative Irish sample (N = 1041) online between March 31 and April 5; the first week of the nationwide quarantine measures. Recognized cut-off scores on the GAD-7 and PHQ-9 were used to estimate rates of GAD and depression. Correlates of screening positive for GAD or depression were assessed using logistic regression analysis. Results: GAD (20.0%), depression (22.8%) and GAD or depression (27.7%) was common. Screening positive for GAD or depression was associated with younger age, female sex, loss of income due to COVID-19, COVID-19 infection and higher perceived risk of COVID-19 infection. Citizens aged 65 and older had significantly higher levels of COVID-19 related anxiety than adults aged 18–34. Conclusions: Initial results from this multi-wave study monitoring changes in population anxiety and depression throughout the pandemic indicate that GAD and depression were common experiences in the population during the initial phase of the COVID-19 pandemic.","author":[{"dropping-particle":"","family":"Hyland","given":"P.","non-dropping-particle":"","parse-names":false,"suffix":""},{"dropping-particle":"","family":"Shevlin","given":"M.","non-dropping-particle":"","parse-names":false,"suffix":""},{"dropping-particle":"","family":"McBride","given":"O.","non-dropping-particle":"","parse-names":false,"suffix":""},{"dropping-particle":"","family":"Murphy","given":"J.","non-dropping-particle":"","parse-names":false,"suffix":""},{"dropping-particle":"","family":"Karatzias","given":"T.","non-dropping-particle":"","parse-names":false,"suffix":""},{"dropping-particle":"","family":"Bentall","given":"R. P.","non-dropping-particle":"","parse-names":false,"suffix":""},{"dropping-particle":"","family":"Martinez","given":"A.","non-dropping-particle":"","parse-names":false,"suffix":""},{"dropping-particle":"","family":"Vallières","given":"F.","non-dropping-particle":"","parse-names":false,"suffix":""}],"container-title":"Acta Psychiatrica Scandinavica","id":"ITEM-1","issue":"3","issued":{"date-parts":[["2020"]]},"page":"249-256","title":"Anxiety and depression in the Republic of Ireland during the COVID-19 pandemic","type":"article-journal","volume":"142"},"uris":["http://www.mendeley.com/documents/?uuid=dba304fa-f0ad-42a8-be53-645ab9ab9a5a"]},{"id":"ITEM-2","itemData":{"DOI":"10.1016/j.comppsych.2020.152191","ISSN":"15328384","PMID":"32688023","abstract":"While necessary from a public health standpoint, Covid-19 confinement strategies are often contrary to evidence-based therapies used to treat mental disorders. University students may be particularly vulnerable to mental health problems, but recent studies have indicated only a negligible impact of confinement strategies. French respondents to a World Mental Health survey of university students completed questions concerning Covid-19 confinement. The sample experienced increased anxiety as well as moderate to severe stress during confinement. Respondents who did not relocate to live with parents were disproportionately affected. Knowledge of confinement effects may be used to reduce its negative impact in vulnerable populations.","author":[{"dropping-particle":"","family":"Husky","given":"Mathilde M.","non-dropping-particle":"","parse-names":false,"suffix":""},{"dropping-particle":"","family":"Kovess-Masfety","given":"Viviane","non-dropping-particle":"","parse-names":false,"suffix":""},{"dropping-particle":"","family":"Swendsen","given":"Joel D.","non-dropping-particle":"","parse-names":false,"suffix":""}],"container-title":"Comprehensive Psychiatry","id":"ITEM-2","issued":{"date-parts":[["2020"]]},"page":"152191","publisher":"The Author(s)","title":"Stress and anxiety among university students in France during Covid-19 mandatory confinement","type":"article-journal","volume":"102"},"uris":["http://www.mendeley.com/documents/?uuid=34fc5f73-11d5-4411-9718-62e96159fd33"]}],"mendeley":{"formattedCitation":"(Husky et al., 2020; Hyland et al., 2020)","plainTextFormattedCitation":"(Husky et al., 2020; Hyland et al., 2020)","previouslyFormattedCitation":"(Husky et al., 2020; Hyland et al., 2020)"},"properties":{"noteIndex":0},"schema":"https://github.com/citation-style-language/schema/raw/master/csl-citation.json"}</w:instrText>
      </w:r>
      <w:r w:rsidRPr="0094722C">
        <w:rPr>
          <w:lang w:val="es-ES"/>
        </w:rPr>
        <w:fldChar w:fldCharType="separate"/>
      </w:r>
      <w:r w:rsidRPr="0094722C">
        <w:rPr>
          <w:noProof/>
          <w:lang w:val="es-ES"/>
        </w:rPr>
        <w:t>(Husky et al., 2020; Hyland et al., 2020)</w:t>
      </w:r>
      <w:r w:rsidRPr="0094722C">
        <w:rPr>
          <w:lang w:val="es-ES"/>
        </w:rPr>
        <w:fldChar w:fldCharType="end"/>
      </w:r>
      <w:r w:rsidRPr="0094722C">
        <w:rPr>
          <w:lang w:val="es-ES"/>
        </w:rPr>
        <w:t xml:space="preserve">, depresión </w:t>
      </w:r>
      <w:r w:rsidRPr="0094722C">
        <w:rPr>
          <w:lang w:val="es-ES"/>
        </w:rPr>
        <w:fldChar w:fldCharType="begin" w:fldLock="1"/>
      </w:r>
      <w:r w:rsidRPr="0094722C">
        <w:rPr>
          <w:lang w:val="es-ES"/>
        </w:rPr>
        <w:instrText>ADDIN CSL_CITATION {"citationItems":[{"id":"ITEM-1","itemData":{"DOI":"10.3389/fpsyg.2020.591797","ISSN":"16641078","abstract":"Depression is a disabling illness which increases the risk of suicide. The Corona Virus Disease 2019 (COVID-19) pandemic has led to a rise in fear, anxiety, stress, and depression among the population: of these, university undergraduates from countries severely affected by COVID-19 are some of the most vulnerable of all, as they face strict lockdown measures and have fewer resources to cope with it. The aim of this study was to analyze the levels of fear of COVID-19, stress, anxiety, and depression during lockdown among undergraduates from Ecuador, and to test these possible predictors of depression using a model taken from our study of the scientific literature. A total of 640 undergraduates (72% women) between 18 and 47 years old (M = 21.69; S.D = 4.093) were surveyed. The resulting mean levels found for stress, anxiety, and depression were above levels considered non-pathological. Women showed higher levels of fear of COVID-19 than men. The statistical prediction for depression showed a good fit. This depression could be related: both directly and positively by fear of COVID-19 and stress, and indirectly, as a result of these two factors, positively mediated by anxiety. Our study concludes by highlighting the important role that the complex relationships between fear, stress, and anxiety can play in the development of depression symptoms and how they can be taken into account in programs aimed at preventing and alleviating this disorder. We propose some general measures for reducing fear of COVID-19 and stress and suggest that specific programs be designed to control and overcome anxiety among undergraduates.","author":[{"dropping-particle":"","family":"Rodríguez-Hidalgo","given":"Antonio J.","non-dropping-particle":"","parse-names":false,"suffix":""},{"dropping-particle":"","family":"Pantaleón","given":"Yisela","non-dropping-particle":"","parse-names":false,"suffix":""},{"dropping-particle":"","family":"Dios","given":"Irene","non-dropping-particle":"","parse-names":false,"suffix":""},{"dropping-particle":"","family":"Falla","given":"Daniel","non-dropping-particle":"","parse-names":false,"suffix":""}],"container-title":"Frontiers in Psychology","id":"ITEM-1","issued":{"date-parts":[["2020"]]},"page":"591797","title":"Fear of COVID-19, stress, and anxiety in university undergraduate students: A predictive model for depression","type":"article-journal","volume":"11"},"uris":["http://www.mendeley.com/documents/?uuid=7d5714bc-e66e-4c0d-bd74-ee87231b62bf"]},{"id":"ITEM-2","itemData":{"DOI":"10.1186/s12992-020-00589-w","ISSN":"1744-8603","PMID":"32631403","abstract":"Background: The COVID-19 pandemic has had a significant impact on public mental health. Therefore, monitoring and oversight of the population mental health during crises such as a panedmic is an immediate priority. The aim of this study is to analyze the existing research works and findings in relation to the prevalence of stress, anxiety and depression in the general population during the COVID-19 pandemic. Method: In this systematic review and meta-analysis, articles that have focused on stress and anxiety prevalence among the general population during the COVID-19 pandemic were searched in the Science Direct, Embase, Scopus, PubMed, Web of Science (ISI) and Google Scholar databases, without a lower time limit and until May 2020. In order to perform a meta-analysis of the collected studies, the random effects model was used, and the heterogeneity of studies was investigated using the I2 index. Moreover. data analysis was conducted using the Comprehensive Meta-Analysis (CMA) software. Results: The prevalence of stress in 5 studies with a total sample size of 9074 is obtained as 29.6% (95% confidence limit: 24.3-35.4), the prevalence of anxiety in 17 studies with a sample size of 63,439 as 31.9% (95% confidence interval: 27.5-36.7), and the prevalence of depression in 14 studies with a sample size of 44,531 people as 33.7% (95% confidence interval: 27.5-40.6). Conclusion: COVID-19 not only causes physical health concerns but also results in a number of psychological disorders. The spread of the new coronavirus can impact the mental health of people in different communities. Thus, it is essential to preserve the mental health of individuals and to develop psychological interventions that can improve the mental health of vulnerable groups during the COVID-19 pandemic.","author":[{"dropping-particle":"","family":"Salari","given":"Nader","non-dropping-particle":"","parse-names":false,"suffix":""},{"dropping-particle":"","family":"Hosseinian-Far","given":"Amin","non-dropping-particle":"","parse-names":false,"suffix":""},{"dropping-particle":"","family":"Jalali","given":"Rostam","non-dropping-particle":"","parse-names":false,"suffix":""},{"dropping-particle":"","family":"Vaisi-Raygani","given":"Aliakbar","non-dropping-particle":"","parse-names":false,"suffix":""},{"dropping-particle":"","family":"Rasoulpoor","given":"Shna","non-dropping-particle":"","parse-names":false,"suffix":""},{"dropping-particle":"","family":"Mohammadi","given":"Masoud","non-dropping-particle":"","parse-names":false,"suffix":""},{"dropping-particle":"","family":"Rasoulpoor","given":"Shabnam","non-dropping-particle":"","parse-names":false,"suffix":""},{"dropping-particle":"","family":"Khaledi-Paveh","given":"Behnam","non-dropping-particle":"","parse-names":false,"suffix":""}],"container-title":"Globalization and Health","id":"ITEM-2","issued":{"date-parts":[["2020","12","6"]]},"page":"57","publisher":"Globalization and Health","title":"Prevalence of stress, anxiety, depression among the general population during the COVID-19 pandemic: A systematic review and meta-analysis","type":"article-journal","volume":"16"},"uris":["http://www.mendeley.com/documents/?uuid=acc6f857-642c-426c-8909-935a7b9123df"]}],"mendeley":{"formattedCitation":"(Rodríguez-Hidalgo et al., 2020; Salari et al., 2020)","plainTextFormattedCitation":"(Rodríguez-Hidalgo et al., 2020; Salari et al., 2020)","previouslyFormattedCitation":"(Rodríguez-Hidalgo et al., 2020; Salari et al., 2020)"},"properties":{"noteIndex":0},"schema":"https://github.com/citation-style-language/schema/raw/master/csl-citation.json"}</w:instrText>
      </w:r>
      <w:r w:rsidRPr="0094722C">
        <w:rPr>
          <w:lang w:val="es-ES"/>
        </w:rPr>
        <w:fldChar w:fldCharType="separate"/>
      </w:r>
      <w:r w:rsidRPr="0094722C">
        <w:rPr>
          <w:noProof/>
          <w:lang w:val="es-ES"/>
        </w:rPr>
        <w:t>(Rodríguez-Hidalgo et al., 2020; Salari et al., 2020)</w:t>
      </w:r>
      <w:r w:rsidRPr="0094722C">
        <w:rPr>
          <w:lang w:val="es-ES"/>
        </w:rPr>
        <w:fldChar w:fldCharType="end"/>
      </w:r>
      <w:r w:rsidRPr="0094722C">
        <w:rPr>
          <w:lang w:val="es-ES"/>
        </w:rPr>
        <w:t xml:space="preserve">, </w:t>
      </w:r>
      <w:r w:rsidRPr="0094722C">
        <w:rPr>
          <w:lang w:val="es-DO"/>
        </w:rPr>
        <w:t xml:space="preserve">malestar psicológico </w:t>
      </w:r>
      <w:r w:rsidRPr="0094722C">
        <w:rPr>
          <w:lang w:val="es-DO"/>
        </w:rPr>
        <w:fldChar w:fldCharType="begin" w:fldLock="1"/>
      </w:r>
      <w:r w:rsidRPr="0094722C">
        <w:rPr>
          <w:lang w:val="es-DO"/>
        </w:rPr>
        <w:instrText>ADDIN CSL_CITATION {"citationItems":[{"id":"ITEM-1","itemData":{"DOI":"10.1016/j.jpsychires.2020.10.035","ISSN":"00223956","abstract":"There is growing concern that the COVID-19 crisis may have long-standing mental health effects across society particularly amongst those with pre-existing mental health conditions. In this observational population-based study, we examined how psychological distress changed following the emergence of the COVID-19 crisis in the United States and tested whether certain population subgroups were vulnerable to persistent distress during the crisis. We analyzed longitudinal nationally representative data from eight waves of the Understanding America Study (UAS) collected between March 10th and July 20th, 2020 (N = 7319 Observations = 46,145). Differences in distress trends were examined by age, sex, race/ethnicity, and household income and by the presence of a pre-existing mental health diagnosis. Psychological distress was assessed using the standardized total score on the Patient Health Questionnaire-4 (PHQ-4). On average psychological distress increased significantly by 0.27 standard deviations (95% CI [0.23,0.31], p &lt; .001) from March 10–18 to April 1–14, 2020 as the COVID-19 crisis emerged and lockdown restrictions began in the US. Distress levels subsequently declined to mid-March levels by June 2020 (d = –0.31, 95% CI [–0.34, –0.27], p &lt; .001). Across the sociodemographic groups examined and those with pre-existing mental health conditions we observed a sharp rise in distress followed by a recovery to baseline distress levels. This study identified substantial increases in distress in the US during the emergence of the COVID-19 crisis that largely diminished in the weeks that followed and suggests that population level resilience in mental health may be occurring in response to the pandemic.","author":[{"dropping-particle":"","family":"Daly","given":"Michael","non-dropping-particle":"","parse-names":false,"suffix":""},{"dropping-particle":"","family":"Robinson","given":"Eric","non-dropping-particle":"","parse-names":false,"suffix":""}],"container-title":"Journal of Psychiatric Research","id":"ITEM-1","issued":{"date-parts":[["2020","10"]]},"publisher":"Elsevier Ltd","title":"Psychological distress and adaptation to the COVID-19 crisis in the United States","type":"article-journal"},"uris":["http://www.mendeley.com/documents/?uuid=084fbac5-9560-4302-a2f6-9448f2b46408"]},{"id":"ITEM-2","itemData":{"DOI":"10.1016/j.jad.2020.07.141","abstract":"Lahav, Y. (2020). Psychological distress related to COVID-19–the contribution of continuous traumatic stress. Journal of affective disorders, 277, 129-137.","author":[{"dropping-particle":"","family":"Lahav","given":"Yael","non-dropping-particle":"","parse-names":false,"suffix":""}],"container-title":"Journal of Affective Disorders","id":"ITEM-2","issued":{"date-parts":[["2020"]]},"page":"129-137","title":"Psychological Distress Related to COVID-19 – The Contribution of Continuous Traumatic Stress","type":"article-journal","volume":"277"},"uris":["http://www.mendeley.com/documents/?uuid=d5a090fc-5f14-4db9-b3d9-7c44c870030a"]}],"mendeley":{"formattedCitation":"(Daly &amp; Robinson, 2020; Lahav, 2020)","plainTextFormattedCitation":"(Daly &amp; Robinson, 2020; Lahav, 2020)","previouslyFormattedCitation":"(Daly &amp; Robinson, 2020; Lahav, 2020)"},"properties":{"noteIndex":0},"schema":"https://github.com/citation-style-language/schema/raw/master/csl-citation.json"}</w:instrText>
      </w:r>
      <w:r w:rsidRPr="0094722C">
        <w:rPr>
          <w:lang w:val="es-DO"/>
        </w:rPr>
        <w:fldChar w:fldCharType="separate"/>
      </w:r>
      <w:r w:rsidRPr="0094722C">
        <w:rPr>
          <w:noProof/>
          <w:lang w:val="es-DO"/>
        </w:rPr>
        <w:t>(Daly &amp; Robinson, 2020; Lahav, 2020)</w:t>
      </w:r>
      <w:r w:rsidRPr="0094722C">
        <w:rPr>
          <w:lang w:val="es-ES"/>
        </w:rPr>
        <w:fldChar w:fldCharType="end"/>
      </w:r>
      <w:r w:rsidRPr="0094722C">
        <w:rPr>
          <w:lang w:val="es-DO"/>
        </w:rPr>
        <w:t xml:space="preserve">, y un descenso en la calidad de vida </w:t>
      </w:r>
      <w:r w:rsidRPr="0094722C">
        <w:rPr>
          <w:lang w:val="es-DO"/>
        </w:rPr>
        <w:fldChar w:fldCharType="begin" w:fldLock="1"/>
      </w:r>
      <w:r w:rsidRPr="0094722C">
        <w:rPr>
          <w:lang w:val="es-DO"/>
        </w:rPr>
        <w:instrText>ADDIN CSL_CITATION {"citationItems":[{"id":"ITEM-1","itemData":{"DOI":"10.3389/fpsyg.2020.565153","ISSN":"16641078","abstract":"Starting from April 1st, 2020, the nationwide partial lockdown in Vietnam has shown the effectiveness in stopping the community transmission of COVID-19, however, it also produced adverse impacts on the economy and inhabitants’ life. A cross-sectional study using a web-based approach was conducted in the second week of April 2020 to examine the influence of the national social distancing on the quality of life and economic well-being of Vietnamese citizens under COVID-19 pandemic. The data included socio-economic characteristics, impact of COVID-19 on household income, health status, and health-related quality of life (HRQOL). Ordered logistic regression and multivariable Tobit regression model were employed to examine factors correlated to income change and HRQOL. Results showed that among 341 participants, 66.9% reported household income loss due to the impact of COVID-19. People holding undergraduate degrees, working in other sectors rather than healthcare, and having definite-term contract had a higher likelihood of income reduction. The mean score of EQ-5D-5L and EQ-VAS was 0.95 (± 0.07) and 88.2 (± 11.0), respectively. The domain of Anxiety/Depression had the highest proportion of reporting any problems among 5 dimensions of EQ-5D-5L (38.7%). Being female, having chronic conditions and living in the family with 3–5 members were associated with lower HRQOL scores. A comprehensive assessment of the influence of COVID-19 along with public health interventions, especially mental health programs, should be implemented to mitigate the negative effects of this pandemic on the economic status and quality of life of citizens.","author":[{"dropping-particle":"","family":"Tran","given":"Bach Xuan","non-dropping-particle":"","parse-names":false,"suffix":""},{"dropping-particle":"","family":"Nguyen","given":"Hien Thi","non-dropping-particle":"","parse-names":false,"suffix":""},{"dropping-particle":"","family":"Le","given":"Huong Thi","non-dropping-particle":"","parse-names":false,"suffix":""},{"dropping-particle":"","family":"Latkin","given":"Carl A.","non-dropping-particle":"","parse-names":false,"suffix":""},{"dropping-particle":"","family":"Pham","given":"Hai Quang","non-dropping-particle":"","parse-names":false,"suffix":""},{"dropping-particle":"","family":"Vu","given":"Linh Gia","non-dropping-particle":"","parse-names":false,"suffix":""},{"dropping-particle":"","family":"Le","given":"Xuan Thi Thanh","non-dropping-particle":"","parse-names":false,"suffix":""},{"dropping-particle":"","family":"Nguyen","given":"Thao Thanh","non-dropping-particle":"","parse-names":false,"suffix":""},{"dropping-particle":"","family":"Pham","given":"Quan Thi","non-dropping-particle":"","parse-names":false,"suffix":""},{"dropping-particle":"","family":"Ta","given":"Nhung Thi Kim","non-dropping-particle":"","parse-names":false,"suffix":""},{"dropping-particle":"","family":"Nguyen","given":"Quynh Thi","non-dropping-particle":"","parse-names":false,"suffix":""},{"dropping-particle":"","family":"Ho","given":"Cyrus S.H.","non-dropping-particle":"","parse-names":false,"suffix":""},{"dropping-particle":"","family":"Ho","given":"Roger C.M.","non-dropping-particle":"","parse-names":false,"suffix":""}],"container-title":"Frontiers in Psychology","id":"ITEM-1","issued":{"date-parts":[["2020"]]},"page":"565153","title":"Impact of COVID-19 on economic well-being and quality of life of the Vietnamese during the national social distancing","type":"article-journal","volume":"11"},"uris":["http://www.mendeley.com/documents/?uuid=a4c01993-103b-457f-b14f-fc44b6b01bee"]},{"id":"ITEM-2","itemData":{"author":[{"dropping-particle":"","family":"Schiavi","given":"Michele Carlo","non-dropping-particle":"","parse-names":false,"suffix":""},{"dropping-particle":"","family":"Spina","given":"Vincenzo","non-dropping-particle":"","parse-names":false,"suffix":""},{"dropping-particle":"","family":"Zullo","given":"Marzio Angelo","non-dropping-particle":"","parse-names":false,"suffix":""}],"container-title":"The Journal of Sexual Medicine","id":"ITEM-2","issue":"17","issued":{"date-parts":[["2020"]]},"page":"1407e1413","title":"Love in the time of COVID-19: Sexual function and quality of life analysis during the social distancing measures in a group of Italian reproductive-age women","type":"article-journal"},"uris":["http://www.mendeley.com/documents/?uuid=3df2e678-43f7-47c0-9d98-a9f15d92674d"]}],"mendeley":{"formattedCitation":"(Schiavi et al., 2020; Tran et al., 2020)","plainTextFormattedCitation":"(Schiavi et al., 2020; Tran et al., 2020)","previouslyFormattedCitation":"(Schiavi et al., 2020; Tran et al., 2020)"},"properties":{"noteIndex":0},"schema":"https://github.com/citation-style-language/schema/raw/master/csl-citation.json"}</w:instrText>
      </w:r>
      <w:r w:rsidRPr="0094722C">
        <w:rPr>
          <w:lang w:val="es-DO"/>
        </w:rPr>
        <w:fldChar w:fldCharType="separate"/>
      </w:r>
      <w:r w:rsidRPr="0094722C">
        <w:rPr>
          <w:noProof/>
          <w:lang w:val="es-DO"/>
        </w:rPr>
        <w:t>(Schiavi et al., 2020; Tran et al., 2020)</w:t>
      </w:r>
      <w:r w:rsidRPr="0094722C">
        <w:rPr>
          <w:lang w:val="es-ES"/>
        </w:rPr>
        <w:fldChar w:fldCharType="end"/>
      </w:r>
      <w:r w:rsidRPr="0094722C">
        <w:rPr>
          <w:lang w:val="es-DO"/>
        </w:rPr>
        <w:t xml:space="preserve">. </w:t>
      </w:r>
    </w:p>
    <w:p w14:paraId="13169C9B" w14:textId="77777777" w:rsidR="0094722C" w:rsidRPr="0094722C" w:rsidRDefault="0094722C" w:rsidP="00554C1F">
      <w:pPr>
        <w:pStyle w:val="Prrafocomn"/>
        <w:jc w:val="left"/>
        <w:rPr>
          <w:lang w:val="es-ES"/>
        </w:rPr>
      </w:pPr>
      <w:r w:rsidRPr="0094722C">
        <w:rPr>
          <w:lang w:val="es-ES"/>
        </w:rPr>
        <w:t xml:space="preserve">Si bien es cierto que las personas jóvenes y saludables no tienen altos riesgos de complicaciones por COVID-19 </w:t>
      </w:r>
      <w:r w:rsidRPr="0094722C">
        <w:rPr>
          <w:lang w:val="es-ES"/>
        </w:rPr>
        <w:fldChar w:fldCharType="begin" w:fldLock="1"/>
      </w:r>
      <w:r w:rsidRPr="0094722C">
        <w:rPr>
          <w:lang w:val="es-ES"/>
        </w:rPr>
        <w:instrText>ADDIN CSL_CITATION {"citationItems":[{"id":"ITEM-1","itemData":{"DOI":"10.1007/s10900-020-00920-x","ISSN":"15733610","PMID":"32918645","abstract":"Objectives: The main aim of this study was to find the prevalence of mortality among hospitalized COVID-19 infected patients and associated risk factors for death. Methods: Three electronic databases including PubMed, Science Direct and Google Scholar were searched to identify relevant cohort studies of COVID-19 disease from January 1, 2020, to August 11, 2020. A random-effects model was used to calculate pooled prevalence rate (PR), risk ratio (RR) and 95% confidence interval (CI) for both effect measures. Cochrane chi-square test statistic Q, I2, and τ2 tests were used to measure the presence of heterogeneity. Publication bias and sensitivity of the included studies were also tested. Results: In this meta-analysis, a total of 58 studies with 122,191 patients were analyzed. The pooled prevalence rate of mortality among the hospitalized COVID-19 patients was 18.88%, 95% CI (16.46–21.30), p &lt; 0.001. Highest mortality was found in Europe [PR 26.85%, 95% CI (19.41–34.29), p &lt; 0.001] followed by North America [PR 21.47%, 95% CI (16.27–26.68), p &lt; 0.001] and Asia [PR 14.83%, 95% CI (12.46- 17.21), p &lt; 0.001]. An significant association were found between mortality among COVID-19 infected patients and older age (&gt; 65 years vs. &lt; 65 years) [RR 3.59, 95% CI (1.87–6.90), p &lt; 0.001], gender (male vs. female) [RR 1.63, 95% CI (1.43–1.87), p &lt; 0.001], ICU admitted patients [RR 3.72, 95% CI (2.70–5.13), p &lt; 0.001], obesity [RR 2.18, 95% CI (1.10–4.34), p &lt; 0.05], hypertension [RR 2.08,95% CI (1.79–2.43) p &lt; 0.001], diabetes [RR 1.87, 95% CI (1.23–2.84), p &lt; 0.001], cardiovascular disease [RR 2.51, 95% CI (1.20–5.26), p &lt; 0.05], and cancer [RR 2.31, 95% CI (1.80–2.97), p &lt; 0.001]. In addition, significant association for high risk of mortality were also found for cerebrovascular disease, COPD, coronary heart disease, chronic renal disease, chronic liver disease, chronic lung disease and chronic kidney disease. Conclusion: This meta-analysis revealed that the mortality rate among COVID-19 patients was highest in the European region and older age, gender, ICU patients, patients with comorbidity had a high risk for case fatality. Those findings would help the health care providers to reduce the mortality rate and combat this pandemic to save lives using limited resources.","author":[{"dropping-particle":"","family":"Noor","given":"Farha Musharrat","non-dropping-particle":"","parse-names":false,"suffix":""},{"dropping-particle":"","family":"Islam","given":"Md Momin","non-dropping-particle":"","parse-names":false,"suffix":""}],"container-title":"Journal of Community Health","id":"ITEM-1","issue":"6","issued":{"date-parts":[["2020"]]},"page":"1270-1282","publisher":"Springer US","title":"Prevalence and associated risk factors of mortality among COVID-19 patients: A Meta-analysis","type":"article-journal","volume":"45"},"uris":["http://www.mendeley.com/documents/?uuid=6fc7509c-21db-45b0-bccf-4c920e8b72cf"]},{"id":"ITEM-2","itemData":{"DOI":"10.1038/s41586-020-2521-4","ISBN":"4158602025214","ISSN":"14764687","PMID":"32640463","abstract":"Coronavirus disease 2019 (COVID-19) has rapidly affected mortality worldwide1. There is unprecedented urgency to understand who is most at risk of severe outcomes, and this requires new approaches for the timely analysis of large datasets. Working on behalf of NHS England, we created OpenSAFELY—a secure health analytics platform that covers 40% of all patients in England and holds patient data within the existing data centre of a major vendor of primary care electronic health records. Here we used OpenSAFELY to examine factors associated with COVID-19-related death. Primary care records of 17,278,392 adults were pseudonymously linked to 10,926 COVID-19-related deaths. COVID-19-related death was associated with: being male (hazard ratio (HR) 1.59 (95% confidence interval 1.53–1.65)); greater age and deprivation (both with a strong gradient); diabetes; severe asthma; and various other medical conditions. Compared with people of white ethnicity, Black and South Asian people were at higher risk, even after adjustment for other factors (HR 1.48 (1.29–1.69) and 1.45 (1.32–1.58), respectively). We have quantified a range of clinical factors associated with COVID-19-related death in one of the largest cohort studies on this topic so far. More patient records are rapidly being added to OpenSAFELY, we will update and extend our results regularly.","author":[{"dropping-particle":"","family":"Williamson","given":"Elizabeth J.","non-dropping-particle":"","parse-names":false,"suffix":""},{"dropping-particle":"","family":"Walker","given":"Alex J.","non-dropping-particle":"","parse-names":false,"suffix":""},{"dropping-particle":"","family":"Bhaskaran","given":"Krishnan","non-dropping-particle":"","parse-names":false,"suffix":""},{"dropping-particle":"","family":"Bacon","given":"Seb","non-dropping-particle":"","parse-names":false,"suffix":""},{"dropping-particle":"","family":"Bates","given":"Chris","non-dropping-particle":"","parse-names":false,"suffix":""},{"dropping-particle":"","family":"Morton","given":"Caroline E.","non-dropping-particle":"","parse-names":false,"suffix":""},{"dropping-particle":"","family":"Curtis","given":"Helen J.","non-dropping-particle":"","parse-names":false,"suffix":""},{"dropping-particle":"","family":"Mehrkar","given":"Amir","non-dropping-particle":"","parse-names":false,"suffix":""},{"dropping-particle":"","family":"Evans","given":"David","non-dropping-particle":"","parse-names":false,"suffix":""},{"dropping-particle":"","family":"Inglesby","given":"Peter","non-dropping-particle":"","parse-names":false,"suffix":""},{"dropping-particle":"","family":"Cockburn","given":"Jonathan","non-dropping-particle":"","parse-names":false,"suffix":""},{"dropping-particle":"","family":"McDonald","given":"Helen I.","non-dropping-particle":"","parse-names":false,"suffix":""},{"dropping-particle":"","family":"MacKenna","given":"Brian","non-dropping-particle":"","parse-names":false,"suffix":""},{"dropping-particle":"","family":"Tomlinson","given":"Laurie","non-dropping-particle":"","parse-names":false,"suffix":""},{"dropping-particle":"","family":"Douglas","given":"Ian J.","non-dropping-particle":"","parse-names":false,"suffix":""},{"dropping-particle":"","family":"Rentsch","given":"Christopher T.","non-dropping-particle":"","parse-names":false,"suffix":""},{"dropping-particle":"","family":"Mathur","given":"Rohini","non-dropping-particle":"","parse-names":false,"suffix":""},{"dropping-particle":"","family":"Wong","given":"Angel Y.S.","non-dropping-particle":"","parse-names":false,"suffix":""},{"dropping-particle":"","family":"Grieve","given":"Richard","non-dropping-particle":"","parse-names":false,"suffix":""},{"dropping-particle":"","family":"Harrison","given":"David","non-dropping-particle":"","parse-names":false,"suffix":""},{"dropping-particle":"","family":"Forbes","given":"Harriet","non-dropping-particle":"","parse-names":false,"suffix":""},{"dropping-particle":"","family":"Schultze","given":"Anna","non-dropping-particle":"","parse-names":false,"suffix":""},{"dropping-particle":"","family":"Croker","given":"Richard","non-dropping-particle":"","parse-names":false,"suffix":""},{"dropping-particle":"","family":"Parry","given":"John","non-dropping-particle":"","parse-names":false,"suffix":""},{"dropping-particle":"","family":"Hester","given":"Frank","non-dropping-particle":"","parse-names":false,"suffix":""},{"dropping-particle":"","family":"Harper","given":"Sam","non-dropping-particle":"","parse-names":false,"suffix":""},{"dropping-particle":"","family":"Perera","given":"Rafael","non-dropping-particle":"","parse-names":false,"suffix":""},{"dropping-particle":"","family":"Evans","given":"Stephen J.W.","non-dropping-particle":"","parse-names":false,"suffix":""},{"dropping-particle":"","family":"Smeeth","given":"Liam","non-dropping-particle":"","parse-names":false,"suffix":""},{"dropping-particle":"","family":"Goldacre","given":"Ben","non-dropping-particle":"","parse-names":false,"suffix":""}],"container-title":"Nature","id":"ITEM-2","issue":"7821","issued":{"date-parts":[["2020"]]},"page":"430-436","publisher":"Springer US","title":"Factors associated with COVID-19-related death using OpenSAFELY","type":"article-journal","volume":"584"},"uris":["http://www.mendeley.com/documents/?uuid=f1934cd8-0f73-4f7d-b418-1a9c0c678b34"]}],"mendeley":{"formattedCitation":"(Noor &amp; Islam, 2020; Williamson et al., 2020)","plainTextFormattedCitation":"(Noor &amp; Islam, 2020; Williamson et al., 2020)","previouslyFormattedCitation":"(Noor &amp; Islam, 2020; Williamson et al., 2020)"},"properties":{"noteIndex":0},"schema":"https://github.com/citation-style-language/schema/raw/master/csl-citation.json"}</w:instrText>
      </w:r>
      <w:r w:rsidRPr="0094722C">
        <w:rPr>
          <w:lang w:val="es-ES"/>
        </w:rPr>
        <w:fldChar w:fldCharType="separate"/>
      </w:r>
      <w:r w:rsidRPr="0094722C">
        <w:rPr>
          <w:noProof/>
          <w:lang w:val="es-ES"/>
        </w:rPr>
        <w:t>(Noor &amp; Islam, 2020; Williamson et al., 2020)</w:t>
      </w:r>
      <w:r w:rsidRPr="0094722C">
        <w:rPr>
          <w:lang w:val="es-ES"/>
        </w:rPr>
        <w:fldChar w:fldCharType="end"/>
      </w:r>
      <w:r w:rsidRPr="0094722C">
        <w:rPr>
          <w:lang w:val="es-ES"/>
        </w:rPr>
        <w:t xml:space="preserve">, la pandemia ha afectado a los estudiantes universitarios de una manera particular </w:t>
      </w:r>
      <w:r w:rsidRPr="0094722C">
        <w:rPr>
          <w:lang w:val="es-ES"/>
        </w:rPr>
        <w:fldChar w:fldCharType="begin" w:fldLock="1"/>
      </w:r>
      <w:r w:rsidRPr="0094722C">
        <w:rPr>
          <w:lang w:val="es-ES"/>
        </w:rPr>
        <w:instrText>ADDIN CSL_CITATION {"citationItems":[{"id":"ITEM-1","itemData":{"DOI":"10.1371/journal.pone.0238162","ISBN":"1111111111","ISSN":"19326203","PMID":"32845928","abstract":"Islam, M. A., Barna, S. D., Raihan, H., Khan, M. N. A., &amp; Hossain, M. T. (2020). Depression and anxiety among university students during the COVID-19 pandemic in Bangladesh: A web-based cross-sectional survey. PloS one, 15(8), e0238162.","author":[{"dropping-particle":"","family":"Islam","given":"Akhtarul","non-dropping-particle":"","parse-names":false,"suffix":""},{"dropping-particle":"","family":"Barna","given":"Sutapa Dey","non-dropping-particle":"","parse-names":false,"suffix":""},{"dropping-particle":"","family":"Raihan","given":"Hasin","non-dropping-particle":"","parse-names":false,"suffix":""},{"dropping-particle":"","family":"Khan","given":"Nafiul Alam","non-dropping-particle":"","parse-names":false,"suffix":""},{"dropping-particle":"","family":"Hossain","given":"Md Tanvir","non-dropping-particle":"","parse-names":false,"suffix":""}],"container-title":"PLoS ONE","id":"ITEM-1","issue":"8","issued":{"date-parts":[["2020"]]},"page":"e0238162","title":"Depression and anxiety among university students during the COVID-19 pandemic in Bangladesh: A web-based cross-sectional survey","type":"article-journal","volume":"15"},"uris":["http://www.mendeley.com/documents/?uuid=d58f9051-55e3-4e4e-84b4-b512ef580367"]},{"id":"ITEM-2","itemData":{"DOI":"10.3389/fpsyg.2020.01529","ISSN":"16641078","abstract":"The breakout of COVID-19 has brought about huge influence on people’s physic and mental health. This paper aims to investigate the mental health status of young people living in isolation due to the policy response to Coronavirus disease. Nine hundred ninety-two Chinese college students (Mage = 19.45, SD = 1.41) were recruited to finish an online survey in the period of self-isolation. Seven dimensions of psychological well-being were measured, including mental status, knowledge of stress management, behavioral patterns, risk perception, academic stress, family relationships, and peer relationships. Results of cluster analysis indicated that young individuals’ mental status can be divided into three groups: high-risk (n = 61, Mage = 19.26, SD = 1.32), medium-risk (n = 627, Mage = 19.43, SD = 1.38), and low-risk (n = 304, Mage = 19.54, SD = 1.49). Moreover, results of multiple regression showed that the isolation policy has had a complex influence on the symptoms of obsessive-compulsive disorder [F(12, 979) = 44.894, p &lt; 0.001], fear [F(12, 979) = 30.776, p &lt; 0.001], hypochondria [F(12, 979) = 22.530, p &lt; 0.001], depression [F(12, 979) = 39.022, p &lt; 0.001], and neurasthenia [F(12, 979) = 45.735, p &lt; 0.001] via various factors. This paper also proposes a six-step intervention strategy to alleviate young people’s psychological problems while in isolation. It provides practical insights into the psychological interventions in face of the global threat.","author":[{"dropping-particle":"","family":"Chen","given":"Bo","non-dropping-particle":"","parse-names":false,"suffix":""},{"dropping-particle":"","family":"Sun","given":"Jinlu","non-dropping-particle":"","parse-names":false,"suffix":""},{"dropping-particle":"","family":"Feng","given":"Yi","non-dropping-particle":"","parse-names":false,"suffix":""}],"container-title":"Frontiers in Psychology","id":"ITEM-2","issued":{"date-parts":[["2020"]]},"page":"1529","title":"How have COVID-19 isolation policies affected young people’s mental health? – Evidence from Chinese college students","type":"article-journal","volume":"11"},"uris":["http://www.mendeley.com/documents/?uuid=d9a03f80-8c01-46b1-bd27-da67726202a8"]},{"id":"ITEM-3","itemData":{"DOI":"10.2196/22817","ISSN":"1438-8871","PMID":"32897868","abstract":"Background: Evidence suggests that the COVID-19 pandemic has generally increased levels of stress and depression among the public. However, the impact on college students in the United States has not been well-documented. Objective: This paper surveys the mental health status and severity of depression and anxiety of college students in a large university system in the United States during the COVID-19 pandemic. Methods: An online survey was conducted among undergraduate and graduate students recruited from Texas A&amp;M University via email. The survey consisted of two standardized scales-the Patient Health Questionnaire-9 and the General Anxiety Disorder-7-for depression and anxiety, and additional multiple-choice and open-ended questions regarding stressors and coping mechanisms specific to COVID-19. Results: Among the 2031 participants, 48.14% (n=960) showed a moderate-to-severe level of depression, 38.48% (n=775) showed a moderate-to-severe level of anxiety, and 18.04% (n=366) had suicidal thoughts. A majority of participants (n=1443, 71.26%) indicated that their stress/anxiety levels had increased during the pandemic. Less than half of the participants (n=882, 43.25%) indicated that they were able to cope adequately with the stress related to the current situation. Conclusions: The proportion of respondents showing depression, anxiety, and/or suicidal thoughts is alarming. Respondents reported academic-, health-, and lifestyle-related concerns caused by the pandemic. Given the unexpected length and severity of the outbreak, these concerns need to be further understood and addressed.","author":[{"dropping-particle":"","family":"Wang","given":"Xiaomei","non-dropping-particle":"","parse-names":false,"suffix":""},{"dropping-particle":"","family":"Hegde","given":"Sudeep","non-dropping-particle":"","parse-names":false,"suffix":""},{"dropping-particle":"","family":"Son","given":"Changwon","non-dropping-particle":"","parse-names":false,"suffix":""},{"dropping-particle":"","family":"Keller","given":"Bruce","non-dropping-particle":"","parse-names":false,"suffix":""},{"dropping-particle":"","family":"Smith","given":"Alec","non-dropping-particle":"","parse-names":false,"suffix":""},{"dropping-particle":"","family":"Sasangohar","given":"Farzan","non-dropping-particle":"","parse-names":false,"suffix":""}],"container-title":"Journal of Medical Internet Research","id":"ITEM-3","issue":"9","issued":{"date-parts":[["2020","9","17"]]},"page":"e22817","title":"Investigating Mental Health of US College Students During the COVID-19 Pandemic: Cross-Sectional Survey Study","type":"article-journal","volume":"22"},"uris":["http://www.mend</w:instrText>
      </w:r>
      <w:r w:rsidRPr="0094722C">
        <w:instrText>eley.com/documents/?uuid=fdd70da6-8fb3-4557-bd7b-ee3fc002ff44"]},{"id":"ITEM-4","itemData":{"DOI":"10.1016/j.rcp.2020.07.005","ISSN":"00347450","author":[{"dropping-particle":"","family":"Morote-Jayacc","given":"Pilar Violeta","non-dropping-particle":"","parse-names":false,"suffix":""},{"dropping-particle":"","family":"Sandoval","given":"Kenyo Delfín","non-dropping-particle":"","parse-names":false,"suffix":""},{"dropping-particle":"","family":"Moreno-Molina","given":"Melissa","non-dropping-particle":"","parse-names":false,"suffix":""},{"dropping-particle":"","family":"Taype-Rondan","given":"Álvaro","non-dropping-particle":"","parse-names":false,"suffix":""}],"container-title":"Revista Colombiana de Psiquiatría","id":"ITEM-4","issue":"4","issued":{"date-parts":[["2020"]]},"page":"223-224","title":"Estudios de salud mental en estudiantes de Medicina en el contexto de la COVID-19","type":"article-journal","volume":"49"},"uris":["http://www.mendeley.com/documents/?uuid=7b4f5f8a-402e-4abf-8be4-222ef1c85e8c"]}],"mendeley":{"formattedCitation":"(Chen et al., 2020; Islam et al., 2020; Morote-Jayacc et al., 2020; Wang et al., 2020)","plainTextFormattedCitation":"(Chen et al., 2020; Islam et al., 2020; Morote-Jayacc et al., 2020; Wang et al., 2020)","previouslyFormattedCitation":"(Chen et al., 2020; Islam et al., 2020; Morote-Jayacc et al., 2020; Wang et al., 2020)"},"properties":{"noteIndex":0},"schema":"https://github.com/citation-style-language/schema/raw/master/csl-citation.json"}</w:instrText>
      </w:r>
      <w:r w:rsidRPr="0094722C">
        <w:rPr>
          <w:lang w:val="es-ES"/>
        </w:rPr>
        <w:fldChar w:fldCharType="separate"/>
      </w:r>
      <w:r w:rsidRPr="0094722C">
        <w:rPr>
          <w:noProof/>
        </w:rPr>
        <w:t>(Chen et al., 2020; Islam et al., 2020; Morote-Jayacc et al., 2020; Wang et al., 2020)</w:t>
      </w:r>
      <w:r w:rsidRPr="0094722C">
        <w:rPr>
          <w:lang w:val="es-ES"/>
        </w:rPr>
        <w:fldChar w:fldCharType="end"/>
      </w:r>
      <w:r w:rsidRPr="0094722C">
        <w:t xml:space="preserve">. </w:t>
      </w:r>
      <w:r w:rsidRPr="0094722C">
        <w:rPr>
          <w:lang w:val="es-ES"/>
        </w:rPr>
        <w:t xml:space="preserve">A nivel de educación superior, las clases universitarias presenciales fueron suspendidas y los estudiantes tuvieron que adaptarse al aprendizaje virtual, usando plataformas para la que el sistema educativo aún no estaba preparado </w:t>
      </w:r>
      <w:r w:rsidRPr="0094722C">
        <w:rPr>
          <w:lang w:val="es-ES"/>
        </w:rPr>
        <w:fldChar w:fldCharType="begin" w:fldLock="1"/>
      </w:r>
      <w:r w:rsidRPr="0094722C">
        <w:rPr>
          <w:lang w:val="es-ES"/>
        </w:rPr>
        <w:instrText>ADDIN CSL_CITATION {"citationItems":[{"id":"ITEM-1","itemData":{"abstract":"Giannini, S. (2020). Covid-19 y educación superior: De los efectos inmediatos al día después. Revista Latinoamericana de Educación Comparada, 11(17), 1-57.","author":[{"dropping-particle":"","family":"Gianni","given":"S.","non-dropping-particle":"","parse-names":false,"suffix":""}],"container-title":"Revista Latinoamericana de Educación Comparada","id":"ITEM-1","issue":"17","issued":{"date-parts":[["2020"]]},"note":"Disrupción de las actividades universitarias presenciales, reajuste de vida cotidiana y horarios, efectos del confinamiento en el equilibrio emocional, cargas financieras a estudiantes cuyas familias pierden el trabajo, un mercado laboral complicado para graduandos, adaptación a las nuevas formas de enseñanza virtual sin previa preparación, disrupción de movilización internacional.","page":"1-57","title":"COVID-19 y educación superior: De los efectos inmediatos al día después","type":"article-journal","volume":"11"},"uris":["http://www.mendeley.com/documents/?uuid=ef823a53-63d0-4a22-8c46-b530a6fffb9d"]}],"mendeley":{"formattedCitation":"(Gianni, 2020)","plainTextFormattedCitation":"(Gianni, 2020)","previouslyFormattedCitation":"(Gianni, 2020)"},"properties":{"noteIndex":0},"schema":"https://github.com/citation-style-language/schema/raw/master/csl-citation.json"}</w:instrText>
      </w:r>
      <w:r w:rsidRPr="0094722C">
        <w:rPr>
          <w:lang w:val="es-ES"/>
        </w:rPr>
        <w:fldChar w:fldCharType="separate"/>
      </w:r>
      <w:r w:rsidRPr="0094722C">
        <w:rPr>
          <w:noProof/>
          <w:lang w:val="es-ES"/>
        </w:rPr>
        <w:t>(Gianni, 2020)</w:t>
      </w:r>
      <w:r w:rsidRPr="0094722C">
        <w:rPr>
          <w:lang w:val="es-ES"/>
        </w:rPr>
        <w:fldChar w:fldCharType="end"/>
      </w:r>
      <w:r w:rsidRPr="0094722C">
        <w:rPr>
          <w:lang w:val="es-ES"/>
        </w:rPr>
        <w:t xml:space="preserve">. Gianni (2020) reporta que los estudiantes más vulnerables tienen nuevas cargas financieras, y que aquellos que se gradúan durante la pandemia tienen un mercado laboral incierto, lo que contribuye a un malestar general. Los jóvenes universitarios tienen características que les hace vulnerables a los efectos del distanciamiento físico y de las demás restricciones </w:t>
      </w:r>
      <w:r w:rsidRPr="0094722C">
        <w:rPr>
          <w:lang w:val="es-ES"/>
        </w:rPr>
        <w:fldChar w:fldCharType="begin" w:fldLock="1"/>
      </w:r>
      <w:r w:rsidRPr="0094722C">
        <w:rPr>
          <w:lang w:val="es-ES"/>
        </w:rPr>
        <w:instrText>ADDIN CSL_CITATION {"citationItems":[{"id":"ITEM-1","itemData":{"DOI":"10.1016/j.psychres.2020.112934","ISSN":"18727123","PMID":"32229390","abstract":"Cao, W., Fang, Z., Hou, G., Han, M., Xu, X., Dong, J., &amp; Zheng, J. (2020). The psychological impact of the COVID-19 epidemic on college students in China. Psychiatry research, 287, 112934.","author":[{"dropping-particle":"","family":"Cao","given":"Wenjun","non-dropping-particle":"","parse-names":false,"suffix":""},{"dropping-particle":"","family":"Fang","given":"Ziwei","non-dropping-particle":"","parse-names":false,"suffix":""},{"dropping-particle":"","family":"Hou","given":"Guoqiang","non-dropping-particle":"","parse-names":false,"suffix":""},{"dropping-particle":"","family":"Han","given":"Mei","non-dropping-particle":"","parse-names":false,"suffix":""},{"dropping-particle":"","family":"Xu","given":"Xinrong","non-dropping-particle":"","parse-names":false,"suffix":""},{"dropping-particle":"","family":"Dong","given":"Jiaxin","non-dropping-particle":"","parse-names":false,"suffix":""},{"dropping-particle":"","family":"Zheng","given":"Jianzhong","non-dropping-particle":"","parse-names":false,"suffix":""}],"container-title":"Psychiatry Research","id":"ITEM-1","issued":{"date-parts":[["2020"]]},"page":"112934","publisher":"Elsevier Ireland Ltd","title":"The psychological impact of the COVID-19 epidemic on college students in China","type":"article-journal","volume":"287"},"uris":["http://www.mendeley.com/documents/?uuid=bbd52368-36e9-4813-9684-b025190d1fd5"]}],"mendeley":{"formattedCitation":"(Cao et al., 2020)","plainTextFormattedCitation":"(Cao et al., 2020)","previouslyFormattedCitation":"(Cao et al., 2020)"},"properties":{"noteIndex":0},"schema":"https://github.com/citation-style-language/schema/raw/master/csl-citation.json"}</w:instrText>
      </w:r>
      <w:r w:rsidRPr="0094722C">
        <w:rPr>
          <w:lang w:val="es-ES"/>
        </w:rPr>
        <w:fldChar w:fldCharType="separate"/>
      </w:r>
      <w:r w:rsidRPr="0094722C">
        <w:rPr>
          <w:noProof/>
          <w:lang w:val="es-ES"/>
        </w:rPr>
        <w:t>(Cao et al., 2020)</w:t>
      </w:r>
      <w:r w:rsidRPr="0094722C">
        <w:rPr>
          <w:lang w:val="es-ES"/>
        </w:rPr>
        <w:fldChar w:fldCharType="end"/>
      </w:r>
      <w:r w:rsidRPr="0094722C">
        <w:rPr>
          <w:lang w:val="es-ES"/>
        </w:rPr>
        <w:t xml:space="preserve">. </w:t>
      </w:r>
      <w:r w:rsidRPr="0094722C">
        <w:rPr>
          <w:lang w:val="es-ES"/>
        </w:rPr>
        <w:fldChar w:fldCharType="begin" w:fldLock="1"/>
      </w:r>
      <w:r w:rsidRPr="0094722C">
        <w:rPr>
          <w:lang w:val="es-ES"/>
        </w:rPr>
        <w:instrText>ADDIN CSL_CITATION {"citationItems":[{"id":"ITEM-1","itemData":{"author":[{"dropping-particle":"","family":"Wood","given":"David","non-dropping-particle":"","parse-names":false,"suffix":""},{"dropping-particle":"","family":"Crapnell","given":"Tara","non-dropping-particle":"","parse-names":false,"suffix":""},{"dropping-particle":"","family":"Lau","given":"Lynette","non-dropping-particle":"","parse-names":false,"suffix":""},{"dropping-particle":"","family":"Bennett","given":"Ashley","non-dropping-particle":"","parse-names":false,"suffix":""},{"dropping-particle":"","family":"Lotstein","given":"Debra","non-dropping-particle":"","parse-names":false,"suffix":""},{"dropping-particle":"","family":"Ferris","given":"Maria","non-dropping-particle":"","parse-names":false,"suffix":""},{"dropping-particle":"","family":"Kuo","given":"Alice","non-dropping-particle":"","parse-names":false,"suffix":""}],"container-title":"Handbook of life course health development","id":"ITEM-1","issued":{"date-parts":[["2018"]]},"page":"123-143","publisher":"Springer, Cham","title":"Emerging adulthood as a critical stage in the life course","type":"chapter"},"uris":["http://www.mendeley.com/documents/?uuid=d247b46d-5a77-4ef3-bfb8-adc38f4c94af"]}],"mendeley":{"formattedCitation":"(Wood et al., 2018)","manualFormatting":"Wood et al. (2018)","plainTextFormattedCitation":"(Wood et al., 2018)","previouslyFormattedCitation":"(Wood et al., 2018)"},"properties":{"noteIndex":0},"schema":"https://github.com/citation-style-language/schema/raw/master/csl-citation.json"}</w:instrText>
      </w:r>
      <w:r w:rsidRPr="0094722C">
        <w:rPr>
          <w:lang w:val="es-ES"/>
        </w:rPr>
        <w:fldChar w:fldCharType="separate"/>
      </w:r>
      <w:r w:rsidRPr="0094722C">
        <w:rPr>
          <w:noProof/>
          <w:lang w:val="es-ES"/>
        </w:rPr>
        <w:t>Wood et al. (2018)</w:t>
      </w:r>
      <w:r w:rsidRPr="0094722C">
        <w:rPr>
          <w:lang w:val="es-ES"/>
        </w:rPr>
        <w:fldChar w:fldCharType="end"/>
      </w:r>
      <w:r w:rsidRPr="0094722C">
        <w:rPr>
          <w:lang w:val="es-ES"/>
        </w:rPr>
        <w:t xml:space="preserve">. Por ejemplo, en la adultez emergente se toman decisiones sobre la formación académica, el ámbito laboral, relaciones sociales y de pareja, que son </w:t>
      </w:r>
      <w:r w:rsidRPr="0094722C">
        <w:rPr>
          <w:lang w:val="es-ES"/>
        </w:rPr>
        <w:lastRenderedPageBreak/>
        <w:t xml:space="preserve">determinantes para su desarrollo y para el bienestar general, y que son afectados durante la pandemia del COVID-19. </w:t>
      </w:r>
    </w:p>
    <w:p w14:paraId="6582A04D" w14:textId="77777777" w:rsidR="0094722C" w:rsidRPr="0094722C" w:rsidRDefault="0094722C" w:rsidP="00554C1F">
      <w:pPr>
        <w:pStyle w:val="Prrafocomn"/>
        <w:jc w:val="left"/>
        <w:rPr>
          <w:lang w:val="es-ES"/>
        </w:rPr>
      </w:pPr>
      <w:r w:rsidRPr="0094722C">
        <w:rPr>
          <w:lang w:val="es-ES"/>
        </w:rPr>
        <w:t xml:space="preserve">El bienestar se refiere al funcionamiento psicológico óptimo y experiencias óptimas de las personas </w:t>
      </w:r>
      <w:r w:rsidRPr="0094722C">
        <w:rPr>
          <w:lang w:val="es-ES"/>
        </w:rPr>
        <w:fldChar w:fldCharType="begin" w:fldLock="1"/>
      </w:r>
      <w:r w:rsidRPr="0094722C">
        <w:rPr>
          <w:lang w:val="es-ES"/>
        </w:rPr>
        <w:instrText>ADDIN CSL_CITATION {"citationItems":[{"id":"ITEM-1","itemData":{"DOI":"10.1146/annurev.psych.52.1.141","ISSN":"00664308","PMID":"11148302","abstract":"Well-being is a complex construct that concerns optimal experience and functioning. Current research on well-being has been derived from two general perspectives: the hedonic approach, which focuses on happiness and defines well-being in terms of pleasure attainment and pain avoidance; and the eudaimonic approach, which focuses on meaning and self-realization and defines well-being in terms of the degree to which a person is fully functioning. These two views have given rise to different research foci and a body of knowledge that is in some areas divergent and in others complementary. New methodological developments concerning multilevel modeling and construct comparisons are also allowing researchers to formulate new questions for the field. This review considers research from both perspectives concerning the nature of well-being, its antecedents, and its stability across time and culture.","author":[{"dropping-particle":"","family":"Ryan","given":"Richard M.","non-dropping-particle":"","parse-names":false,"suffix":""},{"dropping-particle":"","family":"Deci","given":"Edward L.","non-dropping-particle":"","parse-names":false,"suffix":""}],"container-title":"Annual Review of Psychology","id":"ITEM-1","issued":{"date-parts":[["2001"]]},"page":"141-166","title":"On happiness and human potentials: A review of research on hedonic and eudaimonic well-being","type":"article-journal","volume":"52"},"uris":["http://www.mendeley.com/documents/?uuid=4e6b20d1-7fcf-41a7-840e-0af5738bedd2"]}],"mendeley":{"formattedCitation":"(Ryan &amp; Deci, 2001)","plainTextFormattedCitation":"(Ryan &amp; Deci, 2001)","previouslyFormattedCitation":"(Ryan &amp; Deci, 2001)"},"properties":{"noteIndex":0},"schema":"https://github.com/citation-style-language/schema/raw/master/csl-citation.json"}</w:instrText>
      </w:r>
      <w:r w:rsidRPr="0094722C">
        <w:rPr>
          <w:lang w:val="es-ES"/>
        </w:rPr>
        <w:fldChar w:fldCharType="separate"/>
      </w:r>
      <w:r w:rsidRPr="0094722C">
        <w:rPr>
          <w:noProof/>
          <w:lang w:val="es-ES"/>
        </w:rPr>
        <w:t>(Ryan &amp; Deci, 2001)</w:t>
      </w:r>
      <w:r w:rsidRPr="0094722C">
        <w:rPr>
          <w:lang w:val="es-ES"/>
        </w:rPr>
        <w:fldChar w:fldCharType="end"/>
      </w:r>
      <w:r w:rsidRPr="0094722C">
        <w:rPr>
          <w:lang w:val="es-ES"/>
        </w:rPr>
        <w:t xml:space="preserve">. El constructo ha sido estudiado desde dos abordajes filosóficos: (1) hedonismo, caracterizado por la búsqueda del placer (bienestar subjetivo); y (2) eudamonia, caracterizada por la búsqueda de la autorrealización (bienestar psicológico). El bienestar subjetivo, también conocido como felicidad, está conformado por las dimensiones de: satisfacción con la vida; presencia de afecto positivo, refiriéndose a un estado de ánimo placentero; y ausencia de afecto negativo, es decir, ausencia de malestar </w:t>
      </w:r>
      <w:r w:rsidRPr="0094722C">
        <w:rPr>
          <w:lang w:val="es-ES"/>
        </w:rPr>
        <w:fldChar w:fldCharType="begin" w:fldLock="1"/>
      </w:r>
      <w:r w:rsidRPr="0094722C">
        <w:rPr>
          <w:lang w:val="es-ES"/>
        </w:rPr>
        <w:instrText>ADDIN CSL_CITATION {"citationItems":[{"id":"ITEM-1","itemData":{"DOI":"10.1146/annurev.psych.52.1.141","ISSN":"00664308","PMID":"11148302","abstract":"Well-being is a complex construct that concerns optimal experience and functioning. Current research on well-being has been derived from two general perspectives: the hedonic approach, which focuses on happiness and defines well-being in terms of pleasure attainment and pain avoidance; and the eudaimonic approach, which focuses on meaning and self-realization and defines well-being in terms of the degree to which a person is fully functioning. These two views have given rise to different research foci and a body of knowledge that is in some areas divergent and in others complementary. New methodological developments concerning multilevel modeling and construct comparisons are also allowing researchers to formulate new questions for the field. This review considers research from both perspectives concerning the nature of well-being, its antecedents, and its stability across time and culture.","author":[{"dropping-particle":"","family":"Ryan","given":"Richard M.","non-dropping-particle":"","parse-names":false,"suffix":""},{"dropping-particle":"","family":"Deci","given":"Edward L.","non-dropping-particle":"","parse-names":false,"suffix":""}],"container-title":"Annual Review of Psychology","id":"ITEM-1","issued":{"date-parts":[["2001"]]},"page":"141-166","title":"On happiness and human potentials: A review of research on hedonic and eudaimonic well-being","type":"article-journal","volume":"52"},"uris":["http://www.mendeley.com/documents/?uuid=4e6b20d1-7fcf-41a7-840e-0af5738bedd2"]}],"mendeley":{"formattedCitation":"(Ryan &amp; Deci, 2001)","plainTextFormattedCitation":"(Ryan &amp; Deci, 2001)","previouslyFormattedCitation":"(Ryan &amp; Deci, 2001)"},"properties":{"noteIndex":0},"schema":"https://github.com/citation-style-language/schema/raw/master/csl-citation.json"}</w:instrText>
      </w:r>
      <w:r w:rsidRPr="0094722C">
        <w:rPr>
          <w:lang w:val="es-ES"/>
        </w:rPr>
        <w:fldChar w:fldCharType="separate"/>
      </w:r>
      <w:r w:rsidRPr="0094722C">
        <w:rPr>
          <w:noProof/>
          <w:lang w:val="es-ES"/>
        </w:rPr>
        <w:t>(Ryan &amp; Deci, 2001)</w:t>
      </w:r>
      <w:r w:rsidRPr="0094722C">
        <w:rPr>
          <w:lang w:val="es-ES"/>
        </w:rPr>
        <w:fldChar w:fldCharType="end"/>
      </w:r>
      <w:r w:rsidRPr="0094722C">
        <w:rPr>
          <w:lang w:val="es-ES"/>
        </w:rPr>
        <w:t>.</w:t>
      </w:r>
      <w:r w:rsidRPr="0094722C">
        <w:rPr>
          <w:lang w:val="es-DO"/>
        </w:rPr>
        <w:t xml:space="preserve"> El bienestar psicológico se refiere al funcionamiento óptimo</w:t>
      </w:r>
      <w:r w:rsidRPr="0094722C">
        <w:rPr>
          <w:lang w:val="es-ES"/>
        </w:rPr>
        <w:t xml:space="preserve">, en el que la persona se evalúa a sí misma y sus experiencias en seis dimensiones: autoaceptación, relaciones positivas, autonomía, dominio del ambiente, propósito de la vida y crecimiento personal </w:t>
      </w:r>
      <w:r w:rsidRPr="0094722C">
        <w:rPr>
          <w:lang w:val="es-ES"/>
        </w:rPr>
        <w:fldChar w:fldCharType="begin" w:fldLock="1"/>
      </w:r>
      <w:r w:rsidRPr="0094722C">
        <w:rPr>
          <w:lang w:val="es-ES"/>
        </w:rPr>
        <w:instrText>ADDIN CSL_CITATION {"citationItems":[{"id":"ITEM-1","itemData":{"DOI":"10.1159/000353263","ISSN":"00333190","PMID":"24281296","abstract":"This article reviews research and interventions that have grown up around a model of psychological well-being generated more than two decades ago to address neglected aspects of positive functioning such as purposeful engagement in life, realization of personal talents and capacities, and enlightened self-knowledge. The conceptual origins of this formulation are revisited and scientific products emerging from 6 thematic areas are examined: (1) how well-being changes across adult development and later life; (2) what are the personality correlates of well-being; (3) how well-being is linked with experiences in family life; (4) how well-being relates to work and other community activities; (5) what are the connections between well-being and health, including biological risk factors, and (6) via clinical and intervention studies, how psychological well-being can be promoted for ever-greater segments of society. Together, these topics illustrate flourishing interest across diverse scientific disciplines in understanding adults as striving, meaning-making, proactive organisms who are actively negotiating the challenges of life. A take-home message is that increasing evidence supports the health protective features of psychological well-being in reducing risk for disease and promoting length of life. A recurrent and increasingly important theme is resilience - the capacity to maintain or regain well-being in the face of adversity. Implications for future research and practice are considered. © 2013 S. Karger AG, Basel.","author":[{"dropping-particle":"","family":"Ryff","given":"Carol D.","non-dropping-particle":"","parse-names":false,"suffix":""}],"container-title":"Psychotherapy and Psychosomatics","id":"ITEM-1","issue":"1","issued":{"date-parts":[["2014"]]},"page":"10-28","title":"Psychological well-being revisited: Advances in the science and practice of eudaimonia","type":"article-journal","volume":"83"},"uris":["http://www.mendeley.com/documents/?uuid=5f672986-0e39-4623-9088-aabb388bae89"]},{"id":"ITEM-2","itemData":{"DOI":"10.1159/000289026","ISSN":"14230348","PMID":"8838692","abstract":"A model of positive psychological functioning that emerges from diverse domains of theory and philosophy is presented. Six key dimensions of wellness are defined, and empirical research summarizing their empirical translation and sociodemographic correlates is presented. Variations in well-being are explored via studies of discrete life events and enduring human experiences. Life histories of the psychologically vulnerable and resilient, defined via the cross-classification of depression and well-being, are summarized. Implications of the focus on positive functioning for research on psychotherapy, quality of life, and mind/body linkages are reviewed. © 1996 S. Karger AG, Basel.","author":[{"dropping-particle":"","family":"Ryff","given":"Carol D.","non-dropping-particle":"","parse-names":false,"suffix":""},{"dropping-particle":"","family":"Singer","given":"Burton","non-dropping-particle":"","parse-names":false,"suffix":""}],"container-title":"Psychotherapy and Psychosomatics","id":"ITEM-2","issue":"1","issued":{"date-parts":[["1996"]]},"page":"14-23","title":"Psychological well-being: Meaning, measurement, and implications for psychotherapy research","type":"article-journal","volume":"65"},"uris":["http://www.mendeley.com/documents/?uuid=8f9bf2d2-9a4c-46ab-8dce-7d411a8a6cbe"]}],"mendeley":{"formattedCitation":"(Ryff, 2014; Ryff &amp; Singer, 1996)","plainTextFormattedCitation":"(Ryff, 2014; Ryff &amp; Singer, 1996)","previouslyFormattedCitation":"(Ryff, 2014; Ryff &amp; Singer, 1996)"},"properties":{"noteIndex":0},"schema":"https://github.com/citation-style-language/schema/raw/master/csl-citation.json"}</w:instrText>
      </w:r>
      <w:r w:rsidRPr="0094722C">
        <w:rPr>
          <w:lang w:val="es-ES"/>
        </w:rPr>
        <w:fldChar w:fldCharType="separate"/>
      </w:r>
      <w:r w:rsidRPr="0094722C">
        <w:rPr>
          <w:noProof/>
          <w:lang w:val="es-ES"/>
        </w:rPr>
        <w:t>(Ryff, 2014; Ryff &amp; Singer, 1996)</w:t>
      </w:r>
      <w:r w:rsidRPr="0094722C">
        <w:rPr>
          <w:lang w:val="es-ES"/>
        </w:rPr>
        <w:fldChar w:fldCharType="end"/>
      </w:r>
      <w:r w:rsidRPr="0094722C">
        <w:rPr>
          <w:lang w:val="es-ES"/>
        </w:rPr>
        <w:t xml:space="preserve">. Las valoraciones altas en estas dimensiones se relacionan con una mayor satisfacción con la vida. </w:t>
      </w:r>
      <w:r w:rsidRPr="0094722C">
        <w:rPr>
          <w:lang w:val="es-DO"/>
        </w:rPr>
        <w:fldChar w:fldCharType="begin" w:fldLock="1"/>
      </w:r>
      <w:r w:rsidRPr="0094722C">
        <w:rPr>
          <w:lang w:val="es-DO"/>
        </w:rPr>
        <w:instrText>ADDIN CSL_CITATION {"citationItems":[{"id":"ITEM-1","itemData":{"DOI":"10.1037/emo0000414","ISSN":"19311516","PMID":"29494203","abstract":"Although much research has been conducted on the predictors and outcomes of both subjective well-being (SWB) and psychological well-being (PWB), the magnitude and direction of the causal relationship between these constructs remain unclear. The studies reported in this article were designed to assess the temporal relationship between SWB and PWB during a period of 20 years. The studies used 3 waves of survey data, with intervals of 10 years, from the Midlife in the United States project, a representative longitudinal panel study of American adults (N = 2,731). Cross-lagged panel analyses were conducted to examine directionality of the relationships. Results showed that the autoregressive effects were large, suggesting a high degree of stability in SWB and PWB over time. Yet the levels of stability were generally higher for PWB than SWB. Whereas PWB unequivocally predicted increases in SWB over time, the prospective effects of SWB on PWB were inconsistent (i.e., positive, negative, or nonsignificant) across various points in time. The study findings suggest that PWB represents a more robust and consistent antecedent of future well-being than SWB.","author":[{"dropping-particle":"","family":"Joshanloo","given":"Mohsen","non-dropping-particle":"","parse-names":false,"suffix":""}],"container-title":"Emotion","id":"ITEM-1","issue":"1","issued":{"date-parts":[["2019"]]},"page":"183-187","title":"Investigating the relationships between subjective well-being and psychological well-being over two decades","type":"article-journal","volume":"19"},"uris":["http://www.mendeley.com/documents/?uuid=b934ed20-3090-43c1-bf84-a3d0b38d7561"]},{"id":"ITEM-2","itemData":{"DOI":"10.1007/s10902-015-9683-z","ISSN":"1389-4978","author":[{"dropping-particle":"","family":"Joshanloo","given":"Mohsen","non-dropping-particle":"","parse-names":false,"suffix":""}],"container-title":"Journal of Happiness Studies","id":"ITEM-2","issue":"5","issued":{"date-parts":[["2016","10","23"]]},"page":"2023-2036","title":"Revisiting the empirical distinction between hedonic and eudaimonic aspects of well-being using exploratory structural equation modeling","type":"article-journal","volume":"17"},"uris":["http://www.mendeley.com/documents/?uuid=846656b0-8fb2-4d4a-ae27-2a2ce9a647c2"]}],"mendeley":{"formattedCitation":"(Joshanloo, 2016, 2019)","manualFormatting":"Joshanloo (2016, 2019)","plainTextFormattedCitation":"(Joshanloo, 2016, 2019)","previouslyFormattedCitation":"(Joshanloo, 2016, 2019)"},"properties":{"noteIndex":0},"schema":"https://github.com/citation-style-language/schema/raw/master/csl-citation.json"}</w:instrText>
      </w:r>
      <w:r w:rsidRPr="0094722C">
        <w:rPr>
          <w:lang w:val="es-DO"/>
        </w:rPr>
        <w:fldChar w:fldCharType="separate"/>
      </w:r>
      <w:r w:rsidRPr="0094722C">
        <w:rPr>
          <w:noProof/>
          <w:lang w:val="es-DO"/>
        </w:rPr>
        <w:t>Joshanloo (2016, 2019)</w:t>
      </w:r>
      <w:r w:rsidRPr="0094722C">
        <w:rPr>
          <w:lang w:val="es-ES"/>
        </w:rPr>
        <w:fldChar w:fldCharType="end"/>
      </w:r>
      <w:r w:rsidRPr="0094722C">
        <w:rPr>
          <w:lang w:val="es-DO"/>
        </w:rPr>
        <w:t xml:space="preserve"> encontró que, aunque el bienestar psicológico y el bienestar subjetivo son conceptos empíricamente distintos, estos se correlacionan. </w:t>
      </w:r>
    </w:p>
    <w:p w14:paraId="5F4C9A70" w14:textId="5DD32EE2" w:rsidR="0094722C" w:rsidRPr="0094722C" w:rsidRDefault="0094722C" w:rsidP="00554C1F">
      <w:pPr>
        <w:pStyle w:val="Prrafocomn"/>
        <w:ind w:firstLine="0"/>
        <w:jc w:val="left"/>
        <w:rPr>
          <w:bCs/>
          <w:lang w:val="es-DO"/>
        </w:rPr>
      </w:pPr>
      <w:r>
        <w:rPr>
          <w:bCs/>
          <w:lang w:val="es-DO"/>
        </w:rPr>
        <w:tab/>
      </w:r>
      <w:r w:rsidRPr="0094722C">
        <w:rPr>
          <w:bCs/>
          <w:lang w:val="es-DO"/>
        </w:rPr>
        <w:fldChar w:fldCharType="begin" w:fldLock="1"/>
      </w:r>
      <w:r w:rsidRPr="0094722C">
        <w:rPr>
          <w:bCs/>
          <w:lang w:val="es-DO"/>
        </w:rPr>
        <w:instrText>ADDIN CSL_CITATION {"citationItems":[{"id":"ITEM-1","itemData":{"DOI":"10.1177/1948550620983047","ISSN":"1948-5506","abstract":"The current study assessed the effect of the COVID-19 (coronavirus) pandemic on subjective well-being (SWB) and psychological well-being (PWB) and whether the pandemic moderated the effect of personality on well-being. Measures of Big Five personality, SWB (life satisfaction, positive affect, and negative affect), and PWB (positive relations, autonomy, environmental mastery, personal growth, purpose in life, and self-acceptance) were obtained from a sample of young adults in Melbourne, Australia ( n = 1,132; July 13–August 11, 2020) during a second wave of viral transmission and lockdown and an identically recruited pre-COVID sample ( n = 547). Well-being was lower in the COVID sample, and differences were largest for positive affect ( d = −0.48) and negative affect ( d = 0.70). While the effect of personality on well-being was relatively robust, the effect of personality on well-being was slightly reduced, and the effect of extroversion on positive affect was particularly attenuated during the pandemic.","author":[{"dropping-particle":"","family":"Anglim","given":"Jeromy","non-dropping-particle":"","parse-names":false,"suffix":""},{"dropping-particle":"","family":"Horwood","given":"Sharon","non-dropping-particle":"","parse-names":false,"suffix":""}],"container-title":"Social Psychological and Personality Science","id":"ITEM-1","issued":{"date-parts":[["2021","1","12"]]},"note":"Este estudio encontró que una muestra de estudiantes universitarios durante la pandemia obtuvo puntuaciones más bajas en bienestar psicológico comparado con una muestra de estudiantes universitarios pre pandemia. De igual forma, encontraron un efecto moderador pequeño de la pandemia en la relación entre personalidad y bienestar. Específicamente, encontraron que la influencia positiva de la extraversión en el afecto positivo fue ligeramente atenuado por la pandemia.","page":"194855062098304","title":"Effect of the COVID-19 pandemic and Big Five Personality on subjective and psychological well-being","type":"article-journal"},"uris":["http://www.mendeley.com/documents/?uuid=241efba8-e89d-4839-806e-f5f623249f28"]}],"mendeley":{"formattedCitation":"(Anglim &amp; Horwood, 2021)","manualFormatting":"Anglim y Horwood (2021)","plainTextFormattedCitation":"(Anglim &amp; Horwood, 2021)","previouslyFormattedCitation":"(Anglim &amp; Horwood, 2021)"},"properties":{"noteIndex":0},"schema":"https://github.com/citation-style-language/schema/raw/master/csl-citation.json"}</w:instrText>
      </w:r>
      <w:r w:rsidRPr="0094722C">
        <w:rPr>
          <w:bCs/>
          <w:lang w:val="es-DO"/>
        </w:rPr>
        <w:fldChar w:fldCharType="separate"/>
      </w:r>
      <w:r w:rsidRPr="0094722C">
        <w:rPr>
          <w:bCs/>
          <w:noProof/>
          <w:lang w:val="es-DO"/>
        </w:rPr>
        <w:t>Anglim y Horwood (2021)</w:t>
      </w:r>
      <w:r w:rsidRPr="0094722C">
        <w:rPr>
          <w:lang w:val="es-ES"/>
        </w:rPr>
        <w:fldChar w:fldCharType="end"/>
      </w:r>
      <w:r w:rsidRPr="0094722C">
        <w:rPr>
          <w:bCs/>
          <w:lang w:val="es-DO"/>
        </w:rPr>
        <w:t xml:space="preserve"> encontraron que una muestra de estudiantes universitarios encuestados durante la pandemia obtuvo puntuaciones significativamente menores en bienestar </w:t>
      </w:r>
      <w:r w:rsidRPr="0094722C">
        <w:rPr>
          <w:lang w:val="es-DO"/>
        </w:rPr>
        <w:t xml:space="preserve">psicológico y bienestar </w:t>
      </w:r>
      <w:r w:rsidRPr="0094722C">
        <w:rPr>
          <w:bCs/>
          <w:lang w:val="es-DO"/>
        </w:rPr>
        <w:t xml:space="preserve">subjetivo, comparado con una muestra de estudiantes universitarios antes de la pandemia. Estas diferencias fueron evidentes para las dimensiones de bienestar psicológico de autoaceptación, relaciones positivas, dominio del entorno y propósito de la vida; y para las dimensiones de bienestar subjetivo en la reducción de la satisfacción con la vida y afecto positivo, y un aumento del afecto negativo. </w:t>
      </w:r>
    </w:p>
    <w:p w14:paraId="18CDAD2E" w14:textId="7E873FA9" w:rsidR="0094722C" w:rsidRPr="003343CD" w:rsidRDefault="0094722C" w:rsidP="00554C1F">
      <w:pPr>
        <w:pStyle w:val="Prrafocomn"/>
        <w:ind w:firstLine="720"/>
        <w:jc w:val="left"/>
      </w:pPr>
      <w:r w:rsidRPr="0094722C">
        <w:rPr>
          <w:bCs/>
          <w:lang w:val="es-ES"/>
        </w:rPr>
        <w:t xml:space="preserve">La literatura reporta que algunos factores, tanto externos como internos, amortiguan el efecto negativo de la pandemia en el bienestar y la salud mental. Entre los factores externos están las medidas de confinamiento que incluyen apoyo económico por parte de los gobiernos </w:t>
      </w:r>
      <w:r w:rsidRPr="0094722C">
        <w:rPr>
          <w:bCs/>
          <w:lang w:val="es-ES"/>
        </w:rPr>
        <w:fldChar w:fldCharType="begin" w:fldLock="1"/>
      </w:r>
      <w:r w:rsidRPr="0094722C">
        <w:rPr>
          <w:bCs/>
          <w:lang w:val="es-ES"/>
        </w:rPr>
        <w:instrText>ADDIN CSL_CITATION {"citationItems":[{"id":"ITEM-1","itemData":{"abstract":"Foa, Roberto and Gilbert, Sam and Fabian, Mark Otto, COVID-19 and Subjective Well-Being: Separating the Effects of Lockdowns from the Pandemic (8/12/2020). Available at SSRN: https://ssrn.com/abstract=3674080 or http://dx.doi.org/10.2139/ssrn.3674080","author":[{"dropping-particle":"","family":"Foa","given":"R.B.","non-dropping-particle":"","parse-names":false,"suffix":""},{"dropping-particle":"","family":"Gilbert","given":"S.","non-dropping-particle":"","parse-names":false,"suffix":""},{"dropping-particle":"","family":"Fabian","given":"M.O.","non-dropping-particle":"","parse-names":false,"suffix":""}],"id":"ITEM-1","issued":{"date-parts":[["2020"]]},"page":"Available at SSRN: https://ssrn.com/abstract=36740","title":"COVID-19 and subjective well-being: Separating the effects of lockdowns from the pandemic","type":"article-journal"},"uris":["http://www.mendeley.com/documents/?uuid=e364c92b-1a72-4457-ad8e-2c4b882d1ae2"]}],"mendeley":{"formattedCitation":"(Foa et al., 2020)","plainTextFormattedCitation":"(Foa et al., 2020)","previouslyFormattedCitation":"(Foa et al., 2020)"},"properties":{"noteIndex":0},"schema":"https://github.com/citation-style-language/schema/raw/master/csl-citation.json"}</w:instrText>
      </w:r>
      <w:r w:rsidRPr="0094722C">
        <w:rPr>
          <w:bCs/>
          <w:lang w:val="es-ES"/>
        </w:rPr>
        <w:fldChar w:fldCharType="separate"/>
      </w:r>
      <w:r w:rsidRPr="0094722C">
        <w:rPr>
          <w:bCs/>
          <w:noProof/>
          <w:lang w:val="es-ES"/>
        </w:rPr>
        <w:t>(Foa et al., 2020)</w:t>
      </w:r>
      <w:r w:rsidRPr="0094722C">
        <w:rPr>
          <w:lang w:val="es-ES"/>
        </w:rPr>
        <w:fldChar w:fldCharType="end"/>
      </w:r>
      <w:r w:rsidRPr="0094722C">
        <w:rPr>
          <w:bCs/>
          <w:lang w:val="es-ES"/>
        </w:rPr>
        <w:t xml:space="preserve">. También conocer suficiente información sobre COVID-19, especialmente cuando las personas tienen altos niveles de afecto positivo y bajos niveles de afecto negativo </w:t>
      </w:r>
      <w:r w:rsidRPr="0094722C">
        <w:rPr>
          <w:bCs/>
          <w:lang w:val="es-ES"/>
        </w:rPr>
        <w:fldChar w:fldCharType="begin" w:fldLock="1"/>
      </w:r>
      <w:r w:rsidRPr="0094722C">
        <w:rPr>
          <w:bCs/>
          <w:lang w:val="es-ES"/>
        </w:rPr>
        <w:instrText>ADDIN CSL_CITATION {"citationItems":[{"id":"ITEM-1","itemData":{"DOI":"10.3390/su12156243","ISSN":"2071-1050","abstract":"The COVID-19 outbreak entailed radical shifts to individuals’ daily habits that challenged their subjective well-being (SWB). Knowledge about the impact of COVID-19 on SWB is paramount for developing public policies to tackle mental health during health emergency periods. Decreases in life satisfaction are likely not only due to exposure to daily negative emotions but also due to hopelessness, fear, and avoidance of social interactions. We examined in a sample of 541 Spanish adults (1) reactions to the COVID-19 outbreak and (2) the mediating role of these reactions in the associations of hope and social phobia with life satisfaction through different levels of positive and negative affect. A moderated mediation analysis showed that the conditional indirect effect of hope and social anxiety on life satisfaction through information depended on the participants’ having high positive affect and low negative affect. Affect seems to be a mechanism that modulates the influence of individuals’ perception about COVID-19 on their life satisfaction. Those with high positive affect might see the “general picture” and search for adequate information as they avoid focusing on the problem and on specific information that precludes preventive behaviors. Having a positive affect might help individuals to adopt information-processing strategies during the COVID-19 outbreak that will improve their life satisfaction.","author":[{"dropping-particle":"","family":"Blasco-Belled","given":"Ana","non-dropping-particle":"","parse-names":false,"suffix":""},{"dropping-particle":"","family":"Tejada-Gallardo","given":"Claudia","non-dropping-particle":"","parse-names":false,"suffix":""},{"dropping-particle":"","family":"Torrelles-Nadal","given":"Cristina","non-dropping-particle":"","parse-names":false,"suffix":""},{"dropping-particle":"","family":"Alsinet","given":"Carles","non-dropping-particle":"","parse-names":false,"suffix":""}],"container-title":"Sustainability","id":"ITEM-1","issue":"15","issued":{"date-parts":[["2020","8","3"]]},"note":"El estudio encontró relaciones significativas entre esperanza y satisfacción con la vida, y entre ansiedad social y satisfacción con la vida. Ambas relaciones estaban moderadas por la información que conocen sobre el virus. \n\n\n\nEl estudio encontró que puntuaciones altas en afecto positivo y puntuaciones bajas en afecto negativo moderan la mediación de la información en la relación entre ansiedad social y satisfacción con la vida, y esperanza y satisfacción con la vida. Esto queire decir que, cuando se tiene un determinado número de información sobre COVID-19, el afect positivo tiene un efecto potenciador de la esperanza en la calidad de vida, y amortiguador de ansiedad social en la calidad de vida.","page":"6243","title":"The Costs of the COVID-19 on Subjective Well-Being: An Analysis of the Outbreak in Spain","type":"article-journal","volume":"12"},"uris":["http://www.mendeley.com/documents/?uuid=3217d0d1-c47e-4457-a6a8-cb82444a25da"]}],"mendeley":{"formattedCitation":"(Blasco-Belled et al., 2020)","plainTextFormattedCitation":"(Blasco-Belled et al., 2020)","previouslyFormattedCitation":"(Blasco-Belled et al., 2020)"},"properties":{"noteIndex":0},"schema":"https://github.com/citation-style-language/schema/raw/master/csl-citation.json"}</w:instrText>
      </w:r>
      <w:r w:rsidRPr="0094722C">
        <w:rPr>
          <w:bCs/>
          <w:lang w:val="es-ES"/>
        </w:rPr>
        <w:fldChar w:fldCharType="separate"/>
      </w:r>
      <w:r w:rsidRPr="0094722C">
        <w:rPr>
          <w:bCs/>
          <w:noProof/>
          <w:lang w:val="es-ES"/>
        </w:rPr>
        <w:t>(Blasco-Belled et al., 2020)</w:t>
      </w:r>
      <w:r w:rsidRPr="0094722C">
        <w:rPr>
          <w:lang w:val="es-ES"/>
        </w:rPr>
        <w:fldChar w:fldCharType="end"/>
      </w:r>
      <w:r w:rsidRPr="0094722C">
        <w:rPr>
          <w:bCs/>
          <w:lang w:val="es-ES"/>
        </w:rPr>
        <w:t xml:space="preserve">. Entre los factores internos están las estrategias de afrontamiento </w:t>
      </w:r>
      <w:r w:rsidRPr="0094722C">
        <w:rPr>
          <w:bCs/>
          <w:lang w:val="es-ES"/>
        </w:rPr>
        <w:fldChar w:fldCharType="begin" w:fldLock="1"/>
      </w:r>
      <w:r w:rsidRPr="0094722C">
        <w:rPr>
          <w:bCs/>
          <w:lang w:val="es-ES"/>
        </w:rPr>
        <w:instrText xml:space="preserve">ADDIN CSL_CITATION {"citationItems":[{"id":"ITEM-1","itemData":{"DOI":"10.1016/j.jcbs.2020.07.010","abstract":"Dawson, D. L., &amp; Golijani-Moghaddam, N. (2020). COVID-19: Psychological flexibility, coping, mental health, and wellbeing in the UK during the pandemic. Journal of contextual behavioral science, 17, 126-134.","author":[{"dropping-particle":"","family":"Dawson","given":"David","non-dropping-particle":"","parse-names":false,"suffix":""},{"dropping-particle":"","family":"Golijani-Moghaddam","given":"Nima","non-dropping-particle":"","parse-names":false,"suffix":""}],"container-title":"Journal of Contextual Behavioral Science","id":"ITEM-1","issued":{"date-parts":[["2020"]]},"page":"126-134","title":"COVID-19: Psychological flexibility, coping, mental health, and wellbeing in the UK during the pandemic","type":"article-journal","volume":"17"},"uris":["http://www.mendeley.com/documents/?uuid=c6ace097-e478-4233-99b0-ffa724c6172c"]},{"id":"ITEM-2","itemData":{"DOI":"10.1016/j.system.2020.102352","ISSN":"0346251X","author":[{"dropping-particle":"","family":"MacIntyre","given":"Peter D.","non-dropping-particle":"","parse-names":false,"suffix":""},{"dropping-particle":"","family":"Gregersen","given":"Tammy","non-dropping-particle":"","parse-names":false,"suffix":""},{"dropping-particle":"","family":"Mercer","given":"Sarah","non-dropping-particle":"","parse-names":false,"suffix":""}],"container-title":"System","id":"ITEM-2","issued":{"date-parts":[["2020","11"]]},"note":"Las estrategias de afrontamiento de resolución correlacionaron de manera positiva con bienestar, salud, felicidad, resiliencia y crecimiento. Las estrategias de afrontamiento evitaitivas correlacionaron de manera negativa con estas variables en profesores de lenguaje de Europa, Norte América, Sur América y Oriente Medio durante la pandemia del COVID-19.\n\n\n\nApproach-coping strategy:\nAcceptance\nEmotional support\nPositive refraiming\nActive coping\nInstrumental support\nPlanning\n\nAvoidant strategies: \nBehavioral disengagement\nDenial\nSelf-distraction\nSelf-blaming\nSubstance use\nVenting\n\nNeither approach nor avoidant\nHumor\nReligion\n\n\nEste estudio encontró que las estrategias del estilo de afrontamiento de acercamiento","page":"102352","title":"Language teachers’ coping strategies during the COVID-19 conversion to online teaching: Correlations with stress, wellbeing and negative emotions","type":"article-journal","volume":"94"},"uris":["http://www.mendeley.com/documents/?uuid=bbf023e8-009a-4b18-b1a2-a23044017b71"]},{"id":"ITEM-3","itemData":{"DOI":"10.2147/prbm.s266511","ISSN":"1179-1578","PMID":"33061695","abstract":"Purpose The purpose of this study is to examine the association of anxiety with self-rated general health, satisfaction with life, stress and coping strategies of university students during the COVID-19 pandemic outbreak in Poland. Participants and Methods A total of 914 university students, ranged in age between 18 and 40 years old (M = 23.04, SD = 2.60), participated in an online survey. The study was performed between 30 March and 30 April 2020, during the general coronavirus quarantine. Participants completed a standard psychological questionnaire, including General Anxiety Disorder (GAD-7), General Self-Rated Health (GSRH), Satisfaction With Life Scale (SWLS), Perceived Stress Scale (PSS), and Coping Inventory for Stressful Situations (CISS). Results The majority of students (65%) showed mild to severe GAD and a high level of perceived stress (56%). Those students who had the worst evaluated current GSRH, in comparison to the situation before the COVID-19 outbreak, also demonstrated higher levels of anxiety, perceived stress, and emotion-oriented coping styles. The study indicates that the variance of anxiety during the COVID-19 outbreak may be explained for about 60% by such variables, like high stress, low general self-rated health, female gender, and frequent use of both emotion-oriented and task-oriented coping styles. Conclusion University students experience extremely high stress and anxiety during quarantine period and they need professional help to cope with COVID-19 pandemic. The results of this study may help prepare appropriate future intervention and effective prevention programs at universities.","author":[{"dropping-particle":"","family":"Rogowska","given":"Aleksandra M","non-dropping-particle":"","parse-names":false,"suffix":""},{"dropping-particle":"","family":"Kuśnierz","given":"Cezary","non-dropping-particle":"","parse-names":false,"suffix":""},{"dropping-particle":"","family":"Bokszczanin","given":"Anna","non-dropping-particle":"","parse-names":false,"suffix":""}],"container-title":"Psychology Research and Behavior Management","id":"ITEM-3","issued":{"date-parts":[["2020"]]},"note":"El estudio encontró correlaciones positivas entre los niveles de ansiedad de jóvenes polacos y el uso de dos tipos de estrategias de afrontamiento: emocional y de evitación. De igual forma, encontraron correlaciones entre satisfacción con la vida y dos estrategias de afrontamiento: basa en problema y basada en emoción. En dicho estudio, el afrontamiento emocional se refiere a reacciones emocionales negativas hacia sí mismo durante momentos de estrés. El afrontamiento de evitación es el uso de distracciones y compañía para disminuir los niveles de ansiedad. El afrontamiento basado en problemas se refiere a hacerle frente al problema a través de tareas y planificación. (HAY QUE REVISAR ESTAS DEFINICIONES PORQUE EL PAPER LAS TIENE BASTANTE CONFUNDIDAS).\n\nTask-oriented: Cognitively restructuing and solving the problem attempts to alter the situation, focusing on task and planing. \n\nEmotion-oriented: Self-oriented emotional reactions in stressful situations (self-blaming, getting angry, upset, becoming tesnse, self-preocupation, fantasizing) aimed to reduce stress. \n\nAvoidance-oriented: Alleviate stress through activities such as distractions by bother situations or taks or social gatherings.","page":"797-811","title":"Examining anxiety, life satisfaction, general health, stress and coping styles during COVID-19 pandemic in Polish sample of university students","type":"article-journal","volume":"13"},"uris":["http://www.mendeley.com/documents/?uuid=89451361-e45e-491a-a155-373902ba7697"]},{"id":"ITEM-4","itemData":{"DOI":"10.1037/amp0000702","ISSN":"1935-990X","abstract":"The COVID-19 pandemic has considerably impacted many people's lives. This study examined changes in subjective wellbeing between December 2019 and May 2020 and how stress appraisals and coping strategies relate to individual differences and changes in subjective wellbeing during the early stages of the pandemic. Data were collected at 4 time points from 979 individuals in Germany. Results showed that, on average, life satisfaction, positive affect, and negative affect did not change significantly between December 2019 and March 2020 but decreased between March and May 2020. Across the latter timespan, individual differences in life satisfaction were positively related to controllability appraisals, active coping, and positive reframing, and negatively related to threat and centrality appraisals and planning. Positive affect was positively related to challenge and controllable-by-self appraisals, active coping, using emotional support, and religion, and negatively related to threat appraisal and humor. Negative affect was positively related to threat and centrality appraisals, denial, substance use, and self-blame, and negatively related to controllability appraisals and emotional support. Contrary to expectations, the effects of stress appraisals and coping strategies on changes in subjective wellbeing were small and mostly nonsignificant. These findings imply that the COVID-19 pandemic represents not only a major medical and economic crisis, but also has </w:instrText>
      </w:r>
      <w:r w:rsidRPr="005911B0">
        <w:rPr>
          <w:bCs/>
        </w:rPr>
        <w:instrText>a psychological dimension, as it can be associated with declines in key fac</w:instrText>
      </w:r>
      <w:r w:rsidRPr="009D106B">
        <w:instrText>ets of people's subjective wellbeing. Psychological practitioners should address potential declines in subjective wellbeing with their clients and attempt to enhance clients' general capability to use functional stress appraisals and effective coping strategies.","author":[{"dropping-particle":"","family":"Zacher","given":"Hannes","non-dropping-particle":"","parse-names":false,"suffix":""},{"dropping-particle":"","family":"Rudolph","given":"Cort W.","non-dropping-particle":"","parse-names":false,"suffix":""}],"container-title":"American Psychologist","id":"ITEM-4","issue":"1","issued":{"date-parts":[["2021","1"]]},"page":"50-62","title":"Individual differences and changes in subjective wellbeing during the early stages of the COVID-19 pandemic.","type":"article-journal","volume":"76"},"uris":["http://www.mendeley.com/documents/?uuid=84e5052c-5ca6-4be5-84f9-204372d76048"]}],"mendeley":{"formattedCitation":"(Dawson &amp; Golijani-Moghaddam, 2020; MacIntyre et al., 2020; Rogowska et al., 2020; Zacher &amp; Rudolph, 2021)","plainTextFormattedCitation":"(Dawson &amp; Golijani-Moghaddam, 2020; MacIntyre et al., 2020; Rogowska et al., 2020; Zacher &amp; Rudolph, 2021)","previouslyFormattedCitation":"(Dawson &amp; Golijani-Moghaddam, 2020; MacIntyre et al., 2020; Rogowska et al., 2020; Zacher &amp; Rudolph, 2021)"},"properties":{"noteIndex":0},"schema":"https://github.com/citation-style-language/schema/raw/master/csl-citation.json"}</w:instrText>
      </w:r>
      <w:r w:rsidRPr="0094722C">
        <w:rPr>
          <w:bCs/>
          <w:lang w:val="es-ES"/>
        </w:rPr>
        <w:fldChar w:fldCharType="separate"/>
      </w:r>
      <w:r w:rsidRPr="009D106B">
        <w:rPr>
          <w:noProof/>
        </w:rPr>
        <w:t>(Dawson &amp; Golijani-Moghaddam, 2020; MacIntyre et al., 2020; Rogowska et al., 2020; Zacher &amp; Rudolph, 2021)</w:t>
      </w:r>
      <w:r w:rsidRPr="0094722C">
        <w:rPr>
          <w:lang w:val="es-ES"/>
        </w:rPr>
        <w:fldChar w:fldCharType="end"/>
      </w:r>
      <w:r w:rsidR="00032EB4" w:rsidRPr="009D106B">
        <w:t>.</w:t>
      </w:r>
    </w:p>
    <w:p w14:paraId="2579862B" w14:textId="77777777" w:rsidR="0094722C" w:rsidRPr="0094722C" w:rsidRDefault="0094722C" w:rsidP="00032EB4">
      <w:pPr>
        <w:pStyle w:val="Prrafocomn"/>
        <w:ind w:firstLine="720"/>
        <w:jc w:val="left"/>
        <w:rPr>
          <w:bCs/>
          <w:lang w:val="es-ES"/>
        </w:rPr>
      </w:pPr>
      <w:r w:rsidRPr="0094722C">
        <w:rPr>
          <w:bCs/>
          <w:lang w:val="es-ES"/>
        </w:rPr>
        <w:lastRenderedPageBreak/>
        <w:t xml:space="preserve">Las estrategias de afrontamiento se definen como respuestas voluntarias o automáticas al estrés, ya sean cognitivas, emocionales, o conductuales </w:t>
      </w:r>
      <w:r w:rsidRPr="0094722C">
        <w:rPr>
          <w:bCs/>
          <w:lang w:val="es-ES"/>
        </w:rPr>
        <w:fldChar w:fldCharType="begin" w:fldLock="1"/>
      </w:r>
      <w:r w:rsidRPr="0094722C">
        <w:rPr>
          <w:bCs/>
          <w:lang w:val="es-ES"/>
        </w:rPr>
        <w:instrText>ADDIN CSL_CITATION {"citationItems":[{"id":"ITEM-1","itemData":{"DOI":"10.3389/fpsyg.2019.00694","ISSN":"1664-1078","abstract":"It seems obvious that the identification of coping structure is necessary to understand how stress affects human health and functioning. Despite numerous coping conceptualization proposals, there is no agreement as to the core coping categories. This article presents the Coping Circumplex Model (CCM), which is designed to integrate various coping distinctions, drawing inspiration from the tradition of circumplex models in psychology. The model is based on the assumption that individuals in stressful situations face two tasks: they need to solve the problem and regulate their emotions, which are reflected in two corresponding dimensions, that is, the problem coping dimension and emotion coping dimension. Problem coping and emotion coping are interpreted as bipolar dimensions. Importantly, these dimensions define a space for other coping categories. The model contains a total of eight coping styles forming a circumplex: positive emotional coping, efficiency, problem solving, preoccupation with the problem, negative emotional coping, helplessness, problem avoidance, and hedonic disengagement. The paper discusses the potential of the CCM to overcome some of the problems of stress psychology by: (a) supplementing the set of coping categories (i.e., process, strategy, style) with coping mode; (b) providing a foundation for the integration of numerous coping constructs; (c) enabling the interpretation of results obtained by means of different coping measures, thus facilitating knowledge consolidation; (d) explaining relationships between coping and adjustment after trauma, as well as explaining the mechanisms of psychological interventions (e.g., cognitive therapy, exposure therapy); (e) clarifying linkages between the effectiveness of coping strategies and situation controllability. Moreover, the CCM may elucidate the relationship between coping and emotion regulation (e.g., cognitive reappraisal and expressive suppression).","author":[{"dropping-particle":"","family":"Stanisławski","given":"Krzysztof","non-dropping-particle":"","parse-names":false,"suffix":""}],"container-title":"Frontiers in Psychology","id":"ITEM-1","issued":{"date-parts":[["2019","4","16"]]},"note":"Coping refers to volitional and automatized, cognitive, emotional, and behavioral response to stress p4. \n\nA coping strategy is defined as a cognitive, emotional, and or behavioral response to stress associated with a particular function. p5\n\nCoping modes are wider catergories of coping strategies. Some of them can belong to the same cabetories. The modes cold be problem-focused (fix it) and emotion-focused (elicitation of emotion).\n\n\n\n\n\nLazarus y Folkman (1984) orientación hacia el problema (resolutivo vs. evitativo), o hacia la emoción (positivas vs. negativas). Caver et al lo clasifica como orientado al problema (\n\n\nLazarus y Folkman (1984) propusieron que las estrategias de afrontamiento debían lograr dos funciones. En primer lugar resolver el problema que causa estrés (estrategias orientadas al problema) y regular la respuesta emocional que el problema causa (estrategias orientadas a la emoción). Parker y Endler (1992) añade el tipo de estrategia de evitación del problema a estas dos categoriás.","page":"694","title":"The Coping Circumplex Model: An Integrative Model of the Structure of Coping With Stress","type":"article-journal","volume":"10"},"uris":["http://www.mendeley.com/documents/?uuid=0cbd0b75-de48-4315-a897-713b38fc5772"]}],"mendeley":{"formattedCitation":"(Stanisławski, 2019)","manualFormatting":"(Stanisławski, 2019)","plainTextFormattedCitation":"(Stanisławski, 2019)","previouslyFormattedCitation":"(Stanisławski, 2019)"},"properties":{"noteIndex":0},"schema":"https://github.com/citation-style-language/schema/raw/master/csl-citation.json"}</w:instrText>
      </w:r>
      <w:r w:rsidRPr="0094722C">
        <w:rPr>
          <w:bCs/>
          <w:lang w:val="es-ES"/>
        </w:rPr>
        <w:fldChar w:fldCharType="separate"/>
      </w:r>
      <w:r w:rsidRPr="0094722C">
        <w:rPr>
          <w:bCs/>
          <w:noProof/>
          <w:lang w:val="es-ES"/>
        </w:rPr>
        <w:t>(Stanisławski, 2019)</w:t>
      </w:r>
      <w:r w:rsidRPr="0094722C">
        <w:rPr>
          <w:lang w:val="es-ES"/>
        </w:rPr>
        <w:fldChar w:fldCharType="end"/>
      </w:r>
      <w:r w:rsidRPr="0094722C">
        <w:rPr>
          <w:bCs/>
          <w:lang w:val="es-ES"/>
        </w:rPr>
        <w:t xml:space="preserve">. Según la forma en la que la persona se enfrenta a la situación estresante, el afrontamiento puede ser manifestado acercándose al problema –afrontamiento de acercamiento– o distanciándose del problema –afrontamiento evitativo </w:t>
      </w:r>
      <w:r w:rsidRPr="0094722C">
        <w:rPr>
          <w:bCs/>
          <w:lang w:val="es-ES"/>
        </w:rPr>
        <w:fldChar w:fldCharType="begin" w:fldLock="1"/>
      </w:r>
      <w:r w:rsidRPr="0094722C">
        <w:rPr>
          <w:bCs/>
          <w:lang w:val="es-ES"/>
        </w:rPr>
        <w:instrText>ADDIN CSL_CITATION {"citationItems":[{"id":"ITEM-1","itemData":{"DOI":"10.1521/jscp.23.2.155.31021","ISSN":"07367236","abstract":"This study evaluated the comprehensiveness of current coping assessment and theory by examining people's perceptions of coping. Specifically, this study explored what people report using as coping strategies and attempted to reveal the underlying structure of people's perceptions of coping by using concept mapping methodology. Undergraduate students completed a two-phase study involving thought-listing, sorting, and labeling tasks. A two-dimensional map with nine clusters embedded in these dimensions was found to adequately conceptualize the results with participant-generated items. The two dimensions conveyed were approach-avoidance and emotional equilibrium-disequilibrium. The implications for these results are discussed.","author":[{"dropping-particle":"","family":"Gol","given":"Andrew R.","non-dropping-particle":"","parse-names":false,"suffix":""},{"dropping-particle":"","family":"Cook","given":"Stephen W.","non-dropping-particle":"","parse-names":false,"suffix":""}],"container-title":"Journal of Social and Clinical Psychology","id":"ITEM-1","issue":"2","issued":{"date-parts":[["2004"]]},"page":"155-171","title":"Exploring the underlying dimensions of coping: A concept mapping approach","type":"article-journal","volume":"23"},"uris":["http://www.mendeley.com/documents/?uuid=1f549d7c-beb0-4e85-9ba2-bdd7bd0163f7"]},{"id":"ITEM-2","itemData":{"DOI":"10.1037/0003-066X.41.7.813","ISSN":"0003066X","PMID":"3740641","abstract":"The study of stress and coping points to two concepts central to an understanding of the response to trauma: approach and avoidance. This pair of concepts refers to two basic modes of coping with stress. Approach and avoidance are simply metaphors for cognitive and emotional activity that is oriented either toward or away from threat. An approach-avoidance model of coping is presented in the context of contemporary theoretical approaches to coping. The research literature on coping effectiveness, including evidence from our laboratory, is discussed, and speculations are made about the implications for future research. © 1986 American Psychological Association.","author":[{"dropping-particle":"","family":"Roth","given":"Susan","non-dropping-particle":"","parse-names":false,"suffix":""},{"dropping-particle":"","family":"Cohen","given":"Lawrence J.","non-dropping-particle":"","parse-names":false,"suffix":""}],"container-title":"American Psychologist","id":"ITEM-2","issue":"7","issued":{"date-parts":[["1986"]]},"page":"813-819","title":"Approach, avoidance, and coping with stress","type":"article-journal","volume":"41"},"uris":["http://www.mendeley.com/documents/?uuid=70353eb7-a511-497e-adc8-ce249db326a8"]}],"mendeley":{"formattedCitation":"(Gol &amp; Cook, 2004; Roth &amp; Cohen, 1986)","plainTextFormattedCitation":"(Gol &amp; Cook, 2004; Roth &amp; Cohen, 1986)","previouslyFormattedCitation":"(Gol &amp; Cook, 2004; Roth &amp; Cohen, 1986)"},"properties":{"noteIndex":0},"schema":"https://github.com/citation-style-language/schema/raw/master/csl-citation.json"}</w:instrText>
      </w:r>
      <w:r w:rsidRPr="0094722C">
        <w:rPr>
          <w:bCs/>
          <w:lang w:val="es-ES"/>
        </w:rPr>
        <w:fldChar w:fldCharType="separate"/>
      </w:r>
      <w:r w:rsidRPr="0094722C">
        <w:rPr>
          <w:bCs/>
          <w:noProof/>
          <w:lang w:val="es-ES"/>
        </w:rPr>
        <w:t>(Gol &amp; Cook, 2004; Roth &amp; Cohen, 1986)</w:t>
      </w:r>
      <w:r w:rsidRPr="0094722C">
        <w:rPr>
          <w:lang w:val="es-ES"/>
        </w:rPr>
        <w:fldChar w:fldCharType="end"/>
      </w:r>
      <w:r w:rsidRPr="0094722C">
        <w:rPr>
          <w:bCs/>
          <w:lang w:val="es-ES"/>
        </w:rPr>
        <w:t xml:space="preserve">. Según las expectativas de la respuesta al estrés, el afrontamiento puede llevar a solucionar activamente el problema –afrontamiento orientado al problema– o a regular la respuesta emocional que causa el problema –afrontamiento orientado a la emoción </w:t>
      </w:r>
      <w:r w:rsidRPr="0094722C">
        <w:rPr>
          <w:bCs/>
          <w:lang w:val="es-ES"/>
        </w:rPr>
        <w:fldChar w:fldCharType="begin" w:fldLock="1"/>
      </w:r>
      <w:r w:rsidRPr="0094722C">
        <w:rPr>
          <w:bCs/>
          <w:lang w:val="es-ES"/>
        </w:rPr>
        <w:instrText>ADDIN CSL_CITATION {"citationItems":[{"id":"ITEM-1","itemData":{"DOI":"10.2307/2136617","ISSN":"00221465","PMID":"3210434","author":[{"dropping-particle":"","family":"Folkman","given":"Susan","non-dropping-particle":"","parse-names":false,"suffix":""},{"dropping-particle":"","family":"Lazarus","given":"Richard S.","non-dropping-particle":"","parse-names":false,"suffix":""}],"container-title":"Journal of Health and Social Behavior","id":"ITEM-1","issue":"3","issued":{"date-parts":[["1980","9"]]},"page":"219","title":"An analysis of coping in a middle-aged community sample","type":"article-journal","volume":"21"},"uris":["http://www.mendeley.com/documents/?uuid=08fb84c4-700d-496a-be06-b2bde9da5190"]}],"mendeley":{"formattedCitation":"(Folkman &amp; Lazarus, 1980)","plainTextFormattedCitation":"(Folkman &amp; Lazarus, 1980)","previouslyFormattedCitation":"(Folkman &amp; Lazarus, 1980)"},"properties":{"noteIndex":0},"schema":"https://github.com/citation-style-language/schema/raw/master/csl-citation.json"}</w:instrText>
      </w:r>
      <w:r w:rsidRPr="0094722C">
        <w:rPr>
          <w:bCs/>
          <w:lang w:val="es-ES"/>
        </w:rPr>
        <w:fldChar w:fldCharType="separate"/>
      </w:r>
      <w:r w:rsidRPr="0094722C">
        <w:rPr>
          <w:bCs/>
          <w:noProof/>
          <w:lang w:val="es-ES"/>
        </w:rPr>
        <w:t>(Folkman &amp; Lazarus, 1980)</w:t>
      </w:r>
      <w:r w:rsidRPr="0094722C">
        <w:rPr>
          <w:lang w:val="es-ES"/>
        </w:rPr>
        <w:fldChar w:fldCharType="end"/>
      </w:r>
      <w:r w:rsidRPr="0094722C">
        <w:rPr>
          <w:bCs/>
          <w:lang w:val="es-ES"/>
        </w:rPr>
        <w:t xml:space="preserve">. Y según el nivel de apoyo necesario para enfrentar el problema, el afrontamiento puede llevarse a cabo individualmente –afrontamiento autosuficiente– o grupalmente –afrontamiento de apoyo social </w:t>
      </w:r>
      <w:r w:rsidRPr="0094722C">
        <w:rPr>
          <w:bCs/>
          <w:lang w:val="es-ES"/>
        </w:rPr>
        <w:fldChar w:fldCharType="begin" w:fldLock="1"/>
      </w:r>
      <w:r w:rsidRPr="0094722C">
        <w:rPr>
          <w:bCs/>
          <w:lang w:val="es-ES"/>
        </w:rPr>
        <w:instrText>ADDIN CSL_CITATION {"citationItems":[{"id":"ITEM-1","itemData":{"DOI":"10.1016/j.paid.2005.11.032","ISSN":"01918869","abstract":"Two studies evaluated the dimensionality of the COPE inventory (Carver, Scheier, &amp; Weintraub, 1989) and examined its relationships with approach- and avoidance-motives and positive and negative traits. In Study 1, four coping factors emerged, three of which reflected either self-sufficient or socially-supported coping strategies, along with an avoidant-coping factor. Correlations of scales from the self-sufficient and socially-supported coping factors with behavioral activation and positive traits suggested these factors involved approach-oriented coping, while the avoidant-coping scales correlated with behavioral inhibition and negative traits. In Study 2, similar self-sufficient, socially-supported, and avoidant-coping factors emerged; highly similar correlations were found between the scales that defined these factors with approach- and avoidance-motives and positive and negative traits. © 2006.","author":[{"dropping-particle":"","family":"Litman","given":"Jordan A.","non-dropping-particle":"","parse-names":false,"suffix":""}],"container-title":"Personality and Individual Differences","id":"ITEM-1","issue":"2","issued":{"date-parts":[["2006"]]},"page":"273-284","title":"The COPE inventory: Dimensionality and relationships with approach- and avoidance-motives and positive and negative traits","type":"article-journal","volume":"41"},"uris":["http://www.mendeley.com/documents/?uuid=e1d4eb4f-6413-4274-bf9f-e5e653113f92"]}],"mendeley":{"formattedCitation":"(Litman, 2006)","plainTextFormattedCitation":"(Litman, 2006)","previouslyFormattedCitation":"(Litman, 2006)"},"properties":{"noteIndex":0},"schema":"https://github.com/citation-style-language/schema/raw/master/csl-citation.json"}</w:instrText>
      </w:r>
      <w:r w:rsidRPr="0094722C">
        <w:rPr>
          <w:bCs/>
          <w:lang w:val="es-ES"/>
        </w:rPr>
        <w:fldChar w:fldCharType="separate"/>
      </w:r>
      <w:r w:rsidRPr="0094722C">
        <w:rPr>
          <w:bCs/>
          <w:noProof/>
          <w:lang w:val="es-ES"/>
        </w:rPr>
        <w:t>(Litman, 2006)</w:t>
      </w:r>
      <w:r w:rsidRPr="0094722C">
        <w:rPr>
          <w:lang w:val="es-ES"/>
        </w:rPr>
        <w:fldChar w:fldCharType="end"/>
      </w:r>
      <w:r w:rsidRPr="0094722C">
        <w:rPr>
          <w:bCs/>
          <w:lang w:val="es-ES"/>
        </w:rPr>
        <w:t xml:space="preserve">. Estas categorías no son mutuamente excluyentes, ya que varias estrategias de afrontamiento pueden pertenecer a diferentes categorizaciones de manera simultánea según la función que cumplan y el contexto en el que se den </w:t>
      </w:r>
      <w:r w:rsidRPr="0094722C">
        <w:rPr>
          <w:bCs/>
          <w:lang w:val="es-ES"/>
        </w:rPr>
        <w:fldChar w:fldCharType="begin" w:fldLock="1"/>
      </w:r>
      <w:r w:rsidRPr="0094722C">
        <w:rPr>
          <w:bCs/>
          <w:lang w:val="es-ES"/>
        </w:rPr>
        <w:instrText>ADDIN CSL_CITATION {"citationItems":[{"id":"ITEM-1","itemData":{"DOI":"10.3389/fpsyg.2019.00694","ISSN":"1664-1078","abstract":"It seems obvious that the identification of coping structure is necessary to understand how stress affects human health and functioning. Despite numerous coping conceptualization proposals, there is no agreement as to the core coping categories. This article presents the Coping Circumplex Model (CCM), which is designed to integrate various coping distinctions, drawing inspiration from the tradition of circumplex models in psychology. The model is based on the assumption that individuals in stressful situations face two tasks: they need to solve the problem and regulate their emotions, which are reflected in two corresponding dimensions, that is, the problem coping dimension and emotion coping dimension. Problem coping and emotion coping are interpreted as bipolar dimensions. Importantly, these dimensions define a space for other coping categories. The model contains a total of eight coping styles forming a circumplex: positive emotional coping, efficiency, problem solving, preoccupation with the problem, negative emotional coping, helplessness, problem avoidance, and hedonic disengagement. The paper discusses the potential of the CCM to overcome some of the problems of stress psychology by: (a) supplementing the set of coping categories (i.e., process, strategy, style) with coping mode; (b) providing a foundation for the integration of numerous coping constructs; (c) enabling the interpretation of results obtained by means of different coping measures, thus facilitating knowledge consolidation; (d) explaining relationships between coping and adjustment after trauma, as well as explaining the mechanisms of psychological interventions (e.g., cognitive therapy, exposure therapy); (e) clarifying linkages between the effectiveness of coping strategies and situation controllability. Moreover, the CCM may elucidate the relationship between coping and emotion regulation (e.g., cognitive reappraisal and expressive suppression).","author":[{"dropping-particle":"","family":"Stanisławski","given":"Krzysztof","non-dropping-particle":"","parse-names":false,"suffix":""}],"container-title":"Frontiers in Psychology","id":"ITEM-1","issued":{"date-parts":[["2019","4","16"]]},"note":"Coping refers to volitional and automatized, cognitive, emotional, and behavioral response to stress p4. \n\nA coping strategy is defined as a cognitive, emotional, and or behavioral response to stress associated with a particular function. p5\n\nCoping modes are wider catergories of coping strategies. Some of them can belong to the same cabetories. The modes cold be problem-focused (fix it) and emotion-focused (elicitation of emotion).\n\n\n\n\n\nLazarus y Folkman (1984) orientación hacia el problema (resolutivo vs. evitativo), o hacia la emoción (positivas vs. negativas). Caver et al lo clasifica como orientado al problema (\n\n\nLazarus y Folkman (1984) propusieron que las estrategias de afrontamiento debían lograr dos funciones. En primer lugar resolver el problema que causa estrés (estrategias orientadas al problema) y regular la respuesta emocional que el problema causa (estrategias orientadas a la emoción). Parker y Endler (1992) añade el tipo de estrategia de evitación del problema a estas dos categoriás.","page":"694","title":"The Coping Circumplex Model: An Integrative Model of the Structure of Coping With Stress","type":"article-journal","volume":"10"},"uris":["http://www.mendeley.com/documents/?uuid=0cbd0b75-de48-4315-a897-713b38fc5772"]}],"mendeley":{"formattedCitation":"(Stanisławski, 2019)","plainTextFormattedCitation":"(Stanisławski, 2019)","previouslyFormattedCitation":"(Stanisławski, 2019)"},"properties":{"noteIndex":0},"schema":"https://github.com/citation-style-language/schema/raw/master/csl-citation.json"}</w:instrText>
      </w:r>
      <w:r w:rsidRPr="0094722C">
        <w:rPr>
          <w:bCs/>
          <w:lang w:val="es-ES"/>
        </w:rPr>
        <w:fldChar w:fldCharType="separate"/>
      </w:r>
      <w:r w:rsidRPr="0094722C">
        <w:rPr>
          <w:bCs/>
          <w:noProof/>
          <w:lang w:val="es-ES"/>
        </w:rPr>
        <w:t>(Stanisławski, 2019)</w:t>
      </w:r>
      <w:r w:rsidRPr="0094722C">
        <w:rPr>
          <w:lang w:val="es-ES"/>
        </w:rPr>
        <w:fldChar w:fldCharType="end"/>
      </w:r>
      <w:r w:rsidRPr="0094722C">
        <w:rPr>
          <w:bCs/>
          <w:lang w:val="es-ES"/>
        </w:rPr>
        <w:t xml:space="preserve">. </w:t>
      </w:r>
      <w:r w:rsidRPr="0094722C">
        <w:rPr>
          <w:bCs/>
          <w:lang w:val="es-ES"/>
        </w:rPr>
        <w:fldChar w:fldCharType="begin" w:fldLock="1"/>
      </w:r>
      <w:r w:rsidRPr="0094722C">
        <w:rPr>
          <w:bCs/>
          <w:lang w:val="es-ES"/>
        </w:rPr>
        <w:instrText>ADDIN CSL_CITATION {"citationItems":[{"id":"ITEM-1","itemData":{"DOI":"10.1016/j.paid.2005.11.032","ISSN":"01918869","abstract":"Two studies evaluated the dimensionality of the COPE inventory (Carver, Scheier, &amp; Weintraub, 1989) and examined its relationships with approach- and avoidance-motives and positive and negative traits. In Study 1, four coping factors emerged, three of which reflected either self-sufficient or socially-supported coping strategies, along with an avoidant-coping factor. Correlations of scales from the self-sufficient and socially-supported coping factors with behavioral activation and positive traits suggested these factors involved approach-oriented coping, while the avoidant-coping scales correlated with behavioral inhibition and negative traits. In Study 2, similar self-sufficient, socially-supported, and avoidant-coping factors emerged; highly similar correlations were found between the scales that defined these factors with approach- and avoidance-motives and positive and negative traits. © 2006.","author":[{"dropping-particle":"","family":"Litman","given":"Jordan A.","non-dropping-particle":"","parse-names":false,"suffix":""}],"container-title":"Personality and Individual Differences","id":"ITEM-1","issue":"2","issued":{"date-parts":[["2006"]]},"page":"273-284","title":"The COPE inventory: Dimensionality and relationships with approach- and avoidance-motives and positive and negative traits","type":"article-journal","volume":"41"},"uris":["http://www.mendeley.com/documents/?uuid=e1d4eb4f-6413-4274-bf9f-e5e653113f92"]}],"mendeley":{"formattedCitation":"(Litman, 2006)","manualFormatting":"Litman (2006)","plainTextFormattedCitation":"(Litman, 2006)","previouslyFormattedCitation":"(Litman, 2006)"},"properties":{"noteIndex":0},"schema":"https://github.com/citation-style-language/schema/raw/master/csl-citation.json"}</w:instrText>
      </w:r>
      <w:r w:rsidRPr="0094722C">
        <w:rPr>
          <w:bCs/>
          <w:lang w:val="es-ES"/>
        </w:rPr>
        <w:fldChar w:fldCharType="separate"/>
      </w:r>
      <w:r w:rsidRPr="0094722C">
        <w:rPr>
          <w:bCs/>
          <w:noProof/>
          <w:lang w:val="es-ES"/>
        </w:rPr>
        <w:t>Litman (2006)</w:t>
      </w:r>
      <w:r w:rsidRPr="0094722C">
        <w:rPr>
          <w:lang w:val="es-ES"/>
        </w:rPr>
        <w:fldChar w:fldCharType="end"/>
      </w:r>
      <w:r w:rsidRPr="0094722C">
        <w:rPr>
          <w:bCs/>
          <w:lang w:val="es-ES"/>
        </w:rPr>
        <w:t xml:space="preserve"> indica que generalmente el afrontamiento autosuficiente (v. gr. afrontamiento activo del problema o aceptación) y de apoyo social (v. gr. búsqueda de apoyo emocional en otras personas) forman parte del constructo de afrontamiento de acercamiento, que a su vez está asociado al afecto positivo; mientras que el afrontamiento evitativo (v. gr. la negación y el uso de alcohol y otras sustancias) es un factor separado, y está asociado al afecto negativo. Las tres estrategias de afrontamiento –autosuficiente, de apoyo social y de evitación– pueden ser orientadas tanto al problema como a la emoción. </w:t>
      </w:r>
    </w:p>
    <w:p w14:paraId="421CEBE6" w14:textId="77777777" w:rsidR="0094722C" w:rsidRPr="0094722C" w:rsidRDefault="0094722C" w:rsidP="00554C1F">
      <w:pPr>
        <w:pStyle w:val="Prrafocomn"/>
        <w:ind w:firstLine="720"/>
        <w:jc w:val="left"/>
        <w:rPr>
          <w:lang w:val="es-DO"/>
        </w:rPr>
      </w:pPr>
      <w:r w:rsidRPr="0094722C">
        <w:rPr>
          <w:lang w:val="es-DO"/>
        </w:rPr>
        <w:t xml:space="preserve">En un estudio con participantes trabajadores de Alemania realizado durante la pandemia del COVID-19, </w:t>
      </w:r>
      <w:r w:rsidRPr="0094722C">
        <w:rPr>
          <w:lang w:val="es-DO"/>
        </w:rPr>
        <w:fldChar w:fldCharType="begin" w:fldLock="1"/>
      </w:r>
      <w:r w:rsidRPr="0094722C">
        <w:rPr>
          <w:lang w:val="es-DO"/>
        </w:rPr>
        <w:instrText>ADDIN CSL_CITATION {"citationItems":[{"id":"ITEM-1","itemData":{"DOI":"10.1037/amp0000702","ISSN":"1935-990X","abstract":"The COVID-19 pandemic has considerably impacted many people's lives. This study examined changes in subjective wellbeing between December 2019 and May 2020 and how stress appraisals and coping strategies relate to individual differences and changes in subjective wellbeing during the early stages of the pandemic. Data were collected at 4 time points from 979 individuals in Germany. Results showed that, on average, life satisfaction, positive affect, and negative affect did not change significantly between December 2019 and March 2020 but decreased between March and May 2020. Across the latter timespan, individual differences in life satisfaction were positively related to controllability appraisals, active coping, and positive reframing, and negatively related to threat and centrality appraisals and planning. Positive affect was positively related to challenge and controllable-by-self appraisals, active coping, using emotional support, and religion, and negatively related to threat appraisal and humor. Negative affect was positively related to threat and centrality appraisals, denial, substance use, and self-blame, and negatively related to controllability appraisals and emotional support. Contrary to expectations, the effects of stress appraisals and coping strategies on changes in subjective wellbeing were small and mostly nonsignificant. These findings imply that the COVID-19 pandemic represents not only a major medical and economic crisis, but also has a psychological dimension, as it can be associated with declines in key facets of people's subjective wellbeing. Psychological practitioners should address potential declines in subjective wellbeing with their clients and attempt to enhance clients' general capability to use functional stress appraisals and effective coping strategies.","author":[{"dropping-particle":"","family":"Zacher","given":"Hannes","non-dropping-particle":"","parse-names":false,"suffix":""},{"dropping-particle":"","family":"Rudolph","given":"Cort W.","non-dropping-particle":"","parse-names":false,"suffix":""}],"container-title":"American Psychologist","id":"ITEM-1","issue":"1","issued":{"date-parts":[["2021","1"]]},"page":"50-62","title":"Individual differences and changes in subjective wellbeing during the early stages of the COVID-19 pandemic.","type":"article-journal","volume":"76"},"uris":["http://www.mendeley.com/documents/?uuid=84e5052c-5ca6-4be5-84f9-204372d76048"]}],"mendeley":{"formattedCitation":"(Zacher &amp; Rudolph, 2021)","manualFormatting":"Zacher y Rudolph (2020)","plainTextFormattedCitation":"(Zacher &amp; Rudolph, 2021)","previouslyFormattedCitation":"(Zacher &amp; Rudolph, 2021)"},"properties":{"noteIndex":0},"schema":"https://github.com/citation-style-language/schema/raw/master/csl-citation.json"}</w:instrText>
      </w:r>
      <w:r w:rsidRPr="0094722C">
        <w:rPr>
          <w:lang w:val="es-DO"/>
        </w:rPr>
        <w:fldChar w:fldCharType="separate"/>
      </w:r>
      <w:r w:rsidRPr="0094722C">
        <w:rPr>
          <w:noProof/>
          <w:lang w:val="es-DO"/>
        </w:rPr>
        <w:t>Zacher y Rudolph (2020)</w:t>
      </w:r>
      <w:r w:rsidRPr="0094722C">
        <w:rPr>
          <w:lang w:val="es-ES"/>
        </w:rPr>
        <w:fldChar w:fldCharType="end"/>
      </w:r>
      <w:r w:rsidRPr="0094722C">
        <w:rPr>
          <w:lang w:val="es-DO"/>
        </w:rPr>
        <w:t xml:space="preserve"> encontraron relaciones significativas entre estrategias de afrontamiento y el bienestar subjetivo. Las estrategias de afrontamiento orientadas al problema, orientadas a emociones y de apoyo social se relacionaron de manera positiva con las dimensiones de bienestar subjetivo de satisfacción de la vida y de afecto positivo. De igual forma, las estrategias de afrontamiento evitativo se relacionaron de manera positiva con la dimensión del bienestar subjetivo de afecto negativo, y de manera negativa con las estrategias de apoyo social. Resultados similares fueron encontrados en una muestra de profesores de idiomas en Europa, América del Norte, América del Sur y Oriente Medio, en la que las estrategias de afrontamiento orientadas al problema correlacionaron de manera positiva con el bienestar, mientras que las estrategias de afrontamiento evitativo correlacionaron de manera negativa con el </w:t>
      </w:r>
      <w:r w:rsidRPr="0094722C">
        <w:rPr>
          <w:lang w:val="es-DO"/>
        </w:rPr>
        <w:lastRenderedPageBreak/>
        <w:t xml:space="preserve">bienestar </w:t>
      </w:r>
      <w:r w:rsidRPr="0094722C">
        <w:rPr>
          <w:lang w:val="es-DO"/>
        </w:rPr>
        <w:fldChar w:fldCharType="begin" w:fldLock="1"/>
      </w:r>
      <w:r w:rsidRPr="0094722C">
        <w:rPr>
          <w:lang w:val="es-DO"/>
        </w:rPr>
        <w:instrText>ADDIN CSL_CITATION {"citationItems":[{"id":"ITEM-1","itemData":{"DOI":"10.1016/j.system.2020.102352","ISSN":"0346251X","author":[{"dropping-particle":"","family":"MacIntyre","given":"Peter D.","non-dropping-particle":"","parse-names":false,"suffix":""},{"dropping-particle":"","family":"Gregersen","given":"Tammy","non-dropping-particle":"","parse-names":false,"suffix":""},{"dropping-particle":"","family":"Mercer","given":"Sarah","non-dropping-particle":"","parse-names":false,"suffix":""}],"container-title":"System","id":"ITEM-1","issued":{"date-parts":[["2020","11"]]},"note":"Las estrategias de afrontamiento de resolución correlacionaron de manera positiva con bienestar, salud, felicidad, resiliencia y crecimiento. Las estrategias de afrontamiento evitaitivas correlacionaron de manera negativa con estas variables en profesores de lenguaje de Europa, Norte América, Sur América y Oriente Medio durante la pandemia del COVID-19.\n\n\n\nApproach-coping strategy:\nAcceptance\nEmotional support\nPositive refraiming\nActive coping\nInstrumental support\nPlanning\n\nAvoidant strategies: \nBehavioral disengagement\nDenial\nSelf-distraction\nSelf-blaming\nSubstance use\nVenting\n\nNeither approach nor avoidant\nHumor\nReligion\n\n\nEste estudio encontró que las estrategias del estilo de afrontamiento de acercamiento","page":"102352","title":"Language teachers’ coping strategies during the COVID-19 conversion to online teaching: Correlations with stress, wellbeing and negative emotions","type":"article-journal","volume":"94"},"uris":["http://www.mendeley.com/documents/?uuid=bbf023e8-009a-4b18-b1a2-a23044017b71"]}],"mendeley":{"formattedCitation":"(MacIntyre et al., 2020)","plainTextFormattedCitation":"(MacIntyre et al., 2020)","previouslyFormattedCitation":"(MacIntyre et al., 2020)"},"properties":{"noteIndex":0},"schema":"https://github.com/citation-style-language/schema/raw/master/csl-citation.json"}</w:instrText>
      </w:r>
      <w:r w:rsidRPr="0094722C">
        <w:rPr>
          <w:lang w:val="es-DO"/>
        </w:rPr>
        <w:fldChar w:fldCharType="separate"/>
      </w:r>
      <w:r w:rsidRPr="0094722C">
        <w:rPr>
          <w:noProof/>
          <w:lang w:val="es-DO"/>
        </w:rPr>
        <w:t>(MacIntyre et al., 2020)</w:t>
      </w:r>
      <w:r w:rsidRPr="0094722C">
        <w:rPr>
          <w:lang w:val="es-ES"/>
        </w:rPr>
        <w:fldChar w:fldCharType="end"/>
      </w:r>
      <w:r w:rsidRPr="0094722C">
        <w:rPr>
          <w:lang w:val="es-DO"/>
        </w:rPr>
        <w:t xml:space="preserve">. </w:t>
      </w:r>
      <w:r w:rsidRPr="0094722C">
        <w:rPr>
          <w:lang w:val="es-DO"/>
        </w:rPr>
        <w:fldChar w:fldCharType="begin" w:fldLock="1"/>
      </w:r>
      <w:r w:rsidRPr="0094722C">
        <w:rPr>
          <w:lang w:val="es-DO"/>
        </w:rPr>
        <w:instrText>ADDIN CSL_CITATION {"citationItems":[{"id":"ITEM-1","itemData":{"DOI":"10.2147/prbm.s266511","ISSN":"1179-1578","PMID":"33061695","abstract":"Purpose The purpose of this study is to examine the association of anxiety with self-rated general health, satisfaction with life, stress and coping strategies of university students during the COVID-19 pandemic outbreak in Poland. Participants and Methods A total of 914 university students, ranged in age between 18 and 40 years old (M = 23.04, SD = 2.60), participated in an online survey. The study was performed between 30 March and 30 April 2020, during the general coronavirus quarantine. Participants completed a standard psychological questionnaire, including General Anxiety Disorder (GAD-7), General Self-Rated Health (GSRH), Satisfaction With Life Scale (SWLS), Perceived Stress Scale (PSS), and Coping Inventory for Stressful Situations (CISS). Results The majority of students (65%) showed mild to severe GAD and a high level of perceived stress (56%). Those students who had the worst evaluated current GSRH, in comparison to the situation before the COVID-19 outbreak, also demonstrated higher levels of anxiety, perceived stress, and emotion-oriented coping styles. The study indicates that the variance of anxiety during the COVID-19 outbreak may be explained for about 60% by such variables, like high stress, low general self-rated health, female gender, and frequent use of both emotion-oriented and task-oriented coping styles. Conclusion University students experience extremely high stress and anxiety during quarantine period and they need professional help to cope with COVID-19 pandemic. The results of this study may help prepare appropriate future intervention and effective prevention programs at universities.","author":[{"dropping-particle":"","family":"Rogowska","given":"Aleksandra M","non-dropping-particle":"","parse-names":false,"suffix":""},{"dropping-particle":"","family":"Kuśnierz","given":"Cezary","non-dropping-particle":"","parse-names":false,"suffix":""},{"dropping-particle":"","family":"Bokszczanin","given":"Anna","non-dropping-particle":"","parse-names":false,"suffix":""}],"container-title":"Psychology Research and Behavior Management","id":"ITEM-1","issued":{"date-parts":[["2020"]]},"note":"El estudio encontró correlaciones positivas entre los niveles de ansiedad de jóvenes polacos y el uso de dos tipos de estrategias de afrontamiento: emocional y de evitación. De igual forma, encontraron correlaciones entre satisfacción con la vida y dos estrategias de afrontamiento: basa en problema y basada en emoción. En dicho estudio, el afrontamiento emocional se refiere a reacciones emocionales negativas hacia sí mismo durante momentos de estrés. El afrontamiento de evitación es el uso de distracciones y compañía para disminuir los niveles de ansiedad. El afrontamiento basado en problemas se refiere a hacerle frente al problema a través de tareas y planificación. (HAY QUE REVISAR ESTAS DEFINICIONES PORQUE EL PAPER LAS TIENE BASTANTE CONFUNDIDAS).\n\nTask-oriented: Cognitively restructuing and solving the problem attempts to alter the situation, focusing on task and planing. \n\nEmotion-oriented: Self-oriented emotional reactions in stressful situations (self-blaming, getting angry, upset, becoming tesnse, self-preocupation, fantasizing) aimed to reduce stress. \n\nAvoidance-oriented: Alleviate stress through activities such as distractions by bother situations or taks or social gatherings.","page":"797-811","title":"Examining anxiety, life satisfaction, general health, stress and coping styles during COVID-19 pandemic in Polish sample of university students","type":"article-journal","volume":"13"},"uris":["http://www.mendeley.com/documents/?uuid=89451361-e45e-491a-a155-373902ba7697"]}],"mendeley":{"formattedCitation":"(Rogowska et al., 2020)","manualFormatting":"Rogowska et al. (2020)","plainTextFormattedCitation":"(Rogowska et al., 2020)","previouslyFormattedCitation":"(Rogowska et al., 2020)"},"properties":{"noteIndex":0},"schema":"https://github.com/citation-style-language/schema/raw/master/csl-citation.json"}</w:instrText>
      </w:r>
      <w:r w:rsidRPr="0094722C">
        <w:rPr>
          <w:lang w:val="es-DO"/>
        </w:rPr>
        <w:fldChar w:fldCharType="separate"/>
      </w:r>
      <w:r w:rsidRPr="0094722C">
        <w:rPr>
          <w:noProof/>
          <w:lang w:val="es-DO"/>
        </w:rPr>
        <w:t>Rogowska et al. (2020)</w:t>
      </w:r>
      <w:r w:rsidRPr="0094722C">
        <w:rPr>
          <w:lang w:val="es-ES"/>
        </w:rPr>
        <w:fldChar w:fldCharType="end"/>
      </w:r>
      <w:r w:rsidRPr="0094722C">
        <w:rPr>
          <w:lang w:val="es-DO"/>
        </w:rPr>
        <w:t xml:space="preserve"> encontraron correlaciones positivas entre la satisfacción con la vida y las estrategias de afrontamiento orientadas al problema, y a diferencia de otros estudios, correlaciones negativas entre la satisfacción con la vida y las estrategias de afrontamiento orientadas a la emoción en estudiantes polacos. </w:t>
      </w:r>
    </w:p>
    <w:p w14:paraId="6A92ACF2" w14:textId="77777777" w:rsidR="0094722C" w:rsidRPr="0094722C" w:rsidRDefault="0094722C" w:rsidP="00554C1F">
      <w:pPr>
        <w:pStyle w:val="Prrafocomn"/>
        <w:ind w:firstLine="720"/>
        <w:jc w:val="left"/>
        <w:rPr>
          <w:lang w:val="es-DO"/>
        </w:rPr>
      </w:pPr>
      <w:r w:rsidRPr="0094722C">
        <w:rPr>
          <w:lang w:val="es-DO"/>
        </w:rPr>
        <w:t xml:space="preserve">Si bien los efectos positivos de algunas estrategias de afrontamiento en el bienestar durante la pandemia han sido explorados en países post industrializados, en el momento de esta publicación, existe poca evidencia de su exploración en América Latina y el Caribe. </w:t>
      </w:r>
    </w:p>
    <w:p w14:paraId="1801AA51" w14:textId="7355C752" w:rsidR="0094722C" w:rsidRPr="0094722C" w:rsidRDefault="0094722C" w:rsidP="00554C1F">
      <w:pPr>
        <w:pStyle w:val="Prrafocomn"/>
        <w:ind w:firstLine="720"/>
        <w:jc w:val="left"/>
        <w:rPr>
          <w:lang w:val="es-DO"/>
        </w:rPr>
      </w:pPr>
      <w:r w:rsidRPr="0094722C">
        <w:rPr>
          <w:lang w:val="es-DO"/>
        </w:rPr>
        <w:t xml:space="preserve">En la República Dominicana se detectó el primer caso de COVID-19 a principios de marzo del 2020 </w:t>
      </w:r>
      <w:r w:rsidRPr="0094722C">
        <w:rPr>
          <w:lang w:val="es-DO"/>
        </w:rPr>
        <w:fldChar w:fldCharType="begin" w:fldLock="1"/>
      </w:r>
      <w:r w:rsidRPr="0094722C">
        <w:rPr>
          <w:lang w:val="es-DO"/>
        </w:rPr>
        <w:instrText>ADDIN CSL_CITATION {"citationItems":[{"id":"ITEM-1","itemData":{"DOI":"10.47307/GMC.2020.128.s2.10","ISSN":"0367-4762","abstract":"The paper presents the situation in the Dominican Republic in terms of pandemic preparedness, the policies implemented to respond to it, the achievements made, and the challenges for the future. The COVID-19 pandemic found the Dominican Republic unprepared to deal with it, with significant deficiencies in the areas of prevention, early detection and notification, rapid response and mitigation, compliance with international standards, risk environment and health system strength. The country had the most infections in the entire Caribbean region and one of the most important in Latin America, however, the policies implemented were appropriate and the country faced lower rates of both serious illness and mortality, compared to the rest of the region. The health system, so far, has been able to respond, without exceeding the installed capacity in terms of beds and intensive care units. The worst part of the response preparedness is the weakness of the first level of care and its underfinancing, concluding on the necessity of investing adequately in strengthening the first level of care, implementing the population assignment using geographical criteria, developing payment for results mechanisms to increase quality and efficiency and putting in place the unified electronic medical record, in order to make it feasible to establish a prevention strategy.","author":[{"dropping-particle":"","family":"Rathe","given":"Magdalena","non-dropping-particle":"","parse-names":false,"suffix":""}],"container-title":"Gaceta Médica de Caracas","id":"ITEM-1","issue":"2","issued":{"date-parts":[["2020","12","1"]]},"note":"Weak area refer to the absence of a plan to address human resource shortags, lack of evidence of an effective communication system with the population, and between the public and private sectors in the event of a health emergency, low priority given to health worker care, and lack of a monitoring and evaluation plan. \n\nClosing borders, closing schools, universities and businesses nad productive activities. Curfews\n\n\nLow development of the first level of care in the country.","page":"227-235","title":"Dominican Republic: The response to the COVID-19 pandemic in 2020","type":"article-journal","volume":"128"},"uris":["http://www.mendeley.com/documents/?uuid=1c3ca30d-ea36-4981-ac5c-cef39af9a5c7"]}],"mendeley":{"formattedCitation":"(Rathe, 2020)","plainTextFormattedCitation":"(Rathe, 2020)","previouslyFormattedCitation":"(Rathe, 2020)"},"properties":{"noteIndex":0},"schema":"https://github.com/citation-style-language/schema/raw/master/csl-citation.json"}</w:instrText>
      </w:r>
      <w:r w:rsidRPr="0094722C">
        <w:rPr>
          <w:lang w:val="es-DO"/>
        </w:rPr>
        <w:fldChar w:fldCharType="separate"/>
      </w:r>
      <w:r w:rsidRPr="0094722C">
        <w:rPr>
          <w:noProof/>
          <w:lang w:val="es-DO"/>
        </w:rPr>
        <w:t>(Rathe, 2020)</w:t>
      </w:r>
      <w:r w:rsidRPr="0094722C">
        <w:rPr>
          <w:lang w:val="es-ES"/>
        </w:rPr>
        <w:fldChar w:fldCharType="end"/>
      </w:r>
      <w:r w:rsidRPr="0094722C">
        <w:rPr>
          <w:lang w:val="es-DO"/>
        </w:rPr>
        <w:t xml:space="preserve">. A enero del 2021 se reportaron 201,145 casos confirmados, 146,491 casos recuperados y 2,496 personas fallecidas </w:t>
      </w:r>
      <w:r w:rsidRPr="0094722C">
        <w:rPr>
          <w:lang w:val="es-DO"/>
        </w:rPr>
        <w:fldChar w:fldCharType="begin" w:fldLock="1"/>
      </w:r>
      <w:r w:rsidRPr="0094722C">
        <w:rPr>
          <w:lang w:val="es-DO"/>
        </w:rPr>
        <w:instrText>ADDIN CSL_CITATION {"citationItems":[{"id":"ITEM-1","itemData":{"URL":"https://coronavirusrd.gob.do/","abstract":"https://coronavirusrd.gob.do/","author":[{"dropping-particle":"","family":"Ministerio de Salud Pública de la Republica Dominicana","given":"","non-dropping-particle":"","parse-names":false,"suffix":""}],"id":"ITEM-1","issued":{"date-parts":[["2021"]]},"title":"Coronavirus - República Dominicana","type":"webpage"},"uris":["http://www.mendeley.com/documents/?uuid=13a7d544-a521-45f9-a943-321423b0272b"]}],"mendeley":{"formattedCitation":"(Ministerio de Salud Pública de la Republica Dominicana, 2021)","plainTextFormattedCitation":"(Ministerio de Salud Pública de la Republica Dominicana, 2021)","previouslyFormattedCitation":"(Ministerio de Salud Pública de la Republica Dominicana, 2021)"},"properties":{"noteIndex":0},"schema":"https://github.com/citation-style-language/schema/raw/master/csl-citation.json"}</w:instrText>
      </w:r>
      <w:r w:rsidRPr="0094722C">
        <w:rPr>
          <w:lang w:val="es-DO"/>
        </w:rPr>
        <w:fldChar w:fldCharType="separate"/>
      </w:r>
      <w:r w:rsidRPr="0094722C">
        <w:rPr>
          <w:noProof/>
          <w:lang w:val="es-DO"/>
        </w:rPr>
        <w:t>(Ministerio de Salud Pública de la Republica Dominicana, 2021)</w:t>
      </w:r>
      <w:r w:rsidRPr="0094722C">
        <w:rPr>
          <w:lang w:val="es-ES"/>
        </w:rPr>
        <w:fldChar w:fldCharType="end"/>
      </w:r>
      <w:r w:rsidRPr="0094722C">
        <w:rPr>
          <w:lang w:val="es-DO"/>
        </w:rPr>
        <w:t>.</w:t>
      </w:r>
      <w:r w:rsidR="006D0611">
        <w:rPr>
          <w:lang w:val="es-DO"/>
        </w:rPr>
        <w:t xml:space="preserve"> [Manuscrito anónimo] (2021)</w:t>
      </w:r>
      <w:r w:rsidRPr="0094722C">
        <w:rPr>
          <w:lang w:val="es-DO"/>
        </w:rPr>
        <w:t xml:space="preserve"> reportan que la población general ha experimentado malestar psicológico durante la pandemia del COVID-19, situación exacerbada por la percepción negativa del personal de salud y falta de confianza a las autoridades. De igual forma, se observan altos niveles de ansiedad estado, ansiedad por salud y cibercondría en dominicanas y dominicanos</w:t>
      </w:r>
      <w:r w:rsidR="006D0611">
        <w:rPr>
          <w:lang w:val="es-DO"/>
        </w:rPr>
        <w:t xml:space="preserve"> ([Manuscrito anónimo, 2021)].</w:t>
      </w:r>
    </w:p>
    <w:p w14:paraId="48B96131" w14:textId="09BA8E17" w:rsidR="00575541" w:rsidRPr="00D779C8" w:rsidRDefault="0094722C" w:rsidP="00554C1F">
      <w:pPr>
        <w:pStyle w:val="Prrafocomn"/>
        <w:ind w:firstLine="720"/>
        <w:jc w:val="left"/>
        <w:rPr>
          <w:lang w:val="es-ES"/>
        </w:rPr>
      </w:pPr>
      <w:r w:rsidRPr="0094722C">
        <w:rPr>
          <w:lang w:val="es-ES"/>
        </w:rPr>
        <w:t xml:space="preserve">Teniendo en cuenta que el bienestar psicológico de jóvenes universitarios a nivel mundial está en riesgo de ser afectado por los efectos de las medidas de prevención COVID-19, es necesario estudiar los mecanismos que pueden contrarrestar este efecto negativo. El propósito de este estudio fue conocer la influencia de las estrategias de afrontamiento en las distintas dimensiones del bienestar psicológico en jóvenes universitarios de la República Dominicana durante la pandemia del COVID-19. </w:t>
      </w:r>
    </w:p>
    <w:p w14:paraId="2254AC27" w14:textId="112A1382" w:rsidR="006F7E7E" w:rsidRPr="005911B0" w:rsidRDefault="0094722C" w:rsidP="00554C1F">
      <w:pPr>
        <w:pStyle w:val="Ttulosinternos"/>
        <w:rPr>
          <w:lang w:val="es-DO"/>
        </w:rPr>
      </w:pPr>
      <w:r w:rsidRPr="005911B0">
        <w:rPr>
          <w:lang w:val="es-DO"/>
        </w:rPr>
        <w:t>Método</w:t>
      </w:r>
    </w:p>
    <w:p w14:paraId="2F19162A" w14:textId="71417C47" w:rsidR="006F7E7E" w:rsidRPr="00D779C8" w:rsidRDefault="0094722C" w:rsidP="007E3B8D">
      <w:pPr>
        <w:pStyle w:val="SubtituloInterno"/>
        <w:rPr>
          <w:rFonts w:eastAsia="Calibri"/>
          <w:lang w:val="es-ES"/>
        </w:rPr>
      </w:pPr>
      <w:r>
        <w:rPr>
          <w:rFonts w:eastAsia="Calibri"/>
          <w:lang w:val="es-ES"/>
        </w:rPr>
        <w:t>Participantes</w:t>
      </w:r>
    </w:p>
    <w:p w14:paraId="3B795E8D" w14:textId="286C19FB" w:rsidR="0094722C" w:rsidRPr="0094722C" w:rsidRDefault="0094722C" w:rsidP="009E3401">
      <w:pPr>
        <w:pStyle w:val="Prrafocomn"/>
        <w:jc w:val="left"/>
        <w:rPr>
          <w:lang w:val="es-ES" w:eastAsia="en-US"/>
        </w:rPr>
      </w:pPr>
      <w:r w:rsidRPr="0094722C">
        <w:rPr>
          <w:lang w:val="es-ES" w:eastAsia="en-US"/>
        </w:rPr>
        <w:t>Se reportan datos de 135 participantes</w:t>
      </w:r>
      <w:r w:rsidR="00F11C6D">
        <w:rPr>
          <w:lang w:val="es-ES" w:eastAsia="en-US"/>
        </w:rPr>
        <w:t xml:space="preserve"> (74.07% mujeres)</w:t>
      </w:r>
      <w:r w:rsidRPr="0094722C">
        <w:rPr>
          <w:lang w:val="es-ES" w:eastAsia="en-US"/>
        </w:rPr>
        <w:t xml:space="preserve"> jóvenes universitarios de 18 a 25 años (</w:t>
      </w:r>
      <w:r w:rsidRPr="0094722C">
        <w:rPr>
          <w:i/>
          <w:iCs/>
          <w:lang w:val="es-ES" w:eastAsia="en-US"/>
        </w:rPr>
        <w:t>M</w:t>
      </w:r>
      <w:r w:rsidRPr="0094722C">
        <w:rPr>
          <w:lang w:val="es-ES" w:eastAsia="en-US"/>
        </w:rPr>
        <w:t xml:space="preserve"> = 20.47, </w:t>
      </w:r>
      <w:r w:rsidRPr="0094722C">
        <w:rPr>
          <w:i/>
          <w:iCs/>
          <w:lang w:val="es-ES" w:eastAsia="en-US"/>
        </w:rPr>
        <w:t>DT</w:t>
      </w:r>
      <w:r w:rsidRPr="0094722C">
        <w:rPr>
          <w:lang w:val="es-ES" w:eastAsia="en-US"/>
        </w:rPr>
        <w:t xml:space="preserve"> = 1.53), residentes de la ciudad de Santo Domingo, que vivieron la cuarentena domiciliaria en dicha ciudad. Los participantes reportan un promedio de posición socioeconómica comunitaria percibida de 7.10 (</w:t>
      </w:r>
      <w:r w:rsidRPr="0094722C">
        <w:rPr>
          <w:i/>
          <w:iCs/>
          <w:lang w:val="es-ES" w:eastAsia="en-US"/>
        </w:rPr>
        <w:t>DT</w:t>
      </w:r>
      <w:r w:rsidRPr="0094722C">
        <w:rPr>
          <w:lang w:val="es-ES" w:eastAsia="en-US"/>
        </w:rPr>
        <w:t xml:space="preserve"> = 1.29), correspondiente a una posición socioeconómica media, media-alta. Para determinar el tamaño de muestra, se realizó un análisis de potencia para una regresión múltiple de dos colas, con un tamaño de efecto moderado (f</w:t>
      </w:r>
      <w:r w:rsidRPr="0094722C">
        <w:rPr>
          <w:vertAlign w:val="superscript"/>
          <w:lang w:val="es-ES" w:eastAsia="en-US"/>
        </w:rPr>
        <w:t>2</w:t>
      </w:r>
      <w:r w:rsidRPr="0094722C">
        <w:rPr>
          <w:lang w:val="es-ES" w:eastAsia="en-US"/>
        </w:rPr>
        <w:t xml:space="preserve"> = </w:t>
      </w:r>
      <w:r w:rsidRPr="0094722C">
        <w:rPr>
          <w:lang w:val="es-ES" w:eastAsia="en-US"/>
        </w:rPr>
        <w:lastRenderedPageBreak/>
        <w:t xml:space="preserve">.15), alfa de .05, una potencia de .95 y cuatro predictores, para un tamaño de muestra de 89 participantes </w:t>
      </w:r>
    </w:p>
    <w:p w14:paraId="0FA29A56" w14:textId="4CB7C777" w:rsidR="006F7E7E" w:rsidRPr="00D779C8" w:rsidRDefault="0094722C" w:rsidP="007E3B8D">
      <w:pPr>
        <w:pStyle w:val="SubtituloInterno"/>
        <w:rPr>
          <w:lang w:val="es-ES"/>
        </w:rPr>
      </w:pPr>
      <w:r>
        <w:rPr>
          <w:lang w:val="es-ES"/>
        </w:rPr>
        <w:t>Diseño</w:t>
      </w:r>
    </w:p>
    <w:p w14:paraId="5E6B456A" w14:textId="7ADC4357" w:rsidR="0094722C" w:rsidRPr="00D779C8" w:rsidRDefault="0094722C" w:rsidP="00554C1F">
      <w:pPr>
        <w:pStyle w:val="Prrafocomn"/>
        <w:jc w:val="left"/>
        <w:rPr>
          <w:iCs/>
          <w:lang w:val="es-ES" w:eastAsia="en-US"/>
        </w:rPr>
      </w:pPr>
      <w:r w:rsidRPr="0094722C">
        <w:rPr>
          <w:iCs/>
          <w:lang w:val="es-ES" w:eastAsia="en-US"/>
        </w:rPr>
        <w:t xml:space="preserve">La presente investigación tiene un diseño no experimental transversal. </w:t>
      </w:r>
    </w:p>
    <w:p w14:paraId="526EC9AE" w14:textId="1CF4EAB1" w:rsidR="00507B29" w:rsidRPr="00D779C8" w:rsidRDefault="0094722C" w:rsidP="00554C1F">
      <w:pPr>
        <w:pStyle w:val="SubtituloInterno"/>
        <w:jc w:val="left"/>
        <w:rPr>
          <w:lang w:val="es-ES"/>
        </w:rPr>
      </w:pPr>
      <w:r>
        <w:rPr>
          <w:lang w:val="es-ES"/>
        </w:rPr>
        <w:t>Materiales</w:t>
      </w:r>
    </w:p>
    <w:p w14:paraId="63200F73" w14:textId="77777777" w:rsidR="00390E2A" w:rsidRDefault="007843A0" w:rsidP="00390E2A">
      <w:pPr>
        <w:pStyle w:val="Prrafocomn"/>
        <w:ind w:firstLine="0"/>
        <w:jc w:val="left"/>
        <w:rPr>
          <w:i/>
          <w:iCs/>
          <w:lang w:val="es-ES" w:eastAsia="en-US"/>
        </w:rPr>
      </w:pPr>
      <w:r w:rsidRPr="00390E2A">
        <w:rPr>
          <w:i/>
          <w:iCs/>
          <w:lang w:val="es-ES" w:eastAsia="en-US"/>
        </w:rPr>
        <w:t>Cuestionario Sociodemográfico</w:t>
      </w:r>
    </w:p>
    <w:p w14:paraId="5FFD9640" w14:textId="0CA656E7" w:rsidR="007843A0" w:rsidRPr="00390E2A" w:rsidRDefault="007843A0" w:rsidP="00390E2A">
      <w:pPr>
        <w:pStyle w:val="Prrafocomn"/>
        <w:ind w:firstLine="720"/>
        <w:jc w:val="left"/>
        <w:rPr>
          <w:i/>
          <w:iCs/>
          <w:lang w:val="es-ES" w:eastAsia="en-US"/>
        </w:rPr>
      </w:pPr>
      <w:r w:rsidRPr="007843A0">
        <w:rPr>
          <w:lang w:val="es-ES" w:eastAsia="en-US"/>
        </w:rPr>
        <w:t>Este cuestionario indagaba información de edad, sexo, estado civil, grado académico, ocupación, lugar de residencia, lugar dónde pasó la cuarentena por COVID-19</w:t>
      </w:r>
      <w:r w:rsidR="004B1F9D">
        <w:rPr>
          <w:lang w:val="es-ES" w:eastAsia="en-US"/>
        </w:rPr>
        <w:t>.</w:t>
      </w:r>
      <w:r w:rsidRPr="007843A0">
        <w:rPr>
          <w:lang w:val="es-ES" w:eastAsia="en-US"/>
        </w:rPr>
        <w:t xml:space="preserve"> </w:t>
      </w:r>
    </w:p>
    <w:p w14:paraId="1E7A0F89" w14:textId="77777777" w:rsidR="007843A0" w:rsidRPr="00390E2A" w:rsidRDefault="007843A0" w:rsidP="00390E2A">
      <w:pPr>
        <w:pStyle w:val="Prrafocomn"/>
        <w:ind w:firstLine="0"/>
        <w:jc w:val="left"/>
        <w:rPr>
          <w:bCs/>
          <w:i/>
          <w:iCs/>
          <w:lang w:val="es-ES" w:eastAsia="en-US"/>
        </w:rPr>
      </w:pPr>
      <w:r w:rsidRPr="00390E2A">
        <w:rPr>
          <w:bCs/>
          <w:i/>
          <w:iCs/>
          <w:lang w:val="es-ES" w:eastAsia="en-US"/>
        </w:rPr>
        <w:t>Escala de Bienestar Psicológico</w:t>
      </w:r>
    </w:p>
    <w:p w14:paraId="4BB2BF07" w14:textId="77777777" w:rsidR="007843A0" w:rsidRPr="007843A0" w:rsidRDefault="007843A0" w:rsidP="00554C1F">
      <w:pPr>
        <w:pStyle w:val="Prrafocomn"/>
        <w:jc w:val="left"/>
        <w:rPr>
          <w:lang w:val="es-ES" w:eastAsia="en-US"/>
        </w:rPr>
      </w:pPr>
      <w:r w:rsidRPr="007843A0">
        <w:rPr>
          <w:lang w:val="es-ES" w:eastAsia="en-US"/>
        </w:rPr>
        <w:t xml:space="preserve">La adaptación española de la Escala de Bienestar Psicológico, desarrollada por </w:t>
      </w:r>
      <w:r w:rsidRPr="007843A0">
        <w:rPr>
          <w:lang w:val="es-ES" w:eastAsia="en-US"/>
        </w:rPr>
        <w:fldChar w:fldCharType="begin" w:fldLock="1"/>
      </w:r>
      <w:r w:rsidRPr="007843A0">
        <w:rPr>
          <w:lang w:val="es-ES" w:eastAsia="en-US"/>
        </w:rPr>
        <w:instrText>ADDIN CSL_CITATION {"citationItems":[{"id":"ITEM-1","itemData":{"ISSN":"02149915","abstract":"The aim of this paper is to adapt to Spanish the D. van Direndonck version of Carol Ryff's Psychological Well-Being Scales, and to analyse its consistency and factorial validity. All the scales exhibited good internal reliabilities, with Cronbach alpha's ranging from 0,83 (Self-acceptance) to 0,68 (Personal growth). However, confirmatory factor analyses didn't corroborate the six-factor model (Self-acceptance, Positive relations, Autonomy, Environmental mastery, Purpose in life, and Personal growth) with a second order factor called Psychological Well-Being. To improve the psychometric properties, a new reduced version was proposed that indeed will facilitate the application. The scales of the new version maintain and raise its internal consistency (Cronbach alpha's 0,84 to 0,70). Furthermore, the scales shown an excellent fit to the theoretical model proposed by D. van Dierendonck. Copyright © 2006 Psicothema.","author":[{"dropping-particle":"","family":"Díaz","given":"Darío","non-dropping-particle":"","parse-names":false,"suffix":""},{"dropping-particle":"","family":"Rodríguez-Carvajal","given":"Raquel","non-dropping-particle":"","parse-names":false,"suffix":""},{"dropping-particle":"","family":"Blanco","given":"Amalio","non-dropping-particle":"","parse-names":false,"suffix":""},{"dropping-particle":"","family":"Moreno-Jiménez","given":"Bernardo","non-dropping-particle":"","parse-names":false,"suffix":""},{"dropping-particle":"","family":"Gallardo","given":"Ismael","non-dropping-particle":"","parse-names":false,"suffix":""},{"dropping-particle":"","family":"Valle","given":"Carmen","non-dropping-particle":"","parse-names":false,"suffix":""},{"dropping-particle":"","family":"Dierendonck","given":"Dirk","non-dropping-particle":"Van","parse-names":false,"suffix":""}],"container-title":"Psicothema","id":"ITEM-1","issue":"3","issued":{"date-parts":[["2006"]]},"note":"Laura: No hay bibliografía anotada para este artículo","page":"572-577","title":"Adaptación española de las escalas de bienestar psicológico de Ryff","type":"article-journal","volume":"18"},"uris":["http://www.mendeley.com/documents/?uuid=e7ecc014-6ff9-4086-a00c-f392202c0973"]}],"mendeley":{"formattedCitation":"(Díaz et al., 2006)","manualFormatting":"Díaz et al. (2006)","plainTextFormattedCitation":"(Díaz et al., 2006)","previouslyFormattedCitation":"(Díaz et al., 2006)"},"properties":{"noteIndex":0},"schema":"https://github.com/citation-style-language/schema/raw/master/csl-citation.json"}</w:instrText>
      </w:r>
      <w:r w:rsidRPr="007843A0">
        <w:rPr>
          <w:lang w:val="es-ES" w:eastAsia="en-US"/>
        </w:rPr>
        <w:fldChar w:fldCharType="separate"/>
      </w:r>
      <w:r w:rsidRPr="007843A0">
        <w:rPr>
          <w:noProof/>
          <w:lang w:val="es-ES" w:eastAsia="en-US"/>
        </w:rPr>
        <w:t>Díaz et al. (2006)</w:t>
      </w:r>
      <w:r w:rsidRPr="007843A0">
        <w:rPr>
          <w:lang w:val="es-ES" w:eastAsia="en-US"/>
        </w:rPr>
        <w:fldChar w:fldCharType="end"/>
      </w:r>
      <w:r w:rsidRPr="007843A0">
        <w:rPr>
          <w:lang w:val="es-ES" w:eastAsia="en-US"/>
        </w:rPr>
        <w:t xml:space="preserve"> y adaptada en las versiones de </w:t>
      </w:r>
      <w:r w:rsidRPr="007843A0">
        <w:rPr>
          <w:lang w:val="es-ES" w:eastAsia="en-US"/>
        </w:rPr>
        <w:fldChar w:fldCharType="begin" w:fldLock="1"/>
      </w:r>
      <w:r w:rsidRPr="007843A0">
        <w:rPr>
          <w:lang w:val="es-ES" w:eastAsia="en-US"/>
        </w:rPr>
        <w:instrText>ADDIN CSL_CITATION {"citationItems":[{"id":"ITEM-1","itemData":{"DOI":"10.1037/0022-3514.57.6.1069","ISSN":"1939-1315","author":[{"dropping-particle":"","family":"Ryff","given":"Carol D.","non-dropping-particle":"","parse-names":false,"suffix":""}],"container-title":"Journal of Personality and Social Psychology","id":"ITEM-1","issue":"6","issued":{"date-parts":[["1989"]]},"page":"1069-1081","title":"Happiness is everything, or is it? Explorations on the meaning of psychological well-being.","type":"article-journal","volume":"57"},"uris":["http://www.mendeley.com/documents/?uuid=661d5e36-70b8-4879-970a-21307d729425"]},{"id":"ITEM-2","itemData":{"DOI":"10.1007/s11205-007-9174-7","ISBN":"1120500791747","ISSN":"03038300","abstract":"This article aims to provide researchers interested in using Ryff's Scales of Psychological Wellbeing with additional information to make an informed decision on the scales and items to use. It builds on the discussion in the literature on the six factor structure of this measure. An alternative shortened version of this wellbeing measure (Van Dierendonck 2004). Personality and Individual Differences, 36, 629-643) was analyzed in a combined Spanish language sample from Spain and Columbia. Using confirmatory factor analysis, one-, two-, three- and six-factor models were compared. The results showed that indeed four out the six dimensions overlapped considerably. Nevertheless, the model that fit the data best was the six factor model with one underlying second order well-being factor, hereby confirming Ryff's model in a non-Anglo-Saxon culture. © Springer Science+Business Media B.V. 2007.","author":[{"dropping-particle":"","family":"Dierendonck","given":"Dirk","non-dropping-particle":"van","parse-names":false,"suffix":""},{"dropping-particle":"","family":"Díaz","given":"Dario","non-dropping-particle":"","parse-names":false,"suffix":""},{"dropping-particle":"","family":"Rodríguez-Carvajal","given":"Raquel","non-dropping-particle":"","parse-names":false,"suffix":""},{"dropping-particle":"","family":"Blanco","given":"Amalio","non-dropping-particle":"","parse-names":false,"suffix":""},{"dropping-particle":"","family":"Moreno-Jiménez","given":"Bernardo","non-dropping-particle":"","parse-names":false,"suffix":""}],"container-title":"Social Indicators Research","id":"ITEM-2","issue":"3","issued":{"date-parts":[["2008"]]},"page":"473-479","title":"Ryff's six-factor model of psychological well-being, a Spanish exploration","type":"article-journal","volume":"87"},"uris":["http://www.mendeley.com/documents/?uuid=283ee930-82a1-4ca2-95e5-d2e2b23622df"]}],"mendeley":{"formattedCitation":"(Ryff, 1989; van Dierendonck et al., 2008)","manualFormatting":"Ryff (1989) y van Dierendonck et al. (2008)","plainTextFormattedCitation":"(Ryff, 1989; van Dierendonck et al., 2008)","previouslyFormattedCitation":"(Ryff, 1989; van Dierendonck et al., 2008)"},"properties":{"noteIndex":0},"schema":"https://github.com/citation-style-language/schema/raw/master/csl-citation.json"}</w:instrText>
      </w:r>
      <w:r w:rsidRPr="007843A0">
        <w:rPr>
          <w:lang w:val="es-ES" w:eastAsia="en-US"/>
        </w:rPr>
        <w:fldChar w:fldCharType="separate"/>
      </w:r>
      <w:r w:rsidRPr="007843A0">
        <w:rPr>
          <w:noProof/>
          <w:lang w:val="es-ES" w:eastAsia="en-US"/>
        </w:rPr>
        <w:t>Ryff (1989) y van Dierendonck et al. (2008)</w:t>
      </w:r>
      <w:r w:rsidRPr="007843A0">
        <w:rPr>
          <w:lang w:val="es-ES" w:eastAsia="en-US"/>
        </w:rPr>
        <w:fldChar w:fldCharType="end"/>
      </w:r>
      <w:r w:rsidRPr="007843A0">
        <w:rPr>
          <w:lang w:val="es-ES" w:eastAsia="en-US"/>
        </w:rPr>
        <w:t xml:space="preserve">, mide el crecimiento personal y funcionamiento adecuado de las personas a partir del desarrollo de habilidades. La versión adaptada en español a utilizar consta de 39 ítems y 6 subescalas utilizando una escala de tipo Likert. Cada ítem solicita al participante que indique qué tanto se identifica con los enunciados en puntuaciones que van desde el valor de 1 (no se identifica nada) hasta 6 (extremadamente identificado). Las subescalas del instrumento son: autoaceptación, relaciones positivas, dominio del entorno y propósito en la vida, autonomía y crecimiento personal. La subescala de autoaceptación mide las actitudes sobre sí mismo y la percepción de las cualidades personales, incluyendo sus fortalezas y limitaciones. La subescala de relaciones positivas mide la calidad de los vínculos con los demás, empatía, afecto e intimidad. La subescala de autonomía informa sobre la habilidad de expresar los propios ideales y poder autorregular la propia conducta con independencia. La subescala del dominio del entorno se define como la capacidad de una persona para identificar los lugares donde le sea posible satisfacer sus propias necesidades y deseos. La subescala de propósito en la vida mide la tendencia de la persona de encontrar sentido a la vida al proponerse metas. La subescala de crecimiento personal mide la actitud de estar en constante desarrollo y fortalecimiento de las propias capacidades para cumplir los objetivos planteados a lo largo de la vida. </w:t>
      </w:r>
    </w:p>
    <w:p w14:paraId="23575B97" w14:textId="77777777" w:rsidR="007843A0" w:rsidRPr="007843A0" w:rsidRDefault="007843A0" w:rsidP="00554C1F">
      <w:pPr>
        <w:pStyle w:val="Prrafocomn"/>
        <w:jc w:val="left"/>
        <w:rPr>
          <w:lang w:val="es-ES" w:eastAsia="en-US"/>
        </w:rPr>
      </w:pPr>
      <w:r w:rsidRPr="007843A0">
        <w:rPr>
          <w:lang w:val="es-ES" w:eastAsia="en-US"/>
        </w:rPr>
        <w:lastRenderedPageBreak/>
        <w:t>El instrumento obtuvo una consistencia interna de aceptable a muy buena, evidenciada por puntuaciones de alfa de Cronbach que oscilaban entre .66 y .85 para las subescalas.</w:t>
      </w:r>
    </w:p>
    <w:p w14:paraId="696186D8" w14:textId="77777777" w:rsidR="007843A0" w:rsidRPr="00390E2A" w:rsidRDefault="007843A0" w:rsidP="00554C1F">
      <w:pPr>
        <w:pStyle w:val="Prrafocomn"/>
        <w:jc w:val="left"/>
        <w:rPr>
          <w:i/>
          <w:iCs/>
          <w:lang w:val="es-ES" w:eastAsia="en-US"/>
        </w:rPr>
      </w:pPr>
      <w:r w:rsidRPr="00390E2A">
        <w:rPr>
          <w:i/>
          <w:iCs/>
          <w:lang w:val="es-ES" w:eastAsia="en-US"/>
        </w:rPr>
        <w:t xml:space="preserve">Cuestionario de Orientación para Afrontar Problemas Experimentados (COPE-48 por sus Siglas en </w:t>
      </w:r>
      <w:proofErr w:type="gramStart"/>
      <w:r w:rsidRPr="00390E2A">
        <w:rPr>
          <w:i/>
          <w:iCs/>
          <w:lang w:val="es-ES" w:eastAsia="en-US"/>
        </w:rPr>
        <w:t>Inglés</w:t>
      </w:r>
      <w:proofErr w:type="gramEnd"/>
      <w:r w:rsidRPr="00390E2A">
        <w:rPr>
          <w:i/>
          <w:iCs/>
          <w:lang w:val="es-ES" w:eastAsia="en-US"/>
        </w:rPr>
        <w:t>)</w:t>
      </w:r>
    </w:p>
    <w:p w14:paraId="5D7F0840" w14:textId="1293F17D" w:rsidR="007843A0" w:rsidRPr="007843A0" w:rsidRDefault="007843A0" w:rsidP="00554C1F">
      <w:pPr>
        <w:pStyle w:val="Prrafocomn"/>
        <w:jc w:val="left"/>
        <w:rPr>
          <w:lang w:val="es-ES" w:eastAsia="en-US"/>
        </w:rPr>
      </w:pPr>
      <w:r w:rsidRPr="007843A0">
        <w:rPr>
          <w:lang w:val="es-ES" w:eastAsia="en-US"/>
        </w:rPr>
        <w:t xml:space="preserve">La adaptación española del COPE desarrollada por </w:t>
      </w:r>
      <w:r w:rsidRPr="007843A0">
        <w:rPr>
          <w:lang w:val="es-ES" w:eastAsia="en-US"/>
        </w:rPr>
        <w:fldChar w:fldCharType="begin" w:fldLock="1"/>
      </w:r>
      <w:r w:rsidR="008A15F6">
        <w:rPr>
          <w:lang w:val="es-ES" w:eastAsia="en-US"/>
        </w:rPr>
        <w:instrText>ADDIN CSL_CITATION {"citationItems":[{"id":"ITEM-1","itemData":{"DOI":"10.1016/j.psychres.2016.10.031","ISSN":"01651781","PMID":"27816257","abstract":"The Coping Orientation to Problems Experienced inventory (COPE) is one of the most frequently used tools for assessing coping styles. However, there is a lack of information about its psychometric properties in applied settings. The aim of this study is to analyze the psychometric properties and internal structure of the COPE in an adult clinical sample attending a primary care mental health unit and to develop an adapted version to increase its reliability and clinical utility. We administered the questionnaire to 301 participants (37.5% men) aged 18–69 years. The most prevalent principal diagnoses were adjustment (39.9%) and mood disorders (35.9%). The principal component analysis yielded a nine factor solution accounting for 61.23% of the total variance. This shortened version of the COPE provides a theoretically and empirical consistent inventory, improves the factor structure and increases the reliability of the scales with a mean alpha value of 81. This version, the COPE-48, offers good psychometric properties, it takes about 20 min to administer, allowing a reliable and parsimonious evaluation. Its administration in applied settings could help with identifying which coping strategies are used and which can be modified and promoted by psychological treatment.","author":[{"dropping-particle":"","family":"Martínez-Ortega","given":"Yolanda","non-dropping-particle":"","parse-names":false,"suffix":""},{"dropping-particle":"","family":"Gomà-i-Freixanet","given":"Montserrat","non-dropping-particle":"","parse-names":false,"suffix":""},{"dropping-particle":"","family":"Fornieles Deu","given":"Albert","non-dropping-particle":"","parse-names":false,"suffix":""}],"container-title":"Psychiatry Research","id":"ITEM-1","issued":{"date-parts":[["2016","12"]]},"page":"808-814","publisher":"Elsevier","title":"The COPE-48: An adapted version of the COPE inventory for use in clinical settings","type":"article-journal","volume":"246"},"uris":["http://www.mendeley.com/documents/?uuid=f77354c7-fcad-4ecb-825f-38a2e84e0a12"]},{"id":"ITEM-2","itemData":{"abstract":"Introducción: La utilización el COPE en contextos clínicos permite conocer las estrategias que utilizan las personas para afrontar situaciones estresantes y por ende incidir sobre ellas mediante tratamiento psicológico. Objetivo: presentar a la comunidad científica de habla hispana la versión española del COPE-48 junto con las propiedades psicométricas obtenidas en una muestra de personas adultas con psicopatología. Métodos: la muestra estuvo formada por 301 participantes (62.5% mujeres). Resultados: la consistencia interna media de las escalas es de 0.81. Nuestros resultados muestran un patrón diferencial en la utilización de las estrategias según el género. Conclusiones: la administración del COPE-48 en contextos clínicos es de gran utilidad práctica, puesto que permite conocer de modo rápido, fácil y preciso las estrategias más frecuentemente utilizadas por los pacientes para afrontar situaciones altamente demandantes. Dicho conocimiento permite intervenir mediante tratamiento psicológico para instaurar, potenciar o minimizar las estrategias necesarias para afrontar una determinada situación comprometida.","author":[{"dropping-particle":"","family":"Martínez-Ortega","given":"Yolanda","non-dropping-particle":"","parse-names":false,"suffix":""},{"dropping-particle":"","family":"Gomà-i-Freixanet","given":"Montserrat","non-dropping-particle":"","parse-names":false,"suffix":""},{"dropping-particle":"","family":"Fornieles-Deu","given":"Albert","non-dropping-particle":"","parse-names":false,"suffix":""}],"container-title":"Terapia Psicológica","id":"ITEM-2","issue":"1","issued":{"date-parts":[["2018"]]},"note":"Laura: No hay bibliografía anotada de este trabajo","page":"9-14","title":"Versión española del COPE-48: Evaluación del afrontamiento en pacientes psiquiátricos ambulatorios","type":"article-journal","volume":"36"},"uris":["http://www.mendeley.com/documents/?uuid=92586117-71ed-441f-b02a-f4af61afae5d"]}],"mendeley":{"formattedCitation":"(Martínez-Ortega et al., 2016, 2018)","manualFormatting":"Martínez-Ortega et al. (2018) y Martínez Ortega et al. (2016","plainTextFormattedCitation":"(Martínez-Ortega et al., 2016, 2018)","previouslyFormattedCitation":"(Martínez-Ortega et al., 2018; Martínez Ortega et al., 2016)"},"properties":{"noteIndex":0},"schema":"https://github.com/citation-style-language/schema/raw/master/csl-citation.json"}</w:instrText>
      </w:r>
      <w:r w:rsidRPr="007843A0">
        <w:rPr>
          <w:lang w:val="es-ES" w:eastAsia="en-US"/>
        </w:rPr>
        <w:fldChar w:fldCharType="separate"/>
      </w:r>
      <w:r w:rsidRPr="007843A0">
        <w:rPr>
          <w:noProof/>
          <w:lang w:val="es-ES" w:eastAsia="en-US"/>
        </w:rPr>
        <w:t>Martínez-Ortega et al. (2018) y Martínez Ortega et al. (2016</w:t>
      </w:r>
      <w:r w:rsidRPr="007843A0">
        <w:rPr>
          <w:lang w:val="es-ES" w:eastAsia="en-US"/>
        </w:rPr>
        <w:fldChar w:fldCharType="end"/>
      </w:r>
      <w:r w:rsidRPr="007843A0">
        <w:rPr>
          <w:lang w:val="es-ES" w:eastAsia="en-US"/>
        </w:rPr>
        <w:t xml:space="preserve">) y adaptada de los trabajos de </w:t>
      </w:r>
      <w:r w:rsidRPr="007843A0">
        <w:rPr>
          <w:lang w:val="es-ES" w:eastAsia="en-US"/>
        </w:rPr>
        <w:fldChar w:fldCharType="begin" w:fldLock="1"/>
      </w:r>
      <w:r w:rsidRPr="007843A0">
        <w:rPr>
          <w:lang w:val="es-ES" w:eastAsia="en-US"/>
        </w:rPr>
        <w:instrText>ADDIN CSL_CITATION {"citationItems":[{"id":"ITEM-1","itemData":{"DOI":"10.1037/0022-3514.56.2.267","ISSN":"00223514","PMID":"2926629","abstract":"We developed a multidimensional coping inventory to assess the different ways in which people respond to stress. Five scales (of four items each) measure conceptually distinct aspects of problem-focused coping (active coping, planning, suppression of competing activities, restraint coping, seeking of instrumental social support); five scales measure aspects of what might be viewed as emotion-focused coping (seeking of emotional social support, positive reinterpretation, acceptance, denial, turning to religion); and three scales measure coping responses that arguably are less useful (focus on and venting of emotions, behavioral disengagement, mental disengagement). Study 1 reports the development of scale items. Study 2 reports correlations between the various coping scales and several theoretically relevant personality measures in an effort to provide preliminary information about the inventory's convergent and discriminant validity. Study 3 uses the inventory to assess coping responses among a group of undergraduates who were attempting to cope with a specific stressful episode. This study also allowed an initial examination of associations between dispositional and situational coping tendencies.","author":[{"dropping-particle":"","family":"Carver","given":"C. S.","non-dropping-particle":"","parse-names":false,"suffix":""},{"dropping-particle":"","family":"Scheier","given":"Michael F.","non-dropping-particle":"","parse-names":false,"suffix":""},{"dropping-particle":"","family":"Weintraub","given":"Kumari Jagdish","non-dropping-particle":"","parse-names":false,"suffix":""}],"container-title":"Journal of Personality and Social Psychology","id":"ITEM-1","issue":"2","issued":{"date-parts":[["1989"]]},"page":"267-283","title":"Assessing coping strategies: A theoretically based approach","type":"article-journal","volume":"56"},"uris":["http://www.mendeley.com/documents/?uuid=c0a5f0c7-7b13-4f34-924c-8154ff9f54d0"]},{"id":"ITEM-2","itemData":{"author":[{"dropping-particle":"","family":"Carver","given":"C.S.","non-dropping-particle":"","parse-names":false,"suffix":""}],"container-title":"International Journal of Behavioral Medicine","id":"ITEM-2","issue":"1","issued":{"date-parts":[["1997"]]},"page":"92-100","title":"You want to measure coping but your protocol's too long: Consider the Brief COPE.","type":"article-journal","volume":"4"},"uris":["http://www.mendeley.com/documents/?uuid=84042666-1eb3-4b18-9929-2571ec0466c3"]}],"mendeley":{"formattedCitation":"(Carver, 1997; Carver et al., 1989)","manualFormatting":"Carver (1997) y Carver et al. (1989)","plainTextFormattedCitation":"(Carver, 1997; Carver et al., 1989)","previouslyFormattedCitation":"(Carver, 1997; Carver et al., 1989)"},"properties":{"noteIndex":0},"schema":"https://github.com/citation-style-language/schema/raw/master/csl-citation.json"}</w:instrText>
      </w:r>
      <w:r w:rsidRPr="007843A0">
        <w:rPr>
          <w:lang w:val="es-ES" w:eastAsia="en-US"/>
        </w:rPr>
        <w:fldChar w:fldCharType="separate"/>
      </w:r>
      <w:r w:rsidRPr="007843A0">
        <w:rPr>
          <w:noProof/>
          <w:lang w:val="es-ES" w:eastAsia="en-US"/>
        </w:rPr>
        <w:t>Carver (1997) y Carver et al. (1989)</w:t>
      </w:r>
      <w:r w:rsidRPr="007843A0">
        <w:rPr>
          <w:lang w:val="es-ES" w:eastAsia="en-US"/>
        </w:rPr>
        <w:fldChar w:fldCharType="end"/>
      </w:r>
      <w:r w:rsidRPr="007843A0">
        <w:rPr>
          <w:lang w:val="es-ES" w:eastAsia="en-US"/>
        </w:rPr>
        <w:t xml:space="preserve"> mide </w:t>
      </w:r>
      <w:r w:rsidRPr="007843A0">
        <w:rPr>
          <w:lang w:val="es-DO" w:eastAsia="en-US"/>
        </w:rPr>
        <w:t xml:space="preserve"> la frecuencia de uso de </w:t>
      </w:r>
      <w:r w:rsidRPr="007843A0">
        <w:rPr>
          <w:lang w:val="es-ES" w:eastAsia="en-US"/>
        </w:rPr>
        <w:t>estrategias de afrontamiento. La versión española consta de 48 ítems y 9 subescalas con una escala tipo Likert. Cada ítem solicita a los participantes indicar la frecuencia con la que emplea las estrategias de afrontamiento presentadas, con respuestas desde el valor 1 (no lo hago nunca) hasta el valor 4 (lo hago muchas veces).</w:t>
      </w:r>
    </w:p>
    <w:p w14:paraId="6D6C5BC9" w14:textId="77777777" w:rsidR="007843A0" w:rsidRPr="007843A0" w:rsidRDefault="007843A0" w:rsidP="00554C1F">
      <w:pPr>
        <w:pStyle w:val="Prrafocomn"/>
        <w:jc w:val="left"/>
        <w:rPr>
          <w:lang w:val="es-ES" w:eastAsia="en-US"/>
        </w:rPr>
      </w:pPr>
      <w:r w:rsidRPr="007843A0">
        <w:rPr>
          <w:lang w:val="es-ES" w:eastAsia="en-US"/>
        </w:rPr>
        <w:t xml:space="preserve">Las subescalas son: afrontamiento activo del problema, consumo de alcohol o drogas, centrarse en las emociones y desahogarse, búsqueda de apoyo social, humor, religión, negación, refrenar el afrontamiento, y aceptación y crecimiento. </w:t>
      </w:r>
    </w:p>
    <w:p w14:paraId="080B7421" w14:textId="23306FD2" w:rsidR="007843A0" w:rsidRPr="00D779C8" w:rsidRDefault="007843A0" w:rsidP="00554C1F">
      <w:pPr>
        <w:pStyle w:val="Prrafocomn"/>
        <w:jc w:val="left"/>
        <w:rPr>
          <w:lang w:val="es-ES" w:eastAsia="en-US"/>
        </w:rPr>
      </w:pPr>
      <w:r w:rsidRPr="007843A0">
        <w:rPr>
          <w:lang w:val="es-ES" w:eastAsia="en-US"/>
        </w:rPr>
        <w:t>La subescala de afrontamiento activo del problema mide qué tanto la persona da pasos en concreto y planifica cómo va a resolver alguna situación estresante. La subescala de consumo de alcohol o drogas mide qué tanto la persona consume alcohol o drogas para sentirse bien o aliviar el malestar causado por una situación estresante. La subescala de centrarse en las emociones y desahogarse mide qué tanto la persona se enfoca en la situación estresante quejándose de la misma. La subescala de búsqueda de apoyo social mide qué tanto la persona solicita asistencia, ayuda o información tanto para resolver la situación estresante, como buscando apoyo moral y empatía. La subescala de humor mide qué tanto la persona tiende a burlarse y reírse de las situaciones estresantes. La subescala religión que mide la tendencia de dirigirse hacia la espiritualidad o religión en momentos de estrés. La subescala de negación mide la frecuencia con la que la persona desestima el estresor negando su existencia. La subescala de refrenar el afrontamiento mide qué tanto la persona actúa de manera pasiva ante la situación estresante, en aras de esperar a que sea un momento adecuado para afrontar el estresor. La subescala de aceptación y crecimiento mide qué tanto la persona es capaz de entender y aceptar la situación estresante y regular sus emociones alrededor de la misma. El instrumento obtuvo una consistencia interna de buena a muy buena, evidenciada por puntuaciones de alfa de Cronbach que oscilaban entre .70 y .97 para las subescalas.</w:t>
      </w:r>
    </w:p>
    <w:p w14:paraId="788EC80D" w14:textId="54E2F207" w:rsidR="004C1FD8" w:rsidRPr="00D779C8" w:rsidRDefault="007843A0" w:rsidP="00554C1F">
      <w:pPr>
        <w:pStyle w:val="SubtituloInterno"/>
        <w:jc w:val="left"/>
        <w:rPr>
          <w:lang w:val="es-ES"/>
        </w:rPr>
      </w:pPr>
      <w:r>
        <w:rPr>
          <w:lang w:val="es-ES"/>
        </w:rPr>
        <w:lastRenderedPageBreak/>
        <w:t>Procedimiento</w:t>
      </w:r>
    </w:p>
    <w:p w14:paraId="700A59F0" w14:textId="029D1180" w:rsidR="007843A0" w:rsidRPr="00D779C8" w:rsidRDefault="007843A0" w:rsidP="00554C1F">
      <w:pPr>
        <w:pStyle w:val="Prrafocomn"/>
        <w:jc w:val="left"/>
        <w:rPr>
          <w:lang w:val="es-ES"/>
        </w:rPr>
      </w:pPr>
      <w:r w:rsidRPr="007843A0">
        <w:rPr>
          <w:lang w:val="es-ES"/>
        </w:rPr>
        <w:t>Los participantes fueron contactados por redes sociale</w:t>
      </w:r>
      <w:r w:rsidR="00B3212F">
        <w:rPr>
          <w:lang w:val="es-ES"/>
        </w:rPr>
        <w:t>s.</w:t>
      </w:r>
      <w:r w:rsidRPr="007843A0">
        <w:rPr>
          <w:lang w:val="es-ES"/>
        </w:rPr>
        <w:t xml:space="preserve"> En esta encuesta virtual se presentó una sección de consentimiento informado, donde los participantes conocieron los beneficios y riesgos de su participación en la investigación, y tuvieron una opción de especificar si estaban de acuerdo o no con formar parte de la investigación. En caso de afirmar su participación, se les facilitó un espacio donde firmaron con sus iniciales.   </w:t>
      </w:r>
    </w:p>
    <w:p w14:paraId="0F4ED851" w14:textId="268029D8" w:rsidR="007C3C14" w:rsidRPr="00D779C8" w:rsidRDefault="007843A0" w:rsidP="00554C1F">
      <w:pPr>
        <w:pStyle w:val="SubtituloInterno"/>
        <w:jc w:val="left"/>
        <w:rPr>
          <w:lang w:val="es-ES"/>
        </w:rPr>
      </w:pPr>
      <w:r>
        <w:rPr>
          <w:lang w:val="es-ES"/>
        </w:rPr>
        <w:t>Análisis de datos</w:t>
      </w:r>
    </w:p>
    <w:p w14:paraId="6B2DB326" w14:textId="6A9A28F0" w:rsidR="007843A0" w:rsidRPr="00D779C8" w:rsidRDefault="007843A0" w:rsidP="00390E2A">
      <w:pPr>
        <w:pStyle w:val="Prrafocomn"/>
        <w:jc w:val="left"/>
        <w:rPr>
          <w:lang w:val="es-ES"/>
        </w:rPr>
      </w:pPr>
      <w:r w:rsidRPr="007843A0">
        <w:rPr>
          <w:lang w:val="es-ES"/>
        </w:rPr>
        <w:t xml:space="preserve">Para contestar las preguntas de investigación se realizaron seis análisis de regresión múltiple con el método </w:t>
      </w:r>
      <w:r w:rsidRPr="007843A0">
        <w:rPr>
          <w:i/>
          <w:iCs/>
          <w:lang w:val="es-ES"/>
        </w:rPr>
        <w:t xml:space="preserve">forward </w:t>
      </w:r>
      <w:r w:rsidRPr="007843A0">
        <w:rPr>
          <w:lang w:val="es-ES"/>
        </w:rPr>
        <w:t xml:space="preserve">de selección de predictores. La variable dependiente de los análisis fueron una de las seis dimensiones del bienestar (autoaceptación, relaciones positivas, autonomía, dominio del ambiente, propósito de la vida y crecimiento personal). Todos los modelos tuvieron las dimensiones de afrontamiento como variables independientes. </w:t>
      </w:r>
      <w:r w:rsidR="00390E2A">
        <w:rPr>
          <w:lang w:val="es-ES"/>
        </w:rPr>
        <w:t>P</w:t>
      </w:r>
      <w:r w:rsidRPr="007843A0">
        <w:rPr>
          <w:lang w:val="es-ES"/>
        </w:rPr>
        <w:t xml:space="preserve">ara conocer la macroestructura del instrumento de afrontamiento, se realizó un análisis de componentes principales con rotación Varimax. </w:t>
      </w:r>
    </w:p>
    <w:p w14:paraId="681BC02D" w14:textId="3065F8EC" w:rsidR="004C1FD8" w:rsidRPr="00D779C8" w:rsidRDefault="007843A0" w:rsidP="00C42F93">
      <w:pPr>
        <w:pStyle w:val="SubtituloInterno"/>
        <w:jc w:val="left"/>
        <w:rPr>
          <w:lang w:val="es-ES"/>
        </w:rPr>
      </w:pPr>
      <w:r>
        <w:rPr>
          <w:lang w:val="es-ES"/>
        </w:rPr>
        <w:t>Consideraciones éticas</w:t>
      </w:r>
    </w:p>
    <w:p w14:paraId="48A22AB7" w14:textId="54D20ACD" w:rsidR="0023076E" w:rsidRPr="005044F0" w:rsidRDefault="0023076E" w:rsidP="00C42F93">
      <w:pPr>
        <w:spacing w:line="360" w:lineRule="auto"/>
        <w:ind w:firstLine="708"/>
        <w:rPr>
          <w:color w:val="FF0000"/>
          <w:lang w:val="es-ES"/>
        </w:rPr>
      </w:pPr>
      <w:r w:rsidRPr="005044F0">
        <w:rPr>
          <w:iCs/>
          <w:lang w:val="es-ES"/>
        </w:rPr>
        <w:t xml:space="preserve">El presente estudio cuenta con la aprobación del comité de ética de la </w:t>
      </w:r>
      <w:r w:rsidR="008B6B1B">
        <w:rPr>
          <w:iCs/>
          <w:lang w:val="es-ES"/>
        </w:rPr>
        <w:t>[manuscrito anónimo]</w:t>
      </w:r>
      <w:r>
        <w:rPr>
          <w:iCs/>
          <w:lang w:val="es-ES"/>
        </w:rPr>
        <w:t xml:space="preserve">, siguiendo las declaraciones universales de los principios éticos de la psicología. </w:t>
      </w:r>
    </w:p>
    <w:p w14:paraId="61754C2A" w14:textId="2D2089AD" w:rsidR="006F7E7E" w:rsidRPr="00087EC6" w:rsidRDefault="0023076E" w:rsidP="00554C1F">
      <w:pPr>
        <w:pStyle w:val="Ttulosinternos"/>
        <w:rPr>
          <w:lang w:val="es-ES"/>
        </w:rPr>
      </w:pPr>
      <w:r w:rsidRPr="00087EC6">
        <w:rPr>
          <w:lang w:val="es-ES"/>
        </w:rPr>
        <w:t>Resultados</w:t>
      </w:r>
    </w:p>
    <w:p w14:paraId="54F5041B" w14:textId="4E6C343A" w:rsidR="0023076E" w:rsidRPr="005044F0" w:rsidRDefault="0023076E" w:rsidP="00554C1F">
      <w:pPr>
        <w:spacing w:line="360" w:lineRule="auto"/>
        <w:ind w:firstLine="720"/>
        <w:rPr>
          <w:lang w:val="es-ES"/>
        </w:rPr>
      </w:pPr>
      <w:r w:rsidRPr="005044F0">
        <w:rPr>
          <w:lang w:val="es-ES"/>
        </w:rPr>
        <w:t xml:space="preserve">Para conocer el comportamiento de las variables del estudio, la Tabla 1 presenta las estadísticas descriptivas de las puntuaciones en cada subescala de cada instrumento de evaluación.  </w:t>
      </w:r>
    </w:p>
    <w:p w14:paraId="56AB676F" w14:textId="77777777" w:rsidR="0023076E" w:rsidRPr="005044F0" w:rsidRDefault="0023076E" w:rsidP="0023076E">
      <w:pPr>
        <w:rPr>
          <w:lang w:val="es-ES"/>
        </w:rPr>
      </w:pPr>
    </w:p>
    <w:p w14:paraId="08ABEF2F" w14:textId="77777777" w:rsidR="0023076E" w:rsidRPr="005044F0" w:rsidRDefault="0023076E" w:rsidP="0023076E">
      <w:pPr>
        <w:rPr>
          <w:b/>
          <w:bCs/>
          <w:lang w:val="es-ES"/>
        </w:rPr>
      </w:pPr>
      <w:r w:rsidRPr="005044F0">
        <w:rPr>
          <w:b/>
          <w:bCs/>
          <w:lang w:val="es-ES"/>
        </w:rPr>
        <w:t>Tabla 1</w:t>
      </w:r>
    </w:p>
    <w:p w14:paraId="47039A17" w14:textId="77777777" w:rsidR="0023076E" w:rsidRPr="005044F0" w:rsidRDefault="0023076E" w:rsidP="0023076E">
      <w:pPr>
        <w:rPr>
          <w:i/>
          <w:iCs/>
          <w:lang w:val="es-ES"/>
        </w:rPr>
      </w:pPr>
      <w:r w:rsidRPr="005044F0">
        <w:rPr>
          <w:i/>
          <w:iCs/>
          <w:lang w:val="es-ES"/>
        </w:rPr>
        <w:t>Estadísticas Descriptivas de las Variables del Estudio</w:t>
      </w:r>
    </w:p>
    <w:tbl>
      <w:tblPr>
        <w:tblW w:w="7655" w:type="dxa"/>
        <w:tblLook w:val="04A0" w:firstRow="1" w:lastRow="0" w:firstColumn="1" w:lastColumn="0" w:noHBand="0" w:noVBand="1"/>
      </w:tblPr>
      <w:tblGrid>
        <w:gridCol w:w="3840"/>
        <w:gridCol w:w="696"/>
        <w:gridCol w:w="709"/>
        <w:gridCol w:w="992"/>
        <w:gridCol w:w="709"/>
        <w:gridCol w:w="709"/>
      </w:tblGrid>
      <w:tr w:rsidR="0023076E" w:rsidRPr="005044F0" w14:paraId="16417994" w14:textId="77777777" w:rsidTr="00324A07">
        <w:trPr>
          <w:trHeight w:val="320"/>
        </w:trPr>
        <w:tc>
          <w:tcPr>
            <w:tcW w:w="3840" w:type="dxa"/>
            <w:tcBorders>
              <w:top w:val="single" w:sz="4" w:space="0" w:color="auto"/>
              <w:left w:val="nil"/>
              <w:bottom w:val="single" w:sz="4" w:space="0" w:color="auto"/>
              <w:right w:val="nil"/>
            </w:tcBorders>
            <w:shd w:val="clear" w:color="auto" w:fill="auto"/>
            <w:noWrap/>
            <w:vAlign w:val="bottom"/>
            <w:hideMark/>
          </w:tcPr>
          <w:p w14:paraId="703B5126" w14:textId="77777777" w:rsidR="0023076E" w:rsidRPr="005044F0" w:rsidRDefault="0023076E" w:rsidP="00324A07">
            <w:pPr>
              <w:rPr>
                <w:color w:val="000000"/>
                <w:sz w:val="20"/>
                <w:szCs w:val="20"/>
                <w:lang w:val="es-ES"/>
              </w:rPr>
            </w:pPr>
            <w:r w:rsidRPr="005044F0">
              <w:rPr>
                <w:color w:val="000000"/>
                <w:sz w:val="20"/>
                <w:szCs w:val="20"/>
                <w:lang w:val="es-ES"/>
              </w:rPr>
              <w:t>Variables</w:t>
            </w:r>
          </w:p>
        </w:tc>
        <w:tc>
          <w:tcPr>
            <w:tcW w:w="696" w:type="dxa"/>
            <w:tcBorders>
              <w:top w:val="single" w:sz="4" w:space="0" w:color="auto"/>
              <w:left w:val="nil"/>
              <w:bottom w:val="single" w:sz="4" w:space="0" w:color="auto"/>
              <w:right w:val="nil"/>
            </w:tcBorders>
            <w:shd w:val="clear" w:color="auto" w:fill="auto"/>
            <w:noWrap/>
            <w:vAlign w:val="bottom"/>
            <w:hideMark/>
          </w:tcPr>
          <w:p w14:paraId="2EA5151E" w14:textId="77777777" w:rsidR="0023076E" w:rsidRPr="005044F0" w:rsidRDefault="0023076E" w:rsidP="00324A07">
            <w:pPr>
              <w:jc w:val="center"/>
              <w:rPr>
                <w:i/>
                <w:iCs/>
                <w:color w:val="000000"/>
                <w:sz w:val="20"/>
                <w:szCs w:val="20"/>
                <w:lang w:val="es-ES"/>
              </w:rPr>
            </w:pPr>
            <w:r w:rsidRPr="005044F0">
              <w:rPr>
                <w:i/>
                <w:iCs/>
                <w:color w:val="000000"/>
                <w:sz w:val="20"/>
                <w:szCs w:val="20"/>
                <w:lang w:val="es-ES"/>
              </w:rPr>
              <w:t>N</w:t>
            </w:r>
          </w:p>
        </w:tc>
        <w:tc>
          <w:tcPr>
            <w:tcW w:w="709" w:type="dxa"/>
            <w:tcBorders>
              <w:top w:val="single" w:sz="4" w:space="0" w:color="auto"/>
              <w:left w:val="nil"/>
              <w:bottom w:val="single" w:sz="4" w:space="0" w:color="auto"/>
              <w:right w:val="nil"/>
            </w:tcBorders>
            <w:shd w:val="clear" w:color="auto" w:fill="auto"/>
            <w:noWrap/>
            <w:vAlign w:val="bottom"/>
            <w:hideMark/>
          </w:tcPr>
          <w:p w14:paraId="0E27F28C" w14:textId="77777777" w:rsidR="0023076E" w:rsidRPr="005044F0" w:rsidRDefault="0023076E" w:rsidP="00324A07">
            <w:pPr>
              <w:jc w:val="center"/>
              <w:rPr>
                <w:i/>
                <w:iCs/>
                <w:color w:val="000000"/>
                <w:sz w:val="20"/>
                <w:szCs w:val="20"/>
                <w:lang w:val="es-ES"/>
              </w:rPr>
            </w:pPr>
            <w:r w:rsidRPr="005044F0">
              <w:rPr>
                <w:i/>
                <w:iCs/>
                <w:color w:val="000000"/>
                <w:sz w:val="20"/>
                <w:szCs w:val="20"/>
                <w:lang w:val="es-ES"/>
              </w:rPr>
              <w:t>M</w:t>
            </w:r>
          </w:p>
        </w:tc>
        <w:tc>
          <w:tcPr>
            <w:tcW w:w="992" w:type="dxa"/>
            <w:tcBorders>
              <w:top w:val="single" w:sz="4" w:space="0" w:color="auto"/>
              <w:left w:val="nil"/>
              <w:bottom w:val="single" w:sz="4" w:space="0" w:color="auto"/>
              <w:right w:val="nil"/>
            </w:tcBorders>
            <w:shd w:val="clear" w:color="auto" w:fill="auto"/>
            <w:noWrap/>
            <w:vAlign w:val="bottom"/>
            <w:hideMark/>
          </w:tcPr>
          <w:p w14:paraId="2D90A5C0" w14:textId="77777777" w:rsidR="0023076E" w:rsidRPr="005044F0" w:rsidRDefault="0023076E" w:rsidP="00324A07">
            <w:pPr>
              <w:jc w:val="center"/>
              <w:rPr>
                <w:i/>
                <w:iCs/>
                <w:color w:val="000000"/>
                <w:sz w:val="20"/>
                <w:szCs w:val="20"/>
                <w:lang w:val="es-ES"/>
              </w:rPr>
            </w:pPr>
            <w:r w:rsidRPr="005044F0">
              <w:rPr>
                <w:i/>
                <w:iCs/>
                <w:color w:val="000000"/>
                <w:sz w:val="20"/>
                <w:szCs w:val="20"/>
                <w:lang w:val="es-ES"/>
              </w:rPr>
              <w:t>DT</w:t>
            </w:r>
          </w:p>
        </w:tc>
        <w:tc>
          <w:tcPr>
            <w:tcW w:w="709" w:type="dxa"/>
            <w:tcBorders>
              <w:top w:val="single" w:sz="4" w:space="0" w:color="auto"/>
              <w:left w:val="nil"/>
              <w:bottom w:val="single" w:sz="4" w:space="0" w:color="auto"/>
              <w:right w:val="nil"/>
            </w:tcBorders>
            <w:shd w:val="clear" w:color="auto" w:fill="auto"/>
            <w:noWrap/>
            <w:vAlign w:val="bottom"/>
            <w:hideMark/>
          </w:tcPr>
          <w:p w14:paraId="213375C4" w14:textId="77777777" w:rsidR="0023076E" w:rsidRPr="005044F0" w:rsidRDefault="0023076E" w:rsidP="00324A07">
            <w:pPr>
              <w:jc w:val="center"/>
              <w:rPr>
                <w:i/>
                <w:iCs/>
                <w:color w:val="000000"/>
                <w:sz w:val="20"/>
                <w:szCs w:val="20"/>
                <w:lang w:val="es-ES"/>
              </w:rPr>
            </w:pPr>
            <w:r w:rsidRPr="005044F0">
              <w:rPr>
                <w:i/>
                <w:iCs/>
                <w:color w:val="000000"/>
                <w:sz w:val="20"/>
                <w:szCs w:val="20"/>
                <w:lang w:val="es-ES"/>
              </w:rPr>
              <w:t>Min</w:t>
            </w:r>
          </w:p>
        </w:tc>
        <w:tc>
          <w:tcPr>
            <w:tcW w:w="709" w:type="dxa"/>
            <w:tcBorders>
              <w:top w:val="single" w:sz="4" w:space="0" w:color="auto"/>
              <w:left w:val="nil"/>
              <w:bottom w:val="single" w:sz="4" w:space="0" w:color="auto"/>
              <w:right w:val="nil"/>
            </w:tcBorders>
            <w:shd w:val="clear" w:color="auto" w:fill="auto"/>
            <w:noWrap/>
            <w:vAlign w:val="bottom"/>
            <w:hideMark/>
          </w:tcPr>
          <w:p w14:paraId="4E39B0D3" w14:textId="77777777" w:rsidR="0023076E" w:rsidRPr="005044F0" w:rsidRDefault="0023076E" w:rsidP="00324A07">
            <w:pPr>
              <w:jc w:val="center"/>
              <w:rPr>
                <w:i/>
                <w:iCs/>
                <w:color w:val="000000"/>
                <w:sz w:val="20"/>
                <w:szCs w:val="20"/>
                <w:lang w:val="es-ES"/>
              </w:rPr>
            </w:pPr>
            <w:r w:rsidRPr="005044F0">
              <w:rPr>
                <w:i/>
                <w:iCs/>
                <w:color w:val="000000"/>
                <w:sz w:val="20"/>
                <w:szCs w:val="20"/>
                <w:lang w:val="es-ES"/>
              </w:rPr>
              <w:t>Max</w:t>
            </w:r>
          </w:p>
        </w:tc>
      </w:tr>
      <w:tr w:rsidR="0023076E" w:rsidRPr="005044F0" w14:paraId="2382A449" w14:textId="77777777" w:rsidTr="00324A07">
        <w:trPr>
          <w:trHeight w:val="320"/>
        </w:trPr>
        <w:tc>
          <w:tcPr>
            <w:tcW w:w="3840" w:type="dxa"/>
            <w:tcBorders>
              <w:top w:val="nil"/>
              <w:left w:val="nil"/>
              <w:bottom w:val="nil"/>
              <w:right w:val="nil"/>
            </w:tcBorders>
            <w:shd w:val="clear" w:color="auto" w:fill="auto"/>
            <w:noWrap/>
            <w:vAlign w:val="bottom"/>
            <w:hideMark/>
          </w:tcPr>
          <w:p w14:paraId="68E1DDF5" w14:textId="77777777" w:rsidR="0023076E" w:rsidRPr="005044F0" w:rsidRDefault="0023076E" w:rsidP="00324A07">
            <w:pPr>
              <w:rPr>
                <w:color w:val="000000"/>
                <w:sz w:val="20"/>
                <w:szCs w:val="20"/>
                <w:lang w:val="es-ES"/>
              </w:rPr>
            </w:pPr>
            <w:r w:rsidRPr="005044F0">
              <w:rPr>
                <w:color w:val="000000"/>
                <w:sz w:val="20"/>
                <w:szCs w:val="20"/>
                <w:lang w:val="es-ES"/>
              </w:rPr>
              <w:t>Bienestar psicológico</w:t>
            </w:r>
          </w:p>
        </w:tc>
        <w:tc>
          <w:tcPr>
            <w:tcW w:w="696" w:type="dxa"/>
            <w:tcBorders>
              <w:top w:val="nil"/>
              <w:left w:val="nil"/>
              <w:bottom w:val="nil"/>
              <w:right w:val="nil"/>
            </w:tcBorders>
            <w:shd w:val="clear" w:color="auto" w:fill="auto"/>
            <w:noWrap/>
            <w:vAlign w:val="bottom"/>
            <w:hideMark/>
          </w:tcPr>
          <w:p w14:paraId="3C0CECE0" w14:textId="77777777" w:rsidR="0023076E" w:rsidRPr="005044F0" w:rsidRDefault="0023076E" w:rsidP="00324A07">
            <w:pPr>
              <w:rPr>
                <w:color w:val="000000"/>
                <w:sz w:val="20"/>
                <w:szCs w:val="20"/>
                <w:lang w:val="es-ES"/>
              </w:rPr>
            </w:pPr>
          </w:p>
        </w:tc>
        <w:tc>
          <w:tcPr>
            <w:tcW w:w="709" w:type="dxa"/>
            <w:tcBorders>
              <w:top w:val="nil"/>
              <w:left w:val="nil"/>
              <w:bottom w:val="nil"/>
              <w:right w:val="nil"/>
            </w:tcBorders>
            <w:shd w:val="clear" w:color="auto" w:fill="auto"/>
            <w:noWrap/>
            <w:vAlign w:val="bottom"/>
            <w:hideMark/>
          </w:tcPr>
          <w:p w14:paraId="56E8244A" w14:textId="77777777" w:rsidR="0023076E" w:rsidRPr="005044F0" w:rsidRDefault="0023076E" w:rsidP="00324A07">
            <w:pPr>
              <w:jc w:val="center"/>
              <w:rPr>
                <w:sz w:val="20"/>
                <w:szCs w:val="20"/>
                <w:lang w:val="es-ES"/>
              </w:rPr>
            </w:pPr>
          </w:p>
        </w:tc>
        <w:tc>
          <w:tcPr>
            <w:tcW w:w="992" w:type="dxa"/>
            <w:tcBorders>
              <w:top w:val="nil"/>
              <w:left w:val="nil"/>
              <w:bottom w:val="nil"/>
              <w:right w:val="nil"/>
            </w:tcBorders>
            <w:shd w:val="clear" w:color="auto" w:fill="auto"/>
            <w:noWrap/>
            <w:vAlign w:val="bottom"/>
            <w:hideMark/>
          </w:tcPr>
          <w:p w14:paraId="22C51FB3" w14:textId="77777777" w:rsidR="0023076E" w:rsidRPr="005044F0" w:rsidRDefault="0023076E" w:rsidP="00324A07">
            <w:pPr>
              <w:jc w:val="center"/>
              <w:rPr>
                <w:sz w:val="20"/>
                <w:szCs w:val="20"/>
                <w:lang w:val="es-ES"/>
              </w:rPr>
            </w:pPr>
          </w:p>
        </w:tc>
        <w:tc>
          <w:tcPr>
            <w:tcW w:w="709" w:type="dxa"/>
            <w:tcBorders>
              <w:top w:val="nil"/>
              <w:left w:val="nil"/>
              <w:bottom w:val="nil"/>
              <w:right w:val="nil"/>
            </w:tcBorders>
            <w:shd w:val="clear" w:color="auto" w:fill="auto"/>
            <w:noWrap/>
            <w:vAlign w:val="bottom"/>
            <w:hideMark/>
          </w:tcPr>
          <w:p w14:paraId="7F5DD051" w14:textId="77777777" w:rsidR="0023076E" w:rsidRPr="005044F0" w:rsidRDefault="0023076E" w:rsidP="00324A07">
            <w:pPr>
              <w:jc w:val="center"/>
              <w:rPr>
                <w:sz w:val="20"/>
                <w:szCs w:val="20"/>
                <w:lang w:val="es-ES"/>
              </w:rPr>
            </w:pPr>
          </w:p>
        </w:tc>
        <w:tc>
          <w:tcPr>
            <w:tcW w:w="709" w:type="dxa"/>
            <w:tcBorders>
              <w:top w:val="nil"/>
              <w:left w:val="nil"/>
              <w:bottom w:val="nil"/>
              <w:right w:val="nil"/>
            </w:tcBorders>
            <w:shd w:val="clear" w:color="auto" w:fill="auto"/>
            <w:noWrap/>
            <w:vAlign w:val="bottom"/>
            <w:hideMark/>
          </w:tcPr>
          <w:p w14:paraId="4D0DBFC4" w14:textId="77777777" w:rsidR="0023076E" w:rsidRPr="005044F0" w:rsidRDefault="0023076E" w:rsidP="00324A07">
            <w:pPr>
              <w:jc w:val="center"/>
              <w:rPr>
                <w:sz w:val="20"/>
                <w:szCs w:val="20"/>
                <w:lang w:val="es-ES"/>
              </w:rPr>
            </w:pPr>
          </w:p>
        </w:tc>
      </w:tr>
      <w:tr w:rsidR="0023076E" w:rsidRPr="005044F0" w14:paraId="1B0AACDA" w14:textId="77777777" w:rsidTr="00324A07">
        <w:trPr>
          <w:trHeight w:val="320"/>
        </w:trPr>
        <w:tc>
          <w:tcPr>
            <w:tcW w:w="3840" w:type="dxa"/>
            <w:tcBorders>
              <w:top w:val="nil"/>
              <w:left w:val="nil"/>
              <w:bottom w:val="nil"/>
              <w:right w:val="nil"/>
            </w:tcBorders>
            <w:shd w:val="clear" w:color="auto" w:fill="auto"/>
            <w:noWrap/>
            <w:vAlign w:val="bottom"/>
            <w:hideMark/>
          </w:tcPr>
          <w:p w14:paraId="65E55571" w14:textId="77777777" w:rsidR="0023076E" w:rsidRPr="005044F0" w:rsidRDefault="0023076E" w:rsidP="00324A07">
            <w:pPr>
              <w:rPr>
                <w:color w:val="000000"/>
                <w:sz w:val="20"/>
                <w:szCs w:val="20"/>
                <w:lang w:val="es-ES"/>
              </w:rPr>
            </w:pPr>
            <w:r w:rsidRPr="005044F0">
              <w:rPr>
                <w:color w:val="000000"/>
                <w:sz w:val="20"/>
                <w:szCs w:val="20"/>
                <w:lang w:val="es-ES"/>
              </w:rPr>
              <w:t xml:space="preserve">     Autoaceptación</w:t>
            </w:r>
          </w:p>
        </w:tc>
        <w:tc>
          <w:tcPr>
            <w:tcW w:w="696" w:type="dxa"/>
            <w:tcBorders>
              <w:top w:val="nil"/>
              <w:left w:val="nil"/>
              <w:bottom w:val="nil"/>
              <w:right w:val="nil"/>
            </w:tcBorders>
            <w:shd w:val="clear" w:color="auto" w:fill="auto"/>
            <w:noWrap/>
            <w:vAlign w:val="bottom"/>
            <w:hideMark/>
          </w:tcPr>
          <w:p w14:paraId="2A0BB07C" w14:textId="77777777" w:rsidR="0023076E" w:rsidRPr="005044F0" w:rsidRDefault="0023076E" w:rsidP="00324A07">
            <w:pPr>
              <w:jc w:val="center"/>
              <w:rPr>
                <w:color w:val="000000"/>
                <w:sz w:val="20"/>
                <w:szCs w:val="20"/>
                <w:lang w:val="es-ES"/>
              </w:rPr>
            </w:pPr>
            <w:r w:rsidRPr="005044F0">
              <w:rPr>
                <w:color w:val="000000"/>
                <w:sz w:val="20"/>
                <w:szCs w:val="20"/>
                <w:lang w:val="es-ES"/>
              </w:rPr>
              <w:t>135</w:t>
            </w:r>
          </w:p>
        </w:tc>
        <w:tc>
          <w:tcPr>
            <w:tcW w:w="709" w:type="dxa"/>
            <w:tcBorders>
              <w:top w:val="nil"/>
              <w:left w:val="nil"/>
              <w:bottom w:val="nil"/>
              <w:right w:val="nil"/>
            </w:tcBorders>
            <w:shd w:val="clear" w:color="auto" w:fill="auto"/>
            <w:noWrap/>
            <w:vAlign w:val="bottom"/>
            <w:hideMark/>
          </w:tcPr>
          <w:p w14:paraId="1D7E561F" w14:textId="77777777" w:rsidR="0023076E" w:rsidRPr="005044F0" w:rsidRDefault="0023076E" w:rsidP="00324A07">
            <w:pPr>
              <w:jc w:val="center"/>
              <w:rPr>
                <w:color w:val="000000"/>
                <w:sz w:val="20"/>
                <w:szCs w:val="20"/>
                <w:lang w:val="es-ES"/>
              </w:rPr>
            </w:pPr>
            <w:r w:rsidRPr="005044F0">
              <w:rPr>
                <w:color w:val="000000"/>
                <w:sz w:val="20"/>
                <w:szCs w:val="20"/>
                <w:lang w:val="es-ES"/>
              </w:rPr>
              <w:t>4.43</w:t>
            </w:r>
          </w:p>
        </w:tc>
        <w:tc>
          <w:tcPr>
            <w:tcW w:w="992" w:type="dxa"/>
            <w:tcBorders>
              <w:top w:val="nil"/>
              <w:left w:val="nil"/>
              <w:bottom w:val="nil"/>
              <w:right w:val="nil"/>
            </w:tcBorders>
            <w:shd w:val="clear" w:color="auto" w:fill="auto"/>
            <w:noWrap/>
            <w:vAlign w:val="bottom"/>
            <w:hideMark/>
          </w:tcPr>
          <w:p w14:paraId="12BAAB45" w14:textId="77777777" w:rsidR="0023076E" w:rsidRPr="005044F0" w:rsidRDefault="0023076E" w:rsidP="00324A07">
            <w:pPr>
              <w:jc w:val="center"/>
              <w:rPr>
                <w:color w:val="000000"/>
                <w:sz w:val="20"/>
                <w:szCs w:val="20"/>
                <w:lang w:val="es-ES"/>
              </w:rPr>
            </w:pPr>
            <w:r w:rsidRPr="005044F0">
              <w:rPr>
                <w:color w:val="000000"/>
                <w:sz w:val="20"/>
                <w:szCs w:val="20"/>
                <w:lang w:val="es-ES"/>
              </w:rPr>
              <w:t>0.96</w:t>
            </w:r>
          </w:p>
        </w:tc>
        <w:tc>
          <w:tcPr>
            <w:tcW w:w="709" w:type="dxa"/>
            <w:tcBorders>
              <w:top w:val="nil"/>
              <w:left w:val="nil"/>
              <w:bottom w:val="nil"/>
              <w:right w:val="nil"/>
            </w:tcBorders>
            <w:shd w:val="clear" w:color="auto" w:fill="auto"/>
            <w:noWrap/>
            <w:vAlign w:val="bottom"/>
            <w:hideMark/>
          </w:tcPr>
          <w:p w14:paraId="1E493EE6" w14:textId="77777777" w:rsidR="0023076E" w:rsidRPr="005044F0" w:rsidRDefault="0023076E" w:rsidP="00324A07">
            <w:pPr>
              <w:jc w:val="center"/>
              <w:rPr>
                <w:color w:val="000000"/>
                <w:sz w:val="20"/>
                <w:szCs w:val="20"/>
                <w:lang w:val="es-ES"/>
              </w:rPr>
            </w:pPr>
            <w:r w:rsidRPr="005044F0">
              <w:rPr>
                <w:color w:val="000000"/>
                <w:sz w:val="20"/>
                <w:szCs w:val="20"/>
                <w:lang w:val="es-ES"/>
              </w:rPr>
              <w:t>1.17</w:t>
            </w:r>
          </w:p>
        </w:tc>
        <w:tc>
          <w:tcPr>
            <w:tcW w:w="709" w:type="dxa"/>
            <w:tcBorders>
              <w:top w:val="nil"/>
              <w:left w:val="nil"/>
              <w:bottom w:val="nil"/>
              <w:right w:val="nil"/>
            </w:tcBorders>
            <w:shd w:val="clear" w:color="auto" w:fill="auto"/>
            <w:noWrap/>
            <w:vAlign w:val="bottom"/>
            <w:hideMark/>
          </w:tcPr>
          <w:p w14:paraId="7AFEC64F" w14:textId="77777777" w:rsidR="0023076E" w:rsidRPr="005044F0" w:rsidRDefault="0023076E" w:rsidP="00324A07">
            <w:pPr>
              <w:jc w:val="center"/>
              <w:rPr>
                <w:color w:val="000000"/>
                <w:sz w:val="20"/>
                <w:szCs w:val="20"/>
                <w:lang w:val="es-ES"/>
              </w:rPr>
            </w:pPr>
            <w:r w:rsidRPr="005044F0">
              <w:rPr>
                <w:color w:val="000000"/>
                <w:sz w:val="20"/>
                <w:szCs w:val="20"/>
                <w:lang w:val="es-ES"/>
              </w:rPr>
              <w:t>6</w:t>
            </w:r>
          </w:p>
        </w:tc>
      </w:tr>
      <w:tr w:rsidR="0023076E" w:rsidRPr="005044F0" w14:paraId="2E9A2938" w14:textId="77777777" w:rsidTr="00324A07">
        <w:trPr>
          <w:trHeight w:val="320"/>
        </w:trPr>
        <w:tc>
          <w:tcPr>
            <w:tcW w:w="3840" w:type="dxa"/>
            <w:tcBorders>
              <w:top w:val="nil"/>
              <w:left w:val="nil"/>
              <w:bottom w:val="nil"/>
              <w:right w:val="nil"/>
            </w:tcBorders>
            <w:shd w:val="clear" w:color="auto" w:fill="auto"/>
            <w:noWrap/>
            <w:vAlign w:val="bottom"/>
            <w:hideMark/>
          </w:tcPr>
          <w:p w14:paraId="0395ED42" w14:textId="77777777" w:rsidR="0023076E" w:rsidRPr="005044F0" w:rsidRDefault="0023076E" w:rsidP="00324A07">
            <w:pPr>
              <w:rPr>
                <w:color w:val="000000"/>
                <w:sz w:val="20"/>
                <w:szCs w:val="20"/>
                <w:lang w:val="es-ES"/>
              </w:rPr>
            </w:pPr>
            <w:r w:rsidRPr="005044F0">
              <w:rPr>
                <w:color w:val="000000"/>
                <w:sz w:val="20"/>
                <w:szCs w:val="20"/>
                <w:lang w:val="es-ES"/>
              </w:rPr>
              <w:t xml:space="preserve">     Relaciones positivas</w:t>
            </w:r>
          </w:p>
        </w:tc>
        <w:tc>
          <w:tcPr>
            <w:tcW w:w="696" w:type="dxa"/>
            <w:tcBorders>
              <w:top w:val="nil"/>
              <w:left w:val="nil"/>
              <w:bottom w:val="nil"/>
              <w:right w:val="nil"/>
            </w:tcBorders>
            <w:shd w:val="clear" w:color="auto" w:fill="auto"/>
            <w:noWrap/>
            <w:vAlign w:val="bottom"/>
            <w:hideMark/>
          </w:tcPr>
          <w:p w14:paraId="29BBAA16" w14:textId="77777777" w:rsidR="0023076E" w:rsidRPr="005044F0" w:rsidRDefault="0023076E" w:rsidP="00324A07">
            <w:pPr>
              <w:jc w:val="center"/>
              <w:rPr>
                <w:color w:val="000000"/>
                <w:sz w:val="20"/>
                <w:szCs w:val="20"/>
                <w:lang w:val="es-ES"/>
              </w:rPr>
            </w:pPr>
            <w:r w:rsidRPr="005044F0">
              <w:rPr>
                <w:color w:val="000000"/>
                <w:sz w:val="20"/>
                <w:szCs w:val="20"/>
                <w:lang w:val="es-ES"/>
              </w:rPr>
              <w:t>135</w:t>
            </w:r>
          </w:p>
        </w:tc>
        <w:tc>
          <w:tcPr>
            <w:tcW w:w="709" w:type="dxa"/>
            <w:tcBorders>
              <w:top w:val="nil"/>
              <w:left w:val="nil"/>
              <w:bottom w:val="nil"/>
              <w:right w:val="nil"/>
            </w:tcBorders>
            <w:shd w:val="clear" w:color="auto" w:fill="auto"/>
            <w:noWrap/>
            <w:vAlign w:val="bottom"/>
            <w:hideMark/>
          </w:tcPr>
          <w:p w14:paraId="1F78CECF" w14:textId="77777777" w:rsidR="0023076E" w:rsidRPr="005044F0" w:rsidRDefault="0023076E" w:rsidP="00324A07">
            <w:pPr>
              <w:jc w:val="center"/>
              <w:rPr>
                <w:color w:val="000000"/>
                <w:sz w:val="20"/>
                <w:szCs w:val="20"/>
                <w:lang w:val="es-ES"/>
              </w:rPr>
            </w:pPr>
            <w:r w:rsidRPr="005044F0">
              <w:rPr>
                <w:color w:val="000000"/>
                <w:sz w:val="20"/>
                <w:szCs w:val="20"/>
                <w:lang w:val="es-ES"/>
              </w:rPr>
              <w:t>4.43</w:t>
            </w:r>
          </w:p>
        </w:tc>
        <w:tc>
          <w:tcPr>
            <w:tcW w:w="992" w:type="dxa"/>
            <w:tcBorders>
              <w:top w:val="nil"/>
              <w:left w:val="nil"/>
              <w:bottom w:val="nil"/>
              <w:right w:val="nil"/>
            </w:tcBorders>
            <w:shd w:val="clear" w:color="auto" w:fill="auto"/>
            <w:noWrap/>
            <w:vAlign w:val="bottom"/>
            <w:hideMark/>
          </w:tcPr>
          <w:p w14:paraId="78A2933E" w14:textId="77777777" w:rsidR="0023076E" w:rsidRPr="005044F0" w:rsidRDefault="0023076E" w:rsidP="00324A07">
            <w:pPr>
              <w:jc w:val="center"/>
              <w:rPr>
                <w:color w:val="000000"/>
                <w:sz w:val="20"/>
                <w:szCs w:val="20"/>
                <w:lang w:val="es-ES"/>
              </w:rPr>
            </w:pPr>
            <w:r w:rsidRPr="005044F0">
              <w:rPr>
                <w:color w:val="000000"/>
                <w:sz w:val="20"/>
                <w:szCs w:val="20"/>
                <w:lang w:val="es-ES"/>
              </w:rPr>
              <w:t>0.95</w:t>
            </w:r>
          </w:p>
        </w:tc>
        <w:tc>
          <w:tcPr>
            <w:tcW w:w="709" w:type="dxa"/>
            <w:tcBorders>
              <w:top w:val="nil"/>
              <w:left w:val="nil"/>
              <w:bottom w:val="nil"/>
              <w:right w:val="nil"/>
            </w:tcBorders>
            <w:shd w:val="clear" w:color="auto" w:fill="auto"/>
            <w:noWrap/>
            <w:vAlign w:val="bottom"/>
            <w:hideMark/>
          </w:tcPr>
          <w:p w14:paraId="0FF7ACA2" w14:textId="77777777" w:rsidR="0023076E" w:rsidRPr="005044F0" w:rsidRDefault="0023076E" w:rsidP="00324A07">
            <w:pPr>
              <w:jc w:val="center"/>
              <w:rPr>
                <w:color w:val="000000"/>
                <w:sz w:val="20"/>
                <w:szCs w:val="20"/>
                <w:lang w:val="es-ES"/>
              </w:rPr>
            </w:pPr>
            <w:r w:rsidRPr="005044F0">
              <w:rPr>
                <w:color w:val="000000"/>
                <w:sz w:val="20"/>
                <w:szCs w:val="20"/>
                <w:lang w:val="es-ES"/>
              </w:rPr>
              <w:t>2</w:t>
            </w:r>
          </w:p>
        </w:tc>
        <w:tc>
          <w:tcPr>
            <w:tcW w:w="709" w:type="dxa"/>
            <w:tcBorders>
              <w:top w:val="nil"/>
              <w:left w:val="nil"/>
              <w:bottom w:val="nil"/>
              <w:right w:val="nil"/>
            </w:tcBorders>
            <w:shd w:val="clear" w:color="auto" w:fill="auto"/>
            <w:noWrap/>
            <w:vAlign w:val="bottom"/>
            <w:hideMark/>
          </w:tcPr>
          <w:p w14:paraId="2BA6871D" w14:textId="77777777" w:rsidR="0023076E" w:rsidRPr="005044F0" w:rsidRDefault="0023076E" w:rsidP="00324A07">
            <w:pPr>
              <w:jc w:val="center"/>
              <w:rPr>
                <w:color w:val="000000"/>
                <w:sz w:val="20"/>
                <w:szCs w:val="20"/>
                <w:lang w:val="es-ES"/>
              </w:rPr>
            </w:pPr>
            <w:r w:rsidRPr="005044F0">
              <w:rPr>
                <w:color w:val="000000"/>
                <w:sz w:val="20"/>
                <w:szCs w:val="20"/>
                <w:lang w:val="es-ES"/>
              </w:rPr>
              <w:t>6</w:t>
            </w:r>
          </w:p>
        </w:tc>
      </w:tr>
      <w:tr w:rsidR="0023076E" w:rsidRPr="005044F0" w14:paraId="760F21F7" w14:textId="77777777" w:rsidTr="00324A07">
        <w:trPr>
          <w:trHeight w:val="320"/>
        </w:trPr>
        <w:tc>
          <w:tcPr>
            <w:tcW w:w="3840" w:type="dxa"/>
            <w:tcBorders>
              <w:top w:val="nil"/>
              <w:left w:val="nil"/>
              <w:bottom w:val="nil"/>
              <w:right w:val="nil"/>
            </w:tcBorders>
            <w:shd w:val="clear" w:color="auto" w:fill="auto"/>
            <w:noWrap/>
            <w:vAlign w:val="bottom"/>
            <w:hideMark/>
          </w:tcPr>
          <w:p w14:paraId="6B2C2055" w14:textId="77777777" w:rsidR="0023076E" w:rsidRPr="005044F0" w:rsidRDefault="0023076E" w:rsidP="00324A07">
            <w:pPr>
              <w:rPr>
                <w:color w:val="000000"/>
                <w:sz w:val="20"/>
                <w:szCs w:val="20"/>
                <w:lang w:val="es-ES"/>
              </w:rPr>
            </w:pPr>
            <w:r w:rsidRPr="005044F0">
              <w:rPr>
                <w:color w:val="000000"/>
                <w:sz w:val="20"/>
                <w:szCs w:val="20"/>
                <w:lang w:val="es-ES"/>
              </w:rPr>
              <w:lastRenderedPageBreak/>
              <w:t xml:space="preserve">     Autonomía</w:t>
            </w:r>
          </w:p>
        </w:tc>
        <w:tc>
          <w:tcPr>
            <w:tcW w:w="696" w:type="dxa"/>
            <w:tcBorders>
              <w:top w:val="nil"/>
              <w:left w:val="nil"/>
              <w:bottom w:val="nil"/>
              <w:right w:val="nil"/>
            </w:tcBorders>
            <w:shd w:val="clear" w:color="auto" w:fill="auto"/>
            <w:noWrap/>
            <w:vAlign w:val="bottom"/>
            <w:hideMark/>
          </w:tcPr>
          <w:p w14:paraId="16E158AA" w14:textId="77777777" w:rsidR="0023076E" w:rsidRPr="005044F0" w:rsidRDefault="0023076E" w:rsidP="00324A07">
            <w:pPr>
              <w:jc w:val="center"/>
              <w:rPr>
                <w:color w:val="000000"/>
                <w:sz w:val="20"/>
                <w:szCs w:val="20"/>
                <w:lang w:val="es-ES"/>
              </w:rPr>
            </w:pPr>
            <w:r w:rsidRPr="005044F0">
              <w:rPr>
                <w:color w:val="000000"/>
                <w:sz w:val="20"/>
                <w:szCs w:val="20"/>
                <w:lang w:val="es-ES"/>
              </w:rPr>
              <w:t>135</w:t>
            </w:r>
          </w:p>
        </w:tc>
        <w:tc>
          <w:tcPr>
            <w:tcW w:w="709" w:type="dxa"/>
            <w:tcBorders>
              <w:top w:val="nil"/>
              <w:left w:val="nil"/>
              <w:bottom w:val="nil"/>
              <w:right w:val="nil"/>
            </w:tcBorders>
            <w:shd w:val="clear" w:color="auto" w:fill="auto"/>
            <w:noWrap/>
            <w:vAlign w:val="bottom"/>
            <w:hideMark/>
          </w:tcPr>
          <w:p w14:paraId="5E1327EE" w14:textId="77777777" w:rsidR="0023076E" w:rsidRPr="005044F0" w:rsidRDefault="0023076E" w:rsidP="00324A07">
            <w:pPr>
              <w:jc w:val="center"/>
              <w:rPr>
                <w:color w:val="000000"/>
                <w:sz w:val="20"/>
                <w:szCs w:val="20"/>
                <w:lang w:val="es-ES"/>
              </w:rPr>
            </w:pPr>
            <w:r w:rsidRPr="005044F0">
              <w:rPr>
                <w:color w:val="000000"/>
                <w:sz w:val="20"/>
                <w:szCs w:val="20"/>
                <w:lang w:val="es-ES"/>
              </w:rPr>
              <w:t>4.02</w:t>
            </w:r>
          </w:p>
        </w:tc>
        <w:tc>
          <w:tcPr>
            <w:tcW w:w="992" w:type="dxa"/>
            <w:tcBorders>
              <w:top w:val="nil"/>
              <w:left w:val="nil"/>
              <w:bottom w:val="nil"/>
              <w:right w:val="nil"/>
            </w:tcBorders>
            <w:shd w:val="clear" w:color="auto" w:fill="auto"/>
            <w:noWrap/>
            <w:vAlign w:val="bottom"/>
            <w:hideMark/>
          </w:tcPr>
          <w:p w14:paraId="1FEFBBD1" w14:textId="77777777" w:rsidR="0023076E" w:rsidRPr="005044F0" w:rsidRDefault="0023076E" w:rsidP="00324A07">
            <w:pPr>
              <w:jc w:val="center"/>
              <w:rPr>
                <w:color w:val="000000"/>
                <w:sz w:val="20"/>
                <w:szCs w:val="20"/>
                <w:lang w:val="es-ES"/>
              </w:rPr>
            </w:pPr>
            <w:r w:rsidRPr="005044F0">
              <w:rPr>
                <w:color w:val="000000"/>
                <w:sz w:val="20"/>
                <w:szCs w:val="20"/>
                <w:lang w:val="es-ES"/>
              </w:rPr>
              <w:t>0.80</w:t>
            </w:r>
          </w:p>
        </w:tc>
        <w:tc>
          <w:tcPr>
            <w:tcW w:w="709" w:type="dxa"/>
            <w:tcBorders>
              <w:top w:val="nil"/>
              <w:left w:val="nil"/>
              <w:bottom w:val="nil"/>
              <w:right w:val="nil"/>
            </w:tcBorders>
            <w:shd w:val="clear" w:color="auto" w:fill="auto"/>
            <w:noWrap/>
            <w:vAlign w:val="bottom"/>
            <w:hideMark/>
          </w:tcPr>
          <w:p w14:paraId="4B04F90C" w14:textId="77777777" w:rsidR="0023076E" w:rsidRPr="005044F0" w:rsidRDefault="0023076E" w:rsidP="00324A07">
            <w:pPr>
              <w:jc w:val="center"/>
              <w:rPr>
                <w:color w:val="000000"/>
                <w:sz w:val="20"/>
                <w:szCs w:val="20"/>
                <w:lang w:val="es-ES"/>
              </w:rPr>
            </w:pPr>
            <w:r w:rsidRPr="005044F0">
              <w:rPr>
                <w:color w:val="000000"/>
                <w:sz w:val="20"/>
                <w:szCs w:val="20"/>
                <w:lang w:val="es-ES"/>
              </w:rPr>
              <w:t>2.5</w:t>
            </w:r>
          </w:p>
        </w:tc>
        <w:tc>
          <w:tcPr>
            <w:tcW w:w="709" w:type="dxa"/>
            <w:tcBorders>
              <w:top w:val="nil"/>
              <w:left w:val="nil"/>
              <w:bottom w:val="nil"/>
              <w:right w:val="nil"/>
            </w:tcBorders>
            <w:shd w:val="clear" w:color="auto" w:fill="auto"/>
            <w:noWrap/>
            <w:vAlign w:val="bottom"/>
            <w:hideMark/>
          </w:tcPr>
          <w:p w14:paraId="18D31D13" w14:textId="77777777" w:rsidR="0023076E" w:rsidRPr="005044F0" w:rsidRDefault="0023076E" w:rsidP="00324A07">
            <w:pPr>
              <w:jc w:val="center"/>
              <w:rPr>
                <w:color w:val="000000"/>
                <w:sz w:val="20"/>
                <w:szCs w:val="20"/>
                <w:lang w:val="es-ES"/>
              </w:rPr>
            </w:pPr>
            <w:r w:rsidRPr="005044F0">
              <w:rPr>
                <w:color w:val="000000"/>
                <w:sz w:val="20"/>
                <w:szCs w:val="20"/>
                <w:lang w:val="es-ES"/>
              </w:rPr>
              <w:t>6</w:t>
            </w:r>
          </w:p>
        </w:tc>
      </w:tr>
      <w:tr w:rsidR="0023076E" w:rsidRPr="005044F0" w14:paraId="3D5BDE55" w14:textId="77777777" w:rsidTr="00324A07">
        <w:trPr>
          <w:trHeight w:val="320"/>
        </w:trPr>
        <w:tc>
          <w:tcPr>
            <w:tcW w:w="3840" w:type="dxa"/>
            <w:tcBorders>
              <w:top w:val="nil"/>
              <w:left w:val="nil"/>
              <w:bottom w:val="nil"/>
              <w:right w:val="nil"/>
            </w:tcBorders>
            <w:shd w:val="clear" w:color="auto" w:fill="auto"/>
            <w:noWrap/>
            <w:vAlign w:val="bottom"/>
            <w:hideMark/>
          </w:tcPr>
          <w:p w14:paraId="3D96E62F" w14:textId="77777777" w:rsidR="0023076E" w:rsidRPr="005044F0" w:rsidRDefault="0023076E" w:rsidP="00324A07">
            <w:pPr>
              <w:rPr>
                <w:color w:val="000000"/>
                <w:sz w:val="20"/>
                <w:szCs w:val="20"/>
                <w:lang w:val="es-ES"/>
              </w:rPr>
            </w:pPr>
            <w:r w:rsidRPr="005044F0">
              <w:rPr>
                <w:color w:val="000000"/>
                <w:sz w:val="20"/>
                <w:szCs w:val="20"/>
                <w:lang w:val="es-ES"/>
              </w:rPr>
              <w:t xml:space="preserve">     Dominio del ambiente</w:t>
            </w:r>
          </w:p>
        </w:tc>
        <w:tc>
          <w:tcPr>
            <w:tcW w:w="696" w:type="dxa"/>
            <w:tcBorders>
              <w:top w:val="nil"/>
              <w:left w:val="nil"/>
              <w:bottom w:val="nil"/>
              <w:right w:val="nil"/>
            </w:tcBorders>
            <w:shd w:val="clear" w:color="auto" w:fill="auto"/>
            <w:noWrap/>
            <w:vAlign w:val="bottom"/>
            <w:hideMark/>
          </w:tcPr>
          <w:p w14:paraId="610970D0" w14:textId="77777777" w:rsidR="0023076E" w:rsidRPr="005044F0" w:rsidRDefault="0023076E" w:rsidP="00324A07">
            <w:pPr>
              <w:jc w:val="center"/>
              <w:rPr>
                <w:color w:val="000000"/>
                <w:sz w:val="20"/>
                <w:szCs w:val="20"/>
                <w:lang w:val="es-ES"/>
              </w:rPr>
            </w:pPr>
            <w:r w:rsidRPr="005044F0">
              <w:rPr>
                <w:color w:val="000000"/>
                <w:sz w:val="20"/>
                <w:szCs w:val="20"/>
                <w:lang w:val="es-ES"/>
              </w:rPr>
              <w:t>135</w:t>
            </w:r>
          </w:p>
        </w:tc>
        <w:tc>
          <w:tcPr>
            <w:tcW w:w="709" w:type="dxa"/>
            <w:tcBorders>
              <w:top w:val="nil"/>
              <w:left w:val="nil"/>
              <w:bottom w:val="nil"/>
              <w:right w:val="nil"/>
            </w:tcBorders>
            <w:shd w:val="clear" w:color="auto" w:fill="auto"/>
            <w:noWrap/>
            <w:vAlign w:val="bottom"/>
            <w:hideMark/>
          </w:tcPr>
          <w:p w14:paraId="4239D04D" w14:textId="77777777" w:rsidR="0023076E" w:rsidRPr="005044F0" w:rsidRDefault="0023076E" w:rsidP="00324A07">
            <w:pPr>
              <w:jc w:val="center"/>
              <w:rPr>
                <w:color w:val="000000"/>
                <w:sz w:val="20"/>
                <w:szCs w:val="20"/>
                <w:lang w:val="es-ES"/>
              </w:rPr>
            </w:pPr>
            <w:r w:rsidRPr="005044F0">
              <w:rPr>
                <w:color w:val="000000"/>
                <w:sz w:val="20"/>
                <w:szCs w:val="20"/>
                <w:lang w:val="es-ES"/>
              </w:rPr>
              <w:t>4.40</w:t>
            </w:r>
          </w:p>
        </w:tc>
        <w:tc>
          <w:tcPr>
            <w:tcW w:w="992" w:type="dxa"/>
            <w:tcBorders>
              <w:top w:val="nil"/>
              <w:left w:val="nil"/>
              <w:bottom w:val="nil"/>
              <w:right w:val="nil"/>
            </w:tcBorders>
            <w:shd w:val="clear" w:color="auto" w:fill="auto"/>
            <w:noWrap/>
            <w:vAlign w:val="bottom"/>
            <w:hideMark/>
          </w:tcPr>
          <w:p w14:paraId="3EF8F3AA" w14:textId="77777777" w:rsidR="0023076E" w:rsidRPr="005044F0" w:rsidRDefault="0023076E" w:rsidP="00324A07">
            <w:pPr>
              <w:jc w:val="center"/>
              <w:rPr>
                <w:color w:val="000000"/>
                <w:sz w:val="20"/>
                <w:szCs w:val="20"/>
                <w:lang w:val="es-ES"/>
              </w:rPr>
            </w:pPr>
            <w:r w:rsidRPr="005044F0">
              <w:rPr>
                <w:color w:val="000000"/>
                <w:sz w:val="20"/>
                <w:szCs w:val="20"/>
                <w:lang w:val="es-ES"/>
              </w:rPr>
              <w:t>0.86</w:t>
            </w:r>
          </w:p>
        </w:tc>
        <w:tc>
          <w:tcPr>
            <w:tcW w:w="709" w:type="dxa"/>
            <w:tcBorders>
              <w:top w:val="nil"/>
              <w:left w:val="nil"/>
              <w:bottom w:val="nil"/>
              <w:right w:val="nil"/>
            </w:tcBorders>
            <w:shd w:val="clear" w:color="auto" w:fill="auto"/>
            <w:noWrap/>
            <w:vAlign w:val="bottom"/>
            <w:hideMark/>
          </w:tcPr>
          <w:p w14:paraId="6FA8847E" w14:textId="77777777" w:rsidR="0023076E" w:rsidRPr="005044F0" w:rsidRDefault="0023076E" w:rsidP="00324A07">
            <w:pPr>
              <w:jc w:val="center"/>
              <w:rPr>
                <w:color w:val="000000"/>
                <w:sz w:val="20"/>
                <w:szCs w:val="20"/>
                <w:lang w:val="es-ES"/>
              </w:rPr>
            </w:pPr>
            <w:r w:rsidRPr="005044F0">
              <w:rPr>
                <w:color w:val="000000"/>
                <w:sz w:val="20"/>
                <w:szCs w:val="20"/>
                <w:lang w:val="es-ES"/>
              </w:rPr>
              <w:t>1.33</w:t>
            </w:r>
          </w:p>
        </w:tc>
        <w:tc>
          <w:tcPr>
            <w:tcW w:w="709" w:type="dxa"/>
            <w:tcBorders>
              <w:top w:val="nil"/>
              <w:left w:val="nil"/>
              <w:bottom w:val="nil"/>
              <w:right w:val="nil"/>
            </w:tcBorders>
            <w:shd w:val="clear" w:color="auto" w:fill="auto"/>
            <w:noWrap/>
            <w:vAlign w:val="bottom"/>
            <w:hideMark/>
          </w:tcPr>
          <w:p w14:paraId="2EEFB768" w14:textId="77777777" w:rsidR="0023076E" w:rsidRPr="005044F0" w:rsidRDefault="0023076E" w:rsidP="00324A07">
            <w:pPr>
              <w:jc w:val="center"/>
              <w:rPr>
                <w:color w:val="000000"/>
                <w:sz w:val="20"/>
                <w:szCs w:val="20"/>
                <w:lang w:val="es-ES"/>
              </w:rPr>
            </w:pPr>
            <w:r w:rsidRPr="005044F0">
              <w:rPr>
                <w:color w:val="000000"/>
                <w:sz w:val="20"/>
                <w:szCs w:val="20"/>
                <w:lang w:val="es-ES"/>
              </w:rPr>
              <w:t>6</w:t>
            </w:r>
          </w:p>
        </w:tc>
      </w:tr>
      <w:tr w:rsidR="0023076E" w:rsidRPr="005044F0" w14:paraId="7056C472" w14:textId="77777777" w:rsidTr="00324A07">
        <w:trPr>
          <w:trHeight w:val="320"/>
        </w:trPr>
        <w:tc>
          <w:tcPr>
            <w:tcW w:w="3840" w:type="dxa"/>
            <w:tcBorders>
              <w:top w:val="nil"/>
              <w:left w:val="nil"/>
              <w:bottom w:val="nil"/>
              <w:right w:val="nil"/>
            </w:tcBorders>
            <w:shd w:val="clear" w:color="auto" w:fill="auto"/>
            <w:noWrap/>
            <w:vAlign w:val="bottom"/>
            <w:hideMark/>
          </w:tcPr>
          <w:p w14:paraId="086D3CA6" w14:textId="77777777" w:rsidR="0023076E" w:rsidRPr="005044F0" w:rsidRDefault="0023076E" w:rsidP="00324A07">
            <w:pPr>
              <w:rPr>
                <w:color w:val="000000"/>
                <w:sz w:val="20"/>
                <w:szCs w:val="20"/>
                <w:lang w:val="es-ES"/>
              </w:rPr>
            </w:pPr>
            <w:r w:rsidRPr="005044F0">
              <w:rPr>
                <w:color w:val="000000"/>
                <w:sz w:val="20"/>
                <w:szCs w:val="20"/>
                <w:lang w:val="es-ES"/>
              </w:rPr>
              <w:t xml:space="preserve">     Propósito de la vida</w:t>
            </w:r>
          </w:p>
        </w:tc>
        <w:tc>
          <w:tcPr>
            <w:tcW w:w="696" w:type="dxa"/>
            <w:tcBorders>
              <w:top w:val="nil"/>
              <w:left w:val="nil"/>
              <w:bottom w:val="nil"/>
              <w:right w:val="nil"/>
            </w:tcBorders>
            <w:shd w:val="clear" w:color="auto" w:fill="auto"/>
            <w:noWrap/>
            <w:vAlign w:val="bottom"/>
            <w:hideMark/>
          </w:tcPr>
          <w:p w14:paraId="61BC50A5" w14:textId="77777777" w:rsidR="0023076E" w:rsidRPr="005044F0" w:rsidRDefault="0023076E" w:rsidP="00324A07">
            <w:pPr>
              <w:jc w:val="center"/>
              <w:rPr>
                <w:color w:val="000000"/>
                <w:sz w:val="20"/>
                <w:szCs w:val="20"/>
                <w:lang w:val="es-ES"/>
              </w:rPr>
            </w:pPr>
            <w:r w:rsidRPr="005044F0">
              <w:rPr>
                <w:color w:val="000000"/>
                <w:sz w:val="20"/>
                <w:szCs w:val="20"/>
                <w:lang w:val="es-ES"/>
              </w:rPr>
              <w:t>135</w:t>
            </w:r>
          </w:p>
        </w:tc>
        <w:tc>
          <w:tcPr>
            <w:tcW w:w="709" w:type="dxa"/>
            <w:tcBorders>
              <w:top w:val="nil"/>
              <w:left w:val="nil"/>
              <w:bottom w:val="nil"/>
              <w:right w:val="nil"/>
            </w:tcBorders>
            <w:shd w:val="clear" w:color="auto" w:fill="auto"/>
            <w:noWrap/>
            <w:vAlign w:val="bottom"/>
            <w:hideMark/>
          </w:tcPr>
          <w:p w14:paraId="106EA775" w14:textId="77777777" w:rsidR="0023076E" w:rsidRPr="005044F0" w:rsidRDefault="0023076E" w:rsidP="00324A07">
            <w:pPr>
              <w:jc w:val="center"/>
              <w:rPr>
                <w:color w:val="000000"/>
                <w:sz w:val="20"/>
                <w:szCs w:val="20"/>
                <w:lang w:val="es-ES"/>
              </w:rPr>
            </w:pPr>
            <w:r w:rsidRPr="005044F0">
              <w:rPr>
                <w:color w:val="000000"/>
                <w:sz w:val="20"/>
                <w:szCs w:val="20"/>
                <w:lang w:val="es-ES"/>
              </w:rPr>
              <w:t>4.77</w:t>
            </w:r>
          </w:p>
        </w:tc>
        <w:tc>
          <w:tcPr>
            <w:tcW w:w="992" w:type="dxa"/>
            <w:tcBorders>
              <w:top w:val="nil"/>
              <w:left w:val="nil"/>
              <w:bottom w:val="nil"/>
              <w:right w:val="nil"/>
            </w:tcBorders>
            <w:shd w:val="clear" w:color="auto" w:fill="auto"/>
            <w:noWrap/>
            <w:vAlign w:val="bottom"/>
            <w:hideMark/>
          </w:tcPr>
          <w:p w14:paraId="001ADAFF" w14:textId="77777777" w:rsidR="0023076E" w:rsidRPr="005044F0" w:rsidRDefault="0023076E" w:rsidP="00324A07">
            <w:pPr>
              <w:jc w:val="center"/>
              <w:rPr>
                <w:color w:val="000000"/>
                <w:sz w:val="20"/>
                <w:szCs w:val="20"/>
                <w:lang w:val="es-ES"/>
              </w:rPr>
            </w:pPr>
            <w:r w:rsidRPr="005044F0">
              <w:rPr>
                <w:color w:val="000000"/>
                <w:sz w:val="20"/>
                <w:szCs w:val="20"/>
                <w:lang w:val="es-ES"/>
              </w:rPr>
              <w:t>0.88</w:t>
            </w:r>
          </w:p>
        </w:tc>
        <w:tc>
          <w:tcPr>
            <w:tcW w:w="709" w:type="dxa"/>
            <w:tcBorders>
              <w:top w:val="nil"/>
              <w:left w:val="nil"/>
              <w:bottom w:val="nil"/>
              <w:right w:val="nil"/>
            </w:tcBorders>
            <w:shd w:val="clear" w:color="auto" w:fill="auto"/>
            <w:noWrap/>
            <w:vAlign w:val="bottom"/>
            <w:hideMark/>
          </w:tcPr>
          <w:p w14:paraId="2150118D" w14:textId="77777777" w:rsidR="0023076E" w:rsidRPr="005044F0" w:rsidRDefault="0023076E" w:rsidP="00324A07">
            <w:pPr>
              <w:jc w:val="center"/>
              <w:rPr>
                <w:color w:val="000000"/>
                <w:sz w:val="20"/>
                <w:szCs w:val="20"/>
                <w:lang w:val="es-ES"/>
              </w:rPr>
            </w:pPr>
            <w:r w:rsidRPr="005044F0">
              <w:rPr>
                <w:color w:val="000000"/>
                <w:sz w:val="20"/>
                <w:szCs w:val="20"/>
                <w:lang w:val="es-ES"/>
              </w:rPr>
              <w:t>2</w:t>
            </w:r>
          </w:p>
        </w:tc>
        <w:tc>
          <w:tcPr>
            <w:tcW w:w="709" w:type="dxa"/>
            <w:tcBorders>
              <w:top w:val="nil"/>
              <w:left w:val="nil"/>
              <w:bottom w:val="nil"/>
              <w:right w:val="nil"/>
            </w:tcBorders>
            <w:shd w:val="clear" w:color="auto" w:fill="auto"/>
            <w:noWrap/>
            <w:vAlign w:val="bottom"/>
            <w:hideMark/>
          </w:tcPr>
          <w:p w14:paraId="17BE0872" w14:textId="77777777" w:rsidR="0023076E" w:rsidRPr="005044F0" w:rsidRDefault="0023076E" w:rsidP="00324A07">
            <w:pPr>
              <w:jc w:val="center"/>
              <w:rPr>
                <w:color w:val="000000"/>
                <w:sz w:val="20"/>
                <w:szCs w:val="20"/>
                <w:lang w:val="es-ES"/>
              </w:rPr>
            </w:pPr>
            <w:r w:rsidRPr="005044F0">
              <w:rPr>
                <w:color w:val="000000"/>
                <w:sz w:val="20"/>
                <w:szCs w:val="20"/>
                <w:lang w:val="es-ES"/>
              </w:rPr>
              <w:t>6</w:t>
            </w:r>
          </w:p>
        </w:tc>
      </w:tr>
      <w:tr w:rsidR="0023076E" w:rsidRPr="005044F0" w14:paraId="17049C06" w14:textId="77777777" w:rsidTr="00324A07">
        <w:trPr>
          <w:trHeight w:val="320"/>
        </w:trPr>
        <w:tc>
          <w:tcPr>
            <w:tcW w:w="3840" w:type="dxa"/>
            <w:tcBorders>
              <w:top w:val="nil"/>
              <w:left w:val="nil"/>
              <w:bottom w:val="nil"/>
              <w:right w:val="nil"/>
            </w:tcBorders>
            <w:shd w:val="clear" w:color="auto" w:fill="auto"/>
            <w:noWrap/>
            <w:vAlign w:val="bottom"/>
            <w:hideMark/>
          </w:tcPr>
          <w:p w14:paraId="4BBB2ABF" w14:textId="77777777" w:rsidR="0023076E" w:rsidRPr="005044F0" w:rsidRDefault="0023076E" w:rsidP="00324A07">
            <w:pPr>
              <w:rPr>
                <w:color w:val="000000"/>
                <w:sz w:val="20"/>
                <w:szCs w:val="20"/>
                <w:lang w:val="es-ES"/>
              </w:rPr>
            </w:pPr>
            <w:r w:rsidRPr="005044F0">
              <w:rPr>
                <w:color w:val="000000"/>
                <w:sz w:val="20"/>
                <w:szCs w:val="20"/>
                <w:lang w:val="es-ES"/>
              </w:rPr>
              <w:t xml:space="preserve">     Crecimiento personal</w:t>
            </w:r>
          </w:p>
        </w:tc>
        <w:tc>
          <w:tcPr>
            <w:tcW w:w="696" w:type="dxa"/>
            <w:tcBorders>
              <w:top w:val="nil"/>
              <w:left w:val="nil"/>
              <w:bottom w:val="nil"/>
              <w:right w:val="nil"/>
            </w:tcBorders>
            <w:shd w:val="clear" w:color="auto" w:fill="auto"/>
            <w:noWrap/>
            <w:vAlign w:val="bottom"/>
            <w:hideMark/>
          </w:tcPr>
          <w:p w14:paraId="6663B96D" w14:textId="77777777" w:rsidR="0023076E" w:rsidRPr="005044F0" w:rsidRDefault="0023076E" w:rsidP="00324A07">
            <w:pPr>
              <w:jc w:val="center"/>
              <w:rPr>
                <w:color w:val="000000"/>
                <w:sz w:val="20"/>
                <w:szCs w:val="20"/>
                <w:lang w:val="es-ES"/>
              </w:rPr>
            </w:pPr>
            <w:r w:rsidRPr="005044F0">
              <w:rPr>
                <w:color w:val="000000"/>
                <w:sz w:val="20"/>
                <w:szCs w:val="20"/>
                <w:lang w:val="es-ES"/>
              </w:rPr>
              <w:t>135</w:t>
            </w:r>
          </w:p>
        </w:tc>
        <w:tc>
          <w:tcPr>
            <w:tcW w:w="709" w:type="dxa"/>
            <w:tcBorders>
              <w:top w:val="nil"/>
              <w:left w:val="nil"/>
              <w:bottom w:val="nil"/>
              <w:right w:val="nil"/>
            </w:tcBorders>
            <w:shd w:val="clear" w:color="auto" w:fill="auto"/>
            <w:noWrap/>
            <w:vAlign w:val="bottom"/>
            <w:hideMark/>
          </w:tcPr>
          <w:p w14:paraId="1ACD74D9" w14:textId="77777777" w:rsidR="0023076E" w:rsidRPr="005044F0" w:rsidRDefault="0023076E" w:rsidP="00324A07">
            <w:pPr>
              <w:jc w:val="center"/>
              <w:rPr>
                <w:color w:val="000000"/>
                <w:sz w:val="20"/>
                <w:szCs w:val="20"/>
                <w:lang w:val="es-ES"/>
              </w:rPr>
            </w:pPr>
            <w:r w:rsidRPr="005044F0">
              <w:rPr>
                <w:color w:val="000000"/>
                <w:sz w:val="20"/>
                <w:szCs w:val="20"/>
                <w:lang w:val="es-ES"/>
              </w:rPr>
              <w:t>4.54</w:t>
            </w:r>
          </w:p>
        </w:tc>
        <w:tc>
          <w:tcPr>
            <w:tcW w:w="992" w:type="dxa"/>
            <w:tcBorders>
              <w:top w:val="nil"/>
              <w:left w:val="nil"/>
              <w:bottom w:val="nil"/>
              <w:right w:val="nil"/>
            </w:tcBorders>
            <w:shd w:val="clear" w:color="auto" w:fill="auto"/>
            <w:noWrap/>
            <w:vAlign w:val="bottom"/>
            <w:hideMark/>
          </w:tcPr>
          <w:p w14:paraId="57087209" w14:textId="77777777" w:rsidR="0023076E" w:rsidRPr="005044F0" w:rsidRDefault="0023076E" w:rsidP="00324A07">
            <w:pPr>
              <w:jc w:val="center"/>
              <w:rPr>
                <w:color w:val="000000"/>
                <w:sz w:val="20"/>
                <w:szCs w:val="20"/>
                <w:lang w:val="es-ES"/>
              </w:rPr>
            </w:pPr>
            <w:r w:rsidRPr="005044F0">
              <w:rPr>
                <w:color w:val="000000"/>
                <w:sz w:val="20"/>
                <w:szCs w:val="20"/>
                <w:lang w:val="es-ES"/>
              </w:rPr>
              <w:t>1.01</w:t>
            </w:r>
          </w:p>
        </w:tc>
        <w:tc>
          <w:tcPr>
            <w:tcW w:w="709" w:type="dxa"/>
            <w:tcBorders>
              <w:top w:val="nil"/>
              <w:left w:val="nil"/>
              <w:bottom w:val="nil"/>
              <w:right w:val="nil"/>
            </w:tcBorders>
            <w:shd w:val="clear" w:color="auto" w:fill="auto"/>
            <w:noWrap/>
            <w:vAlign w:val="bottom"/>
            <w:hideMark/>
          </w:tcPr>
          <w:p w14:paraId="7A0BAEDD" w14:textId="77777777" w:rsidR="0023076E" w:rsidRPr="005044F0" w:rsidRDefault="0023076E" w:rsidP="00324A07">
            <w:pPr>
              <w:jc w:val="center"/>
              <w:rPr>
                <w:color w:val="000000"/>
                <w:sz w:val="20"/>
                <w:szCs w:val="20"/>
                <w:lang w:val="es-ES"/>
              </w:rPr>
            </w:pPr>
            <w:r w:rsidRPr="005044F0">
              <w:rPr>
                <w:color w:val="000000"/>
                <w:sz w:val="20"/>
                <w:szCs w:val="20"/>
                <w:lang w:val="es-ES"/>
              </w:rPr>
              <w:t>1</w:t>
            </w:r>
          </w:p>
        </w:tc>
        <w:tc>
          <w:tcPr>
            <w:tcW w:w="709" w:type="dxa"/>
            <w:tcBorders>
              <w:top w:val="nil"/>
              <w:left w:val="nil"/>
              <w:bottom w:val="nil"/>
              <w:right w:val="nil"/>
            </w:tcBorders>
            <w:shd w:val="clear" w:color="auto" w:fill="auto"/>
            <w:noWrap/>
            <w:vAlign w:val="bottom"/>
            <w:hideMark/>
          </w:tcPr>
          <w:p w14:paraId="2D404E32" w14:textId="77777777" w:rsidR="0023076E" w:rsidRPr="005044F0" w:rsidRDefault="0023076E" w:rsidP="00324A07">
            <w:pPr>
              <w:jc w:val="center"/>
              <w:rPr>
                <w:color w:val="000000"/>
                <w:sz w:val="20"/>
                <w:szCs w:val="20"/>
                <w:lang w:val="es-ES"/>
              </w:rPr>
            </w:pPr>
            <w:r w:rsidRPr="005044F0">
              <w:rPr>
                <w:color w:val="000000"/>
                <w:sz w:val="20"/>
                <w:szCs w:val="20"/>
                <w:lang w:val="es-ES"/>
              </w:rPr>
              <w:t>6</w:t>
            </w:r>
          </w:p>
        </w:tc>
      </w:tr>
      <w:tr w:rsidR="0023076E" w:rsidRPr="005044F0" w14:paraId="79D864AE" w14:textId="77777777" w:rsidTr="00324A07">
        <w:trPr>
          <w:trHeight w:val="320"/>
        </w:trPr>
        <w:tc>
          <w:tcPr>
            <w:tcW w:w="3840" w:type="dxa"/>
            <w:tcBorders>
              <w:top w:val="nil"/>
              <w:left w:val="nil"/>
              <w:bottom w:val="nil"/>
              <w:right w:val="nil"/>
            </w:tcBorders>
            <w:shd w:val="clear" w:color="auto" w:fill="auto"/>
            <w:noWrap/>
            <w:vAlign w:val="bottom"/>
            <w:hideMark/>
          </w:tcPr>
          <w:p w14:paraId="26E24D13" w14:textId="77777777" w:rsidR="0023076E" w:rsidRPr="005044F0" w:rsidRDefault="0023076E" w:rsidP="00324A07">
            <w:pPr>
              <w:rPr>
                <w:color w:val="000000"/>
                <w:sz w:val="20"/>
                <w:szCs w:val="20"/>
                <w:lang w:val="es-ES"/>
              </w:rPr>
            </w:pPr>
            <w:r w:rsidRPr="005044F0">
              <w:rPr>
                <w:color w:val="000000"/>
                <w:sz w:val="20"/>
                <w:szCs w:val="20"/>
                <w:lang w:val="es-ES"/>
              </w:rPr>
              <w:t>Estrategias de afrontamiento</w:t>
            </w:r>
          </w:p>
        </w:tc>
        <w:tc>
          <w:tcPr>
            <w:tcW w:w="696" w:type="dxa"/>
            <w:tcBorders>
              <w:top w:val="nil"/>
              <w:left w:val="nil"/>
              <w:bottom w:val="nil"/>
              <w:right w:val="nil"/>
            </w:tcBorders>
            <w:shd w:val="clear" w:color="auto" w:fill="auto"/>
            <w:noWrap/>
            <w:vAlign w:val="bottom"/>
            <w:hideMark/>
          </w:tcPr>
          <w:p w14:paraId="52B3A2E6" w14:textId="77777777" w:rsidR="0023076E" w:rsidRPr="005044F0" w:rsidRDefault="0023076E" w:rsidP="00324A07">
            <w:pPr>
              <w:rPr>
                <w:color w:val="000000"/>
                <w:sz w:val="20"/>
                <w:szCs w:val="20"/>
                <w:lang w:val="es-ES"/>
              </w:rPr>
            </w:pPr>
          </w:p>
        </w:tc>
        <w:tc>
          <w:tcPr>
            <w:tcW w:w="709" w:type="dxa"/>
            <w:tcBorders>
              <w:top w:val="nil"/>
              <w:left w:val="nil"/>
              <w:bottom w:val="nil"/>
              <w:right w:val="nil"/>
            </w:tcBorders>
            <w:shd w:val="clear" w:color="auto" w:fill="auto"/>
            <w:noWrap/>
            <w:vAlign w:val="bottom"/>
            <w:hideMark/>
          </w:tcPr>
          <w:p w14:paraId="507D38F4" w14:textId="77777777" w:rsidR="0023076E" w:rsidRPr="005044F0" w:rsidRDefault="0023076E" w:rsidP="00324A07">
            <w:pPr>
              <w:jc w:val="center"/>
              <w:rPr>
                <w:sz w:val="20"/>
                <w:szCs w:val="20"/>
                <w:lang w:val="es-ES"/>
              </w:rPr>
            </w:pPr>
          </w:p>
        </w:tc>
        <w:tc>
          <w:tcPr>
            <w:tcW w:w="992" w:type="dxa"/>
            <w:tcBorders>
              <w:top w:val="nil"/>
              <w:left w:val="nil"/>
              <w:bottom w:val="nil"/>
              <w:right w:val="nil"/>
            </w:tcBorders>
            <w:shd w:val="clear" w:color="auto" w:fill="auto"/>
            <w:noWrap/>
            <w:vAlign w:val="bottom"/>
            <w:hideMark/>
          </w:tcPr>
          <w:p w14:paraId="6EFEDBF4" w14:textId="77777777" w:rsidR="0023076E" w:rsidRPr="005044F0" w:rsidRDefault="0023076E" w:rsidP="00324A07">
            <w:pPr>
              <w:jc w:val="center"/>
              <w:rPr>
                <w:sz w:val="20"/>
                <w:szCs w:val="20"/>
                <w:lang w:val="es-ES"/>
              </w:rPr>
            </w:pPr>
          </w:p>
        </w:tc>
        <w:tc>
          <w:tcPr>
            <w:tcW w:w="709" w:type="dxa"/>
            <w:tcBorders>
              <w:top w:val="nil"/>
              <w:left w:val="nil"/>
              <w:bottom w:val="nil"/>
              <w:right w:val="nil"/>
            </w:tcBorders>
            <w:shd w:val="clear" w:color="auto" w:fill="auto"/>
            <w:noWrap/>
            <w:vAlign w:val="bottom"/>
            <w:hideMark/>
          </w:tcPr>
          <w:p w14:paraId="42490E63" w14:textId="77777777" w:rsidR="0023076E" w:rsidRPr="005044F0" w:rsidRDefault="0023076E" w:rsidP="00324A07">
            <w:pPr>
              <w:jc w:val="center"/>
              <w:rPr>
                <w:sz w:val="20"/>
                <w:szCs w:val="20"/>
                <w:lang w:val="es-ES"/>
              </w:rPr>
            </w:pPr>
          </w:p>
        </w:tc>
        <w:tc>
          <w:tcPr>
            <w:tcW w:w="709" w:type="dxa"/>
            <w:tcBorders>
              <w:top w:val="nil"/>
              <w:left w:val="nil"/>
              <w:bottom w:val="nil"/>
              <w:right w:val="nil"/>
            </w:tcBorders>
            <w:shd w:val="clear" w:color="auto" w:fill="auto"/>
            <w:noWrap/>
            <w:vAlign w:val="bottom"/>
            <w:hideMark/>
          </w:tcPr>
          <w:p w14:paraId="07B9B16D" w14:textId="77777777" w:rsidR="0023076E" w:rsidRPr="005044F0" w:rsidRDefault="0023076E" w:rsidP="00324A07">
            <w:pPr>
              <w:jc w:val="center"/>
              <w:rPr>
                <w:sz w:val="20"/>
                <w:szCs w:val="20"/>
                <w:lang w:val="es-ES"/>
              </w:rPr>
            </w:pPr>
          </w:p>
        </w:tc>
      </w:tr>
      <w:tr w:rsidR="0023076E" w:rsidRPr="005044F0" w14:paraId="2BB6EC65" w14:textId="77777777" w:rsidTr="00324A07">
        <w:trPr>
          <w:trHeight w:val="320"/>
        </w:trPr>
        <w:tc>
          <w:tcPr>
            <w:tcW w:w="3840" w:type="dxa"/>
            <w:tcBorders>
              <w:top w:val="nil"/>
              <w:left w:val="nil"/>
              <w:bottom w:val="nil"/>
              <w:right w:val="nil"/>
            </w:tcBorders>
            <w:shd w:val="clear" w:color="auto" w:fill="auto"/>
            <w:noWrap/>
            <w:vAlign w:val="bottom"/>
            <w:hideMark/>
          </w:tcPr>
          <w:p w14:paraId="7D9B6F5A" w14:textId="77777777" w:rsidR="0023076E" w:rsidRPr="005044F0" w:rsidRDefault="0023076E" w:rsidP="00324A07">
            <w:pPr>
              <w:rPr>
                <w:color w:val="000000"/>
                <w:sz w:val="20"/>
                <w:szCs w:val="20"/>
                <w:lang w:val="es-ES"/>
              </w:rPr>
            </w:pPr>
            <w:r w:rsidRPr="005044F0">
              <w:rPr>
                <w:color w:val="000000"/>
                <w:sz w:val="20"/>
                <w:szCs w:val="20"/>
                <w:lang w:val="es-ES"/>
              </w:rPr>
              <w:t xml:space="preserve">     Afrontamiento activo del problema</w:t>
            </w:r>
          </w:p>
        </w:tc>
        <w:tc>
          <w:tcPr>
            <w:tcW w:w="696" w:type="dxa"/>
            <w:tcBorders>
              <w:top w:val="nil"/>
              <w:left w:val="nil"/>
              <w:bottom w:val="nil"/>
              <w:right w:val="nil"/>
            </w:tcBorders>
            <w:shd w:val="clear" w:color="auto" w:fill="auto"/>
            <w:noWrap/>
            <w:vAlign w:val="bottom"/>
            <w:hideMark/>
          </w:tcPr>
          <w:p w14:paraId="4F0BD18C" w14:textId="77777777" w:rsidR="0023076E" w:rsidRPr="005044F0" w:rsidRDefault="0023076E" w:rsidP="00324A07">
            <w:pPr>
              <w:jc w:val="center"/>
              <w:rPr>
                <w:color w:val="000000"/>
                <w:sz w:val="20"/>
                <w:szCs w:val="20"/>
                <w:lang w:val="es-ES"/>
              </w:rPr>
            </w:pPr>
            <w:r w:rsidRPr="005044F0">
              <w:rPr>
                <w:color w:val="000000"/>
                <w:sz w:val="20"/>
                <w:szCs w:val="20"/>
                <w:lang w:val="es-ES"/>
              </w:rPr>
              <w:t>135</w:t>
            </w:r>
          </w:p>
        </w:tc>
        <w:tc>
          <w:tcPr>
            <w:tcW w:w="709" w:type="dxa"/>
            <w:tcBorders>
              <w:top w:val="nil"/>
              <w:left w:val="nil"/>
              <w:bottom w:val="nil"/>
              <w:right w:val="nil"/>
            </w:tcBorders>
            <w:shd w:val="clear" w:color="auto" w:fill="auto"/>
            <w:noWrap/>
            <w:vAlign w:val="bottom"/>
            <w:hideMark/>
          </w:tcPr>
          <w:p w14:paraId="1372B976" w14:textId="77777777" w:rsidR="0023076E" w:rsidRPr="005044F0" w:rsidRDefault="0023076E" w:rsidP="00324A07">
            <w:pPr>
              <w:jc w:val="center"/>
              <w:rPr>
                <w:color w:val="000000"/>
                <w:sz w:val="20"/>
                <w:szCs w:val="20"/>
                <w:lang w:val="es-ES"/>
              </w:rPr>
            </w:pPr>
            <w:r w:rsidRPr="005044F0">
              <w:rPr>
                <w:color w:val="000000"/>
                <w:sz w:val="20"/>
                <w:szCs w:val="20"/>
                <w:lang w:val="es-ES"/>
              </w:rPr>
              <w:t>2.80</w:t>
            </w:r>
          </w:p>
        </w:tc>
        <w:tc>
          <w:tcPr>
            <w:tcW w:w="992" w:type="dxa"/>
            <w:tcBorders>
              <w:top w:val="nil"/>
              <w:left w:val="nil"/>
              <w:bottom w:val="nil"/>
              <w:right w:val="nil"/>
            </w:tcBorders>
            <w:shd w:val="clear" w:color="auto" w:fill="auto"/>
            <w:noWrap/>
            <w:vAlign w:val="bottom"/>
            <w:hideMark/>
          </w:tcPr>
          <w:p w14:paraId="33418FED" w14:textId="77777777" w:rsidR="0023076E" w:rsidRPr="005044F0" w:rsidRDefault="0023076E" w:rsidP="00324A07">
            <w:pPr>
              <w:jc w:val="center"/>
              <w:rPr>
                <w:color w:val="000000"/>
                <w:sz w:val="20"/>
                <w:szCs w:val="20"/>
                <w:lang w:val="es-ES"/>
              </w:rPr>
            </w:pPr>
            <w:r w:rsidRPr="005044F0">
              <w:rPr>
                <w:color w:val="000000"/>
                <w:sz w:val="20"/>
                <w:szCs w:val="20"/>
                <w:lang w:val="es-ES"/>
              </w:rPr>
              <w:t>0.63</w:t>
            </w:r>
          </w:p>
        </w:tc>
        <w:tc>
          <w:tcPr>
            <w:tcW w:w="709" w:type="dxa"/>
            <w:tcBorders>
              <w:top w:val="nil"/>
              <w:left w:val="nil"/>
              <w:bottom w:val="nil"/>
              <w:right w:val="nil"/>
            </w:tcBorders>
            <w:shd w:val="clear" w:color="auto" w:fill="auto"/>
            <w:noWrap/>
            <w:vAlign w:val="bottom"/>
            <w:hideMark/>
          </w:tcPr>
          <w:p w14:paraId="753B4971" w14:textId="77777777" w:rsidR="0023076E" w:rsidRPr="005044F0" w:rsidRDefault="0023076E" w:rsidP="00324A07">
            <w:pPr>
              <w:jc w:val="center"/>
              <w:rPr>
                <w:color w:val="000000"/>
                <w:sz w:val="20"/>
                <w:szCs w:val="20"/>
                <w:lang w:val="es-ES"/>
              </w:rPr>
            </w:pPr>
            <w:r w:rsidRPr="005044F0">
              <w:rPr>
                <w:color w:val="000000"/>
                <w:sz w:val="20"/>
                <w:szCs w:val="20"/>
                <w:lang w:val="es-ES"/>
              </w:rPr>
              <w:t>1.22</w:t>
            </w:r>
          </w:p>
        </w:tc>
        <w:tc>
          <w:tcPr>
            <w:tcW w:w="709" w:type="dxa"/>
            <w:tcBorders>
              <w:top w:val="nil"/>
              <w:left w:val="nil"/>
              <w:bottom w:val="nil"/>
              <w:right w:val="nil"/>
            </w:tcBorders>
            <w:shd w:val="clear" w:color="auto" w:fill="auto"/>
            <w:noWrap/>
            <w:vAlign w:val="bottom"/>
            <w:hideMark/>
          </w:tcPr>
          <w:p w14:paraId="7E7D65CA" w14:textId="77777777" w:rsidR="0023076E" w:rsidRPr="005044F0" w:rsidRDefault="0023076E" w:rsidP="00324A07">
            <w:pPr>
              <w:jc w:val="center"/>
              <w:rPr>
                <w:color w:val="000000"/>
                <w:sz w:val="20"/>
                <w:szCs w:val="20"/>
                <w:lang w:val="es-ES"/>
              </w:rPr>
            </w:pPr>
            <w:r w:rsidRPr="005044F0">
              <w:rPr>
                <w:color w:val="000000"/>
                <w:sz w:val="20"/>
                <w:szCs w:val="20"/>
                <w:lang w:val="es-ES"/>
              </w:rPr>
              <w:t>4</w:t>
            </w:r>
          </w:p>
        </w:tc>
      </w:tr>
      <w:tr w:rsidR="0023076E" w:rsidRPr="005044F0" w14:paraId="51CB9479" w14:textId="77777777" w:rsidTr="00324A07">
        <w:trPr>
          <w:trHeight w:val="320"/>
        </w:trPr>
        <w:tc>
          <w:tcPr>
            <w:tcW w:w="3840" w:type="dxa"/>
            <w:tcBorders>
              <w:top w:val="nil"/>
              <w:left w:val="nil"/>
              <w:bottom w:val="nil"/>
              <w:right w:val="nil"/>
            </w:tcBorders>
            <w:shd w:val="clear" w:color="auto" w:fill="auto"/>
            <w:noWrap/>
            <w:vAlign w:val="bottom"/>
            <w:hideMark/>
          </w:tcPr>
          <w:p w14:paraId="2397BBD4" w14:textId="77777777" w:rsidR="0023076E" w:rsidRPr="005044F0" w:rsidRDefault="0023076E" w:rsidP="00324A07">
            <w:pPr>
              <w:rPr>
                <w:color w:val="000000"/>
                <w:sz w:val="20"/>
                <w:szCs w:val="20"/>
                <w:lang w:val="es-ES"/>
              </w:rPr>
            </w:pPr>
            <w:r w:rsidRPr="005044F0">
              <w:rPr>
                <w:color w:val="000000"/>
                <w:sz w:val="20"/>
                <w:szCs w:val="20"/>
                <w:lang w:val="es-ES"/>
              </w:rPr>
              <w:t xml:space="preserve">     Consumo de alcohol o drogas</w:t>
            </w:r>
          </w:p>
        </w:tc>
        <w:tc>
          <w:tcPr>
            <w:tcW w:w="696" w:type="dxa"/>
            <w:tcBorders>
              <w:top w:val="nil"/>
              <w:left w:val="nil"/>
              <w:bottom w:val="nil"/>
              <w:right w:val="nil"/>
            </w:tcBorders>
            <w:shd w:val="clear" w:color="auto" w:fill="auto"/>
            <w:noWrap/>
            <w:vAlign w:val="bottom"/>
            <w:hideMark/>
          </w:tcPr>
          <w:p w14:paraId="0F0D8564" w14:textId="77777777" w:rsidR="0023076E" w:rsidRPr="005044F0" w:rsidRDefault="0023076E" w:rsidP="00324A07">
            <w:pPr>
              <w:jc w:val="center"/>
              <w:rPr>
                <w:color w:val="000000"/>
                <w:sz w:val="20"/>
                <w:szCs w:val="20"/>
                <w:lang w:val="es-ES"/>
              </w:rPr>
            </w:pPr>
            <w:r w:rsidRPr="005044F0">
              <w:rPr>
                <w:color w:val="000000"/>
                <w:sz w:val="20"/>
                <w:szCs w:val="20"/>
                <w:lang w:val="es-ES"/>
              </w:rPr>
              <w:t>135</w:t>
            </w:r>
          </w:p>
        </w:tc>
        <w:tc>
          <w:tcPr>
            <w:tcW w:w="709" w:type="dxa"/>
            <w:tcBorders>
              <w:top w:val="nil"/>
              <w:left w:val="nil"/>
              <w:bottom w:val="nil"/>
              <w:right w:val="nil"/>
            </w:tcBorders>
            <w:shd w:val="clear" w:color="auto" w:fill="auto"/>
            <w:noWrap/>
            <w:vAlign w:val="bottom"/>
            <w:hideMark/>
          </w:tcPr>
          <w:p w14:paraId="14C30AD9" w14:textId="77777777" w:rsidR="0023076E" w:rsidRPr="005044F0" w:rsidRDefault="0023076E" w:rsidP="00324A07">
            <w:pPr>
              <w:jc w:val="center"/>
              <w:rPr>
                <w:color w:val="000000"/>
                <w:sz w:val="20"/>
                <w:szCs w:val="20"/>
                <w:lang w:val="es-ES"/>
              </w:rPr>
            </w:pPr>
            <w:r w:rsidRPr="005044F0">
              <w:rPr>
                <w:color w:val="000000"/>
                <w:sz w:val="20"/>
                <w:szCs w:val="20"/>
                <w:lang w:val="es-ES"/>
              </w:rPr>
              <w:t>1.53</w:t>
            </w:r>
          </w:p>
        </w:tc>
        <w:tc>
          <w:tcPr>
            <w:tcW w:w="992" w:type="dxa"/>
            <w:tcBorders>
              <w:top w:val="nil"/>
              <w:left w:val="nil"/>
              <w:bottom w:val="nil"/>
              <w:right w:val="nil"/>
            </w:tcBorders>
            <w:shd w:val="clear" w:color="auto" w:fill="auto"/>
            <w:noWrap/>
            <w:vAlign w:val="bottom"/>
            <w:hideMark/>
          </w:tcPr>
          <w:p w14:paraId="1983DF2E" w14:textId="77777777" w:rsidR="0023076E" w:rsidRPr="005044F0" w:rsidRDefault="0023076E" w:rsidP="00324A07">
            <w:pPr>
              <w:jc w:val="center"/>
              <w:rPr>
                <w:color w:val="000000"/>
                <w:sz w:val="20"/>
                <w:szCs w:val="20"/>
                <w:lang w:val="es-ES"/>
              </w:rPr>
            </w:pPr>
            <w:r w:rsidRPr="005044F0">
              <w:rPr>
                <w:color w:val="000000"/>
                <w:sz w:val="20"/>
                <w:szCs w:val="20"/>
                <w:lang w:val="es-ES"/>
              </w:rPr>
              <w:t>0.89</w:t>
            </w:r>
          </w:p>
        </w:tc>
        <w:tc>
          <w:tcPr>
            <w:tcW w:w="709" w:type="dxa"/>
            <w:tcBorders>
              <w:top w:val="nil"/>
              <w:left w:val="nil"/>
              <w:bottom w:val="nil"/>
              <w:right w:val="nil"/>
            </w:tcBorders>
            <w:shd w:val="clear" w:color="auto" w:fill="auto"/>
            <w:noWrap/>
            <w:vAlign w:val="bottom"/>
            <w:hideMark/>
          </w:tcPr>
          <w:p w14:paraId="7315B1F6" w14:textId="77777777" w:rsidR="0023076E" w:rsidRPr="005044F0" w:rsidRDefault="0023076E" w:rsidP="00324A07">
            <w:pPr>
              <w:jc w:val="center"/>
              <w:rPr>
                <w:color w:val="000000"/>
                <w:sz w:val="20"/>
                <w:szCs w:val="20"/>
                <w:lang w:val="es-ES"/>
              </w:rPr>
            </w:pPr>
            <w:r w:rsidRPr="005044F0">
              <w:rPr>
                <w:color w:val="000000"/>
                <w:sz w:val="20"/>
                <w:szCs w:val="20"/>
                <w:lang w:val="es-ES"/>
              </w:rPr>
              <w:t>1</w:t>
            </w:r>
          </w:p>
        </w:tc>
        <w:tc>
          <w:tcPr>
            <w:tcW w:w="709" w:type="dxa"/>
            <w:tcBorders>
              <w:top w:val="nil"/>
              <w:left w:val="nil"/>
              <w:bottom w:val="nil"/>
              <w:right w:val="nil"/>
            </w:tcBorders>
            <w:shd w:val="clear" w:color="auto" w:fill="auto"/>
            <w:noWrap/>
            <w:vAlign w:val="bottom"/>
            <w:hideMark/>
          </w:tcPr>
          <w:p w14:paraId="22592ACC" w14:textId="77777777" w:rsidR="0023076E" w:rsidRPr="005044F0" w:rsidRDefault="0023076E" w:rsidP="00324A07">
            <w:pPr>
              <w:jc w:val="center"/>
              <w:rPr>
                <w:color w:val="000000"/>
                <w:sz w:val="20"/>
                <w:szCs w:val="20"/>
                <w:lang w:val="es-ES"/>
              </w:rPr>
            </w:pPr>
            <w:r w:rsidRPr="005044F0">
              <w:rPr>
                <w:color w:val="000000"/>
                <w:sz w:val="20"/>
                <w:szCs w:val="20"/>
                <w:lang w:val="es-ES"/>
              </w:rPr>
              <w:t>4</w:t>
            </w:r>
          </w:p>
        </w:tc>
      </w:tr>
      <w:tr w:rsidR="0023076E" w:rsidRPr="005044F0" w14:paraId="0C482F87" w14:textId="77777777" w:rsidTr="00324A07">
        <w:trPr>
          <w:trHeight w:val="320"/>
        </w:trPr>
        <w:tc>
          <w:tcPr>
            <w:tcW w:w="3840" w:type="dxa"/>
            <w:tcBorders>
              <w:top w:val="nil"/>
              <w:left w:val="nil"/>
              <w:bottom w:val="nil"/>
              <w:right w:val="nil"/>
            </w:tcBorders>
            <w:shd w:val="clear" w:color="auto" w:fill="auto"/>
            <w:noWrap/>
            <w:vAlign w:val="bottom"/>
            <w:hideMark/>
          </w:tcPr>
          <w:p w14:paraId="0A0BC0EC" w14:textId="77777777" w:rsidR="0023076E" w:rsidRPr="005044F0" w:rsidRDefault="0023076E" w:rsidP="00324A07">
            <w:pPr>
              <w:rPr>
                <w:color w:val="000000"/>
                <w:sz w:val="20"/>
                <w:szCs w:val="20"/>
                <w:lang w:val="es-ES"/>
              </w:rPr>
            </w:pPr>
            <w:r w:rsidRPr="005044F0">
              <w:rPr>
                <w:color w:val="000000"/>
                <w:sz w:val="20"/>
                <w:szCs w:val="20"/>
                <w:lang w:val="es-ES"/>
              </w:rPr>
              <w:t xml:space="preserve">     Centrarse en las emociones y desahogarse</w:t>
            </w:r>
          </w:p>
        </w:tc>
        <w:tc>
          <w:tcPr>
            <w:tcW w:w="696" w:type="dxa"/>
            <w:tcBorders>
              <w:top w:val="nil"/>
              <w:left w:val="nil"/>
              <w:bottom w:val="nil"/>
              <w:right w:val="nil"/>
            </w:tcBorders>
            <w:shd w:val="clear" w:color="auto" w:fill="auto"/>
            <w:noWrap/>
            <w:vAlign w:val="bottom"/>
            <w:hideMark/>
          </w:tcPr>
          <w:p w14:paraId="7FF4E4D6" w14:textId="77777777" w:rsidR="0023076E" w:rsidRPr="005044F0" w:rsidRDefault="0023076E" w:rsidP="00324A07">
            <w:pPr>
              <w:jc w:val="center"/>
              <w:rPr>
                <w:color w:val="000000"/>
                <w:sz w:val="20"/>
                <w:szCs w:val="20"/>
                <w:lang w:val="es-ES"/>
              </w:rPr>
            </w:pPr>
            <w:r w:rsidRPr="005044F0">
              <w:rPr>
                <w:color w:val="000000"/>
                <w:sz w:val="20"/>
                <w:szCs w:val="20"/>
                <w:lang w:val="es-ES"/>
              </w:rPr>
              <w:t>135</w:t>
            </w:r>
          </w:p>
        </w:tc>
        <w:tc>
          <w:tcPr>
            <w:tcW w:w="709" w:type="dxa"/>
            <w:tcBorders>
              <w:top w:val="nil"/>
              <w:left w:val="nil"/>
              <w:bottom w:val="nil"/>
              <w:right w:val="nil"/>
            </w:tcBorders>
            <w:shd w:val="clear" w:color="auto" w:fill="auto"/>
            <w:noWrap/>
            <w:vAlign w:val="bottom"/>
            <w:hideMark/>
          </w:tcPr>
          <w:p w14:paraId="70FBF467" w14:textId="77777777" w:rsidR="0023076E" w:rsidRPr="005044F0" w:rsidRDefault="0023076E" w:rsidP="00324A07">
            <w:pPr>
              <w:jc w:val="center"/>
              <w:rPr>
                <w:color w:val="000000"/>
                <w:sz w:val="20"/>
                <w:szCs w:val="20"/>
                <w:lang w:val="es-ES"/>
              </w:rPr>
            </w:pPr>
            <w:r w:rsidRPr="005044F0">
              <w:rPr>
                <w:color w:val="000000"/>
                <w:sz w:val="20"/>
                <w:szCs w:val="20"/>
                <w:lang w:val="es-ES"/>
              </w:rPr>
              <w:t>2.48</w:t>
            </w:r>
          </w:p>
        </w:tc>
        <w:tc>
          <w:tcPr>
            <w:tcW w:w="992" w:type="dxa"/>
            <w:tcBorders>
              <w:top w:val="nil"/>
              <w:left w:val="nil"/>
              <w:bottom w:val="nil"/>
              <w:right w:val="nil"/>
            </w:tcBorders>
            <w:shd w:val="clear" w:color="auto" w:fill="auto"/>
            <w:noWrap/>
            <w:vAlign w:val="bottom"/>
            <w:hideMark/>
          </w:tcPr>
          <w:p w14:paraId="0CDC0DA1" w14:textId="77777777" w:rsidR="0023076E" w:rsidRPr="005044F0" w:rsidRDefault="0023076E" w:rsidP="00324A07">
            <w:pPr>
              <w:jc w:val="center"/>
              <w:rPr>
                <w:color w:val="000000"/>
                <w:sz w:val="20"/>
                <w:szCs w:val="20"/>
                <w:lang w:val="es-ES"/>
              </w:rPr>
            </w:pPr>
            <w:r w:rsidRPr="005044F0">
              <w:rPr>
                <w:color w:val="000000"/>
                <w:sz w:val="20"/>
                <w:szCs w:val="20"/>
                <w:lang w:val="es-ES"/>
              </w:rPr>
              <w:t>0.77</w:t>
            </w:r>
          </w:p>
        </w:tc>
        <w:tc>
          <w:tcPr>
            <w:tcW w:w="709" w:type="dxa"/>
            <w:tcBorders>
              <w:top w:val="nil"/>
              <w:left w:val="nil"/>
              <w:bottom w:val="nil"/>
              <w:right w:val="nil"/>
            </w:tcBorders>
            <w:shd w:val="clear" w:color="auto" w:fill="auto"/>
            <w:noWrap/>
            <w:vAlign w:val="bottom"/>
            <w:hideMark/>
          </w:tcPr>
          <w:p w14:paraId="710396DA" w14:textId="77777777" w:rsidR="0023076E" w:rsidRPr="005044F0" w:rsidRDefault="0023076E" w:rsidP="00324A07">
            <w:pPr>
              <w:jc w:val="center"/>
              <w:rPr>
                <w:color w:val="000000"/>
                <w:sz w:val="20"/>
                <w:szCs w:val="20"/>
                <w:lang w:val="es-ES"/>
              </w:rPr>
            </w:pPr>
            <w:r w:rsidRPr="005044F0">
              <w:rPr>
                <w:color w:val="000000"/>
                <w:sz w:val="20"/>
                <w:szCs w:val="20"/>
                <w:lang w:val="es-ES"/>
              </w:rPr>
              <w:t>1</w:t>
            </w:r>
          </w:p>
        </w:tc>
        <w:tc>
          <w:tcPr>
            <w:tcW w:w="709" w:type="dxa"/>
            <w:tcBorders>
              <w:top w:val="nil"/>
              <w:left w:val="nil"/>
              <w:bottom w:val="nil"/>
              <w:right w:val="nil"/>
            </w:tcBorders>
            <w:shd w:val="clear" w:color="auto" w:fill="auto"/>
            <w:noWrap/>
            <w:vAlign w:val="bottom"/>
            <w:hideMark/>
          </w:tcPr>
          <w:p w14:paraId="31BF2055" w14:textId="77777777" w:rsidR="0023076E" w:rsidRPr="005044F0" w:rsidRDefault="0023076E" w:rsidP="00324A07">
            <w:pPr>
              <w:jc w:val="center"/>
              <w:rPr>
                <w:color w:val="000000"/>
                <w:sz w:val="20"/>
                <w:szCs w:val="20"/>
                <w:lang w:val="es-ES"/>
              </w:rPr>
            </w:pPr>
            <w:r w:rsidRPr="005044F0">
              <w:rPr>
                <w:color w:val="000000"/>
                <w:sz w:val="20"/>
                <w:szCs w:val="20"/>
                <w:lang w:val="es-ES"/>
              </w:rPr>
              <w:t>4</w:t>
            </w:r>
          </w:p>
        </w:tc>
      </w:tr>
      <w:tr w:rsidR="0023076E" w:rsidRPr="005044F0" w14:paraId="412503C6" w14:textId="77777777" w:rsidTr="00324A07">
        <w:trPr>
          <w:trHeight w:val="320"/>
        </w:trPr>
        <w:tc>
          <w:tcPr>
            <w:tcW w:w="3840" w:type="dxa"/>
            <w:tcBorders>
              <w:top w:val="nil"/>
              <w:left w:val="nil"/>
              <w:bottom w:val="nil"/>
              <w:right w:val="nil"/>
            </w:tcBorders>
            <w:shd w:val="clear" w:color="auto" w:fill="auto"/>
            <w:noWrap/>
            <w:vAlign w:val="bottom"/>
            <w:hideMark/>
          </w:tcPr>
          <w:p w14:paraId="48540EEE" w14:textId="77777777" w:rsidR="0023076E" w:rsidRPr="005044F0" w:rsidRDefault="0023076E" w:rsidP="00324A07">
            <w:pPr>
              <w:rPr>
                <w:color w:val="000000"/>
                <w:sz w:val="20"/>
                <w:szCs w:val="20"/>
                <w:lang w:val="es-ES"/>
              </w:rPr>
            </w:pPr>
            <w:r w:rsidRPr="005044F0">
              <w:rPr>
                <w:color w:val="000000"/>
                <w:sz w:val="20"/>
                <w:szCs w:val="20"/>
                <w:lang w:val="es-ES"/>
              </w:rPr>
              <w:t xml:space="preserve">     Búsqueda de apoyo social</w:t>
            </w:r>
          </w:p>
        </w:tc>
        <w:tc>
          <w:tcPr>
            <w:tcW w:w="696" w:type="dxa"/>
            <w:tcBorders>
              <w:top w:val="nil"/>
              <w:left w:val="nil"/>
              <w:bottom w:val="nil"/>
              <w:right w:val="nil"/>
            </w:tcBorders>
            <w:shd w:val="clear" w:color="auto" w:fill="auto"/>
            <w:noWrap/>
            <w:vAlign w:val="bottom"/>
            <w:hideMark/>
          </w:tcPr>
          <w:p w14:paraId="5BCDA5D6" w14:textId="77777777" w:rsidR="0023076E" w:rsidRPr="005044F0" w:rsidRDefault="0023076E" w:rsidP="00324A07">
            <w:pPr>
              <w:jc w:val="center"/>
              <w:rPr>
                <w:color w:val="000000"/>
                <w:sz w:val="20"/>
                <w:szCs w:val="20"/>
                <w:lang w:val="es-ES"/>
              </w:rPr>
            </w:pPr>
            <w:r w:rsidRPr="005044F0">
              <w:rPr>
                <w:color w:val="000000"/>
                <w:sz w:val="20"/>
                <w:szCs w:val="20"/>
                <w:lang w:val="es-ES"/>
              </w:rPr>
              <w:t>135</w:t>
            </w:r>
          </w:p>
        </w:tc>
        <w:tc>
          <w:tcPr>
            <w:tcW w:w="709" w:type="dxa"/>
            <w:tcBorders>
              <w:top w:val="nil"/>
              <w:left w:val="nil"/>
              <w:bottom w:val="nil"/>
              <w:right w:val="nil"/>
            </w:tcBorders>
            <w:shd w:val="clear" w:color="auto" w:fill="auto"/>
            <w:noWrap/>
            <w:vAlign w:val="bottom"/>
            <w:hideMark/>
          </w:tcPr>
          <w:p w14:paraId="7B5FF9BA" w14:textId="77777777" w:rsidR="0023076E" w:rsidRPr="005044F0" w:rsidRDefault="0023076E" w:rsidP="00324A07">
            <w:pPr>
              <w:jc w:val="center"/>
              <w:rPr>
                <w:color w:val="000000"/>
                <w:sz w:val="20"/>
                <w:szCs w:val="20"/>
                <w:lang w:val="es-ES"/>
              </w:rPr>
            </w:pPr>
            <w:r w:rsidRPr="005044F0">
              <w:rPr>
                <w:color w:val="000000"/>
                <w:sz w:val="20"/>
                <w:szCs w:val="20"/>
                <w:lang w:val="es-ES"/>
              </w:rPr>
              <w:t>2.99</w:t>
            </w:r>
          </w:p>
        </w:tc>
        <w:tc>
          <w:tcPr>
            <w:tcW w:w="992" w:type="dxa"/>
            <w:tcBorders>
              <w:top w:val="nil"/>
              <w:left w:val="nil"/>
              <w:bottom w:val="nil"/>
              <w:right w:val="nil"/>
            </w:tcBorders>
            <w:shd w:val="clear" w:color="auto" w:fill="auto"/>
            <w:noWrap/>
            <w:vAlign w:val="bottom"/>
            <w:hideMark/>
          </w:tcPr>
          <w:p w14:paraId="2BFC3F7F" w14:textId="77777777" w:rsidR="0023076E" w:rsidRPr="005044F0" w:rsidRDefault="0023076E" w:rsidP="00324A07">
            <w:pPr>
              <w:jc w:val="center"/>
              <w:rPr>
                <w:color w:val="000000"/>
                <w:sz w:val="20"/>
                <w:szCs w:val="20"/>
                <w:lang w:val="es-ES"/>
              </w:rPr>
            </w:pPr>
            <w:r w:rsidRPr="005044F0">
              <w:rPr>
                <w:color w:val="000000"/>
                <w:sz w:val="20"/>
                <w:szCs w:val="20"/>
                <w:lang w:val="es-ES"/>
              </w:rPr>
              <w:t>0.77</w:t>
            </w:r>
          </w:p>
        </w:tc>
        <w:tc>
          <w:tcPr>
            <w:tcW w:w="709" w:type="dxa"/>
            <w:tcBorders>
              <w:top w:val="nil"/>
              <w:left w:val="nil"/>
              <w:bottom w:val="nil"/>
              <w:right w:val="nil"/>
            </w:tcBorders>
            <w:shd w:val="clear" w:color="auto" w:fill="auto"/>
            <w:noWrap/>
            <w:vAlign w:val="bottom"/>
            <w:hideMark/>
          </w:tcPr>
          <w:p w14:paraId="071CA669" w14:textId="77777777" w:rsidR="0023076E" w:rsidRPr="005044F0" w:rsidRDefault="0023076E" w:rsidP="00324A07">
            <w:pPr>
              <w:jc w:val="center"/>
              <w:rPr>
                <w:color w:val="000000"/>
                <w:sz w:val="20"/>
                <w:szCs w:val="20"/>
                <w:lang w:val="es-ES"/>
              </w:rPr>
            </w:pPr>
            <w:r w:rsidRPr="005044F0">
              <w:rPr>
                <w:color w:val="000000"/>
                <w:sz w:val="20"/>
                <w:szCs w:val="20"/>
                <w:lang w:val="es-ES"/>
              </w:rPr>
              <w:t>1</w:t>
            </w:r>
          </w:p>
        </w:tc>
        <w:tc>
          <w:tcPr>
            <w:tcW w:w="709" w:type="dxa"/>
            <w:tcBorders>
              <w:top w:val="nil"/>
              <w:left w:val="nil"/>
              <w:bottom w:val="nil"/>
              <w:right w:val="nil"/>
            </w:tcBorders>
            <w:shd w:val="clear" w:color="auto" w:fill="auto"/>
            <w:noWrap/>
            <w:vAlign w:val="bottom"/>
            <w:hideMark/>
          </w:tcPr>
          <w:p w14:paraId="7128B141" w14:textId="77777777" w:rsidR="0023076E" w:rsidRPr="005044F0" w:rsidRDefault="0023076E" w:rsidP="00324A07">
            <w:pPr>
              <w:jc w:val="center"/>
              <w:rPr>
                <w:color w:val="000000"/>
                <w:sz w:val="20"/>
                <w:szCs w:val="20"/>
                <w:lang w:val="es-ES"/>
              </w:rPr>
            </w:pPr>
            <w:r w:rsidRPr="005044F0">
              <w:rPr>
                <w:color w:val="000000"/>
                <w:sz w:val="20"/>
                <w:szCs w:val="20"/>
                <w:lang w:val="es-ES"/>
              </w:rPr>
              <w:t>4</w:t>
            </w:r>
          </w:p>
        </w:tc>
      </w:tr>
      <w:tr w:rsidR="0023076E" w:rsidRPr="005044F0" w14:paraId="5EB68B06" w14:textId="77777777" w:rsidTr="00324A07">
        <w:trPr>
          <w:trHeight w:val="320"/>
        </w:trPr>
        <w:tc>
          <w:tcPr>
            <w:tcW w:w="3840" w:type="dxa"/>
            <w:tcBorders>
              <w:top w:val="nil"/>
              <w:left w:val="nil"/>
              <w:bottom w:val="nil"/>
              <w:right w:val="nil"/>
            </w:tcBorders>
            <w:shd w:val="clear" w:color="auto" w:fill="auto"/>
            <w:noWrap/>
            <w:vAlign w:val="bottom"/>
            <w:hideMark/>
          </w:tcPr>
          <w:p w14:paraId="440E91D4" w14:textId="77777777" w:rsidR="0023076E" w:rsidRPr="005044F0" w:rsidRDefault="0023076E" w:rsidP="00324A07">
            <w:pPr>
              <w:rPr>
                <w:color w:val="000000"/>
                <w:sz w:val="20"/>
                <w:szCs w:val="20"/>
                <w:lang w:val="es-ES"/>
              </w:rPr>
            </w:pPr>
            <w:r w:rsidRPr="005044F0">
              <w:rPr>
                <w:color w:val="000000"/>
                <w:sz w:val="20"/>
                <w:szCs w:val="20"/>
                <w:lang w:val="es-ES"/>
              </w:rPr>
              <w:t xml:space="preserve">     Humor</w:t>
            </w:r>
          </w:p>
        </w:tc>
        <w:tc>
          <w:tcPr>
            <w:tcW w:w="696" w:type="dxa"/>
            <w:tcBorders>
              <w:top w:val="nil"/>
              <w:left w:val="nil"/>
              <w:bottom w:val="nil"/>
              <w:right w:val="nil"/>
            </w:tcBorders>
            <w:shd w:val="clear" w:color="auto" w:fill="auto"/>
            <w:noWrap/>
            <w:vAlign w:val="bottom"/>
            <w:hideMark/>
          </w:tcPr>
          <w:p w14:paraId="7DFD561E" w14:textId="77777777" w:rsidR="0023076E" w:rsidRPr="005044F0" w:rsidRDefault="0023076E" w:rsidP="00324A07">
            <w:pPr>
              <w:jc w:val="center"/>
              <w:rPr>
                <w:color w:val="000000"/>
                <w:sz w:val="20"/>
                <w:szCs w:val="20"/>
                <w:lang w:val="es-ES"/>
              </w:rPr>
            </w:pPr>
            <w:r w:rsidRPr="005044F0">
              <w:rPr>
                <w:color w:val="000000"/>
                <w:sz w:val="20"/>
                <w:szCs w:val="20"/>
                <w:lang w:val="es-ES"/>
              </w:rPr>
              <w:t>135</w:t>
            </w:r>
          </w:p>
        </w:tc>
        <w:tc>
          <w:tcPr>
            <w:tcW w:w="709" w:type="dxa"/>
            <w:tcBorders>
              <w:top w:val="nil"/>
              <w:left w:val="nil"/>
              <w:bottom w:val="nil"/>
              <w:right w:val="nil"/>
            </w:tcBorders>
            <w:shd w:val="clear" w:color="auto" w:fill="auto"/>
            <w:noWrap/>
            <w:vAlign w:val="bottom"/>
            <w:hideMark/>
          </w:tcPr>
          <w:p w14:paraId="7ADDB082" w14:textId="77777777" w:rsidR="0023076E" w:rsidRPr="005044F0" w:rsidRDefault="0023076E" w:rsidP="00324A07">
            <w:pPr>
              <w:jc w:val="center"/>
              <w:rPr>
                <w:color w:val="000000"/>
                <w:sz w:val="20"/>
                <w:szCs w:val="20"/>
                <w:lang w:val="es-ES"/>
              </w:rPr>
            </w:pPr>
            <w:r w:rsidRPr="005044F0">
              <w:rPr>
                <w:color w:val="000000"/>
                <w:sz w:val="20"/>
                <w:szCs w:val="20"/>
                <w:lang w:val="es-ES"/>
              </w:rPr>
              <w:t>2.54</w:t>
            </w:r>
          </w:p>
        </w:tc>
        <w:tc>
          <w:tcPr>
            <w:tcW w:w="992" w:type="dxa"/>
            <w:tcBorders>
              <w:top w:val="nil"/>
              <w:left w:val="nil"/>
              <w:bottom w:val="nil"/>
              <w:right w:val="nil"/>
            </w:tcBorders>
            <w:shd w:val="clear" w:color="auto" w:fill="auto"/>
            <w:noWrap/>
            <w:vAlign w:val="bottom"/>
            <w:hideMark/>
          </w:tcPr>
          <w:p w14:paraId="25C975EC" w14:textId="77777777" w:rsidR="0023076E" w:rsidRPr="005044F0" w:rsidRDefault="0023076E" w:rsidP="00324A07">
            <w:pPr>
              <w:jc w:val="center"/>
              <w:rPr>
                <w:color w:val="000000"/>
                <w:sz w:val="20"/>
                <w:szCs w:val="20"/>
                <w:lang w:val="es-ES"/>
              </w:rPr>
            </w:pPr>
            <w:r w:rsidRPr="005044F0">
              <w:rPr>
                <w:color w:val="000000"/>
                <w:sz w:val="20"/>
                <w:szCs w:val="20"/>
                <w:lang w:val="es-ES"/>
              </w:rPr>
              <w:t>0.95</w:t>
            </w:r>
          </w:p>
        </w:tc>
        <w:tc>
          <w:tcPr>
            <w:tcW w:w="709" w:type="dxa"/>
            <w:tcBorders>
              <w:top w:val="nil"/>
              <w:left w:val="nil"/>
              <w:bottom w:val="nil"/>
              <w:right w:val="nil"/>
            </w:tcBorders>
            <w:shd w:val="clear" w:color="auto" w:fill="auto"/>
            <w:noWrap/>
            <w:vAlign w:val="bottom"/>
            <w:hideMark/>
          </w:tcPr>
          <w:p w14:paraId="3CBD9A9A" w14:textId="77777777" w:rsidR="0023076E" w:rsidRPr="005044F0" w:rsidRDefault="0023076E" w:rsidP="00324A07">
            <w:pPr>
              <w:jc w:val="center"/>
              <w:rPr>
                <w:color w:val="000000"/>
                <w:sz w:val="20"/>
                <w:szCs w:val="20"/>
                <w:lang w:val="es-ES"/>
              </w:rPr>
            </w:pPr>
            <w:r w:rsidRPr="005044F0">
              <w:rPr>
                <w:color w:val="000000"/>
                <w:sz w:val="20"/>
                <w:szCs w:val="20"/>
                <w:lang w:val="es-ES"/>
              </w:rPr>
              <w:t>1</w:t>
            </w:r>
          </w:p>
        </w:tc>
        <w:tc>
          <w:tcPr>
            <w:tcW w:w="709" w:type="dxa"/>
            <w:tcBorders>
              <w:top w:val="nil"/>
              <w:left w:val="nil"/>
              <w:bottom w:val="nil"/>
              <w:right w:val="nil"/>
            </w:tcBorders>
            <w:shd w:val="clear" w:color="auto" w:fill="auto"/>
            <w:noWrap/>
            <w:vAlign w:val="bottom"/>
            <w:hideMark/>
          </w:tcPr>
          <w:p w14:paraId="50E0E4CE" w14:textId="77777777" w:rsidR="0023076E" w:rsidRPr="005044F0" w:rsidRDefault="0023076E" w:rsidP="00324A07">
            <w:pPr>
              <w:jc w:val="center"/>
              <w:rPr>
                <w:color w:val="000000"/>
                <w:sz w:val="20"/>
                <w:szCs w:val="20"/>
                <w:lang w:val="es-ES"/>
              </w:rPr>
            </w:pPr>
            <w:r w:rsidRPr="005044F0">
              <w:rPr>
                <w:color w:val="000000"/>
                <w:sz w:val="20"/>
                <w:szCs w:val="20"/>
                <w:lang w:val="es-ES"/>
              </w:rPr>
              <w:t>4</w:t>
            </w:r>
          </w:p>
        </w:tc>
      </w:tr>
      <w:tr w:rsidR="0023076E" w:rsidRPr="005044F0" w14:paraId="0C7A3E5E" w14:textId="77777777" w:rsidTr="00324A07">
        <w:trPr>
          <w:trHeight w:val="320"/>
        </w:trPr>
        <w:tc>
          <w:tcPr>
            <w:tcW w:w="3840" w:type="dxa"/>
            <w:tcBorders>
              <w:top w:val="nil"/>
              <w:left w:val="nil"/>
              <w:bottom w:val="nil"/>
              <w:right w:val="nil"/>
            </w:tcBorders>
            <w:shd w:val="clear" w:color="auto" w:fill="auto"/>
            <w:noWrap/>
            <w:vAlign w:val="bottom"/>
            <w:hideMark/>
          </w:tcPr>
          <w:p w14:paraId="1C005D5E" w14:textId="77777777" w:rsidR="0023076E" w:rsidRPr="005044F0" w:rsidRDefault="0023076E" w:rsidP="00324A07">
            <w:pPr>
              <w:rPr>
                <w:color w:val="000000"/>
                <w:sz w:val="20"/>
                <w:szCs w:val="20"/>
                <w:lang w:val="es-ES"/>
              </w:rPr>
            </w:pPr>
            <w:r w:rsidRPr="005044F0">
              <w:rPr>
                <w:color w:val="000000"/>
                <w:sz w:val="20"/>
                <w:szCs w:val="20"/>
                <w:lang w:val="es-ES"/>
              </w:rPr>
              <w:t xml:space="preserve">     Religión</w:t>
            </w:r>
          </w:p>
        </w:tc>
        <w:tc>
          <w:tcPr>
            <w:tcW w:w="696" w:type="dxa"/>
            <w:tcBorders>
              <w:top w:val="nil"/>
              <w:left w:val="nil"/>
              <w:bottom w:val="nil"/>
              <w:right w:val="nil"/>
            </w:tcBorders>
            <w:shd w:val="clear" w:color="auto" w:fill="auto"/>
            <w:noWrap/>
            <w:vAlign w:val="bottom"/>
            <w:hideMark/>
          </w:tcPr>
          <w:p w14:paraId="550AA01C" w14:textId="77777777" w:rsidR="0023076E" w:rsidRPr="005044F0" w:rsidRDefault="0023076E" w:rsidP="00324A07">
            <w:pPr>
              <w:jc w:val="center"/>
              <w:rPr>
                <w:color w:val="000000"/>
                <w:sz w:val="20"/>
                <w:szCs w:val="20"/>
                <w:lang w:val="es-ES"/>
              </w:rPr>
            </w:pPr>
            <w:r w:rsidRPr="005044F0">
              <w:rPr>
                <w:color w:val="000000"/>
                <w:sz w:val="20"/>
                <w:szCs w:val="20"/>
                <w:lang w:val="es-ES"/>
              </w:rPr>
              <w:t>135</w:t>
            </w:r>
          </w:p>
        </w:tc>
        <w:tc>
          <w:tcPr>
            <w:tcW w:w="709" w:type="dxa"/>
            <w:tcBorders>
              <w:top w:val="nil"/>
              <w:left w:val="nil"/>
              <w:bottom w:val="nil"/>
              <w:right w:val="nil"/>
            </w:tcBorders>
            <w:shd w:val="clear" w:color="auto" w:fill="auto"/>
            <w:noWrap/>
            <w:vAlign w:val="bottom"/>
            <w:hideMark/>
          </w:tcPr>
          <w:p w14:paraId="13AD3E85" w14:textId="77777777" w:rsidR="0023076E" w:rsidRPr="005044F0" w:rsidRDefault="0023076E" w:rsidP="00324A07">
            <w:pPr>
              <w:jc w:val="center"/>
              <w:rPr>
                <w:color w:val="000000"/>
                <w:sz w:val="20"/>
                <w:szCs w:val="20"/>
                <w:lang w:val="es-ES"/>
              </w:rPr>
            </w:pPr>
            <w:r w:rsidRPr="005044F0">
              <w:rPr>
                <w:color w:val="000000"/>
                <w:sz w:val="20"/>
                <w:szCs w:val="20"/>
                <w:lang w:val="es-ES"/>
              </w:rPr>
              <w:t>2.67</w:t>
            </w:r>
          </w:p>
        </w:tc>
        <w:tc>
          <w:tcPr>
            <w:tcW w:w="992" w:type="dxa"/>
            <w:tcBorders>
              <w:top w:val="nil"/>
              <w:left w:val="nil"/>
              <w:bottom w:val="nil"/>
              <w:right w:val="nil"/>
            </w:tcBorders>
            <w:shd w:val="clear" w:color="auto" w:fill="auto"/>
            <w:noWrap/>
            <w:vAlign w:val="bottom"/>
            <w:hideMark/>
          </w:tcPr>
          <w:p w14:paraId="784440D1" w14:textId="77777777" w:rsidR="0023076E" w:rsidRPr="005044F0" w:rsidRDefault="0023076E" w:rsidP="00324A07">
            <w:pPr>
              <w:jc w:val="center"/>
              <w:rPr>
                <w:color w:val="000000"/>
                <w:sz w:val="20"/>
                <w:szCs w:val="20"/>
                <w:lang w:val="es-ES"/>
              </w:rPr>
            </w:pPr>
            <w:r w:rsidRPr="005044F0">
              <w:rPr>
                <w:color w:val="000000"/>
                <w:sz w:val="20"/>
                <w:szCs w:val="20"/>
                <w:lang w:val="es-ES"/>
              </w:rPr>
              <w:t>1.00</w:t>
            </w:r>
          </w:p>
        </w:tc>
        <w:tc>
          <w:tcPr>
            <w:tcW w:w="709" w:type="dxa"/>
            <w:tcBorders>
              <w:top w:val="nil"/>
              <w:left w:val="nil"/>
              <w:bottom w:val="nil"/>
              <w:right w:val="nil"/>
            </w:tcBorders>
            <w:shd w:val="clear" w:color="auto" w:fill="auto"/>
            <w:noWrap/>
            <w:vAlign w:val="bottom"/>
            <w:hideMark/>
          </w:tcPr>
          <w:p w14:paraId="6D777D38" w14:textId="77777777" w:rsidR="0023076E" w:rsidRPr="005044F0" w:rsidRDefault="0023076E" w:rsidP="00324A07">
            <w:pPr>
              <w:jc w:val="center"/>
              <w:rPr>
                <w:color w:val="000000"/>
                <w:sz w:val="20"/>
                <w:szCs w:val="20"/>
                <w:lang w:val="es-ES"/>
              </w:rPr>
            </w:pPr>
            <w:r w:rsidRPr="005044F0">
              <w:rPr>
                <w:color w:val="000000"/>
                <w:sz w:val="20"/>
                <w:szCs w:val="20"/>
                <w:lang w:val="es-ES"/>
              </w:rPr>
              <w:t>1</w:t>
            </w:r>
          </w:p>
        </w:tc>
        <w:tc>
          <w:tcPr>
            <w:tcW w:w="709" w:type="dxa"/>
            <w:tcBorders>
              <w:top w:val="nil"/>
              <w:left w:val="nil"/>
              <w:bottom w:val="nil"/>
              <w:right w:val="nil"/>
            </w:tcBorders>
            <w:shd w:val="clear" w:color="auto" w:fill="auto"/>
            <w:noWrap/>
            <w:vAlign w:val="bottom"/>
            <w:hideMark/>
          </w:tcPr>
          <w:p w14:paraId="1C0BD1BF" w14:textId="77777777" w:rsidR="0023076E" w:rsidRPr="005044F0" w:rsidRDefault="0023076E" w:rsidP="00324A07">
            <w:pPr>
              <w:jc w:val="center"/>
              <w:rPr>
                <w:color w:val="000000"/>
                <w:sz w:val="20"/>
                <w:szCs w:val="20"/>
                <w:lang w:val="es-ES"/>
              </w:rPr>
            </w:pPr>
            <w:r w:rsidRPr="005044F0">
              <w:rPr>
                <w:color w:val="000000"/>
                <w:sz w:val="20"/>
                <w:szCs w:val="20"/>
                <w:lang w:val="es-ES"/>
              </w:rPr>
              <w:t>4</w:t>
            </w:r>
          </w:p>
        </w:tc>
      </w:tr>
      <w:tr w:rsidR="0023076E" w:rsidRPr="005044F0" w14:paraId="0FF31B13" w14:textId="77777777" w:rsidTr="00324A07">
        <w:trPr>
          <w:trHeight w:val="320"/>
        </w:trPr>
        <w:tc>
          <w:tcPr>
            <w:tcW w:w="3840" w:type="dxa"/>
            <w:tcBorders>
              <w:top w:val="nil"/>
              <w:left w:val="nil"/>
              <w:bottom w:val="nil"/>
              <w:right w:val="nil"/>
            </w:tcBorders>
            <w:shd w:val="clear" w:color="auto" w:fill="auto"/>
            <w:noWrap/>
            <w:vAlign w:val="bottom"/>
            <w:hideMark/>
          </w:tcPr>
          <w:p w14:paraId="48B7558B" w14:textId="77777777" w:rsidR="0023076E" w:rsidRPr="005044F0" w:rsidRDefault="0023076E" w:rsidP="00324A07">
            <w:pPr>
              <w:rPr>
                <w:color w:val="000000"/>
                <w:sz w:val="20"/>
                <w:szCs w:val="20"/>
                <w:lang w:val="es-ES"/>
              </w:rPr>
            </w:pPr>
            <w:r w:rsidRPr="005044F0">
              <w:rPr>
                <w:color w:val="000000"/>
                <w:sz w:val="20"/>
                <w:szCs w:val="20"/>
                <w:lang w:val="es-ES"/>
              </w:rPr>
              <w:t xml:space="preserve">     Negación</w:t>
            </w:r>
          </w:p>
        </w:tc>
        <w:tc>
          <w:tcPr>
            <w:tcW w:w="696" w:type="dxa"/>
            <w:tcBorders>
              <w:top w:val="nil"/>
              <w:left w:val="nil"/>
              <w:bottom w:val="nil"/>
              <w:right w:val="nil"/>
            </w:tcBorders>
            <w:shd w:val="clear" w:color="auto" w:fill="auto"/>
            <w:noWrap/>
            <w:vAlign w:val="bottom"/>
            <w:hideMark/>
          </w:tcPr>
          <w:p w14:paraId="3C599495" w14:textId="77777777" w:rsidR="0023076E" w:rsidRPr="005044F0" w:rsidRDefault="0023076E" w:rsidP="00324A07">
            <w:pPr>
              <w:jc w:val="center"/>
              <w:rPr>
                <w:color w:val="000000"/>
                <w:sz w:val="20"/>
                <w:szCs w:val="20"/>
                <w:lang w:val="es-ES"/>
              </w:rPr>
            </w:pPr>
            <w:r w:rsidRPr="005044F0">
              <w:rPr>
                <w:color w:val="000000"/>
                <w:sz w:val="20"/>
                <w:szCs w:val="20"/>
                <w:lang w:val="es-ES"/>
              </w:rPr>
              <w:t>135</w:t>
            </w:r>
          </w:p>
        </w:tc>
        <w:tc>
          <w:tcPr>
            <w:tcW w:w="709" w:type="dxa"/>
            <w:tcBorders>
              <w:top w:val="nil"/>
              <w:left w:val="nil"/>
              <w:bottom w:val="nil"/>
              <w:right w:val="nil"/>
            </w:tcBorders>
            <w:shd w:val="clear" w:color="auto" w:fill="auto"/>
            <w:noWrap/>
            <w:vAlign w:val="bottom"/>
            <w:hideMark/>
          </w:tcPr>
          <w:p w14:paraId="53A5DEDC" w14:textId="77777777" w:rsidR="0023076E" w:rsidRPr="005044F0" w:rsidRDefault="0023076E" w:rsidP="00324A07">
            <w:pPr>
              <w:jc w:val="center"/>
              <w:rPr>
                <w:color w:val="000000"/>
                <w:sz w:val="20"/>
                <w:szCs w:val="20"/>
                <w:lang w:val="es-ES"/>
              </w:rPr>
            </w:pPr>
            <w:r w:rsidRPr="005044F0">
              <w:rPr>
                <w:color w:val="000000"/>
                <w:sz w:val="20"/>
                <w:szCs w:val="20"/>
                <w:lang w:val="es-ES"/>
              </w:rPr>
              <w:t>1.59</w:t>
            </w:r>
          </w:p>
        </w:tc>
        <w:tc>
          <w:tcPr>
            <w:tcW w:w="992" w:type="dxa"/>
            <w:tcBorders>
              <w:top w:val="nil"/>
              <w:left w:val="nil"/>
              <w:bottom w:val="nil"/>
              <w:right w:val="nil"/>
            </w:tcBorders>
            <w:shd w:val="clear" w:color="auto" w:fill="auto"/>
            <w:noWrap/>
            <w:vAlign w:val="bottom"/>
            <w:hideMark/>
          </w:tcPr>
          <w:p w14:paraId="1D6389BF" w14:textId="77777777" w:rsidR="0023076E" w:rsidRPr="005044F0" w:rsidRDefault="0023076E" w:rsidP="00324A07">
            <w:pPr>
              <w:jc w:val="center"/>
              <w:rPr>
                <w:color w:val="000000"/>
                <w:sz w:val="20"/>
                <w:szCs w:val="20"/>
                <w:lang w:val="es-ES"/>
              </w:rPr>
            </w:pPr>
            <w:r w:rsidRPr="005044F0">
              <w:rPr>
                <w:color w:val="000000"/>
                <w:sz w:val="20"/>
                <w:szCs w:val="20"/>
                <w:lang w:val="es-ES"/>
              </w:rPr>
              <w:t>0.86</w:t>
            </w:r>
          </w:p>
        </w:tc>
        <w:tc>
          <w:tcPr>
            <w:tcW w:w="709" w:type="dxa"/>
            <w:tcBorders>
              <w:top w:val="nil"/>
              <w:left w:val="nil"/>
              <w:bottom w:val="nil"/>
              <w:right w:val="nil"/>
            </w:tcBorders>
            <w:shd w:val="clear" w:color="auto" w:fill="auto"/>
            <w:noWrap/>
            <w:vAlign w:val="bottom"/>
            <w:hideMark/>
          </w:tcPr>
          <w:p w14:paraId="0EA8267A" w14:textId="77777777" w:rsidR="0023076E" w:rsidRPr="005044F0" w:rsidRDefault="0023076E" w:rsidP="00324A07">
            <w:pPr>
              <w:jc w:val="center"/>
              <w:rPr>
                <w:color w:val="000000"/>
                <w:sz w:val="20"/>
                <w:szCs w:val="20"/>
                <w:lang w:val="es-ES"/>
              </w:rPr>
            </w:pPr>
            <w:r w:rsidRPr="005044F0">
              <w:rPr>
                <w:color w:val="000000"/>
                <w:sz w:val="20"/>
                <w:szCs w:val="20"/>
                <w:lang w:val="es-ES"/>
              </w:rPr>
              <w:t>1</w:t>
            </w:r>
          </w:p>
        </w:tc>
        <w:tc>
          <w:tcPr>
            <w:tcW w:w="709" w:type="dxa"/>
            <w:tcBorders>
              <w:top w:val="nil"/>
              <w:left w:val="nil"/>
              <w:bottom w:val="nil"/>
              <w:right w:val="nil"/>
            </w:tcBorders>
            <w:shd w:val="clear" w:color="auto" w:fill="auto"/>
            <w:noWrap/>
            <w:vAlign w:val="bottom"/>
            <w:hideMark/>
          </w:tcPr>
          <w:p w14:paraId="63D8D1BD" w14:textId="77777777" w:rsidR="0023076E" w:rsidRPr="005044F0" w:rsidRDefault="0023076E" w:rsidP="00324A07">
            <w:pPr>
              <w:jc w:val="center"/>
              <w:rPr>
                <w:color w:val="000000"/>
                <w:sz w:val="20"/>
                <w:szCs w:val="20"/>
                <w:lang w:val="es-ES"/>
              </w:rPr>
            </w:pPr>
            <w:r w:rsidRPr="005044F0">
              <w:rPr>
                <w:color w:val="000000"/>
                <w:sz w:val="20"/>
                <w:szCs w:val="20"/>
                <w:lang w:val="es-ES"/>
              </w:rPr>
              <w:t>4</w:t>
            </w:r>
          </w:p>
        </w:tc>
      </w:tr>
      <w:tr w:rsidR="0023076E" w:rsidRPr="005044F0" w14:paraId="234D82E7" w14:textId="77777777" w:rsidTr="00324A07">
        <w:trPr>
          <w:trHeight w:val="320"/>
        </w:trPr>
        <w:tc>
          <w:tcPr>
            <w:tcW w:w="3840" w:type="dxa"/>
            <w:tcBorders>
              <w:top w:val="nil"/>
              <w:left w:val="nil"/>
              <w:bottom w:val="nil"/>
              <w:right w:val="nil"/>
            </w:tcBorders>
            <w:shd w:val="clear" w:color="auto" w:fill="auto"/>
            <w:noWrap/>
            <w:vAlign w:val="bottom"/>
            <w:hideMark/>
          </w:tcPr>
          <w:p w14:paraId="7C627274" w14:textId="77777777" w:rsidR="0023076E" w:rsidRPr="005044F0" w:rsidRDefault="0023076E" w:rsidP="00324A07">
            <w:pPr>
              <w:rPr>
                <w:color w:val="000000"/>
                <w:sz w:val="20"/>
                <w:szCs w:val="20"/>
                <w:lang w:val="es-ES"/>
              </w:rPr>
            </w:pPr>
            <w:r w:rsidRPr="005044F0">
              <w:rPr>
                <w:color w:val="000000"/>
                <w:sz w:val="20"/>
                <w:szCs w:val="20"/>
                <w:lang w:val="es-ES"/>
              </w:rPr>
              <w:t xml:space="preserve">     Refrenar el afrontamiento</w:t>
            </w:r>
          </w:p>
        </w:tc>
        <w:tc>
          <w:tcPr>
            <w:tcW w:w="696" w:type="dxa"/>
            <w:tcBorders>
              <w:top w:val="nil"/>
              <w:left w:val="nil"/>
              <w:bottom w:val="nil"/>
              <w:right w:val="nil"/>
            </w:tcBorders>
            <w:shd w:val="clear" w:color="auto" w:fill="auto"/>
            <w:noWrap/>
            <w:vAlign w:val="bottom"/>
            <w:hideMark/>
          </w:tcPr>
          <w:p w14:paraId="67CDC213" w14:textId="77777777" w:rsidR="0023076E" w:rsidRPr="005044F0" w:rsidRDefault="0023076E" w:rsidP="00324A07">
            <w:pPr>
              <w:jc w:val="center"/>
              <w:rPr>
                <w:color w:val="000000"/>
                <w:sz w:val="20"/>
                <w:szCs w:val="20"/>
                <w:lang w:val="es-ES"/>
              </w:rPr>
            </w:pPr>
            <w:r w:rsidRPr="005044F0">
              <w:rPr>
                <w:color w:val="000000"/>
                <w:sz w:val="20"/>
                <w:szCs w:val="20"/>
                <w:lang w:val="es-ES"/>
              </w:rPr>
              <w:t>135</w:t>
            </w:r>
          </w:p>
        </w:tc>
        <w:tc>
          <w:tcPr>
            <w:tcW w:w="709" w:type="dxa"/>
            <w:tcBorders>
              <w:top w:val="nil"/>
              <w:left w:val="nil"/>
              <w:bottom w:val="nil"/>
              <w:right w:val="nil"/>
            </w:tcBorders>
            <w:shd w:val="clear" w:color="auto" w:fill="auto"/>
            <w:noWrap/>
            <w:vAlign w:val="bottom"/>
            <w:hideMark/>
          </w:tcPr>
          <w:p w14:paraId="5B9B4F82" w14:textId="77777777" w:rsidR="0023076E" w:rsidRPr="005044F0" w:rsidRDefault="0023076E" w:rsidP="00324A07">
            <w:pPr>
              <w:jc w:val="center"/>
              <w:rPr>
                <w:color w:val="000000"/>
                <w:sz w:val="20"/>
                <w:szCs w:val="20"/>
                <w:lang w:val="es-ES"/>
              </w:rPr>
            </w:pPr>
            <w:r w:rsidRPr="005044F0">
              <w:rPr>
                <w:color w:val="000000"/>
                <w:sz w:val="20"/>
                <w:szCs w:val="20"/>
                <w:lang w:val="es-ES"/>
              </w:rPr>
              <w:t>2.50</w:t>
            </w:r>
          </w:p>
        </w:tc>
        <w:tc>
          <w:tcPr>
            <w:tcW w:w="992" w:type="dxa"/>
            <w:tcBorders>
              <w:top w:val="nil"/>
              <w:left w:val="nil"/>
              <w:bottom w:val="nil"/>
              <w:right w:val="nil"/>
            </w:tcBorders>
            <w:shd w:val="clear" w:color="auto" w:fill="auto"/>
            <w:noWrap/>
            <w:vAlign w:val="bottom"/>
            <w:hideMark/>
          </w:tcPr>
          <w:p w14:paraId="70460AAF" w14:textId="77777777" w:rsidR="0023076E" w:rsidRPr="005044F0" w:rsidRDefault="0023076E" w:rsidP="00324A07">
            <w:pPr>
              <w:jc w:val="center"/>
              <w:rPr>
                <w:color w:val="000000"/>
                <w:sz w:val="20"/>
                <w:szCs w:val="20"/>
                <w:lang w:val="es-ES"/>
              </w:rPr>
            </w:pPr>
            <w:r w:rsidRPr="005044F0">
              <w:rPr>
                <w:color w:val="000000"/>
                <w:sz w:val="20"/>
                <w:szCs w:val="20"/>
                <w:lang w:val="es-ES"/>
              </w:rPr>
              <w:t>0.67</w:t>
            </w:r>
          </w:p>
        </w:tc>
        <w:tc>
          <w:tcPr>
            <w:tcW w:w="709" w:type="dxa"/>
            <w:tcBorders>
              <w:top w:val="nil"/>
              <w:left w:val="nil"/>
              <w:bottom w:val="nil"/>
              <w:right w:val="nil"/>
            </w:tcBorders>
            <w:shd w:val="clear" w:color="auto" w:fill="auto"/>
            <w:noWrap/>
            <w:vAlign w:val="bottom"/>
            <w:hideMark/>
          </w:tcPr>
          <w:p w14:paraId="4A14E152" w14:textId="77777777" w:rsidR="0023076E" w:rsidRPr="005044F0" w:rsidRDefault="0023076E" w:rsidP="00324A07">
            <w:pPr>
              <w:jc w:val="center"/>
              <w:rPr>
                <w:color w:val="000000"/>
                <w:sz w:val="20"/>
                <w:szCs w:val="20"/>
                <w:lang w:val="es-ES"/>
              </w:rPr>
            </w:pPr>
            <w:r w:rsidRPr="005044F0">
              <w:rPr>
                <w:color w:val="000000"/>
                <w:sz w:val="20"/>
                <w:szCs w:val="20"/>
                <w:lang w:val="es-ES"/>
              </w:rPr>
              <w:t>1</w:t>
            </w:r>
          </w:p>
        </w:tc>
        <w:tc>
          <w:tcPr>
            <w:tcW w:w="709" w:type="dxa"/>
            <w:tcBorders>
              <w:top w:val="nil"/>
              <w:left w:val="nil"/>
              <w:bottom w:val="nil"/>
              <w:right w:val="nil"/>
            </w:tcBorders>
            <w:shd w:val="clear" w:color="auto" w:fill="auto"/>
            <w:noWrap/>
            <w:vAlign w:val="bottom"/>
            <w:hideMark/>
          </w:tcPr>
          <w:p w14:paraId="1E14E979" w14:textId="77777777" w:rsidR="0023076E" w:rsidRPr="005044F0" w:rsidRDefault="0023076E" w:rsidP="00324A07">
            <w:pPr>
              <w:jc w:val="center"/>
              <w:rPr>
                <w:color w:val="000000"/>
                <w:sz w:val="20"/>
                <w:szCs w:val="20"/>
                <w:lang w:val="es-ES"/>
              </w:rPr>
            </w:pPr>
            <w:r w:rsidRPr="005044F0">
              <w:rPr>
                <w:color w:val="000000"/>
                <w:sz w:val="20"/>
                <w:szCs w:val="20"/>
                <w:lang w:val="es-ES"/>
              </w:rPr>
              <w:t>4</w:t>
            </w:r>
          </w:p>
        </w:tc>
      </w:tr>
      <w:tr w:rsidR="0023076E" w:rsidRPr="005044F0" w14:paraId="59128C81" w14:textId="77777777" w:rsidTr="00324A07">
        <w:trPr>
          <w:trHeight w:val="320"/>
        </w:trPr>
        <w:tc>
          <w:tcPr>
            <w:tcW w:w="3840" w:type="dxa"/>
            <w:tcBorders>
              <w:top w:val="nil"/>
              <w:left w:val="nil"/>
              <w:bottom w:val="single" w:sz="4" w:space="0" w:color="auto"/>
              <w:right w:val="nil"/>
            </w:tcBorders>
            <w:shd w:val="clear" w:color="auto" w:fill="auto"/>
            <w:noWrap/>
            <w:vAlign w:val="bottom"/>
            <w:hideMark/>
          </w:tcPr>
          <w:p w14:paraId="6FA39761" w14:textId="77777777" w:rsidR="0023076E" w:rsidRPr="005044F0" w:rsidRDefault="0023076E" w:rsidP="00324A07">
            <w:pPr>
              <w:rPr>
                <w:color w:val="000000"/>
                <w:sz w:val="20"/>
                <w:szCs w:val="20"/>
                <w:lang w:val="es-ES"/>
              </w:rPr>
            </w:pPr>
            <w:r w:rsidRPr="005044F0">
              <w:rPr>
                <w:color w:val="000000"/>
                <w:sz w:val="20"/>
                <w:szCs w:val="20"/>
                <w:lang w:val="es-ES"/>
              </w:rPr>
              <w:t xml:space="preserve">     Aceptación y crecimiento personal</w:t>
            </w:r>
          </w:p>
        </w:tc>
        <w:tc>
          <w:tcPr>
            <w:tcW w:w="696" w:type="dxa"/>
            <w:tcBorders>
              <w:top w:val="nil"/>
              <w:left w:val="nil"/>
              <w:bottom w:val="single" w:sz="4" w:space="0" w:color="auto"/>
              <w:right w:val="nil"/>
            </w:tcBorders>
            <w:shd w:val="clear" w:color="auto" w:fill="auto"/>
            <w:noWrap/>
            <w:vAlign w:val="bottom"/>
            <w:hideMark/>
          </w:tcPr>
          <w:p w14:paraId="71F35EAB" w14:textId="77777777" w:rsidR="0023076E" w:rsidRPr="005044F0" w:rsidRDefault="0023076E" w:rsidP="00324A07">
            <w:pPr>
              <w:jc w:val="center"/>
              <w:rPr>
                <w:color w:val="000000"/>
                <w:sz w:val="20"/>
                <w:szCs w:val="20"/>
                <w:lang w:val="es-ES"/>
              </w:rPr>
            </w:pPr>
            <w:r w:rsidRPr="005044F0">
              <w:rPr>
                <w:color w:val="000000"/>
                <w:sz w:val="20"/>
                <w:szCs w:val="20"/>
                <w:lang w:val="es-ES"/>
              </w:rPr>
              <w:t>135</w:t>
            </w:r>
          </w:p>
        </w:tc>
        <w:tc>
          <w:tcPr>
            <w:tcW w:w="709" w:type="dxa"/>
            <w:tcBorders>
              <w:top w:val="nil"/>
              <w:left w:val="nil"/>
              <w:bottom w:val="single" w:sz="4" w:space="0" w:color="auto"/>
              <w:right w:val="nil"/>
            </w:tcBorders>
            <w:shd w:val="clear" w:color="auto" w:fill="auto"/>
            <w:noWrap/>
            <w:vAlign w:val="bottom"/>
            <w:hideMark/>
          </w:tcPr>
          <w:p w14:paraId="2083BED5" w14:textId="77777777" w:rsidR="0023076E" w:rsidRPr="005044F0" w:rsidRDefault="0023076E" w:rsidP="00324A07">
            <w:pPr>
              <w:jc w:val="center"/>
              <w:rPr>
                <w:color w:val="000000"/>
                <w:sz w:val="20"/>
                <w:szCs w:val="20"/>
                <w:lang w:val="es-ES"/>
              </w:rPr>
            </w:pPr>
            <w:r w:rsidRPr="005044F0">
              <w:rPr>
                <w:color w:val="000000"/>
                <w:sz w:val="20"/>
                <w:szCs w:val="20"/>
                <w:lang w:val="es-ES"/>
              </w:rPr>
              <w:t>3.30</w:t>
            </w:r>
          </w:p>
        </w:tc>
        <w:tc>
          <w:tcPr>
            <w:tcW w:w="992" w:type="dxa"/>
            <w:tcBorders>
              <w:top w:val="nil"/>
              <w:left w:val="nil"/>
              <w:bottom w:val="single" w:sz="4" w:space="0" w:color="auto"/>
              <w:right w:val="nil"/>
            </w:tcBorders>
            <w:shd w:val="clear" w:color="auto" w:fill="auto"/>
            <w:noWrap/>
            <w:vAlign w:val="bottom"/>
            <w:hideMark/>
          </w:tcPr>
          <w:p w14:paraId="793CBCD4" w14:textId="77777777" w:rsidR="0023076E" w:rsidRPr="005044F0" w:rsidRDefault="0023076E" w:rsidP="00324A07">
            <w:pPr>
              <w:jc w:val="center"/>
              <w:rPr>
                <w:color w:val="000000"/>
                <w:sz w:val="20"/>
                <w:szCs w:val="20"/>
                <w:lang w:val="es-ES"/>
              </w:rPr>
            </w:pPr>
            <w:r w:rsidRPr="005044F0">
              <w:rPr>
                <w:color w:val="000000"/>
                <w:sz w:val="20"/>
                <w:szCs w:val="20"/>
                <w:lang w:val="es-ES"/>
              </w:rPr>
              <w:t>0.56</w:t>
            </w:r>
          </w:p>
        </w:tc>
        <w:tc>
          <w:tcPr>
            <w:tcW w:w="709" w:type="dxa"/>
            <w:tcBorders>
              <w:top w:val="nil"/>
              <w:left w:val="nil"/>
              <w:bottom w:val="single" w:sz="4" w:space="0" w:color="auto"/>
              <w:right w:val="nil"/>
            </w:tcBorders>
            <w:shd w:val="clear" w:color="auto" w:fill="auto"/>
            <w:noWrap/>
            <w:vAlign w:val="bottom"/>
            <w:hideMark/>
          </w:tcPr>
          <w:p w14:paraId="2A250DD9" w14:textId="77777777" w:rsidR="0023076E" w:rsidRPr="005044F0" w:rsidRDefault="0023076E" w:rsidP="00324A07">
            <w:pPr>
              <w:jc w:val="center"/>
              <w:rPr>
                <w:color w:val="000000"/>
                <w:sz w:val="20"/>
                <w:szCs w:val="20"/>
                <w:lang w:val="es-ES"/>
              </w:rPr>
            </w:pPr>
            <w:r w:rsidRPr="005044F0">
              <w:rPr>
                <w:color w:val="000000"/>
                <w:sz w:val="20"/>
                <w:szCs w:val="20"/>
                <w:lang w:val="es-ES"/>
              </w:rPr>
              <w:t>1.43</w:t>
            </w:r>
          </w:p>
        </w:tc>
        <w:tc>
          <w:tcPr>
            <w:tcW w:w="709" w:type="dxa"/>
            <w:tcBorders>
              <w:top w:val="nil"/>
              <w:left w:val="nil"/>
              <w:bottom w:val="single" w:sz="4" w:space="0" w:color="auto"/>
              <w:right w:val="nil"/>
            </w:tcBorders>
            <w:shd w:val="clear" w:color="auto" w:fill="auto"/>
            <w:noWrap/>
            <w:vAlign w:val="bottom"/>
            <w:hideMark/>
          </w:tcPr>
          <w:p w14:paraId="6A9108FC" w14:textId="77777777" w:rsidR="0023076E" w:rsidRPr="005044F0" w:rsidRDefault="0023076E" w:rsidP="00324A07">
            <w:pPr>
              <w:jc w:val="center"/>
              <w:rPr>
                <w:color w:val="000000"/>
                <w:sz w:val="20"/>
                <w:szCs w:val="20"/>
                <w:lang w:val="es-ES"/>
              </w:rPr>
            </w:pPr>
            <w:r w:rsidRPr="005044F0">
              <w:rPr>
                <w:color w:val="000000"/>
                <w:sz w:val="20"/>
                <w:szCs w:val="20"/>
                <w:lang w:val="es-ES"/>
              </w:rPr>
              <w:t>4</w:t>
            </w:r>
          </w:p>
        </w:tc>
      </w:tr>
      <w:tr w:rsidR="0023076E" w:rsidRPr="005044F0" w14:paraId="51D7AA37" w14:textId="77777777" w:rsidTr="00324A07">
        <w:trPr>
          <w:trHeight w:val="320"/>
        </w:trPr>
        <w:tc>
          <w:tcPr>
            <w:tcW w:w="7655" w:type="dxa"/>
            <w:gridSpan w:val="6"/>
            <w:tcBorders>
              <w:top w:val="nil"/>
              <w:left w:val="nil"/>
              <w:bottom w:val="nil"/>
              <w:right w:val="nil"/>
            </w:tcBorders>
            <w:shd w:val="clear" w:color="auto" w:fill="auto"/>
            <w:noWrap/>
            <w:vAlign w:val="bottom"/>
            <w:hideMark/>
          </w:tcPr>
          <w:p w14:paraId="37A50C5A" w14:textId="77777777" w:rsidR="0023076E" w:rsidRPr="005044F0" w:rsidRDefault="0023076E" w:rsidP="00324A07">
            <w:pPr>
              <w:rPr>
                <w:color w:val="000000"/>
                <w:sz w:val="20"/>
                <w:szCs w:val="20"/>
                <w:lang w:val="es-ES"/>
              </w:rPr>
            </w:pPr>
            <w:r w:rsidRPr="005044F0">
              <w:rPr>
                <w:i/>
                <w:iCs/>
                <w:color w:val="000000"/>
                <w:sz w:val="20"/>
                <w:szCs w:val="20"/>
                <w:lang w:val="es-ES"/>
              </w:rPr>
              <w:t xml:space="preserve">Nota: </w:t>
            </w:r>
            <w:r w:rsidRPr="005044F0">
              <w:rPr>
                <w:color w:val="000000"/>
                <w:sz w:val="20"/>
                <w:szCs w:val="20"/>
                <w:lang w:val="es-ES"/>
              </w:rPr>
              <w:t>N = tamaño muestral; M = media; DT = Desviación típica; Min = Valor mínimo; Max = Valor máximo</w:t>
            </w:r>
          </w:p>
        </w:tc>
      </w:tr>
    </w:tbl>
    <w:p w14:paraId="59A9F1CC" w14:textId="77777777" w:rsidR="0023076E" w:rsidRPr="005044F0" w:rsidRDefault="0023076E" w:rsidP="0023076E">
      <w:pPr>
        <w:rPr>
          <w:lang w:val="es-ES"/>
        </w:rPr>
      </w:pPr>
    </w:p>
    <w:p w14:paraId="67ADF593" w14:textId="77777777" w:rsidR="0023076E" w:rsidRPr="005044F0" w:rsidRDefault="0023076E" w:rsidP="0023076E">
      <w:pPr>
        <w:spacing w:line="360" w:lineRule="auto"/>
        <w:ind w:firstLine="720"/>
        <w:rPr>
          <w:lang w:val="es-ES"/>
        </w:rPr>
      </w:pPr>
      <w:r w:rsidRPr="005044F0">
        <w:rPr>
          <w:lang w:val="es-ES"/>
        </w:rPr>
        <w:t xml:space="preserve">Para contestar la pregunta de investigación, se realizaron análisis de regresión múltiple con método </w:t>
      </w:r>
      <w:r w:rsidRPr="005044F0">
        <w:rPr>
          <w:i/>
          <w:iCs/>
          <w:lang w:val="es-ES"/>
        </w:rPr>
        <w:t xml:space="preserve">forward </w:t>
      </w:r>
      <w:r w:rsidRPr="005044F0">
        <w:rPr>
          <w:lang w:val="es-ES"/>
        </w:rPr>
        <w:t xml:space="preserve">de selección de predictores. El método </w:t>
      </w:r>
      <w:r w:rsidRPr="005044F0">
        <w:rPr>
          <w:i/>
          <w:iCs/>
          <w:lang w:val="es-ES"/>
        </w:rPr>
        <w:t xml:space="preserve">forward </w:t>
      </w:r>
      <w:r w:rsidRPr="005044F0">
        <w:rPr>
          <w:lang w:val="es-ES"/>
        </w:rPr>
        <w:t>crea tantos modelos predictivos como predictores aporten al mismo, empezando por el predictor que tenga el mayor coeficiente de regresión, y terminando por el predictor de menor coeficiente de regresión, pero cuya influencia en el modelo es significativa. Los predictores que no aportan al modelo son excluidos. Se realizaron seis análisis de regresión para predecir las variables dependientes (dimensiones del bienestar psicológico: autoaceptación, relaciones positivas, autonomía, dominio del entorno, propósito de la vida y crecimiento personal), con las variables independientes (estrategias de afrontamiento: afrontamiento activo del problema, consumo de alcohol o drogas, centrarse en las emociones y desahogarse, búsqueda de apoyo social, humor, religión, negación, aceptación y crecimiento personal).</w:t>
      </w:r>
    </w:p>
    <w:p w14:paraId="4824CD96" w14:textId="68111B3C" w:rsidR="0023076E" w:rsidRDefault="0023076E" w:rsidP="00C42F93">
      <w:pPr>
        <w:spacing w:line="360" w:lineRule="auto"/>
        <w:ind w:firstLine="720"/>
        <w:rPr>
          <w:lang w:val="es-ES"/>
        </w:rPr>
      </w:pPr>
      <w:r w:rsidRPr="005044F0">
        <w:rPr>
          <w:lang w:val="es-ES"/>
        </w:rPr>
        <w:t>Para la variable dependiente de autoaceptación (ver Tabla 2), el modelo de ajuste más adecuado identificó cuatro predictores: aceptación y crecimiento personal (β = .49 p &lt; .001), consumo de alcohol o drogas (β = -.25, p = .001), refrenar el afrontamiento (β = -.21 p = .008), y búsqueda de apoyo social (β = .16, p = .028). El modelo explicó el 40% de la varianza (R</w:t>
      </w:r>
      <w:r w:rsidRPr="005044F0">
        <w:rPr>
          <w:vertAlign w:val="superscript"/>
          <w:lang w:val="es-ES"/>
        </w:rPr>
        <w:t>2</w:t>
      </w:r>
      <w:r w:rsidRPr="005044F0">
        <w:rPr>
          <w:lang w:val="es-ES"/>
        </w:rPr>
        <w:t xml:space="preserve"> = .40, </w:t>
      </w:r>
      <w:proofErr w:type="gramStart"/>
      <w:r w:rsidRPr="005044F0">
        <w:rPr>
          <w:lang w:val="es-ES"/>
        </w:rPr>
        <w:t>F(</w:t>
      </w:r>
      <w:proofErr w:type="gramEnd"/>
      <w:r w:rsidRPr="005044F0">
        <w:rPr>
          <w:lang w:val="es-ES"/>
        </w:rPr>
        <w:t xml:space="preserve">4,130) = 21.40, p &lt; .001). </w:t>
      </w:r>
    </w:p>
    <w:p w14:paraId="55E4A976" w14:textId="77777777" w:rsidR="00C42F93" w:rsidRPr="005044F0" w:rsidRDefault="00C42F93" w:rsidP="00C42F93">
      <w:pPr>
        <w:spacing w:line="360" w:lineRule="auto"/>
        <w:ind w:firstLine="720"/>
        <w:rPr>
          <w:lang w:val="es-ES"/>
        </w:rPr>
      </w:pPr>
    </w:p>
    <w:p w14:paraId="46EFD739" w14:textId="77777777" w:rsidR="0023076E" w:rsidRPr="005044F0" w:rsidRDefault="0023076E" w:rsidP="0023076E">
      <w:pPr>
        <w:spacing w:line="360" w:lineRule="auto"/>
        <w:rPr>
          <w:b/>
          <w:bCs/>
          <w:lang w:val="es-ES"/>
        </w:rPr>
      </w:pPr>
      <w:r w:rsidRPr="005044F0">
        <w:rPr>
          <w:b/>
          <w:bCs/>
          <w:lang w:val="es-ES"/>
        </w:rPr>
        <w:t>Tabla 2</w:t>
      </w:r>
    </w:p>
    <w:p w14:paraId="7A20767A" w14:textId="77777777" w:rsidR="0023076E" w:rsidRPr="005044F0" w:rsidRDefault="0023076E" w:rsidP="0023076E">
      <w:pPr>
        <w:spacing w:line="360" w:lineRule="auto"/>
        <w:rPr>
          <w:i/>
          <w:iCs/>
          <w:lang w:val="es-ES"/>
        </w:rPr>
      </w:pPr>
      <w:r w:rsidRPr="005044F0">
        <w:rPr>
          <w:i/>
          <w:iCs/>
          <w:lang w:val="es-ES"/>
        </w:rPr>
        <w:lastRenderedPageBreak/>
        <w:t>Regresión Múltiple con Variable Dependiente Autoaceptación y Variables Independientes Estrategias de Afrontamiento</w:t>
      </w:r>
    </w:p>
    <w:tbl>
      <w:tblPr>
        <w:tblW w:w="9360" w:type="dxa"/>
        <w:tblLook w:val="04A0" w:firstRow="1" w:lastRow="0" w:firstColumn="1" w:lastColumn="0" w:noHBand="0" w:noVBand="1"/>
      </w:tblPr>
      <w:tblGrid>
        <w:gridCol w:w="3440"/>
        <w:gridCol w:w="1300"/>
        <w:gridCol w:w="1300"/>
        <w:gridCol w:w="1300"/>
        <w:gridCol w:w="566"/>
        <w:gridCol w:w="1454"/>
      </w:tblGrid>
      <w:tr w:rsidR="0023076E" w:rsidRPr="005044F0" w14:paraId="65F45F19" w14:textId="77777777" w:rsidTr="00324A07">
        <w:trPr>
          <w:trHeight w:val="320"/>
        </w:trPr>
        <w:tc>
          <w:tcPr>
            <w:tcW w:w="3440" w:type="dxa"/>
            <w:tcBorders>
              <w:top w:val="single" w:sz="4" w:space="0" w:color="auto"/>
              <w:left w:val="nil"/>
              <w:bottom w:val="single" w:sz="4" w:space="0" w:color="auto"/>
              <w:right w:val="nil"/>
            </w:tcBorders>
            <w:shd w:val="clear" w:color="auto" w:fill="auto"/>
            <w:noWrap/>
            <w:vAlign w:val="bottom"/>
            <w:hideMark/>
          </w:tcPr>
          <w:p w14:paraId="4A6E1F2E" w14:textId="77777777" w:rsidR="0023076E" w:rsidRPr="005044F0" w:rsidRDefault="0023076E" w:rsidP="00324A07">
            <w:pPr>
              <w:rPr>
                <w:color w:val="000000"/>
                <w:sz w:val="20"/>
                <w:szCs w:val="20"/>
                <w:lang w:val="es-ES"/>
              </w:rPr>
            </w:pPr>
            <w:r w:rsidRPr="005044F0">
              <w:rPr>
                <w:color w:val="000000"/>
                <w:sz w:val="20"/>
                <w:szCs w:val="20"/>
                <w:lang w:val="es-ES"/>
              </w:rPr>
              <w:t> </w:t>
            </w:r>
          </w:p>
        </w:tc>
        <w:tc>
          <w:tcPr>
            <w:tcW w:w="1300" w:type="dxa"/>
            <w:tcBorders>
              <w:top w:val="single" w:sz="4" w:space="0" w:color="auto"/>
              <w:left w:val="nil"/>
              <w:bottom w:val="single" w:sz="4" w:space="0" w:color="auto"/>
              <w:right w:val="nil"/>
            </w:tcBorders>
            <w:shd w:val="clear" w:color="auto" w:fill="auto"/>
            <w:noWrap/>
            <w:vAlign w:val="center"/>
            <w:hideMark/>
          </w:tcPr>
          <w:p w14:paraId="7DAF0119" w14:textId="77777777" w:rsidR="0023076E" w:rsidRPr="005044F0" w:rsidRDefault="0023076E" w:rsidP="00324A07">
            <w:pPr>
              <w:jc w:val="center"/>
              <w:rPr>
                <w:i/>
                <w:color w:val="000000"/>
                <w:sz w:val="20"/>
                <w:szCs w:val="20"/>
                <w:lang w:val="es-ES"/>
              </w:rPr>
            </w:pPr>
            <w:r w:rsidRPr="005044F0">
              <w:rPr>
                <w:i/>
                <w:iCs/>
                <w:color w:val="000000"/>
                <w:sz w:val="20"/>
                <w:szCs w:val="20"/>
                <w:lang w:val="es-ES"/>
              </w:rPr>
              <w:t>B</w:t>
            </w:r>
          </w:p>
        </w:tc>
        <w:tc>
          <w:tcPr>
            <w:tcW w:w="1300" w:type="dxa"/>
            <w:tcBorders>
              <w:top w:val="single" w:sz="4" w:space="0" w:color="auto"/>
              <w:left w:val="nil"/>
              <w:bottom w:val="single" w:sz="4" w:space="0" w:color="auto"/>
              <w:right w:val="nil"/>
            </w:tcBorders>
            <w:shd w:val="clear" w:color="auto" w:fill="auto"/>
            <w:noWrap/>
            <w:vAlign w:val="center"/>
            <w:hideMark/>
          </w:tcPr>
          <w:p w14:paraId="3DCA10AC" w14:textId="77777777" w:rsidR="0023076E" w:rsidRPr="005044F0" w:rsidRDefault="0023076E" w:rsidP="00324A07">
            <w:pPr>
              <w:jc w:val="center"/>
              <w:rPr>
                <w:i/>
                <w:color w:val="000000"/>
                <w:sz w:val="20"/>
                <w:szCs w:val="20"/>
                <w:lang w:val="es-ES"/>
              </w:rPr>
            </w:pPr>
            <w:r w:rsidRPr="005044F0">
              <w:rPr>
                <w:i/>
                <w:iCs/>
                <w:color w:val="000000"/>
                <w:sz w:val="20"/>
                <w:szCs w:val="20"/>
                <w:lang w:val="es-ES"/>
              </w:rPr>
              <w:t>SE B</w:t>
            </w:r>
          </w:p>
        </w:tc>
        <w:tc>
          <w:tcPr>
            <w:tcW w:w="1300" w:type="dxa"/>
            <w:tcBorders>
              <w:top w:val="single" w:sz="4" w:space="0" w:color="auto"/>
              <w:left w:val="nil"/>
              <w:bottom w:val="single" w:sz="4" w:space="0" w:color="auto"/>
              <w:right w:val="nil"/>
            </w:tcBorders>
            <w:shd w:val="clear" w:color="auto" w:fill="auto"/>
            <w:noWrap/>
            <w:vAlign w:val="center"/>
            <w:hideMark/>
          </w:tcPr>
          <w:p w14:paraId="0BEE623E" w14:textId="77777777" w:rsidR="0023076E" w:rsidRPr="005044F0" w:rsidRDefault="0023076E" w:rsidP="00324A07">
            <w:pPr>
              <w:jc w:val="center"/>
              <w:rPr>
                <w:color w:val="000000"/>
                <w:sz w:val="20"/>
                <w:szCs w:val="20"/>
                <w:lang w:val="es-ES"/>
              </w:rPr>
            </w:pPr>
            <w:r w:rsidRPr="005044F0">
              <w:rPr>
                <w:color w:val="000000"/>
                <w:sz w:val="20"/>
                <w:szCs w:val="20"/>
                <w:lang w:val="es-ES"/>
              </w:rPr>
              <w:t>β</w:t>
            </w:r>
          </w:p>
        </w:tc>
        <w:tc>
          <w:tcPr>
            <w:tcW w:w="315" w:type="dxa"/>
            <w:tcBorders>
              <w:top w:val="single" w:sz="4" w:space="0" w:color="auto"/>
              <w:left w:val="nil"/>
              <w:bottom w:val="single" w:sz="4" w:space="0" w:color="auto"/>
              <w:right w:val="nil"/>
            </w:tcBorders>
            <w:shd w:val="clear" w:color="auto" w:fill="auto"/>
            <w:noWrap/>
            <w:vAlign w:val="center"/>
            <w:hideMark/>
          </w:tcPr>
          <w:p w14:paraId="533B8A23" w14:textId="77777777" w:rsidR="0023076E" w:rsidRPr="005044F0" w:rsidRDefault="0023076E" w:rsidP="00324A07">
            <w:pPr>
              <w:jc w:val="center"/>
              <w:rPr>
                <w:i/>
                <w:color w:val="000000"/>
                <w:sz w:val="20"/>
                <w:szCs w:val="20"/>
                <w:lang w:val="es-ES"/>
              </w:rPr>
            </w:pPr>
            <w:r w:rsidRPr="005044F0">
              <w:rPr>
                <w:i/>
                <w:iCs/>
                <w:color w:val="000000"/>
                <w:sz w:val="20"/>
                <w:szCs w:val="20"/>
                <w:lang w:val="es-ES"/>
              </w:rPr>
              <w:t>R</w:t>
            </w:r>
            <w:r w:rsidRPr="005044F0">
              <w:rPr>
                <w:i/>
                <w:iCs/>
                <w:color w:val="000000"/>
                <w:sz w:val="20"/>
                <w:szCs w:val="20"/>
                <w:vertAlign w:val="superscript"/>
                <w:lang w:val="es-ES"/>
              </w:rPr>
              <w:t>2</w:t>
            </w:r>
          </w:p>
        </w:tc>
        <w:tc>
          <w:tcPr>
            <w:tcW w:w="1705" w:type="dxa"/>
            <w:tcBorders>
              <w:top w:val="single" w:sz="4" w:space="0" w:color="auto"/>
              <w:left w:val="nil"/>
              <w:bottom w:val="single" w:sz="4" w:space="0" w:color="auto"/>
              <w:right w:val="nil"/>
            </w:tcBorders>
            <w:vAlign w:val="center"/>
          </w:tcPr>
          <w:p w14:paraId="2E2F4199" w14:textId="77777777" w:rsidR="0023076E" w:rsidRPr="005044F0" w:rsidRDefault="0023076E" w:rsidP="00324A07">
            <w:pPr>
              <w:jc w:val="center"/>
              <w:rPr>
                <w:i/>
                <w:iCs/>
                <w:color w:val="000000"/>
                <w:sz w:val="20"/>
                <w:szCs w:val="20"/>
                <w:lang w:val="es-ES"/>
              </w:rPr>
            </w:pPr>
            <w:r w:rsidRPr="005044F0">
              <w:rPr>
                <w:i/>
                <w:iCs/>
                <w:color w:val="000000"/>
                <w:sz w:val="20"/>
                <w:szCs w:val="20"/>
                <w:lang w:val="es-ES"/>
              </w:rPr>
              <w:t>F</w:t>
            </w:r>
          </w:p>
        </w:tc>
      </w:tr>
      <w:tr w:rsidR="0023076E" w:rsidRPr="005044F0" w14:paraId="5FE27776" w14:textId="77777777" w:rsidTr="00324A07">
        <w:trPr>
          <w:trHeight w:val="320"/>
        </w:trPr>
        <w:tc>
          <w:tcPr>
            <w:tcW w:w="3440" w:type="dxa"/>
            <w:tcBorders>
              <w:top w:val="nil"/>
              <w:left w:val="nil"/>
              <w:bottom w:val="nil"/>
              <w:right w:val="nil"/>
            </w:tcBorders>
            <w:shd w:val="clear" w:color="auto" w:fill="auto"/>
            <w:noWrap/>
            <w:vAlign w:val="bottom"/>
            <w:hideMark/>
          </w:tcPr>
          <w:p w14:paraId="6AF13E16" w14:textId="77777777" w:rsidR="0023076E" w:rsidRPr="005044F0" w:rsidRDefault="0023076E" w:rsidP="00324A07">
            <w:pPr>
              <w:rPr>
                <w:color w:val="000000"/>
                <w:sz w:val="20"/>
                <w:szCs w:val="20"/>
                <w:lang w:val="es-ES"/>
              </w:rPr>
            </w:pPr>
            <w:r w:rsidRPr="005044F0">
              <w:rPr>
                <w:color w:val="000000"/>
                <w:sz w:val="20"/>
                <w:szCs w:val="20"/>
                <w:lang w:val="es-ES"/>
              </w:rPr>
              <w:t>Autoaceptación</w:t>
            </w:r>
          </w:p>
        </w:tc>
        <w:tc>
          <w:tcPr>
            <w:tcW w:w="1300" w:type="dxa"/>
            <w:tcBorders>
              <w:top w:val="nil"/>
              <w:left w:val="nil"/>
              <w:bottom w:val="nil"/>
              <w:right w:val="nil"/>
            </w:tcBorders>
            <w:shd w:val="clear" w:color="auto" w:fill="auto"/>
            <w:noWrap/>
            <w:vAlign w:val="center"/>
            <w:hideMark/>
          </w:tcPr>
          <w:p w14:paraId="43E7C36F" w14:textId="77777777" w:rsidR="0023076E" w:rsidRPr="005044F0" w:rsidRDefault="0023076E" w:rsidP="00324A07">
            <w:pP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2D415377" w14:textId="77777777" w:rsidR="0023076E" w:rsidRPr="005044F0" w:rsidRDefault="0023076E" w:rsidP="00324A07">
            <w:pPr>
              <w:jc w:val="center"/>
              <w:rPr>
                <w:sz w:val="20"/>
                <w:szCs w:val="20"/>
                <w:lang w:val="es-ES"/>
              </w:rPr>
            </w:pPr>
          </w:p>
        </w:tc>
        <w:tc>
          <w:tcPr>
            <w:tcW w:w="1300" w:type="dxa"/>
            <w:tcBorders>
              <w:top w:val="nil"/>
              <w:left w:val="nil"/>
              <w:bottom w:val="nil"/>
              <w:right w:val="nil"/>
            </w:tcBorders>
            <w:shd w:val="clear" w:color="auto" w:fill="auto"/>
            <w:noWrap/>
            <w:vAlign w:val="center"/>
            <w:hideMark/>
          </w:tcPr>
          <w:p w14:paraId="3E2BC36A" w14:textId="77777777" w:rsidR="0023076E" w:rsidRPr="005044F0" w:rsidRDefault="0023076E" w:rsidP="00324A07">
            <w:pPr>
              <w:jc w:val="center"/>
              <w:rPr>
                <w:sz w:val="20"/>
                <w:szCs w:val="20"/>
                <w:lang w:val="es-ES"/>
              </w:rPr>
            </w:pPr>
          </w:p>
        </w:tc>
        <w:tc>
          <w:tcPr>
            <w:tcW w:w="315" w:type="dxa"/>
            <w:tcBorders>
              <w:top w:val="nil"/>
              <w:left w:val="nil"/>
              <w:bottom w:val="nil"/>
              <w:right w:val="nil"/>
            </w:tcBorders>
            <w:shd w:val="clear" w:color="auto" w:fill="auto"/>
            <w:noWrap/>
            <w:vAlign w:val="center"/>
            <w:hideMark/>
          </w:tcPr>
          <w:p w14:paraId="2FF4826A" w14:textId="77777777" w:rsidR="0023076E" w:rsidRPr="005044F0" w:rsidRDefault="0023076E" w:rsidP="00324A07">
            <w:pPr>
              <w:jc w:val="center"/>
              <w:rPr>
                <w:sz w:val="20"/>
                <w:szCs w:val="20"/>
                <w:lang w:val="es-ES"/>
              </w:rPr>
            </w:pPr>
          </w:p>
        </w:tc>
        <w:tc>
          <w:tcPr>
            <w:tcW w:w="1705" w:type="dxa"/>
            <w:tcBorders>
              <w:top w:val="nil"/>
              <w:left w:val="nil"/>
              <w:bottom w:val="nil"/>
              <w:right w:val="nil"/>
            </w:tcBorders>
            <w:vAlign w:val="center"/>
          </w:tcPr>
          <w:p w14:paraId="523BEC3B" w14:textId="77777777" w:rsidR="0023076E" w:rsidRPr="005044F0" w:rsidRDefault="0023076E" w:rsidP="00324A07">
            <w:pPr>
              <w:jc w:val="center"/>
              <w:rPr>
                <w:sz w:val="20"/>
                <w:szCs w:val="20"/>
                <w:lang w:val="es-ES"/>
              </w:rPr>
            </w:pPr>
          </w:p>
        </w:tc>
      </w:tr>
      <w:tr w:rsidR="0023076E" w:rsidRPr="005044F0" w14:paraId="508F9BC4" w14:textId="77777777" w:rsidTr="00324A07">
        <w:trPr>
          <w:trHeight w:val="320"/>
        </w:trPr>
        <w:tc>
          <w:tcPr>
            <w:tcW w:w="3440" w:type="dxa"/>
            <w:tcBorders>
              <w:top w:val="nil"/>
              <w:left w:val="nil"/>
              <w:bottom w:val="nil"/>
              <w:right w:val="nil"/>
            </w:tcBorders>
            <w:shd w:val="clear" w:color="auto" w:fill="auto"/>
            <w:noWrap/>
            <w:vAlign w:val="bottom"/>
            <w:hideMark/>
          </w:tcPr>
          <w:p w14:paraId="0E0DD684" w14:textId="77777777" w:rsidR="0023076E" w:rsidRPr="005044F0" w:rsidRDefault="0023076E" w:rsidP="00324A07">
            <w:pPr>
              <w:rPr>
                <w:color w:val="000000"/>
                <w:sz w:val="20"/>
                <w:szCs w:val="20"/>
                <w:lang w:val="es-ES"/>
              </w:rPr>
            </w:pPr>
            <w:r w:rsidRPr="005044F0">
              <w:rPr>
                <w:color w:val="000000"/>
                <w:sz w:val="20"/>
                <w:szCs w:val="20"/>
                <w:lang w:val="es-ES"/>
              </w:rPr>
              <w:t xml:space="preserve">     Paso 1</w:t>
            </w:r>
          </w:p>
        </w:tc>
        <w:tc>
          <w:tcPr>
            <w:tcW w:w="1300" w:type="dxa"/>
            <w:tcBorders>
              <w:top w:val="nil"/>
              <w:left w:val="nil"/>
              <w:bottom w:val="nil"/>
              <w:right w:val="nil"/>
            </w:tcBorders>
            <w:shd w:val="clear" w:color="auto" w:fill="auto"/>
            <w:noWrap/>
            <w:vAlign w:val="center"/>
            <w:hideMark/>
          </w:tcPr>
          <w:p w14:paraId="43EB47F7" w14:textId="77777777" w:rsidR="0023076E" w:rsidRPr="005044F0" w:rsidRDefault="0023076E" w:rsidP="00324A07">
            <w:pP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3434A98B" w14:textId="77777777" w:rsidR="0023076E" w:rsidRPr="005044F0" w:rsidRDefault="0023076E" w:rsidP="00324A07">
            <w:pPr>
              <w:jc w:val="center"/>
              <w:rPr>
                <w:sz w:val="20"/>
                <w:szCs w:val="20"/>
                <w:lang w:val="es-ES"/>
              </w:rPr>
            </w:pPr>
          </w:p>
        </w:tc>
        <w:tc>
          <w:tcPr>
            <w:tcW w:w="1300" w:type="dxa"/>
            <w:tcBorders>
              <w:top w:val="nil"/>
              <w:left w:val="nil"/>
              <w:bottom w:val="nil"/>
              <w:right w:val="nil"/>
            </w:tcBorders>
            <w:shd w:val="clear" w:color="auto" w:fill="auto"/>
            <w:noWrap/>
            <w:vAlign w:val="center"/>
            <w:hideMark/>
          </w:tcPr>
          <w:p w14:paraId="63591907" w14:textId="77777777" w:rsidR="0023076E" w:rsidRPr="005044F0" w:rsidRDefault="0023076E" w:rsidP="00324A07">
            <w:pPr>
              <w:jc w:val="center"/>
              <w:rPr>
                <w:sz w:val="20"/>
                <w:szCs w:val="20"/>
                <w:lang w:val="es-ES"/>
              </w:rPr>
            </w:pPr>
          </w:p>
        </w:tc>
        <w:tc>
          <w:tcPr>
            <w:tcW w:w="315" w:type="dxa"/>
            <w:tcBorders>
              <w:top w:val="nil"/>
              <w:left w:val="nil"/>
              <w:bottom w:val="nil"/>
              <w:right w:val="nil"/>
            </w:tcBorders>
            <w:shd w:val="clear" w:color="auto" w:fill="auto"/>
            <w:noWrap/>
            <w:vAlign w:val="center"/>
            <w:hideMark/>
          </w:tcPr>
          <w:p w14:paraId="6C221215" w14:textId="77777777" w:rsidR="0023076E" w:rsidRPr="005044F0" w:rsidRDefault="0023076E" w:rsidP="00324A07">
            <w:pPr>
              <w:jc w:val="center"/>
              <w:rPr>
                <w:color w:val="000000"/>
                <w:sz w:val="20"/>
                <w:szCs w:val="20"/>
                <w:lang w:val="es-ES"/>
              </w:rPr>
            </w:pPr>
            <w:r w:rsidRPr="005044F0">
              <w:rPr>
                <w:color w:val="000000"/>
                <w:sz w:val="20"/>
                <w:szCs w:val="20"/>
                <w:lang w:val="es-ES"/>
              </w:rPr>
              <w:t>0.26</w:t>
            </w:r>
          </w:p>
        </w:tc>
        <w:tc>
          <w:tcPr>
            <w:tcW w:w="1705" w:type="dxa"/>
            <w:tcBorders>
              <w:top w:val="nil"/>
              <w:left w:val="nil"/>
              <w:bottom w:val="nil"/>
              <w:right w:val="nil"/>
            </w:tcBorders>
            <w:vAlign w:val="center"/>
          </w:tcPr>
          <w:p w14:paraId="721CA916" w14:textId="77777777" w:rsidR="0023076E" w:rsidRPr="005044F0" w:rsidRDefault="0023076E" w:rsidP="00324A07">
            <w:pPr>
              <w:jc w:val="center"/>
              <w:rPr>
                <w:color w:val="000000"/>
                <w:sz w:val="20"/>
                <w:szCs w:val="20"/>
                <w:lang w:val="es-ES"/>
              </w:rPr>
            </w:pPr>
            <w:r w:rsidRPr="005044F0">
              <w:rPr>
                <w:color w:val="000000"/>
                <w:sz w:val="20"/>
                <w:szCs w:val="20"/>
                <w:lang w:val="es-ES"/>
              </w:rPr>
              <w:t>47.75***</w:t>
            </w:r>
          </w:p>
        </w:tc>
      </w:tr>
      <w:tr w:rsidR="0023076E" w:rsidRPr="005044F0" w14:paraId="07F9B4A8" w14:textId="77777777" w:rsidTr="00324A07">
        <w:trPr>
          <w:trHeight w:val="320"/>
        </w:trPr>
        <w:tc>
          <w:tcPr>
            <w:tcW w:w="3440" w:type="dxa"/>
            <w:tcBorders>
              <w:top w:val="nil"/>
              <w:left w:val="nil"/>
              <w:bottom w:val="nil"/>
              <w:right w:val="nil"/>
            </w:tcBorders>
            <w:shd w:val="clear" w:color="auto" w:fill="auto"/>
            <w:noWrap/>
            <w:vAlign w:val="bottom"/>
            <w:hideMark/>
          </w:tcPr>
          <w:p w14:paraId="305781E6" w14:textId="77777777" w:rsidR="0023076E" w:rsidRPr="005044F0" w:rsidRDefault="0023076E" w:rsidP="00324A07">
            <w:pPr>
              <w:rPr>
                <w:color w:val="000000"/>
                <w:sz w:val="20"/>
                <w:szCs w:val="20"/>
                <w:lang w:val="es-ES"/>
              </w:rPr>
            </w:pPr>
            <w:r w:rsidRPr="005044F0">
              <w:rPr>
                <w:color w:val="000000"/>
                <w:sz w:val="20"/>
                <w:szCs w:val="20"/>
                <w:lang w:val="es-ES"/>
              </w:rPr>
              <w:t xml:space="preserve">        Aceptación y crecimiento personal</w:t>
            </w:r>
          </w:p>
        </w:tc>
        <w:tc>
          <w:tcPr>
            <w:tcW w:w="1300" w:type="dxa"/>
            <w:tcBorders>
              <w:top w:val="nil"/>
              <w:left w:val="nil"/>
              <w:bottom w:val="nil"/>
              <w:right w:val="nil"/>
            </w:tcBorders>
            <w:shd w:val="clear" w:color="auto" w:fill="auto"/>
            <w:noWrap/>
            <w:vAlign w:val="center"/>
            <w:hideMark/>
          </w:tcPr>
          <w:p w14:paraId="281F2A46" w14:textId="77777777" w:rsidR="0023076E" w:rsidRPr="005044F0" w:rsidRDefault="0023076E" w:rsidP="00324A07">
            <w:pPr>
              <w:jc w:val="center"/>
              <w:rPr>
                <w:color w:val="000000"/>
                <w:sz w:val="20"/>
                <w:szCs w:val="20"/>
                <w:lang w:val="es-ES"/>
              </w:rPr>
            </w:pPr>
            <w:r w:rsidRPr="005044F0">
              <w:rPr>
                <w:color w:val="000000"/>
                <w:sz w:val="20"/>
                <w:szCs w:val="20"/>
                <w:lang w:val="es-ES"/>
              </w:rPr>
              <w:t>0.88</w:t>
            </w:r>
          </w:p>
        </w:tc>
        <w:tc>
          <w:tcPr>
            <w:tcW w:w="1300" w:type="dxa"/>
            <w:tcBorders>
              <w:top w:val="nil"/>
              <w:left w:val="nil"/>
              <w:bottom w:val="nil"/>
              <w:right w:val="nil"/>
            </w:tcBorders>
            <w:shd w:val="clear" w:color="auto" w:fill="auto"/>
            <w:noWrap/>
            <w:vAlign w:val="center"/>
            <w:hideMark/>
          </w:tcPr>
          <w:p w14:paraId="4EA5917A" w14:textId="77777777" w:rsidR="0023076E" w:rsidRPr="005044F0" w:rsidRDefault="0023076E" w:rsidP="00324A07">
            <w:pPr>
              <w:jc w:val="center"/>
              <w:rPr>
                <w:color w:val="000000"/>
                <w:sz w:val="20"/>
                <w:szCs w:val="20"/>
                <w:lang w:val="es-ES"/>
              </w:rPr>
            </w:pPr>
            <w:r w:rsidRPr="005044F0">
              <w:rPr>
                <w:color w:val="000000"/>
                <w:sz w:val="20"/>
                <w:szCs w:val="20"/>
                <w:lang w:val="es-ES"/>
              </w:rPr>
              <w:t>0.13</w:t>
            </w:r>
          </w:p>
        </w:tc>
        <w:tc>
          <w:tcPr>
            <w:tcW w:w="1300" w:type="dxa"/>
            <w:tcBorders>
              <w:top w:val="nil"/>
              <w:left w:val="nil"/>
              <w:bottom w:val="nil"/>
              <w:right w:val="nil"/>
            </w:tcBorders>
            <w:shd w:val="clear" w:color="auto" w:fill="auto"/>
            <w:noWrap/>
            <w:vAlign w:val="center"/>
            <w:hideMark/>
          </w:tcPr>
          <w:p w14:paraId="40CACB30" w14:textId="77777777" w:rsidR="0023076E" w:rsidRPr="005044F0" w:rsidRDefault="0023076E" w:rsidP="00324A07">
            <w:pPr>
              <w:jc w:val="center"/>
              <w:rPr>
                <w:color w:val="000000"/>
                <w:sz w:val="20"/>
                <w:szCs w:val="20"/>
                <w:lang w:val="es-ES"/>
              </w:rPr>
            </w:pPr>
            <w:r w:rsidRPr="005044F0">
              <w:rPr>
                <w:color w:val="000000"/>
                <w:sz w:val="20"/>
                <w:szCs w:val="20"/>
                <w:lang w:val="es-ES"/>
              </w:rPr>
              <w:t>0.51***</w:t>
            </w:r>
          </w:p>
        </w:tc>
        <w:tc>
          <w:tcPr>
            <w:tcW w:w="315" w:type="dxa"/>
            <w:tcBorders>
              <w:top w:val="nil"/>
              <w:left w:val="nil"/>
              <w:bottom w:val="nil"/>
              <w:right w:val="nil"/>
            </w:tcBorders>
            <w:shd w:val="clear" w:color="auto" w:fill="auto"/>
            <w:noWrap/>
            <w:vAlign w:val="center"/>
            <w:hideMark/>
          </w:tcPr>
          <w:p w14:paraId="3EE1D06C" w14:textId="77777777" w:rsidR="0023076E" w:rsidRPr="005044F0" w:rsidRDefault="0023076E" w:rsidP="00324A07">
            <w:pPr>
              <w:jc w:val="center"/>
              <w:rPr>
                <w:color w:val="000000"/>
                <w:sz w:val="20"/>
                <w:szCs w:val="20"/>
                <w:lang w:val="es-ES"/>
              </w:rPr>
            </w:pPr>
          </w:p>
        </w:tc>
        <w:tc>
          <w:tcPr>
            <w:tcW w:w="1705" w:type="dxa"/>
            <w:tcBorders>
              <w:top w:val="nil"/>
              <w:left w:val="nil"/>
              <w:bottom w:val="nil"/>
              <w:right w:val="nil"/>
            </w:tcBorders>
            <w:vAlign w:val="center"/>
          </w:tcPr>
          <w:p w14:paraId="78058CDB" w14:textId="77777777" w:rsidR="0023076E" w:rsidRPr="005044F0" w:rsidRDefault="0023076E" w:rsidP="00324A07">
            <w:pPr>
              <w:jc w:val="center"/>
              <w:rPr>
                <w:color w:val="000000"/>
                <w:sz w:val="20"/>
                <w:szCs w:val="20"/>
                <w:lang w:val="es-ES"/>
              </w:rPr>
            </w:pPr>
          </w:p>
        </w:tc>
      </w:tr>
      <w:tr w:rsidR="0023076E" w:rsidRPr="005044F0" w14:paraId="4FE89BBA" w14:textId="77777777" w:rsidTr="00324A07">
        <w:trPr>
          <w:trHeight w:val="320"/>
        </w:trPr>
        <w:tc>
          <w:tcPr>
            <w:tcW w:w="3440" w:type="dxa"/>
            <w:tcBorders>
              <w:top w:val="nil"/>
              <w:left w:val="nil"/>
              <w:bottom w:val="nil"/>
              <w:right w:val="nil"/>
            </w:tcBorders>
            <w:shd w:val="clear" w:color="auto" w:fill="auto"/>
            <w:noWrap/>
            <w:vAlign w:val="bottom"/>
            <w:hideMark/>
          </w:tcPr>
          <w:p w14:paraId="119457B1" w14:textId="77777777" w:rsidR="0023076E" w:rsidRPr="005044F0" w:rsidRDefault="0023076E" w:rsidP="00324A07">
            <w:pPr>
              <w:rPr>
                <w:color w:val="000000"/>
                <w:sz w:val="20"/>
                <w:szCs w:val="20"/>
                <w:lang w:val="es-ES"/>
              </w:rPr>
            </w:pPr>
            <w:r w:rsidRPr="005044F0">
              <w:rPr>
                <w:color w:val="000000"/>
                <w:sz w:val="20"/>
                <w:szCs w:val="20"/>
                <w:lang w:val="es-ES"/>
              </w:rPr>
              <w:t xml:space="preserve">     Paso 2</w:t>
            </w:r>
          </w:p>
        </w:tc>
        <w:tc>
          <w:tcPr>
            <w:tcW w:w="1300" w:type="dxa"/>
            <w:tcBorders>
              <w:top w:val="nil"/>
              <w:left w:val="nil"/>
              <w:bottom w:val="nil"/>
              <w:right w:val="nil"/>
            </w:tcBorders>
            <w:shd w:val="clear" w:color="auto" w:fill="auto"/>
            <w:noWrap/>
            <w:vAlign w:val="center"/>
            <w:hideMark/>
          </w:tcPr>
          <w:p w14:paraId="02F4DFCC" w14:textId="77777777" w:rsidR="0023076E" w:rsidRPr="005044F0" w:rsidRDefault="0023076E" w:rsidP="00324A07">
            <w:pP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073A34F5" w14:textId="77777777" w:rsidR="0023076E" w:rsidRPr="005044F0" w:rsidRDefault="0023076E" w:rsidP="00324A07">
            <w:pPr>
              <w:jc w:val="center"/>
              <w:rPr>
                <w:sz w:val="20"/>
                <w:szCs w:val="20"/>
                <w:lang w:val="es-ES"/>
              </w:rPr>
            </w:pPr>
          </w:p>
        </w:tc>
        <w:tc>
          <w:tcPr>
            <w:tcW w:w="1300" w:type="dxa"/>
            <w:tcBorders>
              <w:top w:val="nil"/>
              <w:left w:val="nil"/>
              <w:bottom w:val="nil"/>
              <w:right w:val="nil"/>
            </w:tcBorders>
            <w:shd w:val="clear" w:color="auto" w:fill="auto"/>
            <w:noWrap/>
            <w:vAlign w:val="center"/>
            <w:hideMark/>
          </w:tcPr>
          <w:p w14:paraId="5F0E560C" w14:textId="77777777" w:rsidR="0023076E" w:rsidRPr="005044F0" w:rsidRDefault="0023076E" w:rsidP="00324A07">
            <w:pPr>
              <w:jc w:val="center"/>
              <w:rPr>
                <w:sz w:val="20"/>
                <w:szCs w:val="20"/>
                <w:lang w:val="es-ES"/>
              </w:rPr>
            </w:pPr>
          </w:p>
        </w:tc>
        <w:tc>
          <w:tcPr>
            <w:tcW w:w="315" w:type="dxa"/>
            <w:tcBorders>
              <w:top w:val="nil"/>
              <w:left w:val="nil"/>
              <w:bottom w:val="nil"/>
              <w:right w:val="nil"/>
            </w:tcBorders>
            <w:shd w:val="clear" w:color="auto" w:fill="auto"/>
            <w:noWrap/>
            <w:vAlign w:val="center"/>
            <w:hideMark/>
          </w:tcPr>
          <w:p w14:paraId="4408004A" w14:textId="77777777" w:rsidR="0023076E" w:rsidRPr="005044F0" w:rsidRDefault="0023076E" w:rsidP="00324A07">
            <w:pPr>
              <w:jc w:val="center"/>
              <w:rPr>
                <w:color w:val="000000"/>
                <w:sz w:val="20"/>
                <w:szCs w:val="20"/>
                <w:lang w:val="es-ES"/>
              </w:rPr>
            </w:pPr>
            <w:r w:rsidRPr="005044F0">
              <w:rPr>
                <w:color w:val="000000"/>
                <w:sz w:val="20"/>
                <w:szCs w:val="20"/>
                <w:lang w:val="es-ES"/>
              </w:rPr>
              <w:t>0.35</w:t>
            </w:r>
          </w:p>
        </w:tc>
        <w:tc>
          <w:tcPr>
            <w:tcW w:w="1705" w:type="dxa"/>
            <w:tcBorders>
              <w:top w:val="nil"/>
              <w:left w:val="nil"/>
              <w:bottom w:val="nil"/>
              <w:right w:val="nil"/>
            </w:tcBorders>
            <w:vAlign w:val="center"/>
          </w:tcPr>
          <w:p w14:paraId="01FFDDB2" w14:textId="77777777" w:rsidR="0023076E" w:rsidRPr="005044F0" w:rsidRDefault="0023076E" w:rsidP="00324A07">
            <w:pPr>
              <w:jc w:val="center"/>
              <w:rPr>
                <w:color w:val="000000"/>
                <w:sz w:val="20"/>
                <w:szCs w:val="20"/>
                <w:lang w:val="es-ES"/>
              </w:rPr>
            </w:pPr>
            <w:r w:rsidRPr="005044F0">
              <w:rPr>
                <w:color w:val="000000"/>
                <w:sz w:val="20"/>
                <w:szCs w:val="20"/>
                <w:lang w:val="es-ES"/>
              </w:rPr>
              <w:t>35.76***</w:t>
            </w:r>
          </w:p>
        </w:tc>
      </w:tr>
      <w:tr w:rsidR="0023076E" w:rsidRPr="005044F0" w14:paraId="4F2AE64A" w14:textId="77777777" w:rsidTr="00324A07">
        <w:trPr>
          <w:trHeight w:val="320"/>
        </w:trPr>
        <w:tc>
          <w:tcPr>
            <w:tcW w:w="3440" w:type="dxa"/>
            <w:tcBorders>
              <w:top w:val="nil"/>
              <w:left w:val="nil"/>
              <w:bottom w:val="nil"/>
              <w:right w:val="nil"/>
            </w:tcBorders>
            <w:shd w:val="clear" w:color="auto" w:fill="auto"/>
            <w:noWrap/>
            <w:vAlign w:val="bottom"/>
            <w:hideMark/>
          </w:tcPr>
          <w:p w14:paraId="29AB12E7" w14:textId="77777777" w:rsidR="0023076E" w:rsidRPr="005044F0" w:rsidRDefault="0023076E" w:rsidP="00324A07">
            <w:pPr>
              <w:rPr>
                <w:color w:val="000000"/>
                <w:sz w:val="20"/>
                <w:szCs w:val="20"/>
                <w:lang w:val="es-ES"/>
              </w:rPr>
            </w:pPr>
            <w:r w:rsidRPr="005044F0">
              <w:rPr>
                <w:color w:val="000000"/>
                <w:sz w:val="20"/>
                <w:szCs w:val="20"/>
                <w:lang w:val="es-ES"/>
              </w:rPr>
              <w:t xml:space="preserve">        Aceptación y crecimiento personal</w:t>
            </w:r>
          </w:p>
        </w:tc>
        <w:tc>
          <w:tcPr>
            <w:tcW w:w="1300" w:type="dxa"/>
            <w:tcBorders>
              <w:top w:val="nil"/>
              <w:left w:val="nil"/>
              <w:bottom w:val="nil"/>
              <w:right w:val="nil"/>
            </w:tcBorders>
            <w:shd w:val="clear" w:color="auto" w:fill="auto"/>
            <w:noWrap/>
            <w:vAlign w:val="center"/>
            <w:hideMark/>
          </w:tcPr>
          <w:p w14:paraId="2300FAB7" w14:textId="77777777" w:rsidR="0023076E" w:rsidRPr="005044F0" w:rsidRDefault="0023076E" w:rsidP="00324A07">
            <w:pPr>
              <w:jc w:val="center"/>
              <w:rPr>
                <w:color w:val="000000"/>
                <w:sz w:val="20"/>
                <w:szCs w:val="20"/>
                <w:lang w:val="es-ES"/>
              </w:rPr>
            </w:pPr>
            <w:r w:rsidRPr="005044F0">
              <w:rPr>
                <w:color w:val="000000"/>
                <w:sz w:val="20"/>
                <w:szCs w:val="20"/>
                <w:lang w:val="es-ES"/>
              </w:rPr>
              <w:t>0.84</w:t>
            </w:r>
          </w:p>
        </w:tc>
        <w:tc>
          <w:tcPr>
            <w:tcW w:w="1300" w:type="dxa"/>
            <w:tcBorders>
              <w:top w:val="nil"/>
              <w:left w:val="nil"/>
              <w:bottom w:val="nil"/>
              <w:right w:val="nil"/>
            </w:tcBorders>
            <w:shd w:val="clear" w:color="auto" w:fill="auto"/>
            <w:noWrap/>
            <w:vAlign w:val="center"/>
            <w:hideMark/>
          </w:tcPr>
          <w:p w14:paraId="779F0D4D" w14:textId="77777777" w:rsidR="0023076E" w:rsidRPr="005044F0" w:rsidRDefault="0023076E" w:rsidP="00324A07">
            <w:pPr>
              <w:jc w:val="center"/>
              <w:rPr>
                <w:color w:val="000000"/>
                <w:sz w:val="20"/>
                <w:szCs w:val="20"/>
                <w:lang w:val="es-ES"/>
              </w:rPr>
            </w:pPr>
            <w:r w:rsidRPr="005044F0">
              <w:rPr>
                <w:color w:val="000000"/>
                <w:sz w:val="20"/>
                <w:szCs w:val="20"/>
                <w:lang w:val="es-ES"/>
              </w:rPr>
              <w:t>0.12</w:t>
            </w:r>
          </w:p>
        </w:tc>
        <w:tc>
          <w:tcPr>
            <w:tcW w:w="1300" w:type="dxa"/>
            <w:tcBorders>
              <w:top w:val="nil"/>
              <w:left w:val="nil"/>
              <w:bottom w:val="nil"/>
              <w:right w:val="nil"/>
            </w:tcBorders>
            <w:shd w:val="clear" w:color="auto" w:fill="auto"/>
            <w:noWrap/>
            <w:vAlign w:val="center"/>
            <w:hideMark/>
          </w:tcPr>
          <w:p w14:paraId="2BCE4679" w14:textId="77777777" w:rsidR="0023076E" w:rsidRPr="005044F0" w:rsidRDefault="0023076E" w:rsidP="00324A07">
            <w:pPr>
              <w:jc w:val="center"/>
              <w:rPr>
                <w:color w:val="000000"/>
                <w:sz w:val="20"/>
                <w:szCs w:val="20"/>
                <w:lang w:val="es-ES"/>
              </w:rPr>
            </w:pPr>
            <w:r w:rsidRPr="005044F0">
              <w:rPr>
                <w:color w:val="000000"/>
                <w:sz w:val="20"/>
                <w:szCs w:val="20"/>
                <w:lang w:val="es-ES"/>
              </w:rPr>
              <w:t>0.49***</w:t>
            </w:r>
          </w:p>
        </w:tc>
        <w:tc>
          <w:tcPr>
            <w:tcW w:w="315" w:type="dxa"/>
            <w:tcBorders>
              <w:top w:val="nil"/>
              <w:left w:val="nil"/>
              <w:bottom w:val="nil"/>
              <w:right w:val="nil"/>
            </w:tcBorders>
            <w:shd w:val="clear" w:color="auto" w:fill="auto"/>
            <w:noWrap/>
            <w:vAlign w:val="center"/>
            <w:hideMark/>
          </w:tcPr>
          <w:p w14:paraId="23726168" w14:textId="77777777" w:rsidR="0023076E" w:rsidRPr="005044F0" w:rsidRDefault="0023076E" w:rsidP="00324A07">
            <w:pPr>
              <w:jc w:val="center"/>
              <w:rPr>
                <w:color w:val="000000"/>
                <w:sz w:val="20"/>
                <w:szCs w:val="20"/>
                <w:lang w:val="es-ES"/>
              </w:rPr>
            </w:pPr>
          </w:p>
        </w:tc>
        <w:tc>
          <w:tcPr>
            <w:tcW w:w="1705" w:type="dxa"/>
            <w:tcBorders>
              <w:top w:val="nil"/>
              <w:left w:val="nil"/>
              <w:bottom w:val="nil"/>
              <w:right w:val="nil"/>
            </w:tcBorders>
            <w:vAlign w:val="center"/>
          </w:tcPr>
          <w:p w14:paraId="760F9743" w14:textId="77777777" w:rsidR="0023076E" w:rsidRPr="005044F0" w:rsidRDefault="0023076E" w:rsidP="00324A07">
            <w:pPr>
              <w:jc w:val="center"/>
              <w:rPr>
                <w:color w:val="000000"/>
                <w:sz w:val="20"/>
                <w:szCs w:val="20"/>
                <w:lang w:val="es-ES"/>
              </w:rPr>
            </w:pPr>
          </w:p>
        </w:tc>
      </w:tr>
      <w:tr w:rsidR="0023076E" w:rsidRPr="005044F0" w14:paraId="0AC8B866" w14:textId="77777777" w:rsidTr="00324A07">
        <w:trPr>
          <w:trHeight w:val="320"/>
        </w:trPr>
        <w:tc>
          <w:tcPr>
            <w:tcW w:w="3440" w:type="dxa"/>
            <w:tcBorders>
              <w:top w:val="nil"/>
              <w:left w:val="nil"/>
              <w:bottom w:val="nil"/>
              <w:right w:val="nil"/>
            </w:tcBorders>
            <w:shd w:val="clear" w:color="auto" w:fill="auto"/>
            <w:noWrap/>
            <w:vAlign w:val="bottom"/>
            <w:hideMark/>
          </w:tcPr>
          <w:p w14:paraId="3BD195F3" w14:textId="77777777" w:rsidR="0023076E" w:rsidRPr="005044F0" w:rsidRDefault="0023076E" w:rsidP="00324A07">
            <w:pPr>
              <w:rPr>
                <w:color w:val="000000"/>
                <w:sz w:val="20"/>
                <w:szCs w:val="20"/>
                <w:lang w:val="es-ES"/>
              </w:rPr>
            </w:pPr>
            <w:r w:rsidRPr="005044F0">
              <w:rPr>
                <w:color w:val="000000"/>
                <w:sz w:val="20"/>
                <w:szCs w:val="20"/>
                <w:lang w:val="es-ES"/>
              </w:rPr>
              <w:t xml:space="preserve">        Consumo de alcohol o drogas</w:t>
            </w:r>
          </w:p>
        </w:tc>
        <w:tc>
          <w:tcPr>
            <w:tcW w:w="1300" w:type="dxa"/>
            <w:tcBorders>
              <w:top w:val="nil"/>
              <w:left w:val="nil"/>
              <w:bottom w:val="nil"/>
              <w:right w:val="nil"/>
            </w:tcBorders>
            <w:shd w:val="clear" w:color="auto" w:fill="auto"/>
            <w:noWrap/>
            <w:vAlign w:val="center"/>
            <w:hideMark/>
          </w:tcPr>
          <w:p w14:paraId="727268C9" w14:textId="77777777" w:rsidR="0023076E" w:rsidRPr="005044F0" w:rsidRDefault="0023076E" w:rsidP="00324A07">
            <w:pPr>
              <w:jc w:val="center"/>
              <w:rPr>
                <w:color w:val="000000"/>
                <w:sz w:val="20"/>
                <w:szCs w:val="20"/>
                <w:lang w:val="es-ES"/>
              </w:rPr>
            </w:pPr>
            <w:r w:rsidRPr="005044F0">
              <w:rPr>
                <w:color w:val="000000"/>
                <w:sz w:val="20"/>
                <w:szCs w:val="20"/>
                <w:lang w:val="es-ES"/>
              </w:rPr>
              <w:t>-0.32</w:t>
            </w:r>
          </w:p>
        </w:tc>
        <w:tc>
          <w:tcPr>
            <w:tcW w:w="1300" w:type="dxa"/>
            <w:tcBorders>
              <w:top w:val="nil"/>
              <w:left w:val="nil"/>
              <w:bottom w:val="nil"/>
              <w:right w:val="nil"/>
            </w:tcBorders>
            <w:shd w:val="clear" w:color="auto" w:fill="auto"/>
            <w:noWrap/>
            <w:vAlign w:val="center"/>
            <w:hideMark/>
          </w:tcPr>
          <w:p w14:paraId="2A2ADB3C" w14:textId="77777777" w:rsidR="0023076E" w:rsidRPr="005044F0" w:rsidRDefault="0023076E" w:rsidP="00324A07">
            <w:pPr>
              <w:jc w:val="center"/>
              <w:rPr>
                <w:color w:val="000000"/>
                <w:sz w:val="20"/>
                <w:szCs w:val="20"/>
                <w:lang w:val="es-ES"/>
              </w:rPr>
            </w:pPr>
            <w:r w:rsidRPr="005044F0">
              <w:rPr>
                <w:color w:val="000000"/>
                <w:sz w:val="20"/>
                <w:szCs w:val="20"/>
                <w:lang w:val="es-ES"/>
              </w:rPr>
              <w:t>0.08</w:t>
            </w:r>
          </w:p>
        </w:tc>
        <w:tc>
          <w:tcPr>
            <w:tcW w:w="1300" w:type="dxa"/>
            <w:tcBorders>
              <w:top w:val="nil"/>
              <w:left w:val="nil"/>
              <w:bottom w:val="nil"/>
              <w:right w:val="nil"/>
            </w:tcBorders>
            <w:shd w:val="clear" w:color="auto" w:fill="auto"/>
            <w:noWrap/>
            <w:vAlign w:val="center"/>
            <w:hideMark/>
          </w:tcPr>
          <w:p w14:paraId="49295C25" w14:textId="77777777" w:rsidR="0023076E" w:rsidRPr="005044F0" w:rsidRDefault="0023076E" w:rsidP="00324A07">
            <w:pPr>
              <w:jc w:val="center"/>
              <w:rPr>
                <w:color w:val="000000"/>
                <w:sz w:val="20"/>
                <w:szCs w:val="20"/>
                <w:lang w:val="es-ES"/>
              </w:rPr>
            </w:pPr>
            <w:r w:rsidRPr="005044F0">
              <w:rPr>
                <w:color w:val="000000"/>
                <w:sz w:val="20"/>
                <w:szCs w:val="20"/>
                <w:lang w:val="es-ES"/>
              </w:rPr>
              <w:t>-0.30***</w:t>
            </w:r>
          </w:p>
        </w:tc>
        <w:tc>
          <w:tcPr>
            <w:tcW w:w="315" w:type="dxa"/>
            <w:tcBorders>
              <w:top w:val="nil"/>
              <w:left w:val="nil"/>
              <w:bottom w:val="nil"/>
              <w:right w:val="nil"/>
            </w:tcBorders>
            <w:shd w:val="clear" w:color="auto" w:fill="auto"/>
            <w:noWrap/>
            <w:vAlign w:val="center"/>
            <w:hideMark/>
          </w:tcPr>
          <w:p w14:paraId="52C0DEFE" w14:textId="77777777" w:rsidR="0023076E" w:rsidRPr="005044F0" w:rsidRDefault="0023076E" w:rsidP="00324A07">
            <w:pPr>
              <w:jc w:val="center"/>
              <w:rPr>
                <w:color w:val="000000"/>
                <w:sz w:val="20"/>
                <w:szCs w:val="20"/>
                <w:lang w:val="es-ES"/>
              </w:rPr>
            </w:pPr>
          </w:p>
        </w:tc>
        <w:tc>
          <w:tcPr>
            <w:tcW w:w="1705" w:type="dxa"/>
            <w:tcBorders>
              <w:top w:val="nil"/>
              <w:left w:val="nil"/>
              <w:bottom w:val="nil"/>
              <w:right w:val="nil"/>
            </w:tcBorders>
            <w:vAlign w:val="center"/>
          </w:tcPr>
          <w:p w14:paraId="4C379129" w14:textId="77777777" w:rsidR="0023076E" w:rsidRPr="005044F0" w:rsidRDefault="0023076E" w:rsidP="00324A07">
            <w:pPr>
              <w:jc w:val="center"/>
              <w:rPr>
                <w:color w:val="000000"/>
                <w:sz w:val="20"/>
                <w:szCs w:val="20"/>
                <w:lang w:val="es-ES"/>
              </w:rPr>
            </w:pPr>
          </w:p>
        </w:tc>
      </w:tr>
      <w:tr w:rsidR="0023076E" w:rsidRPr="005044F0" w14:paraId="30BE7B5F" w14:textId="77777777" w:rsidTr="00324A07">
        <w:trPr>
          <w:trHeight w:val="320"/>
        </w:trPr>
        <w:tc>
          <w:tcPr>
            <w:tcW w:w="3440" w:type="dxa"/>
            <w:tcBorders>
              <w:top w:val="nil"/>
              <w:left w:val="nil"/>
              <w:bottom w:val="nil"/>
              <w:right w:val="nil"/>
            </w:tcBorders>
            <w:shd w:val="clear" w:color="auto" w:fill="auto"/>
            <w:noWrap/>
            <w:vAlign w:val="bottom"/>
            <w:hideMark/>
          </w:tcPr>
          <w:p w14:paraId="5156E71D" w14:textId="77777777" w:rsidR="0023076E" w:rsidRPr="005044F0" w:rsidRDefault="0023076E" w:rsidP="00324A07">
            <w:pPr>
              <w:rPr>
                <w:color w:val="000000"/>
                <w:sz w:val="20"/>
                <w:szCs w:val="20"/>
                <w:lang w:val="es-ES"/>
              </w:rPr>
            </w:pPr>
            <w:r w:rsidRPr="005044F0">
              <w:rPr>
                <w:color w:val="000000"/>
                <w:sz w:val="20"/>
                <w:szCs w:val="20"/>
                <w:lang w:val="es-ES"/>
              </w:rPr>
              <w:t xml:space="preserve">     Paso 3</w:t>
            </w:r>
          </w:p>
        </w:tc>
        <w:tc>
          <w:tcPr>
            <w:tcW w:w="1300" w:type="dxa"/>
            <w:tcBorders>
              <w:top w:val="nil"/>
              <w:left w:val="nil"/>
              <w:bottom w:val="nil"/>
              <w:right w:val="nil"/>
            </w:tcBorders>
            <w:shd w:val="clear" w:color="auto" w:fill="auto"/>
            <w:noWrap/>
            <w:vAlign w:val="center"/>
            <w:hideMark/>
          </w:tcPr>
          <w:p w14:paraId="0DED1702" w14:textId="77777777" w:rsidR="0023076E" w:rsidRPr="005044F0" w:rsidRDefault="0023076E" w:rsidP="00324A07">
            <w:pP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5B98688A" w14:textId="77777777" w:rsidR="0023076E" w:rsidRPr="005044F0" w:rsidRDefault="0023076E" w:rsidP="00324A07">
            <w:pPr>
              <w:jc w:val="center"/>
              <w:rPr>
                <w:sz w:val="20"/>
                <w:szCs w:val="20"/>
                <w:lang w:val="es-ES"/>
              </w:rPr>
            </w:pPr>
          </w:p>
        </w:tc>
        <w:tc>
          <w:tcPr>
            <w:tcW w:w="1300" w:type="dxa"/>
            <w:tcBorders>
              <w:top w:val="nil"/>
              <w:left w:val="nil"/>
              <w:bottom w:val="nil"/>
              <w:right w:val="nil"/>
            </w:tcBorders>
            <w:shd w:val="clear" w:color="auto" w:fill="auto"/>
            <w:noWrap/>
            <w:vAlign w:val="center"/>
            <w:hideMark/>
          </w:tcPr>
          <w:p w14:paraId="00EF548C" w14:textId="77777777" w:rsidR="0023076E" w:rsidRPr="005044F0" w:rsidRDefault="0023076E" w:rsidP="00324A07">
            <w:pPr>
              <w:jc w:val="center"/>
              <w:rPr>
                <w:sz w:val="20"/>
                <w:szCs w:val="20"/>
                <w:lang w:val="es-ES"/>
              </w:rPr>
            </w:pPr>
          </w:p>
        </w:tc>
        <w:tc>
          <w:tcPr>
            <w:tcW w:w="315" w:type="dxa"/>
            <w:tcBorders>
              <w:top w:val="nil"/>
              <w:left w:val="nil"/>
              <w:bottom w:val="nil"/>
              <w:right w:val="nil"/>
            </w:tcBorders>
            <w:shd w:val="clear" w:color="auto" w:fill="auto"/>
            <w:noWrap/>
            <w:vAlign w:val="center"/>
            <w:hideMark/>
          </w:tcPr>
          <w:p w14:paraId="788B2D3D" w14:textId="77777777" w:rsidR="0023076E" w:rsidRPr="005044F0" w:rsidRDefault="0023076E" w:rsidP="00324A07">
            <w:pPr>
              <w:jc w:val="center"/>
              <w:rPr>
                <w:color w:val="000000"/>
                <w:sz w:val="20"/>
                <w:szCs w:val="20"/>
                <w:lang w:val="es-ES"/>
              </w:rPr>
            </w:pPr>
            <w:r w:rsidRPr="005044F0">
              <w:rPr>
                <w:color w:val="000000"/>
                <w:sz w:val="20"/>
                <w:szCs w:val="20"/>
                <w:lang w:val="es-ES"/>
              </w:rPr>
              <w:t>0.37</w:t>
            </w:r>
          </w:p>
        </w:tc>
        <w:tc>
          <w:tcPr>
            <w:tcW w:w="1705" w:type="dxa"/>
            <w:tcBorders>
              <w:top w:val="nil"/>
              <w:left w:val="nil"/>
              <w:bottom w:val="nil"/>
              <w:right w:val="nil"/>
            </w:tcBorders>
            <w:vAlign w:val="center"/>
          </w:tcPr>
          <w:p w14:paraId="0E5367B6" w14:textId="77777777" w:rsidR="0023076E" w:rsidRPr="005044F0" w:rsidRDefault="0023076E" w:rsidP="00324A07">
            <w:pPr>
              <w:jc w:val="center"/>
              <w:rPr>
                <w:color w:val="000000"/>
                <w:sz w:val="20"/>
                <w:szCs w:val="20"/>
                <w:lang w:val="es-ES"/>
              </w:rPr>
            </w:pPr>
            <w:r w:rsidRPr="005044F0">
              <w:rPr>
                <w:color w:val="000000"/>
                <w:sz w:val="20"/>
                <w:szCs w:val="20"/>
                <w:lang w:val="es-ES"/>
              </w:rPr>
              <w:t>26.11***</w:t>
            </w:r>
          </w:p>
        </w:tc>
      </w:tr>
      <w:tr w:rsidR="0023076E" w:rsidRPr="005044F0" w14:paraId="4F7D1863" w14:textId="77777777" w:rsidTr="00324A07">
        <w:trPr>
          <w:trHeight w:val="320"/>
        </w:trPr>
        <w:tc>
          <w:tcPr>
            <w:tcW w:w="3440" w:type="dxa"/>
            <w:tcBorders>
              <w:top w:val="nil"/>
              <w:left w:val="nil"/>
              <w:bottom w:val="nil"/>
              <w:right w:val="nil"/>
            </w:tcBorders>
            <w:shd w:val="clear" w:color="auto" w:fill="auto"/>
            <w:noWrap/>
            <w:vAlign w:val="bottom"/>
            <w:hideMark/>
          </w:tcPr>
          <w:p w14:paraId="168FC594" w14:textId="77777777" w:rsidR="0023076E" w:rsidRPr="005044F0" w:rsidRDefault="0023076E" w:rsidP="00324A07">
            <w:pPr>
              <w:rPr>
                <w:color w:val="000000"/>
                <w:sz w:val="20"/>
                <w:szCs w:val="20"/>
                <w:lang w:val="es-ES"/>
              </w:rPr>
            </w:pPr>
            <w:r w:rsidRPr="005044F0">
              <w:rPr>
                <w:color w:val="000000"/>
                <w:sz w:val="20"/>
                <w:szCs w:val="20"/>
                <w:lang w:val="es-ES"/>
              </w:rPr>
              <w:t xml:space="preserve">        Aceptación y crecimiento personal</w:t>
            </w:r>
          </w:p>
        </w:tc>
        <w:tc>
          <w:tcPr>
            <w:tcW w:w="1300" w:type="dxa"/>
            <w:tcBorders>
              <w:top w:val="nil"/>
              <w:left w:val="nil"/>
              <w:bottom w:val="nil"/>
              <w:right w:val="nil"/>
            </w:tcBorders>
            <w:shd w:val="clear" w:color="auto" w:fill="auto"/>
            <w:noWrap/>
            <w:vAlign w:val="bottom"/>
            <w:hideMark/>
          </w:tcPr>
          <w:p w14:paraId="249B7EFB" w14:textId="77777777" w:rsidR="0023076E" w:rsidRPr="005044F0" w:rsidRDefault="0023076E" w:rsidP="00324A07">
            <w:pPr>
              <w:jc w:val="center"/>
              <w:rPr>
                <w:color w:val="000000"/>
                <w:sz w:val="20"/>
                <w:szCs w:val="20"/>
                <w:lang w:val="es-ES"/>
              </w:rPr>
            </w:pPr>
            <w:r w:rsidRPr="005044F0">
              <w:rPr>
                <w:color w:val="000000"/>
                <w:sz w:val="20"/>
                <w:szCs w:val="20"/>
                <w:lang w:val="es-ES"/>
              </w:rPr>
              <w:t>0.88</w:t>
            </w:r>
          </w:p>
        </w:tc>
        <w:tc>
          <w:tcPr>
            <w:tcW w:w="1300" w:type="dxa"/>
            <w:tcBorders>
              <w:top w:val="nil"/>
              <w:left w:val="nil"/>
              <w:bottom w:val="nil"/>
              <w:right w:val="nil"/>
            </w:tcBorders>
            <w:shd w:val="clear" w:color="auto" w:fill="auto"/>
            <w:noWrap/>
            <w:vAlign w:val="center"/>
            <w:hideMark/>
          </w:tcPr>
          <w:p w14:paraId="7C633035" w14:textId="77777777" w:rsidR="0023076E" w:rsidRPr="005044F0" w:rsidRDefault="0023076E" w:rsidP="00324A07">
            <w:pPr>
              <w:jc w:val="center"/>
              <w:rPr>
                <w:color w:val="000000"/>
                <w:sz w:val="20"/>
                <w:szCs w:val="20"/>
                <w:lang w:val="es-ES"/>
              </w:rPr>
            </w:pPr>
            <w:r w:rsidRPr="005044F0">
              <w:rPr>
                <w:color w:val="000000"/>
                <w:sz w:val="20"/>
                <w:szCs w:val="20"/>
                <w:lang w:val="es-ES"/>
              </w:rPr>
              <w:t>0.12</w:t>
            </w:r>
          </w:p>
        </w:tc>
        <w:tc>
          <w:tcPr>
            <w:tcW w:w="1300" w:type="dxa"/>
            <w:tcBorders>
              <w:top w:val="nil"/>
              <w:left w:val="nil"/>
              <w:bottom w:val="nil"/>
              <w:right w:val="nil"/>
            </w:tcBorders>
            <w:shd w:val="clear" w:color="auto" w:fill="auto"/>
            <w:noWrap/>
            <w:vAlign w:val="bottom"/>
            <w:hideMark/>
          </w:tcPr>
          <w:p w14:paraId="043D56F8" w14:textId="77777777" w:rsidR="0023076E" w:rsidRPr="005044F0" w:rsidRDefault="0023076E" w:rsidP="00324A07">
            <w:pPr>
              <w:jc w:val="center"/>
              <w:rPr>
                <w:color w:val="000000"/>
                <w:sz w:val="20"/>
                <w:szCs w:val="20"/>
                <w:lang w:val="es-ES"/>
              </w:rPr>
            </w:pPr>
            <w:r w:rsidRPr="005044F0">
              <w:rPr>
                <w:color w:val="000000"/>
                <w:sz w:val="20"/>
                <w:szCs w:val="20"/>
                <w:lang w:val="es-ES"/>
              </w:rPr>
              <w:t>0.52***</w:t>
            </w:r>
          </w:p>
        </w:tc>
        <w:tc>
          <w:tcPr>
            <w:tcW w:w="315" w:type="dxa"/>
            <w:tcBorders>
              <w:top w:val="nil"/>
              <w:left w:val="nil"/>
              <w:bottom w:val="nil"/>
              <w:right w:val="nil"/>
            </w:tcBorders>
            <w:shd w:val="clear" w:color="auto" w:fill="auto"/>
            <w:noWrap/>
            <w:vAlign w:val="center"/>
            <w:hideMark/>
          </w:tcPr>
          <w:p w14:paraId="403E295B" w14:textId="77777777" w:rsidR="0023076E" w:rsidRPr="005044F0" w:rsidRDefault="0023076E" w:rsidP="00324A07">
            <w:pPr>
              <w:jc w:val="center"/>
              <w:rPr>
                <w:color w:val="000000"/>
                <w:sz w:val="20"/>
                <w:szCs w:val="20"/>
                <w:lang w:val="es-ES"/>
              </w:rPr>
            </w:pPr>
          </w:p>
        </w:tc>
        <w:tc>
          <w:tcPr>
            <w:tcW w:w="1705" w:type="dxa"/>
            <w:tcBorders>
              <w:top w:val="nil"/>
              <w:left w:val="nil"/>
              <w:bottom w:val="nil"/>
              <w:right w:val="nil"/>
            </w:tcBorders>
            <w:vAlign w:val="center"/>
          </w:tcPr>
          <w:p w14:paraId="2BC569EB" w14:textId="77777777" w:rsidR="0023076E" w:rsidRPr="005044F0" w:rsidRDefault="0023076E" w:rsidP="00324A07">
            <w:pPr>
              <w:jc w:val="center"/>
              <w:rPr>
                <w:color w:val="000000"/>
                <w:sz w:val="20"/>
                <w:szCs w:val="20"/>
                <w:lang w:val="es-ES"/>
              </w:rPr>
            </w:pPr>
          </w:p>
        </w:tc>
      </w:tr>
      <w:tr w:rsidR="0023076E" w:rsidRPr="005044F0" w14:paraId="11917272" w14:textId="77777777" w:rsidTr="00324A07">
        <w:trPr>
          <w:trHeight w:val="320"/>
        </w:trPr>
        <w:tc>
          <w:tcPr>
            <w:tcW w:w="3440" w:type="dxa"/>
            <w:tcBorders>
              <w:top w:val="nil"/>
              <w:left w:val="nil"/>
              <w:bottom w:val="nil"/>
              <w:right w:val="nil"/>
            </w:tcBorders>
            <w:shd w:val="clear" w:color="auto" w:fill="auto"/>
            <w:noWrap/>
            <w:vAlign w:val="bottom"/>
            <w:hideMark/>
          </w:tcPr>
          <w:p w14:paraId="0D1D7AC4" w14:textId="77777777" w:rsidR="0023076E" w:rsidRPr="005044F0" w:rsidRDefault="0023076E" w:rsidP="00324A07">
            <w:pPr>
              <w:rPr>
                <w:color w:val="000000"/>
                <w:sz w:val="20"/>
                <w:szCs w:val="20"/>
                <w:lang w:val="es-ES"/>
              </w:rPr>
            </w:pPr>
            <w:r w:rsidRPr="005044F0">
              <w:rPr>
                <w:color w:val="000000"/>
                <w:sz w:val="20"/>
                <w:szCs w:val="20"/>
                <w:lang w:val="es-ES"/>
              </w:rPr>
              <w:t xml:space="preserve">        Consumo de alcohol o drogas</w:t>
            </w:r>
          </w:p>
        </w:tc>
        <w:tc>
          <w:tcPr>
            <w:tcW w:w="1300" w:type="dxa"/>
            <w:tcBorders>
              <w:top w:val="nil"/>
              <w:left w:val="nil"/>
              <w:bottom w:val="nil"/>
              <w:right w:val="nil"/>
            </w:tcBorders>
            <w:shd w:val="clear" w:color="auto" w:fill="auto"/>
            <w:noWrap/>
            <w:vAlign w:val="bottom"/>
            <w:hideMark/>
          </w:tcPr>
          <w:p w14:paraId="3EFB5ACA" w14:textId="77777777" w:rsidR="0023076E" w:rsidRPr="005044F0" w:rsidRDefault="0023076E" w:rsidP="00324A07">
            <w:pPr>
              <w:jc w:val="center"/>
              <w:rPr>
                <w:color w:val="000000"/>
                <w:sz w:val="20"/>
                <w:szCs w:val="20"/>
                <w:lang w:val="es-ES"/>
              </w:rPr>
            </w:pPr>
            <w:r w:rsidRPr="005044F0">
              <w:rPr>
                <w:color w:val="000000"/>
                <w:sz w:val="20"/>
                <w:szCs w:val="20"/>
                <w:lang w:val="es-ES"/>
              </w:rPr>
              <w:t>-0.25</w:t>
            </w:r>
          </w:p>
        </w:tc>
        <w:tc>
          <w:tcPr>
            <w:tcW w:w="1300" w:type="dxa"/>
            <w:tcBorders>
              <w:top w:val="nil"/>
              <w:left w:val="nil"/>
              <w:bottom w:val="nil"/>
              <w:right w:val="nil"/>
            </w:tcBorders>
            <w:shd w:val="clear" w:color="auto" w:fill="auto"/>
            <w:noWrap/>
            <w:vAlign w:val="center"/>
            <w:hideMark/>
          </w:tcPr>
          <w:p w14:paraId="4BD6C9F4" w14:textId="77777777" w:rsidR="0023076E" w:rsidRPr="005044F0" w:rsidRDefault="0023076E" w:rsidP="00324A07">
            <w:pPr>
              <w:jc w:val="center"/>
              <w:rPr>
                <w:color w:val="000000"/>
                <w:sz w:val="20"/>
                <w:szCs w:val="20"/>
                <w:lang w:val="es-ES"/>
              </w:rPr>
            </w:pPr>
            <w:r w:rsidRPr="005044F0">
              <w:rPr>
                <w:color w:val="000000"/>
                <w:sz w:val="20"/>
                <w:szCs w:val="20"/>
                <w:lang w:val="es-ES"/>
              </w:rPr>
              <w:t>0.08</w:t>
            </w:r>
          </w:p>
        </w:tc>
        <w:tc>
          <w:tcPr>
            <w:tcW w:w="1300" w:type="dxa"/>
            <w:tcBorders>
              <w:top w:val="nil"/>
              <w:left w:val="nil"/>
              <w:bottom w:val="nil"/>
              <w:right w:val="nil"/>
            </w:tcBorders>
            <w:shd w:val="clear" w:color="auto" w:fill="auto"/>
            <w:noWrap/>
            <w:vAlign w:val="bottom"/>
            <w:hideMark/>
          </w:tcPr>
          <w:p w14:paraId="0A0E75ED" w14:textId="77777777" w:rsidR="0023076E" w:rsidRPr="005044F0" w:rsidRDefault="0023076E" w:rsidP="00324A07">
            <w:pPr>
              <w:jc w:val="center"/>
              <w:rPr>
                <w:color w:val="000000"/>
                <w:sz w:val="20"/>
                <w:szCs w:val="20"/>
                <w:lang w:val="es-ES"/>
              </w:rPr>
            </w:pPr>
            <w:r w:rsidRPr="005044F0">
              <w:rPr>
                <w:color w:val="000000"/>
                <w:sz w:val="20"/>
                <w:szCs w:val="20"/>
                <w:lang w:val="es-ES"/>
              </w:rPr>
              <w:t>-0.23**</w:t>
            </w:r>
          </w:p>
        </w:tc>
        <w:tc>
          <w:tcPr>
            <w:tcW w:w="315" w:type="dxa"/>
            <w:tcBorders>
              <w:top w:val="nil"/>
              <w:left w:val="nil"/>
              <w:bottom w:val="nil"/>
              <w:right w:val="nil"/>
            </w:tcBorders>
            <w:shd w:val="clear" w:color="auto" w:fill="auto"/>
            <w:noWrap/>
            <w:vAlign w:val="center"/>
            <w:hideMark/>
          </w:tcPr>
          <w:p w14:paraId="67CEC83B" w14:textId="77777777" w:rsidR="0023076E" w:rsidRPr="005044F0" w:rsidRDefault="0023076E" w:rsidP="00324A07">
            <w:pPr>
              <w:jc w:val="center"/>
              <w:rPr>
                <w:color w:val="000000"/>
                <w:sz w:val="20"/>
                <w:szCs w:val="20"/>
                <w:lang w:val="es-ES"/>
              </w:rPr>
            </w:pPr>
          </w:p>
        </w:tc>
        <w:tc>
          <w:tcPr>
            <w:tcW w:w="1705" w:type="dxa"/>
            <w:tcBorders>
              <w:top w:val="nil"/>
              <w:left w:val="nil"/>
              <w:bottom w:val="nil"/>
              <w:right w:val="nil"/>
            </w:tcBorders>
            <w:vAlign w:val="center"/>
          </w:tcPr>
          <w:p w14:paraId="02E4760D" w14:textId="77777777" w:rsidR="0023076E" w:rsidRPr="005044F0" w:rsidRDefault="0023076E" w:rsidP="00324A07">
            <w:pPr>
              <w:jc w:val="center"/>
              <w:rPr>
                <w:color w:val="000000"/>
                <w:sz w:val="20"/>
                <w:szCs w:val="20"/>
                <w:lang w:val="es-ES"/>
              </w:rPr>
            </w:pPr>
          </w:p>
        </w:tc>
      </w:tr>
      <w:tr w:rsidR="0023076E" w:rsidRPr="005044F0" w14:paraId="4C4AE817" w14:textId="77777777" w:rsidTr="00324A07">
        <w:trPr>
          <w:trHeight w:val="320"/>
        </w:trPr>
        <w:tc>
          <w:tcPr>
            <w:tcW w:w="3440" w:type="dxa"/>
            <w:tcBorders>
              <w:top w:val="nil"/>
              <w:left w:val="nil"/>
              <w:bottom w:val="nil"/>
              <w:right w:val="nil"/>
            </w:tcBorders>
            <w:shd w:val="clear" w:color="auto" w:fill="auto"/>
            <w:noWrap/>
            <w:vAlign w:val="bottom"/>
            <w:hideMark/>
          </w:tcPr>
          <w:p w14:paraId="13E028DB" w14:textId="77777777" w:rsidR="0023076E" w:rsidRPr="005044F0" w:rsidRDefault="0023076E" w:rsidP="00324A07">
            <w:pPr>
              <w:rPr>
                <w:color w:val="000000"/>
                <w:sz w:val="20"/>
                <w:szCs w:val="20"/>
                <w:lang w:val="es-ES"/>
              </w:rPr>
            </w:pPr>
            <w:r w:rsidRPr="005044F0">
              <w:rPr>
                <w:color w:val="000000"/>
                <w:sz w:val="20"/>
                <w:szCs w:val="20"/>
                <w:lang w:val="es-ES"/>
              </w:rPr>
              <w:t xml:space="preserve">        Refrenar el afrontamiento</w:t>
            </w:r>
          </w:p>
        </w:tc>
        <w:tc>
          <w:tcPr>
            <w:tcW w:w="1300" w:type="dxa"/>
            <w:tcBorders>
              <w:top w:val="nil"/>
              <w:left w:val="nil"/>
              <w:bottom w:val="nil"/>
              <w:right w:val="nil"/>
            </w:tcBorders>
            <w:shd w:val="clear" w:color="auto" w:fill="auto"/>
            <w:noWrap/>
            <w:vAlign w:val="bottom"/>
            <w:hideMark/>
          </w:tcPr>
          <w:p w14:paraId="198C0ED6" w14:textId="77777777" w:rsidR="0023076E" w:rsidRPr="005044F0" w:rsidRDefault="0023076E" w:rsidP="00324A07">
            <w:pPr>
              <w:jc w:val="center"/>
              <w:rPr>
                <w:color w:val="000000"/>
                <w:sz w:val="20"/>
                <w:szCs w:val="20"/>
                <w:lang w:val="es-ES"/>
              </w:rPr>
            </w:pPr>
            <w:r w:rsidRPr="005044F0">
              <w:rPr>
                <w:color w:val="000000"/>
                <w:sz w:val="20"/>
                <w:szCs w:val="20"/>
                <w:lang w:val="es-ES"/>
              </w:rPr>
              <w:t>-0.24</w:t>
            </w:r>
          </w:p>
        </w:tc>
        <w:tc>
          <w:tcPr>
            <w:tcW w:w="1300" w:type="dxa"/>
            <w:tcBorders>
              <w:top w:val="nil"/>
              <w:left w:val="nil"/>
              <w:bottom w:val="nil"/>
              <w:right w:val="nil"/>
            </w:tcBorders>
            <w:shd w:val="clear" w:color="auto" w:fill="auto"/>
            <w:noWrap/>
            <w:vAlign w:val="center"/>
            <w:hideMark/>
          </w:tcPr>
          <w:p w14:paraId="2D21E0D7" w14:textId="77777777" w:rsidR="0023076E" w:rsidRPr="005044F0" w:rsidRDefault="0023076E" w:rsidP="00324A07">
            <w:pPr>
              <w:jc w:val="center"/>
              <w:rPr>
                <w:color w:val="000000"/>
                <w:sz w:val="20"/>
                <w:szCs w:val="20"/>
                <w:lang w:val="es-ES"/>
              </w:rPr>
            </w:pPr>
            <w:r w:rsidRPr="005044F0">
              <w:rPr>
                <w:color w:val="000000"/>
                <w:sz w:val="20"/>
                <w:szCs w:val="20"/>
                <w:lang w:val="es-ES"/>
              </w:rPr>
              <w:t>0.11</w:t>
            </w:r>
          </w:p>
        </w:tc>
        <w:tc>
          <w:tcPr>
            <w:tcW w:w="1300" w:type="dxa"/>
            <w:tcBorders>
              <w:top w:val="nil"/>
              <w:left w:val="nil"/>
              <w:bottom w:val="nil"/>
              <w:right w:val="nil"/>
            </w:tcBorders>
            <w:shd w:val="clear" w:color="auto" w:fill="auto"/>
            <w:noWrap/>
            <w:vAlign w:val="bottom"/>
            <w:hideMark/>
          </w:tcPr>
          <w:p w14:paraId="07BB5B52" w14:textId="77777777" w:rsidR="0023076E" w:rsidRPr="005044F0" w:rsidRDefault="0023076E" w:rsidP="00324A07">
            <w:pPr>
              <w:jc w:val="center"/>
              <w:rPr>
                <w:color w:val="000000"/>
                <w:sz w:val="20"/>
                <w:szCs w:val="20"/>
                <w:lang w:val="es-ES"/>
              </w:rPr>
            </w:pPr>
            <w:r w:rsidRPr="005044F0">
              <w:rPr>
                <w:color w:val="000000"/>
                <w:sz w:val="20"/>
                <w:szCs w:val="20"/>
                <w:lang w:val="es-ES"/>
              </w:rPr>
              <w:t>-0.17*</w:t>
            </w:r>
          </w:p>
        </w:tc>
        <w:tc>
          <w:tcPr>
            <w:tcW w:w="315" w:type="dxa"/>
            <w:tcBorders>
              <w:top w:val="nil"/>
              <w:left w:val="nil"/>
              <w:bottom w:val="nil"/>
              <w:right w:val="nil"/>
            </w:tcBorders>
            <w:shd w:val="clear" w:color="auto" w:fill="auto"/>
            <w:noWrap/>
            <w:vAlign w:val="center"/>
            <w:hideMark/>
          </w:tcPr>
          <w:p w14:paraId="39AB09A5" w14:textId="77777777" w:rsidR="0023076E" w:rsidRPr="005044F0" w:rsidRDefault="0023076E" w:rsidP="00324A07">
            <w:pPr>
              <w:jc w:val="center"/>
              <w:rPr>
                <w:color w:val="000000"/>
                <w:sz w:val="20"/>
                <w:szCs w:val="20"/>
                <w:lang w:val="es-ES"/>
              </w:rPr>
            </w:pPr>
          </w:p>
        </w:tc>
        <w:tc>
          <w:tcPr>
            <w:tcW w:w="1705" w:type="dxa"/>
            <w:tcBorders>
              <w:top w:val="nil"/>
              <w:left w:val="nil"/>
              <w:bottom w:val="nil"/>
              <w:right w:val="nil"/>
            </w:tcBorders>
            <w:vAlign w:val="center"/>
          </w:tcPr>
          <w:p w14:paraId="719DC2E6" w14:textId="77777777" w:rsidR="0023076E" w:rsidRPr="005044F0" w:rsidRDefault="0023076E" w:rsidP="00324A07">
            <w:pPr>
              <w:jc w:val="center"/>
              <w:rPr>
                <w:color w:val="000000"/>
                <w:sz w:val="20"/>
                <w:szCs w:val="20"/>
                <w:lang w:val="es-ES"/>
              </w:rPr>
            </w:pPr>
          </w:p>
        </w:tc>
      </w:tr>
      <w:tr w:rsidR="0023076E" w:rsidRPr="005044F0" w14:paraId="3CC2C011" w14:textId="77777777" w:rsidTr="00324A07">
        <w:trPr>
          <w:trHeight w:val="320"/>
        </w:trPr>
        <w:tc>
          <w:tcPr>
            <w:tcW w:w="3440" w:type="dxa"/>
            <w:tcBorders>
              <w:top w:val="nil"/>
              <w:left w:val="nil"/>
              <w:bottom w:val="nil"/>
              <w:right w:val="nil"/>
            </w:tcBorders>
            <w:shd w:val="clear" w:color="auto" w:fill="auto"/>
            <w:noWrap/>
            <w:vAlign w:val="bottom"/>
            <w:hideMark/>
          </w:tcPr>
          <w:p w14:paraId="70B6A1FB" w14:textId="77777777" w:rsidR="0023076E" w:rsidRPr="005044F0" w:rsidRDefault="0023076E" w:rsidP="00324A07">
            <w:pPr>
              <w:rPr>
                <w:color w:val="000000"/>
                <w:sz w:val="20"/>
                <w:szCs w:val="20"/>
                <w:lang w:val="es-ES"/>
              </w:rPr>
            </w:pPr>
            <w:r w:rsidRPr="005044F0">
              <w:rPr>
                <w:color w:val="000000"/>
                <w:sz w:val="20"/>
                <w:szCs w:val="20"/>
                <w:lang w:val="es-ES"/>
              </w:rPr>
              <w:t xml:space="preserve">     Paso 4</w:t>
            </w:r>
          </w:p>
        </w:tc>
        <w:tc>
          <w:tcPr>
            <w:tcW w:w="1300" w:type="dxa"/>
            <w:tcBorders>
              <w:top w:val="nil"/>
              <w:left w:val="nil"/>
              <w:bottom w:val="nil"/>
              <w:right w:val="nil"/>
            </w:tcBorders>
            <w:shd w:val="clear" w:color="auto" w:fill="auto"/>
            <w:noWrap/>
            <w:vAlign w:val="bottom"/>
            <w:hideMark/>
          </w:tcPr>
          <w:p w14:paraId="2970FC0B" w14:textId="77777777" w:rsidR="0023076E" w:rsidRPr="005044F0" w:rsidRDefault="0023076E" w:rsidP="00324A07">
            <w:pP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6E81EE29" w14:textId="77777777" w:rsidR="0023076E" w:rsidRPr="005044F0" w:rsidRDefault="0023076E" w:rsidP="00324A07">
            <w:pPr>
              <w:jc w:val="center"/>
              <w:rPr>
                <w:sz w:val="20"/>
                <w:szCs w:val="20"/>
                <w:lang w:val="es-ES"/>
              </w:rPr>
            </w:pPr>
          </w:p>
        </w:tc>
        <w:tc>
          <w:tcPr>
            <w:tcW w:w="1300" w:type="dxa"/>
            <w:tcBorders>
              <w:top w:val="nil"/>
              <w:left w:val="nil"/>
              <w:bottom w:val="nil"/>
              <w:right w:val="nil"/>
            </w:tcBorders>
            <w:shd w:val="clear" w:color="auto" w:fill="auto"/>
            <w:noWrap/>
            <w:vAlign w:val="bottom"/>
            <w:hideMark/>
          </w:tcPr>
          <w:p w14:paraId="099A95A1" w14:textId="77777777" w:rsidR="0023076E" w:rsidRPr="005044F0" w:rsidRDefault="0023076E" w:rsidP="00324A07">
            <w:pPr>
              <w:jc w:val="center"/>
              <w:rPr>
                <w:sz w:val="20"/>
                <w:szCs w:val="20"/>
                <w:lang w:val="es-ES"/>
              </w:rPr>
            </w:pPr>
          </w:p>
        </w:tc>
        <w:tc>
          <w:tcPr>
            <w:tcW w:w="315" w:type="dxa"/>
            <w:tcBorders>
              <w:top w:val="nil"/>
              <w:left w:val="nil"/>
              <w:bottom w:val="nil"/>
              <w:right w:val="nil"/>
            </w:tcBorders>
            <w:shd w:val="clear" w:color="auto" w:fill="auto"/>
            <w:noWrap/>
            <w:vAlign w:val="center"/>
            <w:hideMark/>
          </w:tcPr>
          <w:p w14:paraId="0A6B0959" w14:textId="77777777" w:rsidR="0023076E" w:rsidRPr="005044F0" w:rsidRDefault="0023076E" w:rsidP="00324A07">
            <w:pPr>
              <w:jc w:val="center"/>
              <w:rPr>
                <w:color w:val="000000"/>
                <w:sz w:val="20"/>
                <w:szCs w:val="20"/>
                <w:lang w:val="es-ES"/>
              </w:rPr>
            </w:pPr>
            <w:r w:rsidRPr="005044F0">
              <w:rPr>
                <w:color w:val="000000"/>
                <w:sz w:val="20"/>
                <w:szCs w:val="20"/>
                <w:lang w:val="es-ES"/>
              </w:rPr>
              <w:t>0.4</w:t>
            </w:r>
          </w:p>
        </w:tc>
        <w:tc>
          <w:tcPr>
            <w:tcW w:w="1705" w:type="dxa"/>
            <w:tcBorders>
              <w:top w:val="nil"/>
              <w:left w:val="nil"/>
              <w:bottom w:val="nil"/>
              <w:right w:val="nil"/>
            </w:tcBorders>
            <w:vAlign w:val="center"/>
          </w:tcPr>
          <w:p w14:paraId="4752563A" w14:textId="77777777" w:rsidR="0023076E" w:rsidRPr="005044F0" w:rsidRDefault="0023076E" w:rsidP="00324A07">
            <w:pPr>
              <w:jc w:val="center"/>
              <w:rPr>
                <w:color w:val="000000"/>
                <w:sz w:val="20"/>
                <w:szCs w:val="20"/>
                <w:lang w:val="es-ES"/>
              </w:rPr>
            </w:pPr>
            <w:r w:rsidRPr="005044F0">
              <w:rPr>
                <w:color w:val="000000"/>
                <w:sz w:val="20"/>
                <w:szCs w:val="20"/>
                <w:lang w:val="es-ES"/>
              </w:rPr>
              <w:t>21.40***</w:t>
            </w:r>
          </w:p>
        </w:tc>
      </w:tr>
      <w:tr w:rsidR="0023076E" w:rsidRPr="005044F0" w14:paraId="24CF3ABE" w14:textId="77777777" w:rsidTr="00324A07">
        <w:trPr>
          <w:trHeight w:val="320"/>
        </w:trPr>
        <w:tc>
          <w:tcPr>
            <w:tcW w:w="3440" w:type="dxa"/>
            <w:tcBorders>
              <w:top w:val="nil"/>
              <w:left w:val="nil"/>
              <w:bottom w:val="nil"/>
              <w:right w:val="nil"/>
            </w:tcBorders>
            <w:shd w:val="clear" w:color="auto" w:fill="auto"/>
            <w:noWrap/>
            <w:vAlign w:val="bottom"/>
            <w:hideMark/>
          </w:tcPr>
          <w:p w14:paraId="164F3394" w14:textId="77777777" w:rsidR="0023076E" w:rsidRPr="005044F0" w:rsidRDefault="0023076E" w:rsidP="00324A07">
            <w:pPr>
              <w:rPr>
                <w:color w:val="000000"/>
                <w:sz w:val="20"/>
                <w:szCs w:val="20"/>
                <w:lang w:val="es-ES"/>
              </w:rPr>
            </w:pPr>
            <w:r w:rsidRPr="005044F0">
              <w:rPr>
                <w:color w:val="000000"/>
                <w:sz w:val="20"/>
                <w:szCs w:val="20"/>
                <w:lang w:val="es-ES"/>
              </w:rPr>
              <w:t xml:space="preserve">        Aceptación y crecimiento personal</w:t>
            </w:r>
          </w:p>
        </w:tc>
        <w:tc>
          <w:tcPr>
            <w:tcW w:w="1300" w:type="dxa"/>
            <w:tcBorders>
              <w:top w:val="nil"/>
              <w:left w:val="nil"/>
              <w:bottom w:val="nil"/>
              <w:right w:val="nil"/>
            </w:tcBorders>
            <w:shd w:val="clear" w:color="auto" w:fill="auto"/>
            <w:noWrap/>
            <w:vAlign w:val="bottom"/>
            <w:hideMark/>
          </w:tcPr>
          <w:p w14:paraId="777A81B7" w14:textId="77777777" w:rsidR="0023076E" w:rsidRPr="005044F0" w:rsidRDefault="0023076E" w:rsidP="00324A07">
            <w:pPr>
              <w:jc w:val="center"/>
              <w:rPr>
                <w:color w:val="000000"/>
                <w:sz w:val="20"/>
                <w:szCs w:val="20"/>
                <w:lang w:val="es-ES"/>
              </w:rPr>
            </w:pPr>
            <w:r w:rsidRPr="005044F0">
              <w:rPr>
                <w:color w:val="000000"/>
                <w:sz w:val="20"/>
                <w:szCs w:val="20"/>
                <w:lang w:val="es-ES"/>
              </w:rPr>
              <w:t>0.83</w:t>
            </w:r>
          </w:p>
        </w:tc>
        <w:tc>
          <w:tcPr>
            <w:tcW w:w="1300" w:type="dxa"/>
            <w:tcBorders>
              <w:top w:val="nil"/>
              <w:left w:val="nil"/>
              <w:bottom w:val="nil"/>
              <w:right w:val="nil"/>
            </w:tcBorders>
            <w:shd w:val="clear" w:color="auto" w:fill="auto"/>
            <w:noWrap/>
            <w:vAlign w:val="center"/>
            <w:hideMark/>
          </w:tcPr>
          <w:p w14:paraId="31CF383A" w14:textId="77777777" w:rsidR="0023076E" w:rsidRPr="005044F0" w:rsidRDefault="0023076E" w:rsidP="00324A07">
            <w:pPr>
              <w:jc w:val="center"/>
              <w:rPr>
                <w:color w:val="000000"/>
                <w:sz w:val="20"/>
                <w:szCs w:val="20"/>
                <w:lang w:val="es-ES"/>
              </w:rPr>
            </w:pPr>
            <w:r w:rsidRPr="005044F0">
              <w:rPr>
                <w:color w:val="000000"/>
                <w:sz w:val="20"/>
                <w:szCs w:val="20"/>
                <w:lang w:val="es-ES"/>
              </w:rPr>
              <w:t>0.12</w:t>
            </w:r>
          </w:p>
        </w:tc>
        <w:tc>
          <w:tcPr>
            <w:tcW w:w="1300" w:type="dxa"/>
            <w:tcBorders>
              <w:top w:val="nil"/>
              <w:left w:val="nil"/>
              <w:bottom w:val="nil"/>
              <w:right w:val="nil"/>
            </w:tcBorders>
            <w:shd w:val="clear" w:color="auto" w:fill="auto"/>
            <w:noWrap/>
            <w:vAlign w:val="bottom"/>
            <w:hideMark/>
          </w:tcPr>
          <w:p w14:paraId="75ACCE87" w14:textId="77777777" w:rsidR="0023076E" w:rsidRPr="005044F0" w:rsidRDefault="0023076E" w:rsidP="00324A07">
            <w:pPr>
              <w:jc w:val="center"/>
              <w:rPr>
                <w:color w:val="000000"/>
                <w:sz w:val="20"/>
                <w:szCs w:val="20"/>
                <w:lang w:val="es-ES"/>
              </w:rPr>
            </w:pPr>
            <w:r w:rsidRPr="005044F0">
              <w:rPr>
                <w:color w:val="000000"/>
                <w:sz w:val="20"/>
                <w:szCs w:val="20"/>
                <w:lang w:val="es-ES"/>
              </w:rPr>
              <w:t>0.49***</w:t>
            </w:r>
          </w:p>
        </w:tc>
        <w:tc>
          <w:tcPr>
            <w:tcW w:w="315" w:type="dxa"/>
            <w:tcBorders>
              <w:top w:val="nil"/>
              <w:left w:val="nil"/>
              <w:bottom w:val="nil"/>
              <w:right w:val="nil"/>
            </w:tcBorders>
            <w:shd w:val="clear" w:color="auto" w:fill="auto"/>
            <w:noWrap/>
            <w:vAlign w:val="center"/>
            <w:hideMark/>
          </w:tcPr>
          <w:p w14:paraId="017BF97F" w14:textId="77777777" w:rsidR="0023076E" w:rsidRPr="005044F0" w:rsidRDefault="0023076E" w:rsidP="00324A07">
            <w:pPr>
              <w:jc w:val="center"/>
              <w:rPr>
                <w:color w:val="000000"/>
                <w:sz w:val="20"/>
                <w:szCs w:val="20"/>
                <w:lang w:val="es-ES"/>
              </w:rPr>
            </w:pPr>
          </w:p>
        </w:tc>
        <w:tc>
          <w:tcPr>
            <w:tcW w:w="1705" w:type="dxa"/>
            <w:tcBorders>
              <w:top w:val="nil"/>
              <w:left w:val="nil"/>
              <w:bottom w:val="nil"/>
              <w:right w:val="nil"/>
            </w:tcBorders>
            <w:vAlign w:val="center"/>
          </w:tcPr>
          <w:p w14:paraId="0C1F38B5" w14:textId="77777777" w:rsidR="0023076E" w:rsidRPr="005044F0" w:rsidRDefault="0023076E" w:rsidP="00324A07">
            <w:pPr>
              <w:jc w:val="center"/>
              <w:rPr>
                <w:color w:val="000000"/>
                <w:sz w:val="20"/>
                <w:szCs w:val="20"/>
                <w:lang w:val="es-ES"/>
              </w:rPr>
            </w:pPr>
          </w:p>
        </w:tc>
      </w:tr>
      <w:tr w:rsidR="0023076E" w:rsidRPr="005044F0" w14:paraId="59138D5A" w14:textId="77777777" w:rsidTr="00324A07">
        <w:trPr>
          <w:trHeight w:val="320"/>
        </w:trPr>
        <w:tc>
          <w:tcPr>
            <w:tcW w:w="3440" w:type="dxa"/>
            <w:tcBorders>
              <w:top w:val="nil"/>
              <w:left w:val="nil"/>
              <w:bottom w:val="nil"/>
              <w:right w:val="nil"/>
            </w:tcBorders>
            <w:shd w:val="clear" w:color="auto" w:fill="auto"/>
            <w:noWrap/>
            <w:vAlign w:val="bottom"/>
            <w:hideMark/>
          </w:tcPr>
          <w:p w14:paraId="3D0D58D6" w14:textId="77777777" w:rsidR="0023076E" w:rsidRPr="005044F0" w:rsidRDefault="0023076E" w:rsidP="00324A07">
            <w:pPr>
              <w:rPr>
                <w:color w:val="000000"/>
                <w:sz w:val="20"/>
                <w:szCs w:val="20"/>
                <w:lang w:val="es-ES"/>
              </w:rPr>
            </w:pPr>
            <w:r w:rsidRPr="005044F0">
              <w:rPr>
                <w:color w:val="000000"/>
                <w:sz w:val="20"/>
                <w:szCs w:val="20"/>
                <w:lang w:val="es-ES"/>
              </w:rPr>
              <w:t xml:space="preserve">        Consumo de alcohol o drogas</w:t>
            </w:r>
          </w:p>
        </w:tc>
        <w:tc>
          <w:tcPr>
            <w:tcW w:w="1300" w:type="dxa"/>
            <w:tcBorders>
              <w:top w:val="nil"/>
              <w:left w:val="nil"/>
              <w:bottom w:val="nil"/>
              <w:right w:val="nil"/>
            </w:tcBorders>
            <w:shd w:val="clear" w:color="auto" w:fill="auto"/>
            <w:noWrap/>
            <w:vAlign w:val="bottom"/>
            <w:hideMark/>
          </w:tcPr>
          <w:p w14:paraId="4415E8B7" w14:textId="77777777" w:rsidR="0023076E" w:rsidRPr="005044F0" w:rsidRDefault="0023076E" w:rsidP="00324A07">
            <w:pPr>
              <w:jc w:val="center"/>
              <w:rPr>
                <w:color w:val="000000"/>
                <w:sz w:val="20"/>
                <w:szCs w:val="20"/>
                <w:lang w:val="es-ES"/>
              </w:rPr>
            </w:pPr>
            <w:r w:rsidRPr="005044F0">
              <w:rPr>
                <w:color w:val="000000"/>
                <w:sz w:val="20"/>
                <w:szCs w:val="20"/>
                <w:lang w:val="es-ES"/>
              </w:rPr>
              <w:t>-0.27</w:t>
            </w:r>
          </w:p>
        </w:tc>
        <w:tc>
          <w:tcPr>
            <w:tcW w:w="1300" w:type="dxa"/>
            <w:tcBorders>
              <w:top w:val="nil"/>
              <w:left w:val="nil"/>
              <w:bottom w:val="nil"/>
              <w:right w:val="nil"/>
            </w:tcBorders>
            <w:shd w:val="clear" w:color="auto" w:fill="auto"/>
            <w:noWrap/>
            <w:vAlign w:val="center"/>
            <w:hideMark/>
          </w:tcPr>
          <w:p w14:paraId="178D83E8" w14:textId="77777777" w:rsidR="0023076E" w:rsidRPr="005044F0" w:rsidRDefault="0023076E" w:rsidP="00324A07">
            <w:pPr>
              <w:jc w:val="center"/>
              <w:rPr>
                <w:color w:val="000000"/>
                <w:sz w:val="20"/>
                <w:szCs w:val="20"/>
                <w:lang w:val="es-ES"/>
              </w:rPr>
            </w:pPr>
            <w:r w:rsidRPr="005044F0">
              <w:rPr>
                <w:color w:val="000000"/>
                <w:sz w:val="20"/>
                <w:szCs w:val="20"/>
                <w:lang w:val="es-ES"/>
              </w:rPr>
              <w:t>0.08</w:t>
            </w:r>
          </w:p>
        </w:tc>
        <w:tc>
          <w:tcPr>
            <w:tcW w:w="1300" w:type="dxa"/>
            <w:tcBorders>
              <w:top w:val="nil"/>
              <w:left w:val="nil"/>
              <w:bottom w:val="nil"/>
              <w:right w:val="nil"/>
            </w:tcBorders>
            <w:shd w:val="clear" w:color="auto" w:fill="auto"/>
            <w:noWrap/>
            <w:vAlign w:val="bottom"/>
            <w:hideMark/>
          </w:tcPr>
          <w:p w14:paraId="2B0A2370" w14:textId="77777777" w:rsidR="0023076E" w:rsidRPr="005044F0" w:rsidRDefault="0023076E" w:rsidP="00324A07">
            <w:pPr>
              <w:jc w:val="center"/>
              <w:rPr>
                <w:color w:val="000000"/>
                <w:sz w:val="20"/>
                <w:szCs w:val="20"/>
                <w:lang w:val="es-ES"/>
              </w:rPr>
            </w:pPr>
            <w:r w:rsidRPr="005044F0">
              <w:rPr>
                <w:color w:val="000000"/>
                <w:sz w:val="20"/>
                <w:szCs w:val="20"/>
                <w:lang w:val="es-ES"/>
              </w:rPr>
              <w:t>-0.25**</w:t>
            </w:r>
          </w:p>
        </w:tc>
        <w:tc>
          <w:tcPr>
            <w:tcW w:w="315" w:type="dxa"/>
            <w:tcBorders>
              <w:top w:val="nil"/>
              <w:left w:val="nil"/>
              <w:bottom w:val="nil"/>
              <w:right w:val="nil"/>
            </w:tcBorders>
            <w:shd w:val="clear" w:color="auto" w:fill="auto"/>
            <w:noWrap/>
            <w:vAlign w:val="center"/>
            <w:hideMark/>
          </w:tcPr>
          <w:p w14:paraId="3EFE5674" w14:textId="77777777" w:rsidR="0023076E" w:rsidRPr="005044F0" w:rsidRDefault="0023076E" w:rsidP="00324A07">
            <w:pPr>
              <w:jc w:val="center"/>
              <w:rPr>
                <w:color w:val="000000"/>
                <w:sz w:val="20"/>
                <w:szCs w:val="20"/>
                <w:lang w:val="es-ES"/>
              </w:rPr>
            </w:pPr>
          </w:p>
        </w:tc>
        <w:tc>
          <w:tcPr>
            <w:tcW w:w="1705" w:type="dxa"/>
            <w:tcBorders>
              <w:top w:val="nil"/>
              <w:left w:val="nil"/>
              <w:bottom w:val="nil"/>
              <w:right w:val="nil"/>
            </w:tcBorders>
            <w:vAlign w:val="center"/>
          </w:tcPr>
          <w:p w14:paraId="3E478705" w14:textId="77777777" w:rsidR="0023076E" w:rsidRPr="005044F0" w:rsidRDefault="0023076E" w:rsidP="00324A07">
            <w:pPr>
              <w:jc w:val="center"/>
              <w:rPr>
                <w:color w:val="000000"/>
                <w:sz w:val="20"/>
                <w:szCs w:val="20"/>
                <w:lang w:val="es-ES"/>
              </w:rPr>
            </w:pPr>
          </w:p>
        </w:tc>
      </w:tr>
      <w:tr w:rsidR="0023076E" w:rsidRPr="005044F0" w14:paraId="49559085" w14:textId="77777777" w:rsidTr="00324A07">
        <w:trPr>
          <w:trHeight w:val="320"/>
        </w:trPr>
        <w:tc>
          <w:tcPr>
            <w:tcW w:w="3440" w:type="dxa"/>
            <w:tcBorders>
              <w:top w:val="nil"/>
              <w:left w:val="nil"/>
              <w:bottom w:val="nil"/>
              <w:right w:val="nil"/>
            </w:tcBorders>
            <w:shd w:val="clear" w:color="auto" w:fill="auto"/>
            <w:noWrap/>
            <w:vAlign w:val="bottom"/>
            <w:hideMark/>
          </w:tcPr>
          <w:p w14:paraId="5E229AEC" w14:textId="77777777" w:rsidR="0023076E" w:rsidRPr="005044F0" w:rsidRDefault="0023076E" w:rsidP="00324A07">
            <w:pPr>
              <w:rPr>
                <w:color w:val="000000"/>
                <w:sz w:val="20"/>
                <w:szCs w:val="20"/>
                <w:lang w:val="es-ES"/>
              </w:rPr>
            </w:pPr>
            <w:r w:rsidRPr="005044F0">
              <w:rPr>
                <w:color w:val="000000"/>
                <w:sz w:val="20"/>
                <w:szCs w:val="20"/>
                <w:lang w:val="es-ES"/>
              </w:rPr>
              <w:t xml:space="preserve">        Refrenar el afrontamiento</w:t>
            </w:r>
          </w:p>
        </w:tc>
        <w:tc>
          <w:tcPr>
            <w:tcW w:w="1300" w:type="dxa"/>
            <w:tcBorders>
              <w:top w:val="nil"/>
              <w:left w:val="nil"/>
              <w:bottom w:val="nil"/>
              <w:right w:val="nil"/>
            </w:tcBorders>
            <w:shd w:val="clear" w:color="auto" w:fill="auto"/>
            <w:noWrap/>
            <w:vAlign w:val="bottom"/>
            <w:hideMark/>
          </w:tcPr>
          <w:p w14:paraId="709E38C8" w14:textId="77777777" w:rsidR="0023076E" w:rsidRPr="005044F0" w:rsidRDefault="0023076E" w:rsidP="00324A07">
            <w:pPr>
              <w:jc w:val="center"/>
              <w:rPr>
                <w:color w:val="000000"/>
                <w:sz w:val="20"/>
                <w:szCs w:val="20"/>
                <w:lang w:val="es-ES"/>
              </w:rPr>
            </w:pPr>
            <w:r w:rsidRPr="005044F0">
              <w:rPr>
                <w:color w:val="000000"/>
                <w:sz w:val="20"/>
                <w:szCs w:val="20"/>
                <w:lang w:val="es-ES"/>
              </w:rPr>
              <w:t>-0.30</w:t>
            </w:r>
          </w:p>
        </w:tc>
        <w:tc>
          <w:tcPr>
            <w:tcW w:w="1300" w:type="dxa"/>
            <w:tcBorders>
              <w:top w:val="nil"/>
              <w:left w:val="nil"/>
              <w:bottom w:val="nil"/>
              <w:right w:val="nil"/>
            </w:tcBorders>
            <w:shd w:val="clear" w:color="auto" w:fill="auto"/>
            <w:noWrap/>
            <w:vAlign w:val="center"/>
            <w:hideMark/>
          </w:tcPr>
          <w:p w14:paraId="00F543D3" w14:textId="77777777" w:rsidR="0023076E" w:rsidRPr="005044F0" w:rsidRDefault="0023076E" w:rsidP="00324A07">
            <w:pPr>
              <w:jc w:val="center"/>
              <w:rPr>
                <w:color w:val="000000"/>
                <w:sz w:val="20"/>
                <w:szCs w:val="20"/>
                <w:lang w:val="es-ES"/>
              </w:rPr>
            </w:pPr>
            <w:r w:rsidRPr="005044F0">
              <w:rPr>
                <w:color w:val="000000"/>
                <w:sz w:val="20"/>
                <w:szCs w:val="20"/>
                <w:lang w:val="es-ES"/>
              </w:rPr>
              <w:t>0.11</w:t>
            </w:r>
          </w:p>
        </w:tc>
        <w:tc>
          <w:tcPr>
            <w:tcW w:w="1300" w:type="dxa"/>
            <w:tcBorders>
              <w:top w:val="nil"/>
              <w:left w:val="nil"/>
              <w:bottom w:val="nil"/>
              <w:right w:val="nil"/>
            </w:tcBorders>
            <w:shd w:val="clear" w:color="auto" w:fill="auto"/>
            <w:noWrap/>
            <w:vAlign w:val="bottom"/>
            <w:hideMark/>
          </w:tcPr>
          <w:p w14:paraId="5C37B02C" w14:textId="77777777" w:rsidR="0023076E" w:rsidRPr="005044F0" w:rsidRDefault="0023076E" w:rsidP="00324A07">
            <w:pPr>
              <w:jc w:val="center"/>
              <w:rPr>
                <w:color w:val="000000"/>
                <w:sz w:val="20"/>
                <w:szCs w:val="20"/>
                <w:lang w:val="es-ES"/>
              </w:rPr>
            </w:pPr>
            <w:r w:rsidRPr="005044F0">
              <w:rPr>
                <w:color w:val="000000"/>
                <w:sz w:val="20"/>
                <w:szCs w:val="20"/>
                <w:lang w:val="es-ES"/>
              </w:rPr>
              <w:t>-0.21**</w:t>
            </w:r>
          </w:p>
        </w:tc>
        <w:tc>
          <w:tcPr>
            <w:tcW w:w="315" w:type="dxa"/>
            <w:tcBorders>
              <w:top w:val="nil"/>
              <w:left w:val="nil"/>
              <w:bottom w:val="nil"/>
              <w:right w:val="nil"/>
            </w:tcBorders>
            <w:shd w:val="clear" w:color="auto" w:fill="auto"/>
            <w:noWrap/>
            <w:vAlign w:val="center"/>
            <w:hideMark/>
          </w:tcPr>
          <w:p w14:paraId="5F6E5C81" w14:textId="77777777" w:rsidR="0023076E" w:rsidRPr="005044F0" w:rsidRDefault="0023076E" w:rsidP="00324A07">
            <w:pPr>
              <w:jc w:val="center"/>
              <w:rPr>
                <w:color w:val="000000"/>
                <w:sz w:val="20"/>
                <w:szCs w:val="20"/>
                <w:lang w:val="es-ES"/>
              </w:rPr>
            </w:pPr>
          </w:p>
        </w:tc>
        <w:tc>
          <w:tcPr>
            <w:tcW w:w="1705" w:type="dxa"/>
            <w:tcBorders>
              <w:top w:val="nil"/>
              <w:left w:val="nil"/>
              <w:bottom w:val="nil"/>
              <w:right w:val="nil"/>
            </w:tcBorders>
            <w:vAlign w:val="center"/>
          </w:tcPr>
          <w:p w14:paraId="27DFA1F9" w14:textId="77777777" w:rsidR="0023076E" w:rsidRPr="005044F0" w:rsidRDefault="0023076E" w:rsidP="00324A07">
            <w:pPr>
              <w:jc w:val="center"/>
              <w:rPr>
                <w:color w:val="000000"/>
                <w:sz w:val="20"/>
                <w:szCs w:val="20"/>
                <w:lang w:val="es-ES"/>
              </w:rPr>
            </w:pPr>
          </w:p>
        </w:tc>
      </w:tr>
      <w:tr w:rsidR="0023076E" w:rsidRPr="005044F0" w14:paraId="6AB022A8" w14:textId="77777777" w:rsidTr="00324A07">
        <w:trPr>
          <w:trHeight w:val="320"/>
        </w:trPr>
        <w:tc>
          <w:tcPr>
            <w:tcW w:w="3440" w:type="dxa"/>
            <w:tcBorders>
              <w:top w:val="nil"/>
              <w:left w:val="nil"/>
              <w:bottom w:val="single" w:sz="4" w:space="0" w:color="auto"/>
              <w:right w:val="nil"/>
            </w:tcBorders>
            <w:shd w:val="clear" w:color="auto" w:fill="auto"/>
            <w:noWrap/>
            <w:vAlign w:val="bottom"/>
            <w:hideMark/>
          </w:tcPr>
          <w:p w14:paraId="72960798" w14:textId="77777777" w:rsidR="0023076E" w:rsidRPr="005044F0" w:rsidRDefault="0023076E" w:rsidP="00324A07">
            <w:pPr>
              <w:rPr>
                <w:color w:val="000000"/>
                <w:sz w:val="20"/>
                <w:szCs w:val="20"/>
                <w:lang w:val="es-ES"/>
              </w:rPr>
            </w:pPr>
            <w:r w:rsidRPr="005044F0">
              <w:rPr>
                <w:color w:val="000000"/>
                <w:sz w:val="20"/>
                <w:szCs w:val="20"/>
                <w:lang w:val="es-ES"/>
              </w:rPr>
              <w:t xml:space="preserve">        Búsqueda de apoyo social</w:t>
            </w:r>
          </w:p>
        </w:tc>
        <w:tc>
          <w:tcPr>
            <w:tcW w:w="1300" w:type="dxa"/>
            <w:tcBorders>
              <w:top w:val="nil"/>
              <w:left w:val="nil"/>
              <w:bottom w:val="single" w:sz="4" w:space="0" w:color="auto"/>
              <w:right w:val="nil"/>
            </w:tcBorders>
            <w:shd w:val="clear" w:color="auto" w:fill="auto"/>
            <w:noWrap/>
            <w:vAlign w:val="bottom"/>
            <w:hideMark/>
          </w:tcPr>
          <w:p w14:paraId="00AE44CA" w14:textId="77777777" w:rsidR="0023076E" w:rsidRPr="005044F0" w:rsidRDefault="0023076E" w:rsidP="00324A07">
            <w:pPr>
              <w:jc w:val="center"/>
              <w:rPr>
                <w:color w:val="000000"/>
                <w:sz w:val="20"/>
                <w:szCs w:val="20"/>
                <w:lang w:val="es-ES"/>
              </w:rPr>
            </w:pPr>
            <w:r w:rsidRPr="005044F0">
              <w:rPr>
                <w:color w:val="000000"/>
                <w:sz w:val="20"/>
                <w:szCs w:val="20"/>
                <w:lang w:val="es-ES"/>
              </w:rPr>
              <w:t>0.20</w:t>
            </w:r>
          </w:p>
        </w:tc>
        <w:tc>
          <w:tcPr>
            <w:tcW w:w="1300" w:type="dxa"/>
            <w:tcBorders>
              <w:top w:val="nil"/>
              <w:left w:val="nil"/>
              <w:bottom w:val="single" w:sz="4" w:space="0" w:color="auto"/>
              <w:right w:val="nil"/>
            </w:tcBorders>
            <w:shd w:val="clear" w:color="auto" w:fill="auto"/>
            <w:noWrap/>
            <w:vAlign w:val="center"/>
            <w:hideMark/>
          </w:tcPr>
          <w:p w14:paraId="3891A285" w14:textId="77777777" w:rsidR="0023076E" w:rsidRPr="005044F0" w:rsidRDefault="0023076E" w:rsidP="00324A07">
            <w:pPr>
              <w:jc w:val="center"/>
              <w:rPr>
                <w:color w:val="000000"/>
                <w:sz w:val="20"/>
                <w:szCs w:val="20"/>
                <w:lang w:val="es-ES"/>
              </w:rPr>
            </w:pPr>
            <w:r w:rsidRPr="005044F0">
              <w:rPr>
                <w:color w:val="000000"/>
                <w:sz w:val="20"/>
                <w:szCs w:val="20"/>
                <w:lang w:val="es-ES"/>
              </w:rPr>
              <w:t>0.09</w:t>
            </w:r>
          </w:p>
        </w:tc>
        <w:tc>
          <w:tcPr>
            <w:tcW w:w="1300" w:type="dxa"/>
            <w:tcBorders>
              <w:top w:val="nil"/>
              <w:left w:val="nil"/>
              <w:bottom w:val="single" w:sz="4" w:space="0" w:color="auto"/>
              <w:right w:val="nil"/>
            </w:tcBorders>
            <w:shd w:val="clear" w:color="auto" w:fill="auto"/>
            <w:noWrap/>
            <w:vAlign w:val="bottom"/>
            <w:hideMark/>
          </w:tcPr>
          <w:p w14:paraId="46149771" w14:textId="77777777" w:rsidR="0023076E" w:rsidRPr="005044F0" w:rsidRDefault="0023076E" w:rsidP="00324A07">
            <w:pPr>
              <w:jc w:val="center"/>
              <w:rPr>
                <w:color w:val="000000"/>
                <w:sz w:val="20"/>
                <w:szCs w:val="20"/>
                <w:lang w:val="es-ES"/>
              </w:rPr>
            </w:pPr>
            <w:r w:rsidRPr="005044F0">
              <w:rPr>
                <w:color w:val="000000"/>
                <w:sz w:val="20"/>
                <w:szCs w:val="20"/>
                <w:lang w:val="es-ES"/>
              </w:rPr>
              <w:t>0.16*</w:t>
            </w:r>
          </w:p>
        </w:tc>
        <w:tc>
          <w:tcPr>
            <w:tcW w:w="315" w:type="dxa"/>
            <w:tcBorders>
              <w:top w:val="nil"/>
              <w:left w:val="nil"/>
              <w:bottom w:val="single" w:sz="4" w:space="0" w:color="auto"/>
              <w:right w:val="nil"/>
            </w:tcBorders>
            <w:shd w:val="clear" w:color="auto" w:fill="auto"/>
            <w:noWrap/>
            <w:vAlign w:val="center"/>
            <w:hideMark/>
          </w:tcPr>
          <w:p w14:paraId="1F02A82A" w14:textId="77777777" w:rsidR="0023076E" w:rsidRPr="005044F0" w:rsidRDefault="0023076E" w:rsidP="00324A07">
            <w:pPr>
              <w:jc w:val="center"/>
              <w:rPr>
                <w:color w:val="000000"/>
                <w:sz w:val="20"/>
                <w:szCs w:val="20"/>
                <w:lang w:val="es-ES"/>
              </w:rPr>
            </w:pPr>
          </w:p>
        </w:tc>
        <w:tc>
          <w:tcPr>
            <w:tcW w:w="1705" w:type="dxa"/>
            <w:tcBorders>
              <w:top w:val="nil"/>
              <w:left w:val="nil"/>
              <w:bottom w:val="single" w:sz="4" w:space="0" w:color="auto"/>
              <w:right w:val="nil"/>
            </w:tcBorders>
            <w:vAlign w:val="center"/>
          </w:tcPr>
          <w:p w14:paraId="43FA0C21" w14:textId="77777777" w:rsidR="0023076E" w:rsidRPr="005044F0" w:rsidRDefault="0023076E" w:rsidP="00324A07">
            <w:pPr>
              <w:jc w:val="center"/>
              <w:rPr>
                <w:color w:val="000000"/>
                <w:sz w:val="20"/>
                <w:szCs w:val="20"/>
                <w:lang w:val="es-ES"/>
              </w:rPr>
            </w:pPr>
          </w:p>
        </w:tc>
      </w:tr>
      <w:tr w:rsidR="0023076E" w:rsidRPr="005044F0" w14:paraId="7C3EDA3D" w14:textId="77777777" w:rsidTr="00324A07">
        <w:trPr>
          <w:trHeight w:val="320"/>
        </w:trPr>
        <w:tc>
          <w:tcPr>
            <w:tcW w:w="3440" w:type="dxa"/>
            <w:tcBorders>
              <w:top w:val="nil"/>
              <w:left w:val="nil"/>
              <w:bottom w:val="nil"/>
              <w:right w:val="nil"/>
            </w:tcBorders>
            <w:shd w:val="clear" w:color="auto" w:fill="auto"/>
            <w:noWrap/>
            <w:vAlign w:val="bottom"/>
            <w:hideMark/>
          </w:tcPr>
          <w:p w14:paraId="022E6A9D" w14:textId="77777777" w:rsidR="0023076E" w:rsidRPr="005044F0" w:rsidRDefault="0023076E" w:rsidP="00324A07">
            <w:pPr>
              <w:rPr>
                <w:color w:val="000000"/>
                <w:sz w:val="20"/>
                <w:szCs w:val="20"/>
                <w:lang w:val="es-ES"/>
              </w:rPr>
            </w:pPr>
            <w:r w:rsidRPr="005044F0">
              <w:rPr>
                <w:color w:val="000000"/>
                <w:sz w:val="20"/>
                <w:szCs w:val="20"/>
                <w:lang w:val="es-ES"/>
              </w:rPr>
              <w:t>* p &lt; .05. ** p &lt; .01. *** p &lt; .001</w:t>
            </w:r>
          </w:p>
        </w:tc>
        <w:tc>
          <w:tcPr>
            <w:tcW w:w="1300" w:type="dxa"/>
            <w:tcBorders>
              <w:top w:val="nil"/>
              <w:left w:val="nil"/>
              <w:bottom w:val="nil"/>
              <w:right w:val="nil"/>
            </w:tcBorders>
            <w:shd w:val="clear" w:color="auto" w:fill="auto"/>
            <w:noWrap/>
            <w:vAlign w:val="bottom"/>
            <w:hideMark/>
          </w:tcPr>
          <w:p w14:paraId="49BCCBDF" w14:textId="77777777" w:rsidR="0023076E" w:rsidRPr="005044F0" w:rsidRDefault="0023076E" w:rsidP="00324A07">
            <w:pP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6AE604C0" w14:textId="77777777" w:rsidR="0023076E" w:rsidRPr="005044F0" w:rsidRDefault="0023076E" w:rsidP="00324A07">
            <w:pPr>
              <w:rPr>
                <w:sz w:val="20"/>
                <w:szCs w:val="20"/>
                <w:lang w:val="es-ES"/>
              </w:rPr>
            </w:pPr>
          </w:p>
        </w:tc>
        <w:tc>
          <w:tcPr>
            <w:tcW w:w="1300" w:type="dxa"/>
            <w:tcBorders>
              <w:top w:val="nil"/>
              <w:left w:val="nil"/>
              <w:bottom w:val="nil"/>
              <w:right w:val="nil"/>
            </w:tcBorders>
            <w:shd w:val="clear" w:color="auto" w:fill="auto"/>
            <w:noWrap/>
            <w:vAlign w:val="bottom"/>
            <w:hideMark/>
          </w:tcPr>
          <w:p w14:paraId="15512952" w14:textId="77777777" w:rsidR="0023076E" w:rsidRPr="005044F0" w:rsidRDefault="0023076E" w:rsidP="00324A07">
            <w:pPr>
              <w:jc w:val="center"/>
              <w:rPr>
                <w:sz w:val="20"/>
                <w:szCs w:val="20"/>
                <w:lang w:val="es-ES"/>
              </w:rPr>
            </w:pPr>
          </w:p>
        </w:tc>
        <w:tc>
          <w:tcPr>
            <w:tcW w:w="315" w:type="dxa"/>
            <w:tcBorders>
              <w:top w:val="nil"/>
              <w:left w:val="nil"/>
              <w:bottom w:val="nil"/>
              <w:right w:val="nil"/>
            </w:tcBorders>
            <w:shd w:val="clear" w:color="auto" w:fill="auto"/>
            <w:noWrap/>
            <w:vAlign w:val="bottom"/>
            <w:hideMark/>
          </w:tcPr>
          <w:p w14:paraId="65AAF419" w14:textId="77777777" w:rsidR="0023076E" w:rsidRPr="005044F0" w:rsidRDefault="0023076E" w:rsidP="00324A07">
            <w:pPr>
              <w:rPr>
                <w:sz w:val="20"/>
                <w:szCs w:val="20"/>
                <w:lang w:val="es-ES"/>
              </w:rPr>
            </w:pPr>
          </w:p>
        </w:tc>
        <w:tc>
          <w:tcPr>
            <w:tcW w:w="1705" w:type="dxa"/>
            <w:tcBorders>
              <w:top w:val="nil"/>
              <w:left w:val="nil"/>
              <w:bottom w:val="nil"/>
              <w:right w:val="nil"/>
            </w:tcBorders>
          </w:tcPr>
          <w:p w14:paraId="6A633D98" w14:textId="77777777" w:rsidR="0023076E" w:rsidRPr="005044F0" w:rsidRDefault="0023076E" w:rsidP="00324A07">
            <w:pPr>
              <w:rPr>
                <w:sz w:val="20"/>
                <w:szCs w:val="20"/>
                <w:lang w:val="es-ES"/>
              </w:rPr>
            </w:pPr>
          </w:p>
        </w:tc>
      </w:tr>
    </w:tbl>
    <w:p w14:paraId="12475731" w14:textId="77777777" w:rsidR="0023076E" w:rsidRPr="005044F0" w:rsidRDefault="0023076E" w:rsidP="0023076E">
      <w:pPr>
        <w:rPr>
          <w:lang w:val="es-ES"/>
        </w:rPr>
      </w:pPr>
    </w:p>
    <w:p w14:paraId="55E89E2F" w14:textId="77777777" w:rsidR="0023076E" w:rsidRPr="005044F0" w:rsidRDefault="0023076E" w:rsidP="0023076E">
      <w:pPr>
        <w:rPr>
          <w:lang w:val="es-ES"/>
        </w:rPr>
      </w:pPr>
    </w:p>
    <w:p w14:paraId="7885D96D" w14:textId="388B1051" w:rsidR="00876345" w:rsidRPr="00876345" w:rsidRDefault="0023076E" w:rsidP="0079793F">
      <w:pPr>
        <w:spacing w:line="360" w:lineRule="auto"/>
        <w:ind w:firstLine="720"/>
        <w:rPr>
          <w:lang w:val="es-ES"/>
        </w:rPr>
      </w:pPr>
      <w:r w:rsidRPr="005044F0">
        <w:rPr>
          <w:lang w:val="es-ES"/>
        </w:rPr>
        <w:t>Para la variable dependiente de relaciones positivas (ver Tabla 3), el modelo de ajuste más adecuado identificó dos predictores: consumo de alcohol o drogas (β = -.41, p &lt; .001), y aceptación y crecimiento personal (β = .23, p = .004). El modelo explicó el 23% de la varianza (R</w:t>
      </w:r>
      <w:r w:rsidRPr="005044F0">
        <w:rPr>
          <w:vertAlign w:val="superscript"/>
          <w:lang w:val="es-ES"/>
        </w:rPr>
        <w:t>2</w:t>
      </w:r>
      <w:r w:rsidRPr="005044F0">
        <w:rPr>
          <w:lang w:val="es-ES"/>
        </w:rPr>
        <w:t xml:space="preserve"> = .23, </w:t>
      </w:r>
      <w:proofErr w:type="gramStart"/>
      <w:r w:rsidRPr="005044F0">
        <w:rPr>
          <w:lang w:val="es-ES"/>
        </w:rPr>
        <w:t>F(</w:t>
      </w:r>
      <w:proofErr w:type="gramEnd"/>
      <w:r w:rsidRPr="005044F0">
        <w:rPr>
          <w:lang w:val="es-ES"/>
        </w:rPr>
        <w:t xml:space="preserve">2,132) = 19.64, p &lt; .001). </w:t>
      </w:r>
    </w:p>
    <w:p w14:paraId="264B9750" w14:textId="77777777" w:rsidR="0079793F" w:rsidRPr="005044F0" w:rsidRDefault="0079793F" w:rsidP="0079793F">
      <w:pPr>
        <w:spacing w:line="360" w:lineRule="auto"/>
        <w:ind w:firstLine="720"/>
        <w:rPr>
          <w:lang w:val="es-ES"/>
        </w:rPr>
      </w:pPr>
    </w:p>
    <w:p w14:paraId="41F31D17" w14:textId="77777777" w:rsidR="0023076E" w:rsidRPr="005044F0" w:rsidRDefault="0023076E" w:rsidP="0023076E">
      <w:pPr>
        <w:spacing w:line="360" w:lineRule="auto"/>
        <w:rPr>
          <w:b/>
          <w:bCs/>
          <w:lang w:val="es-ES"/>
        </w:rPr>
      </w:pPr>
      <w:r w:rsidRPr="005044F0">
        <w:rPr>
          <w:b/>
          <w:bCs/>
          <w:lang w:val="es-ES"/>
        </w:rPr>
        <w:t>Tabla 3</w:t>
      </w:r>
    </w:p>
    <w:p w14:paraId="26AFC3D0" w14:textId="77777777" w:rsidR="0023076E" w:rsidRPr="005044F0" w:rsidRDefault="0023076E" w:rsidP="0023076E">
      <w:pPr>
        <w:spacing w:line="360" w:lineRule="auto"/>
        <w:rPr>
          <w:lang w:val="es-ES"/>
        </w:rPr>
      </w:pPr>
      <w:r w:rsidRPr="005044F0">
        <w:rPr>
          <w:i/>
          <w:iCs/>
          <w:lang w:val="es-ES"/>
        </w:rPr>
        <w:t>Regresión Múltiple con Variable Dependiente Relaciones Positivas y Variables Independientes Estrategias de Afrontamiento</w:t>
      </w:r>
    </w:p>
    <w:tbl>
      <w:tblPr>
        <w:tblW w:w="9360" w:type="dxa"/>
        <w:tblLook w:val="04A0" w:firstRow="1" w:lastRow="0" w:firstColumn="1" w:lastColumn="0" w:noHBand="0" w:noVBand="1"/>
      </w:tblPr>
      <w:tblGrid>
        <w:gridCol w:w="3380"/>
        <w:gridCol w:w="1300"/>
        <w:gridCol w:w="1300"/>
        <w:gridCol w:w="1300"/>
        <w:gridCol w:w="800"/>
        <w:gridCol w:w="1280"/>
      </w:tblGrid>
      <w:tr w:rsidR="0023076E" w:rsidRPr="005044F0" w14:paraId="5DF26259" w14:textId="77777777" w:rsidTr="00324A07">
        <w:trPr>
          <w:trHeight w:val="320"/>
        </w:trPr>
        <w:tc>
          <w:tcPr>
            <w:tcW w:w="3380" w:type="dxa"/>
            <w:tcBorders>
              <w:top w:val="single" w:sz="4" w:space="0" w:color="auto"/>
              <w:left w:val="nil"/>
              <w:bottom w:val="single" w:sz="4" w:space="0" w:color="auto"/>
              <w:right w:val="nil"/>
            </w:tcBorders>
            <w:shd w:val="clear" w:color="auto" w:fill="auto"/>
            <w:noWrap/>
            <w:vAlign w:val="center"/>
            <w:hideMark/>
          </w:tcPr>
          <w:p w14:paraId="3FF7CED7" w14:textId="77777777" w:rsidR="0023076E" w:rsidRPr="005044F0" w:rsidRDefault="0023076E" w:rsidP="00324A07">
            <w:pPr>
              <w:jc w:val="center"/>
              <w:rPr>
                <w:color w:val="000000"/>
                <w:sz w:val="20"/>
                <w:szCs w:val="20"/>
                <w:lang w:val="es-ES"/>
              </w:rPr>
            </w:pPr>
          </w:p>
        </w:tc>
        <w:tc>
          <w:tcPr>
            <w:tcW w:w="1300" w:type="dxa"/>
            <w:tcBorders>
              <w:top w:val="single" w:sz="4" w:space="0" w:color="auto"/>
              <w:left w:val="nil"/>
              <w:bottom w:val="single" w:sz="4" w:space="0" w:color="auto"/>
              <w:right w:val="nil"/>
            </w:tcBorders>
            <w:shd w:val="clear" w:color="auto" w:fill="auto"/>
            <w:noWrap/>
            <w:vAlign w:val="center"/>
            <w:hideMark/>
          </w:tcPr>
          <w:p w14:paraId="20C6E480" w14:textId="77777777" w:rsidR="0023076E" w:rsidRPr="005044F0" w:rsidRDefault="0023076E" w:rsidP="00324A07">
            <w:pPr>
              <w:jc w:val="center"/>
              <w:rPr>
                <w:i/>
                <w:color w:val="000000"/>
                <w:sz w:val="20"/>
                <w:szCs w:val="20"/>
                <w:lang w:val="es-ES"/>
              </w:rPr>
            </w:pPr>
            <w:r w:rsidRPr="005044F0">
              <w:rPr>
                <w:i/>
                <w:iCs/>
                <w:color w:val="000000"/>
                <w:sz w:val="20"/>
                <w:szCs w:val="20"/>
                <w:lang w:val="es-ES"/>
              </w:rPr>
              <w:t>B</w:t>
            </w:r>
          </w:p>
        </w:tc>
        <w:tc>
          <w:tcPr>
            <w:tcW w:w="1300" w:type="dxa"/>
            <w:tcBorders>
              <w:top w:val="single" w:sz="4" w:space="0" w:color="auto"/>
              <w:left w:val="nil"/>
              <w:bottom w:val="single" w:sz="4" w:space="0" w:color="auto"/>
              <w:right w:val="nil"/>
            </w:tcBorders>
            <w:shd w:val="clear" w:color="auto" w:fill="auto"/>
            <w:noWrap/>
            <w:vAlign w:val="center"/>
            <w:hideMark/>
          </w:tcPr>
          <w:p w14:paraId="0938C68A" w14:textId="77777777" w:rsidR="0023076E" w:rsidRPr="005044F0" w:rsidRDefault="0023076E" w:rsidP="00324A07">
            <w:pPr>
              <w:jc w:val="center"/>
              <w:rPr>
                <w:i/>
                <w:color w:val="000000"/>
                <w:sz w:val="20"/>
                <w:szCs w:val="20"/>
                <w:lang w:val="es-ES"/>
              </w:rPr>
            </w:pPr>
            <w:r w:rsidRPr="005044F0">
              <w:rPr>
                <w:i/>
                <w:iCs/>
                <w:color w:val="000000"/>
                <w:sz w:val="20"/>
                <w:szCs w:val="20"/>
                <w:lang w:val="es-ES"/>
              </w:rPr>
              <w:t>SE B</w:t>
            </w:r>
          </w:p>
        </w:tc>
        <w:tc>
          <w:tcPr>
            <w:tcW w:w="1300" w:type="dxa"/>
            <w:tcBorders>
              <w:top w:val="single" w:sz="4" w:space="0" w:color="auto"/>
              <w:left w:val="nil"/>
              <w:bottom w:val="single" w:sz="4" w:space="0" w:color="auto"/>
              <w:right w:val="nil"/>
            </w:tcBorders>
            <w:shd w:val="clear" w:color="auto" w:fill="auto"/>
            <w:noWrap/>
            <w:vAlign w:val="center"/>
            <w:hideMark/>
          </w:tcPr>
          <w:p w14:paraId="62254CE9" w14:textId="77777777" w:rsidR="0023076E" w:rsidRPr="005044F0" w:rsidRDefault="0023076E" w:rsidP="00324A07">
            <w:pPr>
              <w:jc w:val="center"/>
              <w:rPr>
                <w:color w:val="000000"/>
                <w:sz w:val="20"/>
                <w:szCs w:val="20"/>
                <w:lang w:val="es-ES"/>
              </w:rPr>
            </w:pPr>
            <w:r w:rsidRPr="005044F0">
              <w:rPr>
                <w:color w:val="000000"/>
                <w:sz w:val="20"/>
                <w:szCs w:val="20"/>
                <w:lang w:val="es-ES"/>
              </w:rPr>
              <w:t>β</w:t>
            </w:r>
          </w:p>
        </w:tc>
        <w:tc>
          <w:tcPr>
            <w:tcW w:w="800" w:type="dxa"/>
            <w:tcBorders>
              <w:top w:val="single" w:sz="4" w:space="0" w:color="auto"/>
              <w:left w:val="nil"/>
              <w:bottom w:val="single" w:sz="4" w:space="0" w:color="auto"/>
              <w:right w:val="nil"/>
            </w:tcBorders>
            <w:shd w:val="clear" w:color="auto" w:fill="auto"/>
            <w:noWrap/>
            <w:vAlign w:val="center"/>
            <w:hideMark/>
          </w:tcPr>
          <w:p w14:paraId="4C046A00" w14:textId="77777777" w:rsidR="0023076E" w:rsidRPr="005044F0" w:rsidRDefault="0023076E" w:rsidP="00324A07">
            <w:pPr>
              <w:jc w:val="center"/>
              <w:rPr>
                <w:i/>
                <w:color w:val="000000"/>
                <w:sz w:val="20"/>
                <w:szCs w:val="20"/>
                <w:lang w:val="es-ES"/>
              </w:rPr>
            </w:pPr>
            <w:r w:rsidRPr="005044F0">
              <w:rPr>
                <w:i/>
                <w:iCs/>
                <w:color w:val="000000"/>
                <w:sz w:val="20"/>
                <w:szCs w:val="20"/>
                <w:lang w:val="es-ES"/>
              </w:rPr>
              <w:t>R</w:t>
            </w:r>
            <w:r w:rsidRPr="005044F0">
              <w:rPr>
                <w:i/>
                <w:iCs/>
                <w:color w:val="000000"/>
                <w:sz w:val="20"/>
                <w:szCs w:val="20"/>
                <w:vertAlign w:val="superscript"/>
                <w:lang w:val="es-ES"/>
              </w:rPr>
              <w:t>2</w:t>
            </w:r>
          </w:p>
        </w:tc>
        <w:tc>
          <w:tcPr>
            <w:tcW w:w="1280" w:type="dxa"/>
            <w:tcBorders>
              <w:top w:val="single" w:sz="4" w:space="0" w:color="auto"/>
              <w:left w:val="nil"/>
              <w:bottom w:val="single" w:sz="4" w:space="0" w:color="auto"/>
              <w:right w:val="nil"/>
            </w:tcBorders>
            <w:vAlign w:val="center"/>
          </w:tcPr>
          <w:p w14:paraId="6063564B" w14:textId="77777777" w:rsidR="0023076E" w:rsidRPr="005044F0" w:rsidRDefault="0023076E" w:rsidP="00324A07">
            <w:pPr>
              <w:jc w:val="center"/>
              <w:rPr>
                <w:i/>
                <w:iCs/>
                <w:color w:val="000000"/>
                <w:sz w:val="20"/>
                <w:szCs w:val="20"/>
                <w:lang w:val="es-ES"/>
              </w:rPr>
            </w:pPr>
            <w:r w:rsidRPr="005044F0">
              <w:rPr>
                <w:i/>
                <w:iCs/>
                <w:color w:val="000000"/>
                <w:sz w:val="20"/>
                <w:szCs w:val="20"/>
                <w:lang w:val="es-ES"/>
              </w:rPr>
              <w:t>F</w:t>
            </w:r>
          </w:p>
        </w:tc>
      </w:tr>
      <w:tr w:rsidR="0023076E" w:rsidRPr="005044F0" w14:paraId="4DE98199" w14:textId="77777777" w:rsidTr="00324A07">
        <w:trPr>
          <w:trHeight w:val="320"/>
        </w:trPr>
        <w:tc>
          <w:tcPr>
            <w:tcW w:w="3380" w:type="dxa"/>
            <w:tcBorders>
              <w:top w:val="nil"/>
              <w:left w:val="nil"/>
              <w:bottom w:val="nil"/>
              <w:right w:val="nil"/>
            </w:tcBorders>
            <w:shd w:val="clear" w:color="auto" w:fill="auto"/>
            <w:noWrap/>
            <w:vAlign w:val="bottom"/>
            <w:hideMark/>
          </w:tcPr>
          <w:p w14:paraId="36B3C7C6" w14:textId="77777777" w:rsidR="0023076E" w:rsidRPr="005044F0" w:rsidRDefault="0023076E" w:rsidP="00324A07">
            <w:pPr>
              <w:rPr>
                <w:color w:val="000000"/>
                <w:sz w:val="20"/>
                <w:szCs w:val="20"/>
                <w:lang w:val="es-ES"/>
              </w:rPr>
            </w:pPr>
            <w:r w:rsidRPr="005044F0">
              <w:rPr>
                <w:color w:val="000000"/>
                <w:sz w:val="20"/>
                <w:szCs w:val="20"/>
                <w:lang w:val="es-ES"/>
              </w:rPr>
              <w:t>Relaciones positivas</w:t>
            </w:r>
          </w:p>
        </w:tc>
        <w:tc>
          <w:tcPr>
            <w:tcW w:w="1300" w:type="dxa"/>
            <w:tcBorders>
              <w:top w:val="nil"/>
              <w:left w:val="nil"/>
              <w:bottom w:val="nil"/>
              <w:right w:val="nil"/>
            </w:tcBorders>
            <w:shd w:val="clear" w:color="auto" w:fill="auto"/>
            <w:noWrap/>
            <w:vAlign w:val="center"/>
            <w:hideMark/>
          </w:tcPr>
          <w:p w14:paraId="2A03CFCC" w14:textId="77777777" w:rsidR="0023076E" w:rsidRPr="005044F0" w:rsidRDefault="0023076E" w:rsidP="00324A07">
            <w:pP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6F4788EB" w14:textId="77777777" w:rsidR="0023076E" w:rsidRPr="005044F0" w:rsidRDefault="0023076E" w:rsidP="00324A07">
            <w:pPr>
              <w:jc w:val="center"/>
              <w:rPr>
                <w:sz w:val="20"/>
                <w:szCs w:val="20"/>
                <w:lang w:val="es-ES"/>
              </w:rPr>
            </w:pPr>
          </w:p>
        </w:tc>
        <w:tc>
          <w:tcPr>
            <w:tcW w:w="1300" w:type="dxa"/>
            <w:tcBorders>
              <w:top w:val="nil"/>
              <w:left w:val="nil"/>
              <w:bottom w:val="nil"/>
              <w:right w:val="nil"/>
            </w:tcBorders>
            <w:shd w:val="clear" w:color="auto" w:fill="auto"/>
            <w:noWrap/>
            <w:vAlign w:val="center"/>
            <w:hideMark/>
          </w:tcPr>
          <w:p w14:paraId="265C87F9" w14:textId="77777777" w:rsidR="0023076E" w:rsidRPr="005044F0" w:rsidRDefault="0023076E" w:rsidP="00324A07">
            <w:pPr>
              <w:jc w:val="center"/>
              <w:rPr>
                <w:sz w:val="20"/>
                <w:szCs w:val="20"/>
                <w:lang w:val="es-ES"/>
              </w:rPr>
            </w:pPr>
          </w:p>
        </w:tc>
        <w:tc>
          <w:tcPr>
            <w:tcW w:w="800" w:type="dxa"/>
            <w:tcBorders>
              <w:top w:val="nil"/>
              <w:left w:val="nil"/>
              <w:bottom w:val="nil"/>
              <w:right w:val="nil"/>
            </w:tcBorders>
            <w:shd w:val="clear" w:color="auto" w:fill="auto"/>
            <w:noWrap/>
            <w:vAlign w:val="center"/>
            <w:hideMark/>
          </w:tcPr>
          <w:p w14:paraId="46D924D0" w14:textId="77777777" w:rsidR="0023076E" w:rsidRPr="005044F0" w:rsidRDefault="0023076E" w:rsidP="00324A07">
            <w:pPr>
              <w:jc w:val="center"/>
              <w:rPr>
                <w:sz w:val="20"/>
                <w:szCs w:val="20"/>
                <w:lang w:val="es-ES"/>
              </w:rPr>
            </w:pPr>
          </w:p>
        </w:tc>
        <w:tc>
          <w:tcPr>
            <w:tcW w:w="1280" w:type="dxa"/>
            <w:tcBorders>
              <w:top w:val="nil"/>
              <w:left w:val="nil"/>
              <w:bottom w:val="nil"/>
              <w:right w:val="nil"/>
            </w:tcBorders>
          </w:tcPr>
          <w:p w14:paraId="136612BC" w14:textId="77777777" w:rsidR="0023076E" w:rsidRPr="005044F0" w:rsidRDefault="0023076E" w:rsidP="00324A07">
            <w:pPr>
              <w:jc w:val="center"/>
              <w:rPr>
                <w:sz w:val="20"/>
                <w:szCs w:val="20"/>
                <w:lang w:val="es-ES"/>
              </w:rPr>
            </w:pPr>
          </w:p>
        </w:tc>
      </w:tr>
      <w:tr w:rsidR="0023076E" w:rsidRPr="005044F0" w14:paraId="1C32C233" w14:textId="77777777" w:rsidTr="00324A07">
        <w:trPr>
          <w:trHeight w:val="320"/>
        </w:trPr>
        <w:tc>
          <w:tcPr>
            <w:tcW w:w="3380" w:type="dxa"/>
            <w:tcBorders>
              <w:top w:val="nil"/>
              <w:left w:val="nil"/>
              <w:bottom w:val="nil"/>
              <w:right w:val="nil"/>
            </w:tcBorders>
            <w:shd w:val="clear" w:color="auto" w:fill="auto"/>
            <w:noWrap/>
            <w:vAlign w:val="bottom"/>
            <w:hideMark/>
          </w:tcPr>
          <w:p w14:paraId="121DB97B" w14:textId="77777777" w:rsidR="0023076E" w:rsidRPr="005044F0" w:rsidRDefault="0023076E" w:rsidP="00324A07">
            <w:pPr>
              <w:rPr>
                <w:color w:val="000000"/>
                <w:sz w:val="20"/>
                <w:szCs w:val="20"/>
                <w:lang w:val="es-ES"/>
              </w:rPr>
            </w:pPr>
            <w:r w:rsidRPr="005044F0">
              <w:rPr>
                <w:color w:val="000000"/>
                <w:sz w:val="20"/>
                <w:szCs w:val="20"/>
                <w:lang w:val="es-ES"/>
              </w:rPr>
              <w:t xml:space="preserve">     Paso 1</w:t>
            </w:r>
          </w:p>
        </w:tc>
        <w:tc>
          <w:tcPr>
            <w:tcW w:w="1300" w:type="dxa"/>
            <w:tcBorders>
              <w:top w:val="nil"/>
              <w:left w:val="nil"/>
              <w:bottom w:val="nil"/>
              <w:right w:val="nil"/>
            </w:tcBorders>
            <w:shd w:val="clear" w:color="auto" w:fill="auto"/>
            <w:noWrap/>
            <w:vAlign w:val="center"/>
            <w:hideMark/>
          </w:tcPr>
          <w:p w14:paraId="19615091" w14:textId="77777777" w:rsidR="0023076E" w:rsidRPr="005044F0" w:rsidRDefault="0023076E" w:rsidP="00324A07">
            <w:pP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455C9CF2" w14:textId="77777777" w:rsidR="0023076E" w:rsidRPr="005044F0" w:rsidRDefault="0023076E" w:rsidP="00324A07">
            <w:pPr>
              <w:jc w:val="center"/>
              <w:rPr>
                <w:sz w:val="20"/>
                <w:szCs w:val="20"/>
                <w:lang w:val="es-ES"/>
              </w:rPr>
            </w:pPr>
          </w:p>
        </w:tc>
        <w:tc>
          <w:tcPr>
            <w:tcW w:w="1300" w:type="dxa"/>
            <w:tcBorders>
              <w:top w:val="nil"/>
              <w:left w:val="nil"/>
              <w:bottom w:val="nil"/>
              <w:right w:val="nil"/>
            </w:tcBorders>
            <w:shd w:val="clear" w:color="auto" w:fill="auto"/>
            <w:noWrap/>
            <w:vAlign w:val="center"/>
            <w:hideMark/>
          </w:tcPr>
          <w:p w14:paraId="0CFDDAB1" w14:textId="77777777" w:rsidR="0023076E" w:rsidRPr="005044F0" w:rsidRDefault="0023076E" w:rsidP="00324A07">
            <w:pPr>
              <w:jc w:val="center"/>
              <w:rPr>
                <w:sz w:val="20"/>
                <w:szCs w:val="20"/>
                <w:lang w:val="es-ES"/>
              </w:rPr>
            </w:pPr>
          </w:p>
        </w:tc>
        <w:tc>
          <w:tcPr>
            <w:tcW w:w="800" w:type="dxa"/>
            <w:tcBorders>
              <w:top w:val="nil"/>
              <w:left w:val="nil"/>
              <w:bottom w:val="nil"/>
              <w:right w:val="nil"/>
            </w:tcBorders>
            <w:shd w:val="clear" w:color="auto" w:fill="auto"/>
            <w:noWrap/>
            <w:vAlign w:val="center"/>
            <w:hideMark/>
          </w:tcPr>
          <w:p w14:paraId="01BB6590" w14:textId="77777777" w:rsidR="0023076E" w:rsidRPr="005044F0" w:rsidRDefault="0023076E" w:rsidP="00324A07">
            <w:pPr>
              <w:jc w:val="center"/>
              <w:rPr>
                <w:color w:val="000000"/>
                <w:sz w:val="20"/>
                <w:szCs w:val="20"/>
                <w:lang w:val="es-ES"/>
              </w:rPr>
            </w:pPr>
            <w:r w:rsidRPr="005044F0">
              <w:rPr>
                <w:color w:val="000000"/>
                <w:sz w:val="20"/>
                <w:szCs w:val="20"/>
                <w:lang w:val="es-ES"/>
              </w:rPr>
              <w:t>0.18</w:t>
            </w:r>
          </w:p>
        </w:tc>
        <w:tc>
          <w:tcPr>
            <w:tcW w:w="1280" w:type="dxa"/>
            <w:tcBorders>
              <w:top w:val="nil"/>
              <w:left w:val="nil"/>
              <w:bottom w:val="nil"/>
              <w:right w:val="nil"/>
            </w:tcBorders>
            <w:vAlign w:val="center"/>
          </w:tcPr>
          <w:p w14:paraId="0D33EDB4" w14:textId="77777777" w:rsidR="0023076E" w:rsidRPr="005044F0" w:rsidRDefault="0023076E" w:rsidP="00324A07">
            <w:pPr>
              <w:jc w:val="center"/>
              <w:rPr>
                <w:color w:val="000000"/>
                <w:sz w:val="20"/>
                <w:szCs w:val="20"/>
                <w:lang w:val="es-ES"/>
              </w:rPr>
            </w:pPr>
            <w:r w:rsidRPr="005044F0">
              <w:rPr>
                <w:color w:val="000000"/>
                <w:sz w:val="20"/>
                <w:szCs w:val="20"/>
                <w:lang w:val="es-ES"/>
              </w:rPr>
              <w:t>28.89***</w:t>
            </w:r>
          </w:p>
        </w:tc>
      </w:tr>
      <w:tr w:rsidR="0023076E" w:rsidRPr="005044F0" w14:paraId="646BC547" w14:textId="77777777" w:rsidTr="00324A07">
        <w:trPr>
          <w:trHeight w:val="320"/>
        </w:trPr>
        <w:tc>
          <w:tcPr>
            <w:tcW w:w="3380" w:type="dxa"/>
            <w:tcBorders>
              <w:top w:val="nil"/>
              <w:left w:val="nil"/>
              <w:bottom w:val="nil"/>
              <w:right w:val="nil"/>
            </w:tcBorders>
            <w:shd w:val="clear" w:color="auto" w:fill="auto"/>
            <w:noWrap/>
            <w:vAlign w:val="bottom"/>
            <w:hideMark/>
          </w:tcPr>
          <w:p w14:paraId="6250E4A6" w14:textId="77777777" w:rsidR="0023076E" w:rsidRPr="005044F0" w:rsidRDefault="0023076E" w:rsidP="00324A07">
            <w:pPr>
              <w:rPr>
                <w:color w:val="000000"/>
                <w:sz w:val="20"/>
                <w:szCs w:val="20"/>
                <w:lang w:val="es-ES"/>
              </w:rPr>
            </w:pPr>
            <w:r w:rsidRPr="005044F0">
              <w:rPr>
                <w:color w:val="000000"/>
                <w:sz w:val="20"/>
                <w:szCs w:val="20"/>
                <w:lang w:val="es-ES"/>
              </w:rPr>
              <w:t xml:space="preserve">        Consumo de alcohol o drogas</w:t>
            </w:r>
          </w:p>
        </w:tc>
        <w:tc>
          <w:tcPr>
            <w:tcW w:w="1300" w:type="dxa"/>
            <w:tcBorders>
              <w:top w:val="nil"/>
              <w:left w:val="nil"/>
              <w:bottom w:val="nil"/>
              <w:right w:val="nil"/>
            </w:tcBorders>
            <w:shd w:val="clear" w:color="auto" w:fill="auto"/>
            <w:noWrap/>
            <w:vAlign w:val="center"/>
            <w:hideMark/>
          </w:tcPr>
          <w:p w14:paraId="5460A5DC" w14:textId="77777777" w:rsidR="0023076E" w:rsidRPr="005044F0" w:rsidRDefault="0023076E" w:rsidP="00324A07">
            <w:pPr>
              <w:jc w:val="center"/>
              <w:rPr>
                <w:color w:val="000000"/>
                <w:sz w:val="20"/>
                <w:szCs w:val="20"/>
                <w:lang w:val="es-ES"/>
              </w:rPr>
            </w:pPr>
            <w:r w:rsidRPr="005044F0">
              <w:rPr>
                <w:color w:val="000000"/>
                <w:sz w:val="20"/>
                <w:szCs w:val="20"/>
                <w:lang w:val="es-ES"/>
              </w:rPr>
              <w:t>-0.45</w:t>
            </w:r>
          </w:p>
        </w:tc>
        <w:tc>
          <w:tcPr>
            <w:tcW w:w="1300" w:type="dxa"/>
            <w:tcBorders>
              <w:top w:val="nil"/>
              <w:left w:val="nil"/>
              <w:bottom w:val="nil"/>
              <w:right w:val="nil"/>
            </w:tcBorders>
            <w:shd w:val="clear" w:color="auto" w:fill="auto"/>
            <w:noWrap/>
            <w:vAlign w:val="center"/>
            <w:hideMark/>
          </w:tcPr>
          <w:p w14:paraId="1AC7BA26" w14:textId="77777777" w:rsidR="0023076E" w:rsidRPr="005044F0" w:rsidRDefault="0023076E" w:rsidP="00324A07">
            <w:pPr>
              <w:jc w:val="center"/>
              <w:rPr>
                <w:color w:val="000000"/>
                <w:sz w:val="20"/>
                <w:szCs w:val="20"/>
                <w:lang w:val="es-ES"/>
              </w:rPr>
            </w:pPr>
            <w:r w:rsidRPr="005044F0">
              <w:rPr>
                <w:color w:val="000000"/>
                <w:sz w:val="20"/>
                <w:szCs w:val="20"/>
                <w:lang w:val="es-ES"/>
              </w:rPr>
              <w:t>0.08</w:t>
            </w:r>
          </w:p>
        </w:tc>
        <w:tc>
          <w:tcPr>
            <w:tcW w:w="1300" w:type="dxa"/>
            <w:tcBorders>
              <w:top w:val="nil"/>
              <w:left w:val="nil"/>
              <w:bottom w:val="nil"/>
              <w:right w:val="nil"/>
            </w:tcBorders>
            <w:shd w:val="clear" w:color="auto" w:fill="auto"/>
            <w:noWrap/>
            <w:vAlign w:val="center"/>
            <w:hideMark/>
          </w:tcPr>
          <w:p w14:paraId="7B3CF362" w14:textId="77777777" w:rsidR="0023076E" w:rsidRPr="005044F0" w:rsidRDefault="0023076E" w:rsidP="00324A07">
            <w:pPr>
              <w:jc w:val="center"/>
              <w:rPr>
                <w:color w:val="000000"/>
                <w:sz w:val="20"/>
                <w:szCs w:val="20"/>
                <w:lang w:val="es-ES"/>
              </w:rPr>
            </w:pPr>
            <w:r w:rsidRPr="005044F0">
              <w:rPr>
                <w:color w:val="000000"/>
                <w:sz w:val="20"/>
                <w:szCs w:val="20"/>
                <w:lang w:val="es-ES"/>
              </w:rPr>
              <w:t>-0.42***</w:t>
            </w:r>
          </w:p>
        </w:tc>
        <w:tc>
          <w:tcPr>
            <w:tcW w:w="800" w:type="dxa"/>
            <w:tcBorders>
              <w:top w:val="nil"/>
              <w:left w:val="nil"/>
              <w:bottom w:val="nil"/>
              <w:right w:val="nil"/>
            </w:tcBorders>
            <w:shd w:val="clear" w:color="auto" w:fill="auto"/>
            <w:noWrap/>
            <w:vAlign w:val="center"/>
            <w:hideMark/>
          </w:tcPr>
          <w:p w14:paraId="6C51DD8D" w14:textId="77777777" w:rsidR="0023076E" w:rsidRPr="005044F0" w:rsidRDefault="0023076E" w:rsidP="00324A07">
            <w:pPr>
              <w:jc w:val="center"/>
              <w:rPr>
                <w:color w:val="000000"/>
                <w:sz w:val="20"/>
                <w:szCs w:val="20"/>
                <w:lang w:val="es-ES"/>
              </w:rPr>
            </w:pPr>
          </w:p>
        </w:tc>
        <w:tc>
          <w:tcPr>
            <w:tcW w:w="1280" w:type="dxa"/>
            <w:tcBorders>
              <w:top w:val="nil"/>
              <w:left w:val="nil"/>
              <w:bottom w:val="nil"/>
              <w:right w:val="nil"/>
            </w:tcBorders>
            <w:vAlign w:val="center"/>
          </w:tcPr>
          <w:p w14:paraId="1BAD5A3E" w14:textId="77777777" w:rsidR="0023076E" w:rsidRPr="005044F0" w:rsidRDefault="0023076E" w:rsidP="00324A07">
            <w:pPr>
              <w:jc w:val="center"/>
              <w:rPr>
                <w:color w:val="000000"/>
                <w:sz w:val="20"/>
                <w:szCs w:val="20"/>
                <w:lang w:val="es-ES"/>
              </w:rPr>
            </w:pPr>
          </w:p>
        </w:tc>
      </w:tr>
      <w:tr w:rsidR="0023076E" w:rsidRPr="005044F0" w14:paraId="17797392" w14:textId="77777777" w:rsidTr="00324A07">
        <w:trPr>
          <w:trHeight w:val="320"/>
        </w:trPr>
        <w:tc>
          <w:tcPr>
            <w:tcW w:w="3380" w:type="dxa"/>
            <w:tcBorders>
              <w:top w:val="nil"/>
              <w:left w:val="nil"/>
              <w:bottom w:val="nil"/>
              <w:right w:val="nil"/>
            </w:tcBorders>
            <w:shd w:val="clear" w:color="auto" w:fill="auto"/>
            <w:noWrap/>
            <w:vAlign w:val="bottom"/>
            <w:hideMark/>
          </w:tcPr>
          <w:p w14:paraId="157C1CF2" w14:textId="77777777" w:rsidR="0023076E" w:rsidRPr="005044F0" w:rsidRDefault="0023076E" w:rsidP="00324A07">
            <w:pPr>
              <w:rPr>
                <w:color w:val="000000"/>
                <w:sz w:val="20"/>
                <w:szCs w:val="20"/>
                <w:lang w:val="es-ES"/>
              </w:rPr>
            </w:pPr>
            <w:r w:rsidRPr="005044F0">
              <w:rPr>
                <w:color w:val="000000"/>
                <w:sz w:val="20"/>
                <w:szCs w:val="20"/>
                <w:lang w:val="es-ES"/>
              </w:rPr>
              <w:t xml:space="preserve">     Paso 2</w:t>
            </w:r>
          </w:p>
        </w:tc>
        <w:tc>
          <w:tcPr>
            <w:tcW w:w="1300" w:type="dxa"/>
            <w:tcBorders>
              <w:top w:val="nil"/>
              <w:left w:val="nil"/>
              <w:bottom w:val="nil"/>
              <w:right w:val="nil"/>
            </w:tcBorders>
            <w:shd w:val="clear" w:color="auto" w:fill="auto"/>
            <w:noWrap/>
            <w:vAlign w:val="center"/>
            <w:hideMark/>
          </w:tcPr>
          <w:p w14:paraId="556F35D2" w14:textId="77777777" w:rsidR="0023076E" w:rsidRPr="005044F0" w:rsidRDefault="0023076E" w:rsidP="00324A07">
            <w:pP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2670A530" w14:textId="77777777" w:rsidR="0023076E" w:rsidRPr="005044F0" w:rsidRDefault="0023076E" w:rsidP="00324A07">
            <w:pPr>
              <w:jc w:val="center"/>
              <w:rPr>
                <w:sz w:val="20"/>
                <w:szCs w:val="20"/>
                <w:lang w:val="es-ES"/>
              </w:rPr>
            </w:pPr>
          </w:p>
        </w:tc>
        <w:tc>
          <w:tcPr>
            <w:tcW w:w="1300" w:type="dxa"/>
            <w:tcBorders>
              <w:top w:val="nil"/>
              <w:left w:val="nil"/>
              <w:bottom w:val="nil"/>
              <w:right w:val="nil"/>
            </w:tcBorders>
            <w:shd w:val="clear" w:color="auto" w:fill="auto"/>
            <w:noWrap/>
            <w:vAlign w:val="center"/>
            <w:hideMark/>
          </w:tcPr>
          <w:p w14:paraId="4A7DEB7E" w14:textId="77777777" w:rsidR="0023076E" w:rsidRPr="005044F0" w:rsidRDefault="0023076E" w:rsidP="00324A07">
            <w:pPr>
              <w:jc w:val="center"/>
              <w:rPr>
                <w:sz w:val="20"/>
                <w:szCs w:val="20"/>
                <w:lang w:val="es-ES"/>
              </w:rPr>
            </w:pPr>
          </w:p>
        </w:tc>
        <w:tc>
          <w:tcPr>
            <w:tcW w:w="800" w:type="dxa"/>
            <w:tcBorders>
              <w:top w:val="nil"/>
              <w:left w:val="nil"/>
              <w:bottom w:val="nil"/>
              <w:right w:val="nil"/>
            </w:tcBorders>
            <w:shd w:val="clear" w:color="auto" w:fill="auto"/>
            <w:noWrap/>
            <w:vAlign w:val="center"/>
            <w:hideMark/>
          </w:tcPr>
          <w:p w14:paraId="5BC01E6F" w14:textId="77777777" w:rsidR="0023076E" w:rsidRPr="005044F0" w:rsidRDefault="0023076E" w:rsidP="00324A07">
            <w:pPr>
              <w:jc w:val="center"/>
              <w:rPr>
                <w:color w:val="000000"/>
                <w:sz w:val="20"/>
                <w:szCs w:val="20"/>
                <w:lang w:val="es-ES"/>
              </w:rPr>
            </w:pPr>
            <w:r w:rsidRPr="005044F0">
              <w:rPr>
                <w:color w:val="000000"/>
                <w:sz w:val="20"/>
                <w:szCs w:val="20"/>
                <w:lang w:val="es-ES"/>
              </w:rPr>
              <w:t>0.23</w:t>
            </w:r>
          </w:p>
        </w:tc>
        <w:tc>
          <w:tcPr>
            <w:tcW w:w="1280" w:type="dxa"/>
            <w:tcBorders>
              <w:top w:val="nil"/>
              <w:left w:val="nil"/>
              <w:bottom w:val="nil"/>
              <w:right w:val="nil"/>
            </w:tcBorders>
            <w:vAlign w:val="center"/>
          </w:tcPr>
          <w:p w14:paraId="745C641C" w14:textId="77777777" w:rsidR="0023076E" w:rsidRPr="005044F0" w:rsidRDefault="0023076E" w:rsidP="00324A07">
            <w:pPr>
              <w:jc w:val="center"/>
              <w:rPr>
                <w:color w:val="000000"/>
                <w:sz w:val="20"/>
                <w:szCs w:val="20"/>
                <w:lang w:val="es-ES"/>
              </w:rPr>
            </w:pPr>
            <w:r w:rsidRPr="005044F0">
              <w:rPr>
                <w:color w:val="000000"/>
                <w:sz w:val="20"/>
                <w:szCs w:val="20"/>
                <w:lang w:val="es-ES"/>
              </w:rPr>
              <w:t>19.64***</w:t>
            </w:r>
          </w:p>
        </w:tc>
      </w:tr>
      <w:tr w:rsidR="0023076E" w:rsidRPr="005044F0" w14:paraId="424D97C9" w14:textId="77777777" w:rsidTr="00324A07">
        <w:trPr>
          <w:trHeight w:val="320"/>
        </w:trPr>
        <w:tc>
          <w:tcPr>
            <w:tcW w:w="3380" w:type="dxa"/>
            <w:tcBorders>
              <w:top w:val="nil"/>
              <w:left w:val="nil"/>
              <w:bottom w:val="nil"/>
              <w:right w:val="nil"/>
            </w:tcBorders>
            <w:shd w:val="clear" w:color="auto" w:fill="auto"/>
            <w:noWrap/>
            <w:vAlign w:val="bottom"/>
            <w:hideMark/>
          </w:tcPr>
          <w:p w14:paraId="29536302" w14:textId="77777777" w:rsidR="0023076E" w:rsidRPr="005044F0" w:rsidRDefault="0023076E" w:rsidP="00324A07">
            <w:pPr>
              <w:rPr>
                <w:color w:val="000000"/>
                <w:sz w:val="20"/>
                <w:szCs w:val="20"/>
                <w:lang w:val="es-ES"/>
              </w:rPr>
            </w:pPr>
            <w:r w:rsidRPr="005044F0">
              <w:rPr>
                <w:color w:val="000000"/>
                <w:sz w:val="20"/>
                <w:szCs w:val="20"/>
                <w:lang w:val="es-ES"/>
              </w:rPr>
              <w:t xml:space="preserve">        Consumo de alcohol o drogas</w:t>
            </w:r>
          </w:p>
        </w:tc>
        <w:tc>
          <w:tcPr>
            <w:tcW w:w="1300" w:type="dxa"/>
            <w:tcBorders>
              <w:top w:val="nil"/>
              <w:left w:val="nil"/>
              <w:bottom w:val="nil"/>
              <w:right w:val="nil"/>
            </w:tcBorders>
            <w:shd w:val="clear" w:color="auto" w:fill="auto"/>
            <w:noWrap/>
            <w:vAlign w:val="center"/>
            <w:hideMark/>
          </w:tcPr>
          <w:p w14:paraId="7F0A1BB0" w14:textId="77777777" w:rsidR="0023076E" w:rsidRPr="005044F0" w:rsidRDefault="0023076E" w:rsidP="00324A07">
            <w:pPr>
              <w:jc w:val="center"/>
              <w:rPr>
                <w:color w:val="000000"/>
                <w:sz w:val="20"/>
                <w:szCs w:val="20"/>
                <w:lang w:val="es-ES"/>
              </w:rPr>
            </w:pPr>
            <w:r w:rsidRPr="005044F0">
              <w:rPr>
                <w:color w:val="000000"/>
                <w:sz w:val="20"/>
                <w:szCs w:val="20"/>
                <w:lang w:val="es-ES"/>
              </w:rPr>
              <w:t>-0.43</w:t>
            </w:r>
          </w:p>
        </w:tc>
        <w:tc>
          <w:tcPr>
            <w:tcW w:w="1300" w:type="dxa"/>
            <w:tcBorders>
              <w:top w:val="nil"/>
              <w:left w:val="nil"/>
              <w:bottom w:val="nil"/>
              <w:right w:val="nil"/>
            </w:tcBorders>
            <w:shd w:val="clear" w:color="auto" w:fill="auto"/>
            <w:noWrap/>
            <w:vAlign w:val="center"/>
            <w:hideMark/>
          </w:tcPr>
          <w:p w14:paraId="41D53895" w14:textId="77777777" w:rsidR="0023076E" w:rsidRPr="005044F0" w:rsidRDefault="0023076E" w:rsidP="00324A07">
            <w:pPr>
              <w:jc w:val="center"/>
              <w:rPr>
                <w:color w:val="000000"/>
                <w:sz w:val="20"/>
                <w:szCs w:val="20"/>
                <w:lang w:val="es-ES"/>
              </w:rPr>
            </w:pPr>
            <w:r w:rsidRPr="005044F0">
              <w:rPr>
                <w:color w:val="000000"/>
                <w:sz w:val="20"/>
                <w:szCs w:val="20"/>
                <w:lang w:val="es-ES"/>
              </w:rPr>
              <w:t>0.08</w:t>
            </w:r>
          </w:p>
        </w:tc>
        <w:tc>
          <w:tcPr>
            <w:tcW w:w="1300" w:type="dxa"/>
            <w:tcBorders>
              <w:top w:val="nil"/>
              <w:left w:val="nil"/>
              <w:bottom w:val="nil"/>
              <w:right w:val="nil"/>
            </w:tcBorders>
            <w:shd w:val="clear" w:color="auto" w:fill="auto"/>
            <w:noWrap/>
            <w:vAlign w:val="center"/>
            <w:hideMark/>
          </w:tcPr>
          <w:p w14:paraId="2BE87988" w14:textId="77777777" w:rsidR="0023076E" w:rsidRPr="005044F0" w:rsidRDefault="0023076E" w:rsidP="00324A07">
            <w:pPr>
              <w:jc w:val="center"/>
              <w:rPr>
                <w:color w:val="000000"/>
                <w:sz w:val="20"/>
                <w:szCs w:val="20"/>
                <w:lang w:val="es-ES"/>
              </w:rPr>
            </w:pPr>
            <w:r w:rsidRPr="005044F0">
              <w:rPr>
                <w:color w:val="000000"/>
                <w:sz w:val="20"/>
                <w:szCs w:val="20"/>
                <w:lang w:val="es-ES"/>
              </w:rPr>
              <w:t>-0.41***</w:t>
            </w:r>
          </w:p>
        </w:tc>
        <w:tc>
          <w:tcPr>
            <w:tcW w:w="800" w:type="dxa"/>
            <w:tcBorders>
              <w:top w:val="nil"/>
              <w:left w:val="nil"/>
              <w:bottom w:val="nil"/>
              <w:right w:val="nil"/>
            </w:tcBorders>
            <w:shd w:val="clear" w:color="auto" w:fill="auto"/>
            <w:noWrap/>
            <w:vAlign w:val="center"/>
            <w:hideMark/>
          </w:tcPr>
          <w:p w14:paraId="108B223D" w14:textId="77777777" w:rsidR="0023076E" w:rsidRPr="005044F0" w:rsidRDefault="0023076E" w:rsidP="00324A07">
            <w:pPr>
              <w:jc w:val="center"/>
              <w:rPr>
                <w:color w:val="000000"/>
                <w:sz w:val="20"/>
                <w:szCs w:val="20"/>
                <w:lang w:val="es-ES"/>
              </w:rPr>
            </w:pPr>
          </w:p>
        </w:tc>
        <w:tc>
          <w:tcPr>
            <w:tcW w:w="1280" w:type="dxa"/>
            <w:tcBorders>
              <w:top w:val="nil"/>
              <w:left w:val="nil"/>
              <w:bottom w:val="nil"/>
              <w:right w:val="nil"/>
            </w:tcBorders>
            <w:vAlign w:val="center"/>
          </w:tcPr>
          <w:p w14:paraId="44AD2ABE" w14:textId="77777777" w:rsidR="0023076E" w:rsidRPr="005044F0" w:rsidRDefault="0023076E" w:rsidP="00324A07">
            <w:pPr>
              <w:jc w:val="center"/>
              <w:rPr>
                <w:color w:val="000000"/>
                <w:sz w:val="20"/>
                <w:szCs w:val="20"/>
                <w:lang w:val="es-ES"/>
              </w:rPr>
            </w:pPr>
          </w:p>
        </w:tc>
      </w:tr>
      <w:tr w:rsidR="0023076E" w:rsidRPr="005044F0" w14:paraId="7E20EE88" w14:textId="77777777" w:rsidTr="00324A07">
        <w:trPr>
          <w:trHeight w:val="320"/>
        </w:trPr>
        <w:tc>
          <w:tcPr>
            <w:tcW w:w="3380" w:type="dxa"/>
            <w:tcBorders>
              <w:top w:val="nil"/>
              <w:left w:val="nil"/>
              <w:bottom w:val="single" w:sz="4" w:space="0" w:color="auto"/>
              <w:right w:val="nil"/>
            </w:tcBorders>
            <w:shd w:val="clear" w:color="auto" w:fill="auto"/>
            <w:noWrap/>
            <w:vAlign w:val="bottom"/>
            <w:hideMark/>
          </w:tcPr>
          <w:p w14:paraId="35C4CEEA" w14:textId="77777777" w:rsidR="0023076E" w:rsidRPr="005044F0" w:rsidRDefault="0023076E" w:rsidP="00324A07">
            <w:pPr>
              <w:rPr>
                <w:color w:val="000000"/>
                <w:sz w:val="20"/>
                <w:szCs w:val="20"/>
                <w:lang w:val="es-ES"/>
              </w:rPr>
            </w:pPr>
            <w:r w:rsidRPr="005044F0">
              <w:rPr>
                <w:color w:val="000000"/>
                <w:sz w:val="20"/>
                <w:szCs w:val="20"/>
                <w:lang w:val="es-ES"/>
              </w:rPr>
              <w:t xml:space="preserve">        Aceptación y crecimiento personal</w:t>
            </w:r>
          </w:p>
        </w:tc>
        <w:tc>
          <w:tcPr>
            <w:tcW w:w="1300" w:type="dxa"/>
            <w:tcBorders>
              <w:top w:val="nil"/>
              <w:left w:val="nil"/>
              <w:bottom w:val="single" w:sz="4" w:space="0" w:color="auto"/>
              <w:right w:val="nil"/>
            </w:tcBorders>
            <w:shd w:val="clear" w:color="auto" w:fill="auto"/>
            <w:noWrap/>
            <w:vAlign w:val="center"/>
            <w:hideMark/>
          </w:tcPr>
          <w:p w14:paraId="5A42B921" w14:textId="77777777" w:rsidR="0023076E" w:rsidRPr="005044F0" w:rsidRDefault="0023076E" w:rsidP="00324A07">
            <w:pPr>
              <w:jc w:val="center"/>
              <w:rPr>
                <w:color w:val="000000"/>
                <w:sz w:val="20"/>
                <w:szCs w:val="20"/>
                <w:lang w:val="es-ES"/>
              </w:rPr>
            </w:pPr>
            <w:r w:rsidRPr="005044F0">
              <w:rPr>
                <w:color w:val="000000"/>
                <w:sz w:val="20"/>
                <w:szCs w:val="20"/>
                <w:lang w:val="es-ES"/>
              </w:rPr>
              <w:t>0.38</w:t>
            </w:r>
          </w:p>
        </w:tc>
        <w:tc>
          <w:tcPr>
            <w:tcW w:w="1300" w:type="dxa"/>
            <w:tcBorders>
              <w:top w:val="nil"/>
              <w:left w:val="nil"/>
              <w:bottom w:val="single" w:sz="4" w:space="0" w:color="auto"/>
              <w:right w:val="nil"/>
            </w:tcBorders>
            <w:shd w:val="clear" w:color="auto" w:fill="auto"/>
            <w:noWrap/>
            <w:vAlign w:val="center"/>
            <w:hideMark/>
          </w:tcPr>
          <w:p w14:paraId="4CC503D3" w14:textId="77777777" w:rsidR="0023076E" w:rsidRPr="005044F0" w:rsidRDefault="0023076E" w:rsidP="00324A07">
            <w:pPr>
              <w:jc w:val="center"/>
              <w:rPr>
                <w:color w:val="000000"/>
                <w:sz w:val="20"/>
                <w:szCs w:val="20"/>
                <w:lang w:val="es-ES"/>
              </w:rPr>
            </w:pPr>
            <w:r w:rsidRPr="005044F0">
              <w:rPr>
                <w:color w:val="000000"/>
                <w:sz w:val="20"/>
                <w:szCs w:val="20"/>
                <w:lang w:val="es-ES"/>
              </w:rPr>
              <w:t>0.13</w:t>
            </w:r>
          </w:p>
        </w:tc>
        <w:tc>
          <w:tcPr>
            <w:tcW w:w="1300" w:type="dxa"/>
            <w:tcBorders>
              <w:top w:val="nil"/>
              <w:left w:val="nil"/>
              <w:bottom w:val="single" w:sz="4" w:space="0" w:color="auto"/>
              <w:right w:val="nil"/>
            </w:tcBorders>
            <w:shd w:val="clear" w:color="auto" w:fill="auto"/>
            <w:noWrap/>
            <w:vAlign w:val="center"/>
            <w:hideMark/>
          </w:tcPr>
          <w:p w14:paraId="3D309184" w14:textId="77777777" w:rsidR="0023076E" w:rsidRPr="005044F0" w:rsidRDefault="0023076E" w:rsidP="00324A07">
            <w:pPr>
              <w:jc w:val="center"/>
              <w:rPr>
                <w:color w:val="000000"/>
                <w:sz w:val="20"/>
                <w:szCs w:val="20"/>
                <w:lang w:val="es-ES"/>
              </w:rPr>
            </w:pPr>
            <w:r w:rsidRPr="005044F0">
              <w:rPr>
                <w:color w:val="000000"/>
                <w:sz w:val="20"/>
                <w:szCs w:val="20"/>
                <w:lang w:val="es-ES"/>
              </w:rPr>
              <w:t>0.23**</w:t>
            </w:r>
          </w:p>
        </w:tc>
        <w:tc>
          <w:tcPr>
            <w:tcW w:w="800" w:type="dxa"/>
            <w:tcBorders>
              <w:top w:val="nil"/>
              <w:left w:val="nil"/>
              <w:bottom w:val="single" w:sz="4" w:space="0" w:color="auto"/>
              <w:right w:val="nil"/>
            </w:tcBorders>
            <w:shd w:val="clear" w:color="auto" w:fill="auto"/>
            <w:noWrap/>
            <w:vAlign w:val="center"/>
            <w:hideMark/>
          </w:tcPr>
          <w:p w14:paraId="0B4B42F5" w14:textId="77777777" w:rsidR="0023076E" w:rsidRPr="005044F0" w:rsidRDefault="0023076E" w:rsidP="00324A07">
            <w:pPr>
              <w:jc w:val="center"/>
              <w:rPr>
                <w:color w:val="000000"/>
                <w:sz w:val="20"/>
                <w:szCs w:val="20"/>
                <w:lang w:val="es-ES"/>
              </w:rPr>
            </w:pPr>
          </w:p>
        </w:tc>
        <w:tc>
          <w:tcPr>
            <w:tcW w:w="1280" w:type="dxa"/>
            <w:tcBorders>
              <w:top w:val="nil"/>
              <w:left w:val="nil"/>
              <w:bottom w:val="single" w:sz="4" w:space="0" w:color="auto"/>
              <w:right w:val="nil"/>
            </w:tcBorders>
            <w:vAlign w:val="center"/>
          </w:tcPr>
          <w:p w14:paraId="615467DA" w14:textId="77777777" w:rsidR="0023076E" w:rsidRPr="005044F0" w:rsidRDefault="0023076E" w:rsidP="00324A07">
            <w:pPr>
              <w:jc w:val="center"/>
              <w:rPr>
                <w:color w:val="000000"/>
                <w:sz w:val="20"/>
                <w:szCs w:val="20"/>
                <w:lang w:val="es-ES"/>
              </w:rPr>
            </w:pPr>
          </w:p>
        </w:tc>
      </w:tr>
      <w:tr w:rsidR="0023076E" w:rsidRPr="005044F0" w14:paraId="05C9A880" w14:textId="77777777" w:rsidTr="00324A07">
        <w:trPr>
          <w:trHeight w:val="320"/>
        </w:trPr>
        <w:tc>
          <w:tcPr>
            <w:tcW w:w="3380" w:type="dxa"/>
            <w:tcBorders>
              <w:top w:val="nil"/>
              <w:left w:val="nil"/>
              <w:bottom w:val="nil"/>
              <w:right w:val="nil"/>
            </w:tcBorders>
            <w:shd w:val="clear" w:color="auto" w:fill="auto"/>
            <w:noWrap/>
            <w:vAlign w:val="bottom"/>
            <w:hideMark/>
          </w:tcPr>
          <w:p w14:paraId="506BDD87" w14:textId="77777777" w:rsidR="0023076E" w:rsidRPr="005044F0" w:rsidRDefault="0023076E" w:rsidP="00324A07">
            <w:pPr>
              <w:rPr>
                <w:color w:val="000000"/>
                <w:sz w:val="20"/>
                <w:szCs w:val="20"/>
                <w:lang w:val="es-ES"/>
              </w:rPr>
            </w:pPr>
            <w:r w:rsidRPr="005044F0">
              <w:rPr>
                <w:color w:val="000000"/>
                <w:sz w:val="20"/>
                <w:szCs w:val="20"/>
                <w:lang w:val="es-ES"/>
              </w:rPr>
              <w:t>* p &lt; .05. ** p &lt; .01. *** p &lt; .001</w:t>
            </w:r>
          </w:p>
        </w:tc>
        <w:tc>
          <w:tcPr>
            <w:tcW w:w="1300" w:type="dxa"/>
            <w:tcBorders>
              <w:top w:val="nil"/>
              <w:left w:val="nil"/>
              <w:bottom w:val="nil"/>
              <w:right w:val="nil"/>
            </w:tcBorders>
            <w:shd w:val="clear" w:color="auto" w:fill="auto"/>
            <w:noWrap/>
            <w:vAlign w:val="bottom"/>
            <w:hideMark/>
          </w:tcPr>
          <w:p w14:paraId="551E6347" w14:textId="77777777" w:rsidR="0023076E" w:rsidRPr="005044F0" w:rsidRDefault="0023076E" w:rsidP="00324A07">
            <w:pP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09D36F77" w14:textId="77777777" w:rsidR="0023076E" w:rsidRPr="005044F0" w:rsidRDefault="0023076E" w:rsidP="00324A07">
            <w:pPr>
              <w:rPr>
                <w:sz w:val="20"/>
                <w:szCs w:val="20"/>
                <w:lang w:val="es-ES"/>
              </w:rPr>
            </w:pPr>
          </w:p>
        </w:tc>
        <w:tc>
          <w:tcPr>
            <w:tcW w:w="1300" w:type="dxa"/>
            <w:tcBorders>
              <w:top w:val="nil"/>
              <w:left w:val="nil"/>
              <w:bottom w:val="nil"/>
              <w:right w:val="nil"/>
            </w:tcBorders>
            <w:shd w:val="clear" w:color="auto" w:fill="auto"/>
            <w:noWrap/>
            <w:vAlign w:val="bottom"/>
            <w:hideMark/>
          </w:tcPr>
          <w:p w14:paraId="0F67E573" w14:textId="77777777" w:rsidR="0023076E" w:rsidRPr="005044F0" w:rsidRDefault="0023076E" w:rsidP="00324A07">
            <w:pPr>
              <w:jc w:val="center"/>
              <w:rPr>
                <w:sz w:val="20"/>
                <w:szCs w:val="20"/>
                <w:lang w:val="es-ES"/>
              </w:rPr>
            </w:pPr>
          </w:p>
        </w:tc>
        <w:tc>
          <w:tcPr>
            <w:tcW w:w="800" w:type="dxa"/>
            <w:tcBorders>
              <w:top w:val="nil"/>
              <w:left w:val="nil"/>
              <w:bottom w:val="nil"/>
              <w:right w:val="nil"/>
            </w:tcBorders>
            <w:shd w:val="clear" w:color="auto" w:fill="auto"/>
            <w:noWrap/>
            <w:vAlign w:val="bottom"/>
            <w:hideMark/>
          </w:tcPr>
          <w:p w14:paraId="1FDA2F9E" w14:textId="77777777" w:rsidR="0023076E" w:rsidRPr="005044F0" w:rsidRDefault="0023076E" w:rsidP="00324A07">
            <w:pPr>
              <w:rPr>
                <w:sz w:val="20"/>
                <w:szCs w:val="20"/>
                <w:lang w:val="es-ES"/>
              </w:rPr>
            </w:pPr>
          </w:p>
        </w:tc>
        <w:tc>
          <w:tcPr>
            <w:tcW w:w="1280" w:type="dxa"/>
            <w:tcBorders>
              <w:top w:val="nil"/>
              <w:left w:val="nil"/>
              <w:bottom w:val="nil"/>
              <w:right w:val="nil"/>
            </w:tcBorders>
          </w:tcPr>
          <w:p w14:paraId="106174C7" w14:textId="77777777" w:rsidR="0023076E" w:rsidRPr="005044F0" w:rsidRDefault="0023076E" w:rsidP="00324A07">
            <w:pPr>
              <w:rPr>
                <w:sz w:val="20"/>
                <w:szCs w:val="20"/>
                <w:lang w:val="es-ES"/>
              </w:rPr>
            </w:pPr>
          </w:p>
        </w:tc>
      </w:tr>
    </w:tbl>
    <w:p w14:paraId="2451DE70" w14:textId="77777777" w:rsidR="0023076E" w:rsidRPr="005044F0" w:rsidRDefault="0023076E" w:rsidP="0023076E">
      <w:pPr>
        <w:rPr>
          <w:lang w:val="es-ES"/>
        </w:rPr>
      </w:pPr>
    </w:p>
    <w:p w14:paraId="73CF4168" w14:textId="77777777" w:rsidR="0023076E" w:rsidRPr="005044F0" w:rsidRDefault="0023076E" w:rsidP="0023076E">
      <w:pPr>
        <w:rPr>
          <w:lang w:val="es-ES"/>
        </w:rPr>
      </w:pPr>
    </w:p>
    <w:p w14:paraId="710D2100" w14:textId="77777777" w:rsidR="0023076E" w:rsidRPr="005044F0" w:rsidRDefault="0023076E" w:rsidP="0023076E">
      <w:pPr>
        <w:spacing w:line="360" w:lineRule="auto"/>
        <w:ind w:firstLine="720"/>
        <w:rPr>
          <w:lang w:val="es-ES"/>
        </w:rPr>
      </w:pPr>
      <w:r w:rsidRPr="005044F0">
        <w:rPr>
          <w:lang w:val="es-ES"/>
        </w:rPr>
        <w:t>Para la variable dependiente autonomía (ver Tabla 4), el modelo de ajuste más adecuado identificó dos predictores: negación (β = -.33 p &lt; .001), y aceptación y crecimiento personal (β = .30, p &lt; .001). El modelo explicó el 23% de la varianza (R</w:t>
      </w:r>
      <w:r w:rsidRPr="005044F0">
        <w:rPr>
          <w:vertAlign w:val="superscript"/>
          <w:lang w:val="es-ES"/>
        </w:rPr>
        <w:t>2</w:t>
      </w:r>
      <w:r w:rsidRPr="005044F0">
        <w:rPr>
          <w:lang w:val="es-ES"/>
        </w:rPr>
        <w:t xml:space="preserve"> = .23, </w:t>
      </w:r>
      <w:proofErr w:type="gramStart"/>
      <w:r w:rsidRPr="005044F0">
        <w:rPr>
          <w:lang w:val="es-ES"/>
        </w:rPr>
        <w:t>F(</w:t>
      </w:r>
      <w:proofErr w:type="gramEnd"/>
      <w:r w:rsidRPr="005044F0">
        <w:rPr>
          <w:lang w:val="es-ES"/>
        </w:rPr>
        <w:t xml:space="preserve">2,132) = 19.22, p &lt; .001). </w:t>
      </w:r>
    </w:p>
    <w:p w14:paraId="1FB7DE56" w14:textId="77777777" w:rsidR="0023076E" w:rsidRPr="005044F0" w:rsidRDefault="0023076E" w:rsidP="0023076E">
      <w:pPr>
        <w:spacing w:line="360" w:lineRule="auto"/>
        <w:rPr>
          <w:lang w:val="es-ES"/>
        </w:rPr>
      </w:pPr>
    </w:p>
    <w:p w14:paraId="6BD93AEB" w14:textId="77777777" w:rsidR="0023076E" w:rsidRPr="005044F0" w:rsidRDefault="0023076E" w:rsidP="0023076E">
      <w:pPr>
        <w:spacing w:line="360" w:lineRule="auto"/>
        <w:rPr>
          <w:b/>
          <w:bCs/>
          <w:lang w:val="es-ES"/>
        </w:rPr>
      </w:pPr>
      <w:r w:rsidRPr="005044F0">
        <w:rPr>
          <w:b/>
          <w:bCs/>
          <w:lang w:val="es-ES"/>
        </w:rPr>
        <w:t>Tabla 4</w:t>
      </w:r>
    </w:p>
    <w:p w14:paraId="07B633A0" w14:textId="77777777" w:rsidR="0023076E" w:rsidRPr="005044F0" w:rsidRDefault="0023076E" w:rsidP="0023076E">
      <w:pPr>
        <w:spacing w:line="360" w:lineRule="auto"/>
        <w:rPr>
          <w:lang w:val="es-ES"/>
        </w:rPr>
      </w:pPr>
      <w:r w:rsidRPr="005044F0">
        <w:rPr>
          <w:i/>
          <w:iCs/>
          <w:lang w:val="es-ES"/>
        </w:rPr>
        <w:t>Regresión Múltiple con Variable Dependiente Autonomía y Variables Independientes Estrategias de Afrontamiento</w:t>
      </w:r>
    </w:p>
    <w:tbl>
      <w:tblPr>
        <w:tblW w:w="9360" w:type="dxa"/>
        <w:tblLook w:val="04A0" w:firstRow="1" w:lastRow="0" w:firstColumn="1" w:lastColumn="0" w:noHBand="0" w:noVBand="1"/>
      </w:tblPr>
      <w:tblGrid>
        <w:gridCol w:w="3302"/>
        <w:gridCol w:w="1273"/>
        <w:gridCol w:w="1274"/>
        <w:gridCol w:w="943"/>
        <w:gridCol w:w="1288"/>
        <w:gridCol w:w="1280"/>
      </w:tblGrid>
      <w:tr w:rsidR="0023076E" w:rsidRPr="005044F0" w14:paraId="2B95B7EA" w14:textId="77777777" w:rsidTr="00324A07">
        <w:trPr>
          <w:trHeight w:val="320"/>
        </w:trPr>
        <w:tc>
          <w:tcPr>
            <w:tcW w:w="3302" w:type="dxa"/>
            <w:tcBorders>
              <w:top w:val="single" w:sz="4" w:space="0" w:color="auto"/>
              <w:left w:val="nil"/>
              <w:bottom w:val="single" w:sz="4" w:space="0" w:color="auto"/>
              <w:right w:val="nil"/>
            </w:tcBorders>
            <w:shd w:val="clear" w:color="auto" w:fill="auto"/>
            <w:noWrap/>
            <w:vAlign w:val="bottom"/>
            <w:hideMark/>
          </w:tcPr>
          <w:p w14:paraId="73E7241D" w14:textId="77777777" w:rsidR="0023076E" w:rsidRPr="005044F0" w:rsidRDefault="0023076E" w:rsidP="00324A07">
            <w:pPr>
              <w:rPr>
                <w:color w:val="000000"/>
                <w:sz w:val="20"/>
                <w:szCs w:val="20"/>
                <w:lang w:val="es-ES"/>
              </w:rPr>
            </w:pPr>
            <w:r w:rsidRPr="005044F0">
              <w:rPr>
                <w:color w:val="000000"/>
                <w:sz w:val="20"/>
                <w:szCs w:val="20"/>
                <w:lang w:val="es-ES"/>
              </w:rPr>
              <w:t> </w:t>
            </w:r>
          </w:p>
        </w:tc>
        <w:tc>
          <w:tcPr>
            <w:tcW w:w="1273" w:type="dxa"/>
            <w:tcBorders>
              <w:top w:val="single" w:sz="4" w:space="0" w:color="auto"/>
              <w:left w:val="nil"/>
              <w:bottom w:val="single" w:sz="4" w:space="0" w:color="auto"/>
              <w:right w:val="nil"/>
            </w:tcBorders>
            <w:shd w:val="clear" w:color="auto" w:fill="auto"/>
            <w:noWrap/>
            <w:vAlign w:val="center"/>
            <w:hideMark/>
          </w:tcPr>
          <w:p w14:paraId="05616613" w14:textId="77777777" w:rsidR="0023076E" w:rsidRPr="005044F0" w:rsidRDefault="0023076E" w:rsidP="00324A07">
            <w:pPr>
              <w:jc w:val="center"/>
              <w:rPr>
                <w:i/>
                <w:color w:val="000000"/>
                <w:sz w:val="20"/>
                <w:szCs w:val="20"/>
                <w:lang w:val="es-ES"/>
              </w:rPr>
            </w:pPr>
            <w:r w:rsidRPr="005044F0">
              <w:rPr>
                <w:i/>
                <w:iCs/>
                <w:color w:val="000000"/>
                <w:sz w:val="20"/>
                <w:szCs w:val="20"/>
                <w:lang w:val="es-ES"/>
              </w:rPr>
              <w:t>B</w:t>
            </w:r>
          </w:p>
        </w:tc>
        <w:tc>
          <w:tcPr>
            <w:tcW w:w="1274" w:type="dxa"/>
            <w:tcBorders>
              <w:top w:val="single" w:sz="4" w:space="0" w:color="auto"/>
              <w:left w:val="nil"/>
              <w:bottom w:val="single" w:sz="4" w:space="0" w:color="auto"/>
              <w:right w:val="nil"/>
            </w:tcBorders>
            <w:shd w:val="clear" w:color="auto" w:fill="auto"/>
            <w:noWrap/>
            <w:vAlign w:val="center"/>
            <w:hideMark/>
          </w:tcPr>
          <w:p w14:paraId="04958BFF" w14:textId="77777777" w:rsidR="0023076E" w:rsidRPr="005044F0" w:rsidRDefault="0023076E" w:rsidP="00324A07">
            <w:pPr>
              <w:jc w:val="center"/>
              <w:rPr>
                <w:i/>
                <w:color w:val="000000"/>
                <w:sz w:val="20"/>
                <w:szCs w:val="20"/>
                <w:lang w:val="es-ES"/>
              </w:rPr>
            </w:pPr>
            <w:r w:rsidRPr="005044F0">
              <w:rPr>
                <w:i/>
                <w:iCs/>
                <w:color w:val="000000"/>
                <w:sz w:val="20"/>
                <w:szCs w:val="20"/>
                <w:lang w:val="es-ES"/>
              </w:rPr>
              <w:t>SE B</w:t>
            </w:r>
          </w:p>
        </w:tc>
        <w:tc>
          <w:tcPr>
            <w:tcW w:w="943" w:type="dxa"/>
            <w:tcBorders>
              <w:top w:val="single" w:sz="4" w:space="0" w:color="auto"/>
              <w:left w:val="nil"/>
              <w:bottom w:val="single" w:sz="4" w:space="0" w:color="auto"/>
              <w:right w:val="nil"/>
            </w:tcBorders>
            <w:shd w:val="clear" w:color="auto" w:fill="auto"/>
            <w:noWrap/>
            <w:vAlign w:val="center"/>
            <w:hideMark/>
          </w:tcPr>
          <w:p w14:paraId="782865BD" w14:textId="77777777" w:rsidR="0023076E" w:rsidRPr="005044F0" w:rsidRDefault="0023076E" w:rsidP="00324A07">
            <w:pPr>
              <w:jc w:val="center"/>
              <w:rPr>
                <w:color w:val="000000"/>
                <w:sz w:val="20"/>
                <w:szCs w:val="20"/>
                <w:lang w:val="es-ES"/>
              </w:rPr>
            </w:pPr>
            <w:r w:rsidRPr="005044F0">
              <w:rPr>
                <w:color w:val="000000"/>
                <w:sz w:val="20"/>
                <w:szCs w:val="20"/>
                <w:lang w:val="es-ES"/>
              </w:rPr>
              <w:t>β</w:t>
            </w:r>
          </w:p>
        </w:tc>
        <w:tc>
          <w:tcPr>
            <w:tcW w:w="1288" w:type="dxa"/>
            <w:tcBorders>
              <w:top w:val="single" w:sz="4" w:space="0" w:color="auto"/>
              <w:left w:val="nil"/>
              <w:bottom w:val="single" w:sz="4" w:space="0" w:color="auto"/>
              <w:right w:val="nil"/>
            </w:tcBorders>
            <w:shd w:val="clear" w:color="auto" w:fill="auto"/>
            <w:noWrap/>
            <w:vAlign w:val="center"/>
            <w:hideMark/>
          </w:tcPr>
          <w:p w14:paraId="40D3F507" w14:textId="77777777" w:rsidR="0023076E" w:rsidRPr="005044F0" w:rsidRDefault="0023076E" w:rsidP="00324A07">
            <w:pPr>
              <w:jc w:val="center"/>
              <w:rPr>
                <w:i/>
                <w:color w:val="000000"/>
                <w:sz w:val="20"/>
                <w:szCs w:val="20"/>
                <w:lang w:val="es-ES"/>
              </w:rPr>
            </w:pPr>
            <w:r w:rsidRPr="005044F0">
              <w:rPr>
                <w:i/>
                <w:iCs/>
                <w:color w:val="000000"/>
                <w:sz w:val="20"/>
                <w:szCs w:val="20"/>
                <w:lang w:val="es-ES"/>
              </w:rPr>
              <w:t>R</w:t>
            </w:r>
            <w:r w:rsidRPr="005044F0">
              <w:rPr>
                <w:i/>
                <w:iCs/>
                <w:color w:val="000000"/>
                <w:sz w:val="20"/>
                <w:szCs w:val="20"/>
                <w:vertAlign w:val="superscript"/>
                <w:lang w:val="es-ES"/>
              </w:rPr>
              <w:t>2</w:t>
            </w:r>
          </w:p>
        </w:tc>
        <w:tc>
          <w:tcPr>
            <w:tcW w:w="1280" w:type="dxa"/>
            <w:tcBorders>
              <w:top w:val="single" w:sz="4" w:space="0" w:color="auto"/>
              <w:left w:val="nil"/>
              <w:bottom w:val="single" w:sz="4" w:space="0" w:color="auto"/>
              <w:right w:val="nil"/>
            </w:tcBorders>
            <w:vAlign w:val="center"/>
          </w:tcPr>
          <w:p w14:paraId="1E6BE0A4" w14:textId="77777777" w:rsidR="0023076E" w:rsidRPr="005044F0" w:rsidRDefault="0023076E" w:rsidP="00324A07">
            <w:pPr>
              <w:jc w:val="center"/>
              <w:rPr>
                <w:i/>
                <w:iCs/>
                <w:color w:val="000000"/>
                <w:sz w:val="20"/>
                <w:szCs w:val="20"/>
                <w:lang w:val="es-ES"/>
              </w:rPr>
            </w:pPr>
            <w:r w:rsidRPr="005044F0">
              <w:rPr>
                <w:i/>
                <w:iCs/>
                <w:color w:val="000000"/>
                <w:sz w:val="20"/>
                <w:szCs w:val="20"/>
                <w:lang w:val="es-ES"/>
              </w:rPr>
              <w:t>F</w:t>
            </w:r>
          </w:p>
        </w:tc>
      </w:tr>
      <w:tr w:rsidR="0023076E" w:rsidRPr="005044F0" w14:paraId="598E0F1F" w14:textId="77777777" w:rsidTr="00324A07">
        <w:trPr>
          <w:trHeight w:val="320"/>
        </w:trPr>
        <w:tc>
          <w:tcPr>
            <w:tcW w:w="3302" w:type="dxa"/>
            <w:tcBorders>
              <w:top w:val="nil"/>
              <w:left w:val="nil"/>
              <w:bottom w:val="nil"/>
              <w:right w:val="nil"/>
            </w:tcBorders>
            <w:shd w:val="clear" w:color="auto" w:fill="auto"/>
            <w:noWrap/>
            <w:vAlign w:val="bottom"/>
            <w:hideMark/>
          </w:tcPr>
          <w:p w14:paraId="29BD58A9" w14:textId="77777777" w:rsidR="0023076E" w:rsidRPr="005044F0" w:rsidRDefault="0023076E" w:rsidP="00324A07">
            <w:pPr>
              <w:rPr>
                <w:color w:val="000000"/>
                <w:sz w:val="20"/>
                <w:szCs w:val="20"/>
                <w:lang w:val="es-ES"/>
              </w:rPr>
            </w:pPr>
            <w:r w:rsidRPr="005044F0">
              <w:rPr>
                <w:color w:val="000000"/>
                <w:sz w:val="20"/>
                <w:szCs w:val="20"/>
                <w:lang w:val="es-ES"/>
              </w:rPr>
              <w:t>Autonomía</w:t>
            </w:r>
          </w:p>
        </w:tc>
        <w:tc>
          <w:tcPr>
            <w:tcW w:w="1273" w:type="dxa"/>
            <w:tcBorders>
              <w:top w:val="nil"/>
              <w:left w:val="nil"/>
              <w:bottom w:val="nil"/>
              <w:right w:val="nil"/>
            </w:tcBorders>
            <w:shd w:val="clear" w:color="auto" w:fill="auto"/>
            <w:noWrap/>
            <w:vAlign w:val="center"/>
            <w:hideMark/>
          </w:tcPr>
          <w:p w14:paraId="5FFF1E43" w14:textId="77777777" w:rsidR="0023076E" w:rsidRPr="005044F0" w:rsidRDefault="0023076E" w:rsidP="00324A07">
            <w:pPr>
              <w:rPr>
                <w:color w:val="000000"/>
                <w:sz w:val="20"/>
                <w:szCs w:val="20"/>
                <w:lang w:val="es-ES"/>
              </w:rPr>
            </w:pPr>
          </w:p>
        </w:tc>
        <w:tc>
          <w:tcPr>
            <w:tcW w:w="1274" w:type="dxa"/>
            <w:tcBorders>
              <w:top w:val="nil"/>
              <w:left w:val="nil"/>
              <w:bottom w:val="nil"/>
              <w:right w:val="nil"/>
            </w:tcBorders>
            <w:shd w:val="clear" w:color="auto" w:fill="auto"/>
            <w:noWrap/>
            <w:vAlign w:val="center"/>
            <w:hideMark/>
          </w:tcPr>
          <w:p w14:paraId="5938EC7F" w14:textId="77777777" w:rsidR="0023076E" w:rsidRPr="005044F0" w:rsidRDefault="0023076E" w:rsidP="00324A07">
            <w:pPr>
              <w:jc w:val="center"/>
              <w:rPr>
                <w:sz w:val="20"/>
                <w:szCs w:val="20"/>
                <w:lang w:val="es-ES"/>
              </w:rPr>
            </w:pPr>
          </w:p>
        </w:tc>
        <w:tc>
          <w:tcPr>
            <w:tcW w:w="943" w:type="dxa"/>
            <w:tcBorders>
              <w:top w:val="nil"/>
              <w:left w:val="nil"/>
              <w:bottom w:val="nil"/>
              <w:right w:val="nil"/>
            </w:tcBorders>
            <w:shd w:val="clear" w:color="auto" w:fill="auto"/>
            <w:noWrap/>
            <w:vAlign w:val="center"/>
            <w:hideMark/>
          </w:tcPr>
          <w:p w14:paraId="77D59D26" w14:textId="77777777" w:rsidR="0023076E" w:rsidRPr="005044F0" w:rsidRDefault="0023076E" w:rsidP="00324A07">
            <w:pPr>
              <w:jc w:val="center"/>
              <w:rPr>
                <w:sz w:val="20"/>
                <w:szCs w:val="20"/>
                <w:lang w:val="es-ES"/>
              </w:rPr>
            </w:pPr>
          </w:p>
        </w:tc>
        <w:tc>
          <w:tcPr>
            <w:tcW w:w="1288" w:type="dxa"/>
            <w:tcBorders>
              <w:top w:val="nil"/>
              <w:left w:val="nil"/>
              <w:bottom w:val="nil"/>
              <w:right w:val="nil"/>
            </w:tcBorders>
            <w:shd w:val="clear" w:color="auto" w:fill="auto"/>
            <w:noWrap/>
            <w:vAlign w:val="center"/>
            <w:hideMark/>
          </w:tcPr>
          <w:p w14:paraId="58FAB2EA" w14:textId="77777777" w:rsidR="0023076E" w:rsidRPr="005044F0" w:rsidRDefault="0023076E" w:rsidP="00324A07">
            <w:pPr>
              <w:jc w:val="center"/>
              <w:rPr>
                <w:sz w:val="20"/>
                <w:szCs w:val="20"/>
                <w:lang w:val="es-ES"/>
              </w:rPr>
            </w:pPr>
          </w:p>
        </w:tc>
        <w:tc>
          <w:tcPr>
            <w:tcW w:w="1280" w:type="dxa"/>
            <w:tcBorders>
              <w:top w:val="nil"/>
              <w:left w:val="nil"/>
              <w:bottom w:val="nil"/>
              <w:right w:val="nil"/>
            </w:tcBorders>
            <w:vAlign w:val="center"/>
          </w:tcPr>
          <w:p w14:paraId="24AE9B71" w14:textId="77777777" w:rsidR="0023076E" w:rsidRPr="005044F0" w:rsidRDefault="0023076E" w:rsidP="00324A07">
            <w:pPr>
              <w:jc w:val="center"/>
              <w:rPr>
                <w:sz w:val="20"/>
                <w:szCs w:val="20"/>
                <w:lang w:val="es-ES"/>
              </w:rPr>
            </w:pPr>
          </w:p>
        </w:tc>
      </w:tr>
      <w:tr w:rsidR="0023076E" w:rsidRPr="005044F0" w14:paraId="25603134" w14:textId="77777777" w:rsidTr="00324A07">
        <w:trPr>
          <w:trHeight w:val="320"/>
        </w:trPr>
        <w:tc>
          <w:tcPr>
            <w:tcW w:w="3302" w:type="dxa"/>
            <w:tcBorders>
              <w:top w:val="nil"/>
              <w:left w:val="nil"/>
              <w:bottom w:val="nil"/>
              <w:right w:val="nil"/>
            </w:tcBorders>
            <w:shd w:val="clear" w:color="auto" w:fill="auto"/>
            <w:noWrap/>
            <w:vAlign w:val="bottom"/>
            <w:hideMark/>
          </w:tcPr>
          <w:p w14:paraId="39E706A2" w14:textId="77777777" w:rsidR="0023076E" w:rsidRPr="005044F0" w:rsidRDefault="0023076E" w:rsidP="00324A07">
            <w:pPr>
              <w:rPr>
                <w:color w:val="000000"/>
                <w:sz w:val="20"/>
                <w:szCs w:val="20"/>
                <w:lang w:val="es-ES"/>
              </w:rPr>
            </w:pPr>
            <w:r w:rsidRPr="005044F0">
              <w:rPr>
                <w:color w:val="000000"/>
                <w:sz w:val="20"/>
                <w:szCs w:val="20"/>
                <w:lang w:val="es-ES"/>
              </w:rPr>
              <w:t xml:space="preserve">     Paso 1</w:t>
            </w:r>
          </w:p>
        </w:tc>
        <w:tc>
          <w:tcPr>
            <w:tcW w:w="1273" w:type="dxa"/>
            <w:tcBorders>
              <w:top w:val="nil"/>
              <w:left w:val="nil"/>
              <w:bottom w:val="nil"/>
              <w:right w:val="nil"/>
            </w:tcBorders>
            <w:shd w:val="clear" w:color="auto" w:fill="auto"/>
            <w:noWrap/>
            <w:vAlign w:val="bottom"/>
            <w:hideMark/>
          </w:tcPr>
          <w:p w14:paraId="6EF63DAE" w14:textId="77777777" w:rsidR="0023076E" w:rsidRPr="005044F0" w:rsidRDefault="0023076E" w:rsidP="00324A07">
            <w:pPr>
              <w:rPr>
                <w:color w:val="000000"/>
                <w:sz w:val="20"/>
                <w:szCs w:val="20"/>
                <w:lang w:val="es-ES"/>
              </w:rPr>
            </w:pPr>
          </w:p>
        </w:tc>
        <w:tc>
          <w:tcPr>
            <w:tcW w:w="1274" w:type="dxa"/>
            <w:tcBorders>
              <w:top w:val="nil"/>
              <w:left w:val="nil"/>
              <w:bottom w:val="nil"/>
              <w:right w:val="nil"/>
            </w:tcBorders>
            <w:shd w:val="clear" w:color="auto" w:fill="auto"/>
            <w:noWrap/>
            <w:vAlign w:val="center"/>
            <w:hideMark/>
          </w:tcPr>
          <w:p w14:paraId="77A92B54" w14:textId="77777777" w:rsidR="0023076E" w:rsidRPr="005044F0" w:rsidRDefault="0023076E" w:rsidP="00324A07">
            <w:pPr>
              <w:rPr>
                <w:sz w:val="20"/>
                <w:szCs w:val="20"/>
                <w:lang w:val="es-ES"/>
              </w:rPr>
            </w:pPr>
          </w:p>
        </w:tc>
        <w:tc>
          <w:tcPr>
            <w:tcW w:w="943" w:type="dxa"/>
            <w:tcBorders>
              <w:top w:val="nil"/>
              <w:left w:val="nil"/>
              <w:bottom w:val="nil"/>
              <w:right w:val="nil"/>
            </w:tcBorders>
            <w:shd w:val="clear" w:color="auto" w:fill="auto"/>
            <w:noWrap/>
            <w:vAlign w:val="center"/>
            <w:hideMark/>
          </w:tcPr>
          <w:p w14:paraId="2FF01DBE" w14:textId="77777777" w:rsidR="0023076E" w:rsidRPr="005044F0" w:rsidRDefault="0023076E" w:rsidP="00324A07">
            <w:pPr>
              <w:jc w:val="center"/>
              <w:rPr>
                <w:sz w:val="20"/>
                <w:szCs w:val="20"/>
                <w:lang w:val="es-ES"/>
              </w:rPr>
            </w:pPr>
          </w:p>
        </w:tc>
        <w:tc>
          <w:tcPr>
            <w:tcW w:w="1288" w:type="dxa"/>
            <w:tcBorders>
              <w:top w:val="nil"/>
              <w:left w:val="nil"/>
              <w:bottom w:val="nil"/>
              <w:right w:val="nil"/>
            </w:tcBorders>
            <w:shd w:val="clear" w:color="auto" w:fill="auto"/>
            <w:noWrap/>
            <w:vAlign w:val="center"/>
            <w:hideMark/>
          </w:tcPr>
          <w:p w14:paraId="29B1CEFA" w14:textId="77777777" w:rsidR="0023076E" w:rsidRPr="005044F0" w:rsidRDefault="0023076E" w:rsidP="00324A07">
            <w:pPr>
              <w:jc w:val="center"/>
              <w:rPr>
                <w:color w:val="000000"/>
                <w:sz w:val="20"/>
                <w:szCs w:val="20"/>
                <w:lang w:val="es-ES"/>
              </w:rPr>
            </w:pPr>
            <w:r w:rsidRPr="005044F0">
              <w:rPr>
                <w:color w:val="000000"/>
                <w:sz w:val="20"/>
                <w:szCs w:val="20"/>
                <w:lang w:val="es-ES"/>
              </w:rPr>
              <w:t>0.14</w:t>
            </w:r>
          </w:p>
        </w:tc>
        <w:tc>
          <w:tcPr>
            <w:tcW w:w="1280" w:type="dxa"/>
            <w:tcBorders>
              <w:top w:val="nil"/>
              <w:left w:val="nil"/>
              <w:bottom w:val="nil"/>
              <w:right w:val="nil"/>
            </w:tcBorders>
            <w:vAlign w:val="center"/>
          </w:tcPr>
          <w:p w14:paraId="255E1534" w14:textId="77777777" w:rsidR="0023076E" w:rsidRPr="005044F0" w:rsidRDefault="0023076E" w:rsidP="00324A07">
            <w:pPr>
              <w:jc w:val="center"/>
              <w:rPr>
                <w:color w:val="000000"/>
                <w:sz w:val="20"/>
                <w:szCs w:val="20"/>
                <w:lang w:val="es-ES"/>
              </w:rPr>
            </w:pPr>
            <w:r w:rsidRPr="005044F0">
              <w:rPr>
                <w:color w:val="000000"/>
                <w:sz w:val="20"/>
                <w:szCs w:val="20"/>
                <w:lang w:val="es-ES"/>
              </w:rPr>
              <w:t>21.46***</w:t>
            </w:r>
          </w:p>
        </w:tc>
      </w:tr>
      <w:tr w:rsidR="0023076E" w:rsidRPr="005044F0" w14:paraId="7D41311D" w14:textId="77777777" w:rsidTr="00324A07">
        <w:trPr>
          <w:trHeight w:val="320"/>
        </w:trPr>
        <w:tc>
          <w:tcPr>
            <w:tcW w:w="3302" w:type="dxa"/>
            <w:tcBorders>
              <w:top w:val="nil"/>
              <w:left w:val="nil"/>
              <w:bottom w:val="nil"/>
              <w:right w:val="nil"/>
            </w:tcBorders>
            <w:shd w:val="clear" w:color="auto" w:fill="auto"/>
            <w:noWrap/>
            <w:vAlign w:val="bottom"/>
            <w:hideMark/>
          </w:tcPr>
          <w:p w14:paraId="764C4C0A" w14:textId="77777777" w:rsidR="0023076E" w:rsidRPr="005044F0" w:rsidRDefault="0023076E" w:rsidP="00324A07">
            <w:pPr>
              <w:rPr>
                <w:color w:val="000000"/>
                <w:sz w:val="20"/>
                <w:szCs w:val="20"/>
                <w:lang w:val="es-ES"/>
              </w:rPr>
            </w:pPr>
            <w:r w:rsidRPr="005044F0">
              <w:rPr>
                <w:color w:val="000000"/>
                <w:sz w:val="20"/>
                <w:szCs w:val="20"/>
                <w:lang w:val="es-ES"/>
              </w:rPr>
              <w:t xml:space="preserve">       Negación</w:t>
            </w:r>
          </w:p>
        </w:tc>
        <w:tc>
          <w:tcPr>
            <w:tcW w:w="1273" w:type="dxa"/>
            <w:tcBorders>
              <w:top w:val="nil"/>
              <w:left w:val="nil"/>
              <w:bottom w:val="nil"/>
              <w:right w:val="nil"/>
            </w:tcBorders>
            <w:shd w:val="clear" w:color="auto" w:fill="auto"/>
            <w:noWrap/>
            <w:vAlign w:val="center"/>
            <w:hideMark/>
          </w:tcPr>
          <w:p w14:paraId="680E05A7" w14:textId="77777777" w:rsidR="0023076E" w:rsidRPr="005044F0" w:rsidRDefault="0023076E" w:rsidP="00324A07">
            <w:pPr>
              <w:jc w:val="center"/>
              <w:rPr>
                <w:color w:val="000000"/>
                <w:sz w:val="20"/>
                <w:szCs w:val="20"/>
                <w:lang w:val="es-ES"/>
              </w:rPr>
            </w:pPr>
            <w:r w:rsidRPr="005044F0">
              <w:rPr>
                <w:color w:val="000000"/>
                <w:sz w:val="20"/>
                <w:szCs w:val="20"/>
                <w:lang w:val="es-ES"/>
              </w:rPr>
              <w:t>-0.34</w:t>
            </w:r>
          </w:p>
        </w:tc>
        <w:tc>
          <w:tcPr>
            <w:tcW w:w="1274" w:type="dxa"/>
            <w:tcBorders>
              <w:top w:val="nil"/>
              <w:left w:val="nil"/>
              <w:bottom w:val="nil"/>
              <w:right w:val="nil"/>
            </w:tcBorders>
            <w:shd w:val="clear" w:color="auto" w:fill="auto"/>
            <w:noWrap/>
            <w:vAlign w:val="center"/>
            <w:hideMark/>
          </w:tcPr>
          <w:p w14:paraId="7CFBD8C4" w14:textId="77777777" w:rsidR="0023076E" w:rsidRPr="005044F0" w:rsidRDefault="0023076E" w:rsidP="00324A07">
            <w:pPr>
              <w:jc w:val="center"/>
              <w:rPr>
                <w:color w:val="000000"/>
                <w:sz w:val="20"/>
                <w:szCs w:val="20"/>
                <w:lang w:val="es-ES"/>
              </w:rPr>
            </w:pPr>
            <w:r w:rsidRPr="005044F0">
              <w:rPr>
                <w:color w:val="000000"/>
                <w:sz w:val="20"/>
                <w:szCs w:val="20"/>
                <w:lang w:val="es-ES"/>
              </w:rPr>
              <w:t>0.07</w:t>
            </w:r>
          </w:p>
        </w:tc>
        <w:tc>
          <w:tcPr>
            <w:tcW w:w="943" w:type="dxa"/>
            <w:tcBorders>
              <w:top w:val="nil"/>
              <w:left w:val="nil"/>
              <w:bottom w:val="nil"/>
              <w:right w:val="nil"/>
            </w:tcBorders>
            <w:shd w:val="clear" w:color="auto" w:fill="auto"/>
            <w:noWrap/>
            <w:vAlign w:val="center"/>
            <w:hideMark/>
          </w:tcPr>
          <w:p w14:paraId="64B7D621" w14:textId="77777777" w:rsidR="0023076E" w:rsidRPr="005044F0" w:rsidRDefault="0023076E" w:rsidP="00324A07">
            <w:pPr>
              <w:jc w:val="center"/>
              <w:rPr>
                <w:color w:val="000000"/>
                <w:sz w:val="20"/>
                <w:szCs w:val="20"/>
                <w:lang w:val="es-ES"/>
              </w:rPr>
            </w:pPr>
            <w:r w:rsidRPr="005044F0">
              <w:rPr>
                <w:color w:val="000000"/>
                <w:sz w:val="20"/>
                <w:szCs w:val="20"/>
                <w:lang w:val="es-ES"/>
              </w:rPr>
              <w:t>-.37***</w:t>
            </w:r>
          </w:p>
        </w:tc>
        <w:tc>
          <w:tcPr>
            <w:tcW w:w="1288" w:type="dxa"/>
            <w:tcBorders>
              <w:top w:val="nil"/>
              <w:left w:val="nil"/>
              <w:bottom w:val="nil"/>
              <w:right w:val="nil"/>
            </w:tcBorders>
            <w:shd w:val="clear" w:color="auto" w:fill="auto"/>
            <w:noWrap/>
            <w:vAlign w:val="center"/>
            <w:hideMark/>
          </w:tcPr>
          <w:p w14:paraId="7B9EA4CC" w14:textId="77777777" w:rsidR="0023076E" w:rsidRPr="005044F0" w:rsidRDefault="0023076E" w:rsidP="00324A07">
            <w:pPr>
              <w:jc w:val="center"/>
              <w:rPr>
                <w:color w:val="000000"/>
                <w:sz w:val="20"/>
                <w:szCs w:val="20"/>
                <w:lang w:val="es-ES"/>
              </w:rPr>
            </w:pPr>
          </w:p>
        </w:tc>
        <w:tc>
          <w:tcPr>
            <w:tcW w:w="1280" w:type="dxa"/>
            <w:tcBorders>
              <w:top w:val="nil"/>
              <w:left w:val="nil"/>
              <w:bottom w:val="nil"/>
              <w:right w:val="nil"/>
            </w:tcBorders>
            <w:vAlign w:val="center"/>
          </w:tcPr>
          <w:p w14:paraId="10252D22" w14:textId="77777777" w:rsidR="0023076E" w:rsidRPr="005044F0" w:rsidRDefault="0023076E" w:rsidP="00324A07">
            <w:pPr>
              <w:jc w:val="center"/>
              <w:rPr>
                <w:color w:val="000000"/>
                <w:sz w:val="20"/>
                <w:szCs w:val="20"/>
                <w:lang w:val="es-ES"/>
              </w:rPr>
            </w:pPr>
          </w:p>
        </w:tc>
      </w:tr>
      <w:tr w:rsidR="0023076E" w:rsidRPr="005044F0" w14:paraId="3F7CEC13" w14:textId="77777777" w:rsidTr="00324A07">
        <w:trPr>
          <w:trHeight w:val="320"/>
        </w:trPr>
        <w:tc>
          <w:tcPr>
            <w:tcW w:w="3302" w:type="dxa"/>
            <w:tcBorders>
              <w:top w:val="nil"/>
              <w:left w:val="nil"/>
              <w:bottom w:val="nil"/>
              <w:right w:val="nil"/>
            </w:tcBorders>
            <w:shd w:val="clear" w:color="auto" w:fill="auto"/>
            <w:noWrap/>
            <w:vAlign w:val="bottom"/>
            <w:hideMark/>
          </w:tcPr>
          <w:p w14:paraId="4906157A" w14:textId="77777777" w:rsidR="0023076E" w:rsidRPr="005044F0" w:rsidRDefault="0023076E" w:rsidP="00324A07">
            <w:pPr>
              <w:rPr>
                <w:color w:val="000000"/>
                <w:sz w:val="20"/>
                <w:szCs w:val="20"/>
                <w:lang w:val="es-ES"/>
              </w:rPr>
            </w:pPr>
            <w:r w:rsidRPr="005044F0">
              <w:rPr>
                <w:color w:val="000000"/>
                <w:sz w:val="20"/>
                <w:szCs w:val="20"/>
                <w:lang w:val="es-ES"/>
              </w:rPr>
              <w:t xml:space="preserve">     Paso 2</w:t>
            </w:r>
          </w:p>
        </w:tc>
        <w:tc>
          <w:tcPr>
            <w:tcW w:w="1273" w:type="dxa"/>
            <w:tcBorders>
              <w:top w:val="nil"/>
              <w:left w:val="nil"/>
              <w:bottom w:val="nil"/>
              <w:right w:val="nil"/>
            </w:tcBorders>
            <w:shd w:val="clear" w:color="auto" w:fill="auto"/>
            <w:noWrap/>
            <w:vAlign w:val="center"/>
            <w:hideMark/>
          </w:tcPr>
          <w:p w14:paraId="0972D18D" w14:textId="77777777" w:rsidR="0023076E" w:rsidRPr="005044F0" w:rsidRDefault="0023076E" w:rsidP="00324A07">
            <w:pPr>
              <w:rPr>
                <w:color w:val="000000"/>
                <w:sz w:val="20"/>
                <w:szCs w:val="20"/>
                <w:lang w:val="es-ES"/>
              </w:rPr>
            </w:pPr>
          </w:p>
        </w:tc>
        <w:tc>
          <w:tcPr>
            <w:tcW w:w="1274" w:type="dxa"/>
            <w:tcBorders>
              <w:top w:val="nil"/>
              <w:left w:val="nil"/>
              <w:bottom w:val="nil"/>
              <w:right w:val="nil"/>
            </w:tcBorders>
            <w:shd w:val="clear" w:color="auto" w:fill="auto"/>
            <w:noWrap/>
            <w:vAlign w:val="center"/>
            <w:hideMark/>
          </w:tcPr>
          <w:p w14:paraId="14DDB4BD" w14:textId="77777777" w:rsidR="0023076E" w:rsidRPr="005044F0" w:rsidRDefault="0023076E" w:rsidP="00324A07">
            <w:pPr>
              <w:jc w:val="center"/>
              <w:rPr>
                <w:sz w:val="20"/>
                <w:szCs w:val="20"/>
                <w:lang w:val="es-ES"/>
              </w:rPr>
            </w:pPr>
          </w:p>
        </w:tc>
        <w:tc>
          <w:tcPr>
            <w:tcW w:w="943" w:type="dxa"/>
            <w:tcBorders>
              <w:top w:val="nil"/>
              <w:left w:val="nil"/>
              <w:bottom w:val="nil"/>
              <w:right w:val="nil"/>
            </w:tcBorders>
            <w:shd w:val="clear" w:color="auto" w:fill="auto"/>
            <w:noWrap/>
            <w:vAlign w:val="center"/>
            <w:hideMark/>
          </w:tcPr>
          <w:p w14:paraId="186B7813" w14:textId="77777777" w:rsidR="0023076E" w:rsidRPr="005044F0" w:rsidRDefault="0023076E" w:rsidP="00324A07">
            <w:pPr>
              <w:jc w:val="center"/>
              <w:rPr>
                <w:sz w:val="20"/>
                <w:szCs w:val="20"/>
                <w:lang w:val="es-ES"/>
              </w:rPr>
            </w:pPr>
          </w:p>
        </w:tc>
        <w:tc>
          <w:tcPr>
            <w:tcW w:w="1288" w:type="dxa"/>
            <w:tcBorders>
              <w:top w:val="nil"/>
              <w:left w:val="nil"/>
              <w:bottom w:val="nil"/>
              <w:right w:val="nil"/>
            </w:tcBorders>
            <w:shd w:val="clear" w:color="auto" w:fill="auto"/>
            <w:noWrap/>
            <w:vAlign w:val="center"/>
            <w:hideMark/>
          </w:tcPr>
          <w:p w14:paraId="6DEA3A54" w14:textId="77777777" w:rsidR="0023076E" w:rsidRPr="005044F0" w:rsidRDefault="0023076E" w:rsidP="00324A07">
            <w:pPr>
              <w:jc w:val="center"/>
              <w:rPr>
                <w:color w:val="000000"/>
                <w:sz w:val="20"/>
                <w:szCs w:val="20"/>
                <w:lang w:val="es-ES"/>
              </w:rPr>
            </w:pPr>
            <w:r w:rsidRPr="005044F0">
              <w:rPr>
                <w:color w:val="000000"/>
                <w:sz w:val="20"/>
                <w:szCs w:val="20"/>
                <w:lang w:val="es-ES"/>
              </w:rPr>
              <w:t>.23</w:t>
            </w:r>
          </w:p>
        </w:tc>
        <w:tc>
          <w:tcPr>
            <w:tcW w:w="1280" w:type="dxa"/>
            <w:tcBorders>
              <w:top w:val="nil"/>
              <w:left w:val="nil"/>
              <w:bottom w:val="nil"/>
              <w:right w:val="nil"/>
            </w:tcBorders>
            <w:vAlign w:val="center"/>
          </w:tcPr>
          <w:p w14:paraId="4DCCA904" w14:textId="77777777" w:rsidR="0023076E" w:rsidRPr="005044F0" w:rsidRDefault="0023076E" w:rsidP="00324A07">
            <w:pPr>
              <w:jc w:val="center"/>
              <w:rPr>
                <w:color w:val="000000"/>
                <w:sz w:val="20"/>
                <w:szCs w:val="20"/>
                <w:lang w:val="es-ES"/>
              </w:rPr>
            </w:pPr>
            <w:r w:rsidRPr="005044F0">
              <w:rPr>
                <w:color w:val="000000"/>
                <w:sz w:val="20"/>
                <w:szCs w:val="20"/>
                <w:lang w:val="es-ES"/>
              </w:rPr>
              <w:t>19.22***</w:t>
            </w:r>
          </w:p>
        </w:tc>
      </w:tr>
      <w:tr w:rsidR="0023076E" w:rsidRPr="005044F0" w14:paraId="26976442" w14:textId="77777777" w:rsidTr="00324A07">
        <w:trPr>
          <w:trHeight w:val="320"/>
        </w:trPr>
        <w:tc>
          <w:tcPr>
            <w:tcW w:w="3302" w:type="dxa"/>
            <w:tcBorders>
              <w:top w:val="nil"/>
              <w:left w:val="nil"/>
              <w:bottom w:val="nil"/>
              <w:right w:val="nil"/>
            </w:tcBorders>
            <w:shd w:val="clear" w:color="auto" w:fill="auto"/>
            <w:noWrap/>
            <w:vAlign w:val="bottom"/>
            <w:hideMark/>
          </w:tcPr>
          <w:p w14:paraId="367964C7" w14:textId="77777777" w:rsidR="0023076E" w:rsidRPr="005044F0" w:rsidRDefault="0023076E" w:rsidP="00324A07">
            <w:pPr>
              <w:rPr>
                <w:color w:val="000000"/>
                <w:sz w:val="20"/>
                <w:szCs w:val="20"/>
                <w:lang w:val="es-ES"/>
              </w:rPr>
            </w:pPr>
            <w:r w:rsidRPr="005044F0">
              <w:rPr>
                <w:color w:val="000000"/>
                <w:sz w:val="20"/>
                <w:szCs w:val="20"/>
                <w:lang w:val="es-ES"/>
              </w:rPr>
              <w:t xml:space="preserve">       Negación</w:t>
            </w:r>
          </w:p>
        </w:tc>
        <w:tc>
          <w:tcPr>
            <w:tcW w:w="1273" w:type="dxa"/>
            <w:tcBorders>
              <w:top w:val="nil"/>
              <w:left w:val="nil"/>
              <w:bottom w:val="nil"/>
              <w:right w:val="nil"/>
            </w:tcBorders>
            <w:shd w:val="clear" w:color="auto" w:fill="auto"/>
            <w:noWrap/>
            <w:vAlign w:val="center"/>
            <w:hideMark/>
          </w:tcPr>
          <w:p w14:paraId="6A1BF1E5" w14:textId="77777777" w:rsidR="0023076E" w:rsidRPr="005044F0" w:rsidRDefault="0023076E" w:rsidP="00324A07">
            <w:pPr>
              <w:jc w:val="center"/>
              <w:rPr>
                <w:color w:val="000000"/>
                <w:sz w:val="20"/>
                <w:szCs w:val="20"/>
                <w:lang w:val="es-ES"/>
              </w:rPr>
            </w:pPr>
            <w:r w:rsidRPr="005044F0">
              <w:rPr>
                <w:color w:val="000000"/>
                <w:sz w:val="20"/>
                <w:szCs w:val="20"/>
                <w:lang w:val="es-ES"/>
              </w:rPr>
              <w:t>-0.30</w:t>
            </w:r>
          </w:p>
        </w:tc>
        <w:tc>
          <w:tcPr>
            <w:tcW w:w="1274" w:type="dxa"/>
            <w:tcBorders>
              <w:top w:val="nil"/>
              <w:left w:val="nil"/>
              <w:bottom w:val="nil"/>
              <w:right w:val="nil"/>
            </w:tcBorders>
            <w:shd w:val="clear" w:color="auto" w:fill="auto"/>
            <w:noWrap/>
            <w:vAlign w:val="center"/>
            <w:hideMark/>
          </w:tcPr>
          <w:p w14:paraId="4D1BC298" w14:textId="77777777" w:rsidR="0023076E" w:rsidRPr="005044F0" w:rsidRDefault="0023076E" w:rsidP="00324A07">
            <w:pPr>
              <w:jc w:val="center"/>
              <w:rPr>
                <w:color w:val="000000"/>
                <w:sz w:val="20"/>
                <w:szCs w:val="20"/>
                <w:lang w:val="es-ES"/>
              </w:rPr>
            </w:pPr>
            <w:r w:rsidRPr="005044F0">
              <w:rPr>
                <w:color w:val="000000"/>
                <w:sz w:val="20"/>
                <w:szCs w:val="20"/>
                <w:lang w:val="es-ES"/>
              </w:rPr>
              <w:t>0.07</w:t>
            </w:r>
          </w:p>
        </w:tc>
        <w:tc>
          <w:tcPr>
            <w:tcW w:w="943" w:type="dxa"/>
            <w:tcBorders>
              <w:top w:val="nil"/>
              <w:left w:val="nil"/>
              <w:bottom w:val="nil"/>
              <w:right w:val="nil"/>
            </w:tcBorders>
            <w:shd w:val="clear" w:color="auto" w:fill="auto"/>
            <w:noWrap/>
            <w:vAlign w:val="center"/>
            <w:hideMark/>
          </w:tcPr>
          <w:p w14:paraId="3D052A58" w14:textId="77777777" w:rsidR="0023076E" w:rsidRPr="005044F0" w:rsidRDefault="0023076E" w:rsidP="00324A07">
            <w:pPr>
              <w:jc w:val="center"/>
              <w:rPr>
                <w:color w:val="000000"/>
                <w:sz w:val="20"/>
                <w:szCs w:val="20"/>
                <w:lang w:val="es-ES"/>
              </w:rPr>
            </w:pPr>
            <w:r w:rsidRPr="005044F0">
              <w:rPr>
                <w:color w:val="000000"/>
                <w:sz w:val="20"/>
                <w:szCs w:val="20"/>
                <w:lang w:val="es-ES"/>
              </w:rPr>
              <w:t>-.33***</w:t>
            </w:r>
          </w:p>
        </w:tc>
        <w:tc>
          <w:tcPr>
            <w:tcW w:w="1288" w:type="dxa"/>
            <w:tcBorders>
              <w:top w:val="nil"/>
              <w:left w:val="nil"/>
              <w:bottom w:val="nil"/>
              <w:right w:val="nil"/>
            </w:tcBorders>
            <w:shd w:val="clear" w:color="auto" w:fill="auto"/>
            <w:noWrap/>
            <w:vAlign w:val="center"/>
            <w:hideMark/>
          </w:tcPr>
          <w:p w14:paraId="0A3645BE" w14:textId="77777777" w:rsidR="0023076E" w:rsidRPr="005044F0" w:rsidRDefault="0023076E" w:rsidP="00324A07">
            <w:pPr>
              <w:jc w:val="center"/>
              <w:rPr>
                <w:color w:val="000000"/>
                <w:sz w:val="20"/>
                <w:szCs w:val="20"/>
                <w:lang w:val="es-ES"/>
              </w:rPr>
            </w:pPr>
          </w:p>
        </w:tc>
        <w:tc>
          <w:tcPr>
            <w:tcW w:w="1280" w:type="dxa"/>
            <w:tcBorders>
              <w:top w:val="nil"/>
              <w:left w:val="nil"/>
              <w:bottom w:val="nil"/>
              <w:right w:val="nil"/>
            </w:tcBorders>
            <w:vAlign w:val="center"/>
          </w:tcPr>
          <w:p w14:paraId="5F1E4058" w14:textId="77777777" w:rsidR="0023076E" w:rsidRPr="005044F0" w:rsidRDefault="0023076E" w:rsidP="00324A07">
            <w:pPr>
              <w:jc w:val="center"/>
              <w:rPr>
                <w:color w:val="000000"/>
                <w:sz w:val="20"/>
                <w:szCs w:val="20"/>
                <w:lang w:val="es-ES"/>
              </w:rPr>
            </w:pPr>
          </w:p>
        </w:tc>
      </w:tr>
      <w:tr w:rsidR="0023076E" w:rsidRPr="005044F0" w14:paraId="4689DE72" w14:textId="77777777" w:rsidTr="00324A07">
        <w:trPr>
          <w:trHeight w:val="320"/>
        </w:trPr>
        <w:tc>
          <w:tcPr>
            <w:tcW w:w="3302" w:type="dxa"/>
            <w:tcBorders>
              <w:top w:val="nil"/>
              <w:left w:val="nil"/>
              <w:bottom w:val="single" w:sz="4" w:space="0" w:color="auto"/>
              <w:right w:val="nil"/>
            </w:tcBorders>
            <w:shd w:val="clear" w:color="auto" w:fill="auto"/>
            <w:noWrap/>
            <w:vAlign w:val="bottom"/>
            <w:hideMark/>
          </w:tcPr>
          <w:p w14:paraId="18EE0E39" w14:textId="77777777" w:rsidR="0023076E" w:rsidRPr="005044F0" w:rsidRDefault="0023076E" w:rsidP="00324A07">
            <w:pPr>
              <w:rPr>
                <w:color w:val="000000"/>
                <w:sz w:val="20"/>
                <w:szCs w:val="20"/>
                <w:lang w:val="es-ES"/>
              </w:rPr>
            </w:pPr>
            <w:r w:rsidRPr="005044F0">
              <w:rPr>
                <w:color w:val="000000"/>
                <w:sz w:val="20"/>
                <w:szCs w:val="20"/>
                <w:lang w:val="es-ES"/>
              </w:rPr>
              <w:t xml:space="preserve">        Aceptación y crecimiento personal</w:t>
            </w:r>
          </w:p>
        </w:tc>
        <w:tc>
          <w:tcPr>
            <w:tcW w:w="1273" w:type="dxa"/>
            <w:tcBorders>
              <w:top w:val="nil"/>
              <w:left w:val="nil"/>
              <w:bottom w:val="single" w:sz="4" w:space="0" w:color="auto"/>
              <w:right w:val="nil"/>
            </w:tcBorders>
            <w:shd w:val="clear" w:color="auto" w:fill="auto"/>
            <w:noWrap/>
            <w:vAlign w:val="center"/>
            <w:hideMark/>
          </w:tcPr>
          <w:p w14:paraId="7FA456CD" w14:textId="77777777" w:rsidR="0023076E" w:rsidRPr="005044F0" w:rsidRDefault="0023076E" w:rsidP="00324A07">
            <w:pPr>
              <w:jc w:val="center"/>
              <w:rPr>
                <w:color w:val="000000"/>
                <w:sz w:val="20"/>
                <w:szCs w:val="20"/>
                <w:lang w:val="es-ES"/>
              </w:rPr>
            </w:pPr>
            <w:r w:rsidRPr="005044F0">
              <w:rPr>
                <w:color w:val="000000"/>
                <w:sz w:val="20"/>
                <w:szCs w:val="20"/>
                <w:lang w:val="es-ES"/>
              </w:rPr>
              <w:t>-0.42</w:t>
            </w:r>
          </w:p>
        </w:tc>
        <w:tc>
          <w:tcPr>
            <w:tcW w:w="1274" w:type="dxa"/>
            <w:tcBorders>
              <w:top w:val="nil"/>
              <w:left w:val="nil"/>
              <w:bottom w:val="single" w:sz="4" w:space="0" w:color="auto"/>
              <w:right w:val="nil"/>
            </w:tcBorders>
            <w:shd w:val="clear" w:color="auto" w:fill="auto"/>
            <w:noWrap/>
            <w:vAlign w:val="center"/>
            <w:hideMark/>
          </w:tcPr>
          <w:p w14:paraId="5EA2FC38" w14:textId="77777777" w:rsidR="0023076E" w:rsidRPr="005044F0" w:rsidRDefault="0023076E" w:rsidP="00324A07">
            <w:pPr>
              <w:jc w:val="center"/>
              <w:rPr>
                <w:color w:val="000000"/>
                <w:sz w:val="20"/>
                <w:szCs w:val="20"/>
                <w:lang w:val="es-ES"/>
              </w:rPr>
            </w:pPr>
            <w:r w:rsidRPr="005044F0">
              <w:rPr>
                <w:color w:val="000000"/>
                <w:sz w:val="20"/>
                <w:szCs w:val="20"/>
                <w:lang w:val="es-ES"/>
              </w:rPr>
              <w:t>0.11</w:t>
            </w:r>
          </w:p>
        </w:tc>
        <w:tc>
          <w:tcPr>
            <w:tcW w:w="943" w:type="dxa"/>
            <w:tcBorders>
              <w:top w:val="nil"/>
              <w:left w:val="nil"/>
              <w:bottom w:val="single" w:sz="4" w:space="0" w:color="auto"/>
              <w:right w:val="nil"/>
            </w:tcBorders>
            <w:shd w:val="clear" w:color="auto" w:fill="auto"/>
            <w:noWrap/>
            <w:vAlign w:val="center"/>
            <w:hideMark/>
          </w:tcPr>
          <w:p w14:paraId="2DB2D307" w14:textId="77777777" w:rsidR="0023076E" w:rsidRPr="005044F0" w:rsidRDefault="0023076E" w:rsidP="00324A07">
            <w:pPr>
              <w:jc w:val="center"/>
              <w:rPr>
                <w:color w:val="000000"/>
                <w:sz w:val="20"/>
                <w:szCs w:val="20"/>
                <w:lang w:val="es-ES"/>
              </w:rPr>
            </w:pPr>
            <w:r w:rsidRPr="005044F0">
              <w:rPr>
                <w:color w:val="000000"/>
                <w:sz w:val="20"/>
                <w:szCs w:val="20"/>
                <w:lang w:val="es-ES"/>
              </w:rPr>
              <w:t>.30***</w:t>
            </w:r>
          </w:p>
        </w:tc>
        <w:tc>
          <w:tcPr>
            <w:tcW w:w="1288" w:type="dxa"/>
            <w:tcBorders>
              <w:top w:val="nil"/>
              <w:left w:val="nil"/>
              <w:bottom w:val="single" w:sz="4" w:space="0" w:color="auto"/>
              <w:right w:val="nil"/>
            </w:tcBorders>
            <w:shd w:val="clear" w:color="auto" w:fill="auto"/>
            <w:noWrap/>
            <w:vAlign w:val="center"/>
            <w:hideMark/>
          </w:tcPr>
          <w:p w14:paraId="40566F7C" w14:textId="77777777" w:rsidR="0023076E" w:rsidRPr="005044F0" w:rsidRDefault="0023076E" w:rsidP="00324A07">
            <w:pPr>
              <w:jc w:val="center"/>
              <w:rPr>
                <w:color w:val="000000"/>
                <w:sz w:val="20"/>
                <w:szCs w:val="20"/>
                <w:lang w:val="es-ES"/>
              </w:rPr>
            </w:pPr>
          </w:p>
        </w:tc>
        <w:tc>
          <w:tcPr>
            <w:tcW w:w="1280" w:type="dxa"/>
            <w:tcBorders>
              <w:top w:val="nil"/>
              <w:left w:val="nil"/>
              <w:bottom w:val="single" w:sz="4" w:space="0" w:color="auto"/>
              <w:right w:val="nil"/>
            </w:tcBorders>
            <w:vAlign w:val="center"/>
          </w:tcPr>
          <w:p w14:paraId="4EFFCDE0" w14:textId="77777777" w:rsidR="0023076E" w:rsidRPr="005044F0" w:rsidRDefault="0023076E" w:rsidP="00324A07">
            <w:pPr>
              <w:jc w:val="center"/>
              <w:rPr>
                <w:color w:val="000000"/>
                <w:sz w:val="20"/>
                <w:szCs w:val="20"/>
                <w:lang w:val="es-ES"/>
              </w:rPr>
            </w:pPr>
          </w:p>
        </w:tc>
      </w:tr>
      <w:tr w:rsidR="0023076E" w:rsidRPr="005044F0" w14:paraId="0778BBB7" w14:textId="77777777" w:rsidTr="00324A07">
        <w:trPr>
          <w:trHeight w:val="320"/>
        </w:trPr>
        <w:tc>
          <w:tcPr>
            <w:tcW w:w="3302" w:type="dxa"/>
            <w:tcBorders>
              <w:top w:val="nil"/>
              <w:left w:val="nil"/>
              <w:bottom w:val="nil"/>
              <w:right w:val="nil"/>
            </w:tcBorders>
            <w:shd w:val="clear" w:color="auto" w:fill="auto"/>
            <w:noWrap/>
            <w:vAlign w:val="bottom"/>
            <w:hideMark/>
          </w:tcPr>
          <w:p w14:paraId="32278D9D" w14:textId="77777777" w:rsidR="0023076E" w:rsidRPr="005044F0" w:rsidRDefault="0023076E" w:rsidP="00324A07">
            <w:pPr>
              <w:rPr>
                <w:color w:val="000000"/>
                <w:sz w:val="20"/>
                <w:szCs w:val="20"/>
                <w:lang w:val="es-ES"/>
              </w:rPr>
            </w:pPr>
            <w:r w:rsidRPr="005044F0">
              <w:rPr>
                <w:color w:val="000000"/>
                <w:sz w:val="20"/>
                <w:szCs w:val="20"/>
                <w:lang w:val="es-ES"/>
              </w:rPr>
              <w:t>* p &lt; .05. ** p &lt; .01. *** p &lt; .001</w:t>
            </w:r>
          </w:p>
        </w:tc>
        <w:tc>
          <w:tcPr>
            <w:tcW w:w="1273" w:type="dxa"/>
            <w:tcBorders>
              <w:top w:val="nil"/>
              <w:left w:val="nil"/>
              <w:bottom w:val="nil"/>
              <w:right w:val="nil"/>
            </w:tcBorders>
            <w:shd w:val="clear" w:color="auto" w:fill="auto"/>
            <w:noWrap/>
            <w:vAlign w:val="bottom"/>
            <w:hideMark/>
          </w:tcPr>
          <w:p w14:paraId="32707D7A" w14:textId="77777777" w:rsidR="0023076E" w:rsidRPr="005044F0" w:rsidRDefault="0023076E" w:rsidP="00324A07">
            <w:pPr>
              <w:rPr>
                <w:color w:val="000000"/>
                <w:sz w:val="20"/>
                <w:szCs w:val="20"/>
                <w:lang w:val="es-ES"/>
              </w:rPr>
            </w:pPr>
          </w:p>
        </w:tc>
        <w:tc>
          <w:tcPr>
            <w:tcW w:w="1274" w:type="dxa"/>
            <w:tcBorders>
              <w:top w:val="nil"/>
              <w:left w:val="nil"/>
              <w:bottom w:val="nil"/>
              <w:right w:val="nil"/>
            </w:tcBorders>
            <w:shd w:val="clear" w:color="auto" w:fill="auto"/>
            <w:noWrap/>
            <w:vAlign w:val="center"/>
            <w:hideMark/>
          </w:tcPr>
          <w:p w14:paraId="208A8910" w14:textId="77777777" w:rsidR="0023076E" w:rsidRPr="005044F0" w:rsidRDefault="0023076E" w:rsidP="00324A07">
            <w:pPr>
              <w:rPr>
                <w:sz w:val="20"/>
                <w:szCs w:val="20"/>
                <w:lang w:val="es-ES"/>
              </w:rPr>
            </w:pPr>
          </w:p>
        </w:tc>
        <w:tc>
          <w:tcPr>
            <w:tcW w:w="943" w:type="dxa"/>
            <w:tcBorders>
              <w:top w:val="nil"/>
              <w:left w:val="nil"/>
              <w:bottom w:val="nil"/>
              <w:right w:val="nil"/>
            </w:tcBorders>
            <w:shd w:val="clear" w:color="auto" w:fill="auto"/>
            <w:noWrap/>
            <w:vAlign w:val="bottom"/>
            <w:hideMark/>
          </w:tcPr>
          <w:p w14:paraId="7DB8F92F" w14:textId="77777777" w:rsidR="0023076E" w:rsidRPr="005044F0" w:rsidRDefault="0023076E" w:rsidP="00324A07">
            <w:pPr>
              <w:jc w:val="center"/>
              <w:rPr>
                <w:sz w:val="20"/>
                <w:szCs w:val="20"/>
                <w:lang w:val="es-ES"/>
              </w:rPr>
            </w:pPr>
          </w:p>
        </w:tc>
        <w:tc>
          <w:tcPr>
            <w:tcW w:w="1288" w:type="dxa"/>
            <w:tcBorders>
              <w:top w:val="nil"/>
              <w:left w:val="nil"/>
              <w:bottom w:val="nil"/>
              <w:right w:val="nil"/>
            </w:tcBorders>
            <w:shd w:val="clear" w:color="auto" w:fill="auto"/>
            <w:noWrap/>
            <w:vAlign w:val="bottom"/>
            <w:hideMark/>
          </w:tcPr>
          <w:p w14:paraId="3C3C8021" w14:textId="77777777" w:rsidR="0023076E" w:rsidRPr="005044F0" w:rsidRDefault="0023076E" w:rsidP="00324A07">
            <w:pPr>
              <w:rPr>
                <w:sz w:val="20"/>
                <w:szCs w:val="20"/>
                <w:lang w:val="es-ES"/>
              </w:rPr>
            </w:pPr>
          </w:p>
        </w:tc>
        <w:tc>
          <w:tcPr>
            <w:tcW w:w="1280" w:type="dxa"/>
            <w:tcBorders>
              <w:top w:val="nil"/>
              <w:left w:val="nil"/>
              <w:bottom w:val="nil"/>
              <w:right w:val="nil"/>
            </w:tcBorders>
          </w:tcPr>
          <w:p w14:paraId="780C35CC" w14:textId="77777777" w:rsidR="0023076E" w:rsidRPr="005044F0" w:rsidRDefault="0023076E" w:rsidP="00324A07">
            <w:pPr>
              <w:rPr>
                <w:sz w:val="20"/>
                <w:szCs w:val="20"/>
                <w:lang w:val="es-ES"/>
              </w:rPr>
            </w:pPr>
          </w:p>
        </w:tc>
      </w:tr>
    </w:tbl>
    <w:p w14:paraId="3DC5FE79" w14:textId="77777777" w:rsidR="0023076E" w:rsidRPr="005044F0" w:rsidRDefault="0023076E" w:rsidP="0023076E">
      <w:pPr>
        <w:rPr>
          <w:lang w:val="es-ES"/>
        </w:rPr>
      </w:pPr>
    </w:p>
    <w:p w14:paraId="6FC03B20" w14:textId="77777777" w:rsidR="0023076E" w:rsidRPr="005044F0" w:rsidRDefault="0023076E" w:rsidP="0023076E">
      <w:pPr>
        <w:spacing w:line="360" w:lineRule="auto"/>
        <w:rPr>
          <w:lang w:val="es-ES"/>
        </w:rPr>
      </w:pPr>
    </w:p>
    <w:p w14:paraId="3CA92C4B" w14:textId="77777777" w:rsidR="0023076E" w:rsidRPr="005044F0" w:rsidRDefault="0023076E" w:rsidP="0023076E">
      <w:pPr>
        <w:spacing w:line="360" w:lineRule="auto"/>
        <w:ind w:firstLine="720"/>
        <w:rPr>
          <w:lang w:val="es-ES"/>
        </w:rPr>
      </w:pPr>
      <w:r w:rsidRPr="005044F0">
        <w:rPr>
          <w:lang w:val="es-ES"/>
        </w:rPr>
        <w:t>Para la variable dependiente dominio del ambiente (ver Tabla 5), el modelo de ajuste más adecuado identificó dos predictores: aceptación y crecimiento (β = .46, p &lt; .001), y refrenar el afrontamiento (β = -.21, p = .006). El modelo explicó el 23% de la varianza (R</w:t>
      </w:r>
      <w:r w:rsidRPr="005044F0">
        <w:rPr>
          <w:vertAlign w:val="superscript"/>
          <w:lang w:val="es-ES"/>
        </w:rPr>
        <w:t>2</w:t>
      </w:r>
      <w:r w:rsidRPr="005044F0">
        <w:rPr>
          <w:lang w:val="es-ES"/>
        </w:rPr>
        <w:t xml:space="preserve"> = .23, </w:t>
      </w:r>
      <w:proofErr w:type="gramStart"/>
      <w:r w:rsidRPr="005044F0">
        <w:rPr>
          <w:lang w:val="es-ES"/>
        </w:rPr>
        <w:t>F(</w:t>
      </w:r>
      <w:proofErr w:type="gramEnd"/>
      <w:r w:rsidRPr="005044F0">
        <w:rPr>
          <w:lang w:val="es-ES"/>
        </w:rPr>
        <w:t xml:space="preserve">2,132) = 19.99, p &lt; .001). </w:t>
      </w:r>
    </w:p>
    <w:p w14:paraId="411501DA" w14:textId="77777777" w:rsidR="0023076E" w:rsidRPr="005044F0" w:rsidRDefault="0023076E" w:rsidP="0023076E">
      <w:pPr>
        <w:spacing w:line="360" w:lineRule="auto"/>
        <w:rPr>
          <w:lang w:val="es-ES"/>
        </w:rPr>
      </w:pPr>
    </w:p>
    <w:p w14:paraId="5DF4E268" w14:textId="77777777" w:rsidR="0023076E" w:rsidRPr="005044F0" w:rsidRDefault="0023076E" w:rsidP="0023076E">
      <w:pPr>
        <w:spacing w:line="360" w:lineRule="auto"/>
        <w:rPr>
          <w:b/>
          <w:bCs/>
          <w:lang w:val="es-ES"/>
        </w:rPr>
      </w:pPr>
      <w:r w:rsidRPr="005044F0">
        <w:rPr>
          <w:b/>
          <w:bCs/>
          <w:lang w:val="es-ES"/>
        </w:rPr>
        <w:t>Tabla 5</w:t>
      </w:r>
    </w:p>
    <w:p w14:paraId="169EA44C" w14:textId="77777777" w:rsidR="0023076E" w:rsidRPr="005044F0" w:rsidRDefault="0023076E" w:rsidP="0023076E">
      <w:pPr>
        <w:spacing w:line="360" w:lineRule="auto"/>
        <w:rPr>
          <w:lang w:val="es-ES"/>
        </w:rPr>
      </w:pPr>
      <w:r w:rsidRPr="005044F0">
        <w:rPr>
          <w:i/>
          <w:iCs/>
          <w:lang w:val="es-ES"/>
        </w:rPr>
        <w:t>Regresión Múltiple con Variable Dependiente Dominio del Ambiente y Variables Independientes Estrategias de Afrontamiento</w:t>
      </w:r>
    </w:p>
    <w:tbl>
      <w:tblPr>
        <w:tblW w:w="9360" w:type="dxa"/>
        <w:tblLook w:val="04A0" w:firstRow="1" w:lastRow="0" w:firstColumn="1" w:lastColumn="0" w:noHBand="0" w:noVBand="1"/>
      </w:tblPr>
      <w:tblGrid>
        <w:gridCol w:w="3380"/>
        <w:gridCol w:w="1300"/>
        <w:gridCol w:w="1300"/>
        <w:gridCol w:w="1300"/>
        <w:gridCol w:w="942"/>
        <w:gridCol w:w="1138"/>
      </w:tblGrid>
      <w:tr w:rsidR="0023076E" w:rsidRPr="005044F0" w14:paraId="49B60113" w14:textId="77777777" w:rsidTr="00324A07">
        <w:trPr>
          <w:trHeight w:val="320"/>
        </w:trPr>
        <w:tc>
          <w:tcPr>
            <w:tcW w:w="3380" w:type="dxa"/>
            <w:tcBorders>
              <w:top w:val="single" w:sz="4" w:space="0" w:color="auto"/>
              <w:left w:val="nil"/>
              <w:bottom w:val="single" w:sz="4" w:space="0" w:color="auto"/>
              <w:right w:val="nil"/>
            </w:tcBorders>
            <w:shd w:val="clear" w:color="auto" w:fill="auto"/>
            <w:noWrap/>
            <w:vAlign w:val="center"/>
            <w:hideMark/>
          </w:tcPr>
          <w:p w14:paraId="5F11BC64" w14:textId="77777777" w:rsidR="0023076E" w:rsidRPr="005044F0" w:rsidRDefault="0023076E" w:rsidP="00324A07">
            <w:pPr>
              <w:jc w:val="center"/>
              <w:rPr>
                <w:color w:val="000000"/>
                <w:sz w:val="20"/>
                <w:szCs w:val="20"/>
                <w:lang w:val="es-ES"/>
              </w:rPr>
            </w:pPr>
          </w:p>
        </w:tc>
        <w:tc>
          <w:tcPr>
            <w:tcW w:w="1300" w:type="dxa"/>
            <w:tcBorders>
              <w:top w:val="single" w:sz="4" w:space="0" w:color="auto"/>
              <w:left w:val="nil"/>
              <w:bottom w:val="single" w:sz="4" w:space="0" w:color="auto"/>
              <w:right w:val="nil"/>
            </w:tcBorders>
            <w:shd w:val="clear" w:color="auto" w:fill="auto"/>
            <w:noWrap/>
            <w:vAlign w:val="center"/>
            <w:hideMark/>
          </w:tcPr>
          <w:p w14:paraId="46753ECA" w14:textId="77777777" w:rsidR="0023076E" w:rsidRPr="005044F0" w:rsidRDefault="0023076E" w:rsidP="00324A07">
            <w:pPr>
              <w:jc w:val="center"/>
              <w:rPr>
                <w:i/>
                <w:color w:val="000000"/>
                <w:sz w:val="20"/>
                <w:szCs w:val="20"/>
                <w:lang w:val="es-ES"/>
              </w:rPr>
            </w:pPr>
            <w:r w:rsidRPr="005044F0">
              <w:rPr>
                <w:i/>
                <w:iCs/>
                <w:color w:val="000000"/>
                <w:sz w:val="20"/>
                <w:szCs w:val="20"/>
                <w:lang w:val="es-ES"/>
              </w:rPr>
              <w:t>B</w:t>
            </w:r>
          </w:p>
        </w:tc>
        <w:tc>
          <w:tcPr>
            <w:tcW w:w="1300" w:type="dxa"/>
            <w:tcBorders>
              <w:top w:val="single" w:sz="4" w:space="0" w:color="auto"/>
              <w:left w:val="nil"/>
              <w:bottom w:val="single" w:sz="4" w:space="0" w:color="auto"/>
              <w:right w:val="nil"/>
            </w:tcBorders>
            <w:shd w:val="clear" w:color="auto" w:fill="auto"/>
            <w:noWrap/>
            <w:vAlign w:val="center"/>
            <w:hideMark/>
          </w:tcPr>
          <w:p w14:paraId="1AF6ABE5" w14:textId="77777777" w:rsidR="0023076E" w:rsidRPr="005044F0" w:rsidRDefault="0023076E" w:rsidP="00324A07">
            <w:pPr>
              <w:jc w:val="center"/>
              <w:rPr>
                <w:i/>
                <w:color w:val="000000"/>
                <w:sz w:val="20"/>
                <w:szCs w:val="20"/>
                <w:lang w:val="es-ES"/>
              </w:rPr>
            </w:pPr>
            <w:r w:rsidRPr="005044F0">
              <w:rPr>
                <w:i/>
                <w:iCs/>
                <w:color w:val="000000"/>
                <w:sz w:val="20"/>
                <w:szCs w:val="20"/>
                <w:lang w:val="es-ES"/>
              </w:rPr>
              <w:t>SE B</w:t>
            </w:r>
          </w:p>
        </w:tc>
        <w:tc>
          <w:tcPr>
            <w:tcW w:w="1300" w:type="dxa"/>
            <w:tcBorders>
              <w:top w:val="single" w:sz="4" w:space="0" w:color="auto"/>
              <w:left w:val="nil"/>
              <w:bottom w:val="single" w:sz="4" w:space="0" w:color="auto"/>
              <w:right w:val="nil"/>
            </w:tcBorders>
            <w:shd w:val="clear" w:color="auto" w:fill="auto"/>
            <w:noWrap/>
            <w:vAlign w:val="center"/>
            <w:hideMark/>
          </w:tcPr>
          <w:p w14:paraId="042D21DF" w14:textId="77777777" w:rsidR="0023076E" w:rsidRPr="005044F0" w:rsidRDefault="0023076E" w:rsidP="00324A07">
            <w:pPr>
              <w:jc w:val="center"/>
              <w:rPr>
                <w:color w:val="000000"/>
                <w:sz w:val="20"/>
                <w:szCs w:val="20"/>
                <w:lang w:val="es-ES"/>
              </w:rPr>
            </w:pPr>
            <w:r w:rsidRPr="005044F0">
              <w:rPr>
                <w:color w:val="000000"/>
                <w:sz w:val="20"/>
                <w:szCs w:val="20"/>
                <w:lang w:val="es-ES"/>
              </w:rPr>
              <w:t>β</w:t>
            </w:r>
          </w:p>
        </w:tc>
        <w:tc>
          <w:tcPr>
            <w:tcW w:w="942" w:type="dxa"/>
            <w:tcBorders>
              <w:top w:val="single" w:sz="4" w:space="0" w:color="auto"/>
              <w:left w:val="nil"/>
              <w:bottom w:val="single" w:sz="4" w:space="0" w:color="auto"/>
              <w:right w:val="nil"/>
            </w:tcBorders>
            <w:shd w:val="clear" w:color="auto" w:fill="auto"/>
            <w:noWrap/>
            <w:vAlign w:val="center"/>
            <w:hideMark/>
          </w:tcPr>
          <w:p w14:paraId="52792BE5" w14:textId="77777777" w:rsidR="0023076E" w:rsidRPr="005044F0" w:rsidRDefault="0023076E" w:rsidP="00324A07">
            <w:pPr>
              <w:jc w:val="center"/>
              <w:rPr>
                <w:i/>
                <w:color w:val="000000"/>
                <w:sz w:val="20"/>
                <w:szCs w:val="20"/>
                <w:lang w:val="es-ES"/>
              </w:rPr>
            </w:pPr>
            <w:r w:rsidRPr="005044F0">
              <w:rPr>
                <w:i/>
                <w:iCs/>
                <w:color w:val="000000"/>
                <w:sz w:val="20"/>
                <w:szCs w:val="20"/>
                <w:lang w:val="es-ES"/>
              </w:rPr>
              <w:t>R</w:t>
            </w:r>
            <w:r w:rsidRPr="005044F0">
              <w:rPr>
                <w:i/>
                <w:iCs/>
                <w:color w:val="000000"/>
                <w:sz w:val="20"/>
                <w:szCs w:val="20"/>
                <w:vertAlign w:val="superscript"/>
                <w:lang w:val="es-ES"/>
              </w:rPr>
              <w:t>2</w:t>
            </w:r>
          </w:p>
        </w:tc>
        <w:tc>
          <w:tcPr>
            <w:tcW w:w="1138" w:type="dxa"/>
            <w:tcBorders>
              <w:top w:val="single" w:sz="4" w:space="0" w:color="auto"/>
              <w:left w:val="nil"/>
              <w:bottom w:val="single" w:sz="4" w:space="0" w:color="auto"/>
              <w:right w:val="nil"/>
            </w:tcBorders>
            <w:vAlign w:val="center"/>
          </w:tcPr>
          <w:p w14:paraId="0D95DFC3" w14:textId="77777777" w:rsidR="0023076E" w:rsidRPr="005044F0" w:rsidRDefault="0023076E" w:rsidP="00324A07">
            <w:pPr>
              <w:jc w:val="center"/>
              <w:rPr>
                <w:i/>
                <w:iCs/>
                <w:color w:val="000000"/>
                <w:sz w:val="20"/>
                <w:szCs w:val="20"/>
                <w:lang w:val="es-ES"/>
              </w:rPr>
            </w:pPr>
            <w:r w:rsidRPr="005044F0">
              <w:rPr>
                <w:i/>
                <w:iCs/>
                <w:color w:val="000000"/>
                <w:sz w:val="20"/>
                <w:szCs w:val="20"/>
                <w:lang w:val="es-ES"/>
              </w:rPr>
              <w:t>F</w:t>
            </w:r>
          </w:p>
        </w:tc>
      </w:tr>
      <w:tr w:rsidR="0023076E" w:rsidRPr="005044F0" w14:paraId="2D2C5D33" w14:textId="77777777" w:rsidTr="00324A07">
        <w:trPr>
          <w:trHeight w:val="320"/>
        </w:trPr>
        <w:tc>
          <w:tcPr>
            <w:tcW w:w="3380" w:type="dxa"/>
            <w:tcBorders>
              <w:top w:val="nil"/>
              <w:left w:val="nil"/>
              <w:bottom w:val="nil"/>
              <w:right w:val="nil"/>
            </w:tcBorders>
            <w:shd w:val="clear" w:color="auto" w:fill="auto"/>
            <w:noWrap/>
            <w:vAlign w:val="bottom"/>
            <w:hideMark/>
          </w:tcPr>
          <w:p w14:paraId="66540972" w14:textId="77777777" w:rsidR="0023076E" w:rsidRPr="005044F0" w:rsidRDefault="0023076E" w:rsidP="00324A07">
            <w:pPr>
              <w:rPr>
                <w:color w:val="000000"/>
                <w:sz w:val="20"/>
                <w:szCs w:val="20"/>
                <w:lang w:val="es-ES"/>
              </w:rPr>
            </w:pPr>
            <w:r w:rsidRPr="005044F0">
              <w:rPr>
                <w:color w:val="000000"/>
                <w:sz w:val="20"/>
                <w:szCs w:val="20"/>
                <w:lang w:val="es-ES"/>
              </w:rPr>
              <w:t>Dominio del ambiente</w:t>
            </w:r>
          </w:p>
        </w:tc>
        <w:tc>
          <w:tcPr>
            <w:tcW w:w="1300" w:type="dxa"/>
            <w:tcBorders>
              <w:top w:val="nil"/>
              <w:left w:val="nil"/>
              <w:bottom w:val="nil"/>
              <w:right w:val="nil"/>
            </w:tcBorders>
            <w:shd w:val="clear" w:color="auto" w:fill="auto"/>
            <w:noWrap/>
            <w:vAlign w:val="center"/>
            <w:hideMark/>
          </w:tcPr>
          <w:p w14:paraId="40FB488F" w14:textId="77777777" w:rsidR="0023076E" w:rsidRPr="005044F0" w:rsidRDefault="0023076E" w:rsidP="00324A07">
            <w:pP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031B703E" w14:textId="77777777" w:rsidR="0023076E" w:rsidRPr="005044F0" w:rsidRDefault="0023076E" w:rsidP="00324A07">
            <w:pPr>
              <w:jc w:val="center"/>
              <w:rPr>
                <w:sz w:val="20"/>
                <w:szCs w:val="20"/>
                <w:lang w:val="es-ES"/>
              </w:rPr>
            </w:pPr>
          </w:p>
        </w:tc>
        <w:tc>
          <w:tcPr>
            <w:tcW w:w="1300" w:type="dxa"/>
            <w:tcBorders>
              <w:top w:val="nil"/>
              <w:left w:val="nil"/>
              <w:bottom w:val="nil"/>
              <w:right w:val="nil"/>
            </w:tcBorders>
            <w:shd w:val="clear" w:color="auto" w:fill="auto"/>
            <w:noWrap/>
            <w:vAlign w:val="center"/>
            <w:hideMark/>
          </w:tcPr>
          <w:p w14:paraId="4EADA947" w14:textId="77777777" w:rsidR="0023076E" w:rsidRPr="005044F0" w:rsidRDefault="0023076E" w:rsidP="00324A07">
            <w:pPr>
              <w:jc w:val="center"/>
              <w:rPr>
                <w:sz w:val="20"/>
                <w:szCs w:val="20"/>
                <w:lang w:val="es-ES"/>
              </w:rPr>
            </w:pPr>
          </w:p>
        </w:tc>
        <w:tc>
          <w:tcPr>
            <w:tcW w:w="942" w:type="dxa"/>
            <w:tcBorders>
              <w:top w:val="nil"/>
              <w:left w:val="nil"/>
              <w:bottom w:val="nil"/>
              <w:right w:val="nil"/>
            </w:tcBorders>
            <w:shd w:val="clear" w:color="auto" w:fill="auto"/>
            <w:noWrap/>
            <w:vAlign w:val="center"/>
            <w:hideMark/>
          </w:tcPr>
          <w:p w14:paraId="7743EFD2" w14:textId="77777777" w:rsidR="0023076E" w:rsidRPr="005044F0" w:rsidRDefault="0023076E" w:rsidP="00324A07">
            <w:pPr>
              <w:jc w:val="center"/>
              <w:rPr>
                <w:sz w:val="20"/>
                <w:szCs w:val="20"/>
                <w:lang w:val="es-ES"/>
              </w:rPr>
            </w:pPr>
          </w:p>
        </w:tc>
        <w:tc>
          <w:tcPr>
            <w:tcW w:w="1138" w:type="dxa"/>
            <w:tcBorders>
              <w:top w:val="nil"/>
              <w:left w:val="nil"/>
              <w:bottom w:val="nil"/>
              <w:right w:val="nil"/>
            </w:tcBorders>
          </w:tcPr>
          <w:p w14:paraId="045432C5" w14:textId="77777777" w:rsidR="0023076E" w:rsidRPr="005044F0" w:rsidRDefault="0023076E" w:rsidP="00324A07">
            <w:pPr>
              <w:jc w:val="center"/>
              <w:rPr>
                <w:sz w:val="20"/>
                <w:szCs w:val="20"/>
                <w:lang w:val="es-ES"/>
              </w:rPr>
            </w:pPr>
          </w:p>
        </w:tc>
      </w:tr>
      <w:tr w:rsidR="0023076E" w:rsidRPr="005044F0" w14:paraId="2ADE024F" w14:textId="77777777" w:rsidTr="00324A07">
        <w:trPr>
          <w:trHeight w:val="320"/>
        </w:trPr>
        <w:tc>
          <w:tcPr>
            <w:tcW w:w="3380" w:type="dxa"/>
            <w:tcBorders>
              <w:top w:val="nil"/>
              <w:left w:val="nil"/>
              <w:bottom w:val="nil"/>
              <w:right w:val="nil"/>
            </w:tcBorders>
            <w:shd w:val="clear" w:color="auto" w:fill="auto"/>
            <w:noWrap/>
            <w:vAlign w:val="bottom"/>
            <w:hideMark/>
          </w:tcPr>
          <w:p w14:paraId="1A0038C2" w14:textId="77777777" w:rsidR="0023076E" w:rsidRPr="005044F0" w:rsidRDefault="0023076E" w:rsidP="00324A07">
            <w:pPr>
              <w:rPr>
                <w:color w:val="000000"/>
                <w:sz w:val="20"/>
                <w:szCs w:val="20"/>
                <w:lang w:val="es-ES"/>
              </w:rPr>
            </w:pPr>
            <w:r w:rsidRPr="005044F0">
              <w:rPr>
                <w:color w:val="000000"/>
                <w:sz w:val="20"/>
                <w:szCs w:val="20"/>
                <w:lang w:val="es-ES"/>
              </w:rPr>
              <w:t xml:space="preserve">     Paso 1</w:t>
            </w:r>
          </w:p>
        </w:tc>
        <w:tc>
          <w:tcPr>
            <w:tcW w:w="1300" w:type="dxa"/>
            <w:tcBorders>
              <w:top w:val="nil"/>
              <w:left w:val="nil"/>
              <w:bottom w:val="nil"/>
              <w:right w:val="nil"/>
            </w:tcBorders>
            <w:shd w:val="clear" w:color="auto" w:fill="auto"/>
            <w:noWrap/>
            <w:vAlign w:val="bottom"/>
            <w:hideMark/>
          </w:tcPr>
          <w:p w14:paraId="158E2C0B" w14:textId="77777777" w:rsidR="0023076E" w:rsidRPr="005044F0" w:rsidRDefault="0023076E" w:rsidP="00324A07">
            <w:pP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0A3C5301" w14:textId="77777777" w:rsidR="0023076E" w:rsidRPr="005044F0" w:rsidRDefault="0023076E" w:rsidP="00324A07">
            <w:pPr>
              <w:rPr>
                <w:sz w:val="20"/>
                <w:szCs w:val="20"/>
                <w:lang w:val="es-ES"/>
              </w:rPr>
            </w:pPr>
          </w:p>
        </w:tc>
        <w:tc>
          <w:tcPr>
            <w:tcW w:w="1300" w:type="dxa"/>
            <w:tcBorders>
              <w:top w:val="nil"/>
              <w:left w:val="nil"/>
              <w:bottom w:val="nil"/>
              <w:right w:val="nil"/>
            </w:tcBorders>
            <w:shd w:val="clear" w:color="auto" w:fill="auto"/>
            <w:noWrap/>
            <w:vAlign w:val="center"/>
            <w:hideMark/>
          </w:tcPr>
          <w:p w14:paraId="4748F8E6" w14:textId="77777777" w:rsidR="0023076E" w:rsidRPr="005044F0" w:rsidRDefault="0023076E" w:rsidP="00324A07">
            <w:pPr>
              <w:jc w:val="center"/>
              <w:rPr>
                <w:sz w:val="20"/>
                <w:szCs w:val="20"/>
                <w:lang w:val="es-ES"/>
              </w:rPr>
            </w:pPr>
          </w:p>
        </w:tc>
        <w:tc>
          <w:tcPr>
            <w:tcW w:w="942" w:type="dxa"/>
            <w:tcBorders>
              <w:top w:val="nil"/>
              <w:left w:val="nil"/>
              <w:bottom w:val="nil"/>
              <w:right w:val="nil"/>
            </w:tcBorders>
            <w:shd w:val="clear" w:color="auto" w:fill="auto"/>
            <w:noWrap/>
            <w:vAlign w:val="center"/>
            <w:hideMark/>
          </w:tcPr>
          <w:p w14:paraId="5581577C" w14:textId="77777777" w:rsidR="0023076E" w:rsidRPr="005044F0" w:rsidRDefault="0023076E" w:rsidP="00324A07">
            <w:pPr>
              <w:jc w:val="center"/>
              <w:rPr>
                <w:color w:val="000000"/>
                <w:sz w:val="20"/>
                <w:szCs w:val="20"/>
                <w:lang w:val="es-ES"/>
              </w:rPr>
            </w:pPr>
            <w:r w:rsidRPr="005044F0">
              <w:rPr>
                <w:color w:val="000000"/>
                <w:sz w:val="20"/>
                <w:szCs w:val="20"/>
                <w:lang w:val="es-ES"/>
              </w:rPr>
              <w:t>0.19</w:t>
            </w:r>
          </w:p>
        </w:tc>
        <w:tc>
          <w:tcPr>
            <w:tcW w:w="1138" w:type="dxa"/>
            <w:tcBorders>
              <w:top w:val="nil"/>
              <w:left w:val="nil"/>
              <w:bottom w:val="nil"/>
              <w:right w:val="nil"/>
            </w:tcBorders>
            <w:vAlign w:val="center"/>
          </w:tcPr>
          <w:p w14:paraId="5E061845" w14:textId="77777777" w:rsidR="0023076E" w:rsidRPr="005044F0" w:rsidRDefault="0023076E" w:rsidP="00324A07">
            <w:pPr>
              <w:jc w:val="center"/>
              <w:rPr>
                <w:color w:val="000000"/>
                <w:sz w:val="20"/>
                <w:szCs w:val="20"/>
                <w:lang w:val="es-ES"/>
              </w:rPr>
            </w:pPr>
            <w:r w:rsidRPr="005044F0">
              <w:rPr>
                <w:color w:val="000000"/>
                <w:sz w:val="20"/>
                <w:szCs w:val="20"/>
                <w:lang w:val="es-ES"/>
              </w:rPr>
              <w:t>30.73***</w:t>
            </w:r>
          </w:p>
        </w:tc>
      </w:tr>
      <w:tr w:rsidR="0023076E" w:rsidRPr="005044F0" w14:paraId="5AC5EBBC" w14:textId="77777777" w:rsidTr="00324A07">
        <w:trPr>
          <w:trHeight w:val="320"/>
        </w:trPr>
        <w:tc>
          <w:tcPr>
            <w:tcW w:w="3380" w:type="dxa"/>
            <w:tcBorders>
              <w:top w:val="nil"/>
              <w:left w:val="nil"/>
              <w:bottom w:val="nil"/>
              <w:right w:val="nil"/>
            </w:tcBorders>
            <w:shd w:val="clear" w:color="auto" w:fill="auto"/>
            <w:noWrap/>
            <w:vAlign w:val="bottom"/>
            <w:hideMark/>
          </w:tcPr>
          <w:p w14:paraId="220B521D" w14:textId="77777777" w:rsidR="0023076E" w:rsidRPr="005044F0" w:rsidRDefault="0023076E" w:rsidP="00324A07">
            <w:pPr>
              <w:rPr>
                <w:color w:val="000000"/>
                <w:sz w:val="20"/>
                <w:szCs w:val="20"/>
                <w:lang w:val="es-ES"/>
              </w:rPr>
            </w:pPr>
            <w:r w:rsidRPr="005044F0">
              <w:rPr>
                <w:color w:val="000000"/>
                <w:sz w:val="20"/>
                <w:szCs w:val="20"/>
                <w:lang w:val="es-ES"/>
              </w:rPr>
              <w:t xml:space="preserve">        Aceptación y crecimiento personal</w:t>
            </w:r>
          </w:p>
        </w:tc>
        <w:tc>
          <w:tcPr>
            <w:tcW w:w="1300" w:type="dxa"/>
            <w:tcBorders>
              <w:top w:val="nil"/>
              <w:left w:val="nil"/>
              <w:bottom w:val="nil"/>
              <w:right w:val="nil"/>
            </w:tcBorders>
            <w:shd w:val="clear" w:color="auto" w:fill="auto"/>
            <w:noWrap/>
            <w:vAlign w:val="center"/>
            <w:hideMark/>
          </w:tcPr>
          <w:p w14:paraId="2759EBF7" w14:textId="77777777" w:rsidR="0023076E" w:rsidRPr="005044F0" w:rsidRDefault="0023076E" w:rsidP="00324A07">
            <w:pPr>
              <w:jc w:val="center"/>
              <w:rPr>
                <w:color w:val="000000"/>
                <w:sz w:val="20"/>
                <w:szCs w:val="20"/>
                <w:lang w:val="es-ES"/>
              </w:rPr>
            </w:pPr>
            <w:r w:rsidRPr="005044F0">
              <w:rPr>
                <w:color w:val="000000"/>
                <w:sz w:val="20"/>
                <w:szCs w:val="20"/>
                <w:lang w:val="es-ES"/>
              </w:rPr>
              <w:t>0.66</w:t>
            </w:r>
          </w:p>
        </w:tc>
        <w:tc>
          <w:tcPr>
            <w:tcW w:w="1300" w:type="dxa"/>
            <w:tcBorders>
              <w:top w:val="nil"/>
              <w:left w:val="nil"/>
              <w:bottom w:val="nil"/>
              <w:right w:val="nil"/>
            </w:tcBorders>
            <w:shd w:val="clear" w:color="auto" w:fill="auto"/>
            <w:noWrap/>
            <w:vAlign w:val="center"/>
            <w:hideMark/>
          </w:tcPr>
          <w:p w14:paraId="3FBE3CDF" w14:textId="77777777" w:rsidR="0023076E" w:rsidRPr="005044F0" w:rsidRDefault="0023076E" w:rsidP="00324A07">
            <w:pPr>
              <w:jc w:val="center"/>
              <w:rPr>
                <w:color w:val="000000"/>
                <w:sz w:val="20"/>
                <w:szCs w:val="20"/>
                <w:lang w:val="es-ES"/>
              </w:rPr>
            </w:pPr>
            <w:r w:rsidRPr="005044F0">
              <w:rPr>
                <w:color w:val="000000"/>
                <w:sz w:val="20"/>
                <w:szCs w:val="20"/>
                <w:lang w:val="es-ES"/>
              </w:rPr>
              <w:t>0.12</w:t>
            </w:r>
          </w:p>
        </w:tc>
        <w:tc>
          <w:tcPr>
            <w:tcW w:w="1300" w:type="dxa"/>
            <w:tcBorders>
              <w:top w:val="nil"/>
              <w:left w:val="nil"/>
              <w:bottom w:val="nil"/>
              <w:right w:val="nil"/>
            </w:tcBorders>
            <w:shd w:val="clear" w:color="auto" w:fill="auto"/>
            <w:noWrap/>
            <w:vAlign w:val="center"/>
            <w:hideMark/>
          </w:tcPr>
          <w:p w14:paraId="0031FE33" w14:textId="77777777" w:rsidR="0023076E" w:rsidRPr="005044F0" w:rsidRDefault="0023076E" w:rsidP="00324A07">
            <w:pPr>
              <w:jc w:val="center"/>
              <w:rPr>
                <w:color w:val="000000"/>
                <w:sz w:val="20"/>
                <w:szCs w:val="20"/>
                <w:lang w:val="es-ES"/>
              </w:rPr>
            </w:pPr>
            <w:r w:rsidRPr="005044F0">
              <w:rPr>
                <w:color w:val="000000"/>
                <w:sz w:val="20"/>
                <w:szCs w:val="20"/>
                <w:lang w:val="es-ES"/>
              </w:rPr>
              <w:t>.43***</w:t>
            </w:r>
          </w:p>
        </w:tc>
        <w:tc>
          <w:tcPr>
            <w:tcW w:w="942" w:type="dxa"/>
            <w:tcBorders>
              <w:top w:val="nil"/>
              <w:left w:val="nil"/>
              <w:bottom w:val="nil"/>
              <w:right w:val="nil"/>
            </w:tcBorders>
            <w:shd w:val="clear" w:color="auto" w:fill="auto"/>
            <w:noWrap/>
            <w:vAlign w:val="center"/>
            <w:hideMark/>
          </w:tcPr>
          <w:p w14:paraId="18F18D12" w14:textId="77777777" w:rsidR="0023076E" w:rsidRPr="005044F0" w:rsidRDefault="0023076E" w:rsidP="00324A07">
            <w:pPr>
              <w:jc w:val="center"/>
              <w:rPr>
                <w:color w:val="000000"/>
                <w:sz w:val="20"/>
                <w:szCs w:val="20"/>
                <w:lang w:val="es-ES"/>
              </w:rPr>
            </w:pPr>
          </w:p>
        </w:tc>
        <w:tc>
          <w:tcPr>
            <w:tcW w:w="1138" w:type="dxa"/>
            <w:tcBorders>
              <w:top w:val="nil"/>
              <w:left w:val="nil"/>
              <w:bottom w:val="nil"/>
              <w:right w:val="nil"/>
            </w:tcBorders>
            <w:vAlign w:val="center"/>
          </w:tcPr>
          <w:p w14:paraId="05BDBB45" w14:textId="77777777" w:rsidR="0023076E" w:rsidRPr="005044F0" w:rsidRDefault="0023076E" w:rsidP="00324A07">
            <w:pPr>
              <w:jc w:val="center"/>
              <w:rPr>
                <w:color w:val="000000"/>
                <w:sz w:val="20"/>
                <w:szCs w:val="20"/>
                <w:lang w:val="es-ES"/>
              </w:rPr>
            </w:pPr>
          </w:p>
        </w:tc>
      </w:tr>
      <w:tr w:rsidR="0023076E" w:rsidRPr="005044F0" w14:paraId="3BF17179" w14:textId="77777777" w:rsidTr="00324A07">
        <w:trPr>
          <w:trHeight w:val="320"/>
        </w:trPr>
        <w:tc>
          <w:tcPr>
            <w:tcW w:w="3380" w:type="dxa"/>
            <w:tcBorders>
              <w:top w:val="nil"/>
              <w:left w:val="nil"/>
              <w:bottom w:val="nil"/>
              <w:right w:val="nil"/>
            </w:tcBorders>
            <w:shd w:val="clear" w:color="auto" w:fill="auto"/>
            <w:noWrap/>
            <w:vAlign w:val="bottom"/>
            <w:hideMark/>
          </w:tcPr>
          <w:p w14:paraId="75F17AFE" w14:textId="77777777" w:rsidR="0023076E" w:rsidRPr="005044F0" w:rsidRDefault="0023076E" w:rsidP="00324A07">
            <w:pPr>
              <w:rPr>
                <w:color w:val="000000"/>
                <w:sz w:val="20"/>
                <w:szCs w:val="20"/>
                <w:lang w:val="es-ES"/>
              </w:rPr>
            </w:pPr>
            <w:r w:rsidRPr="005044F0">
              <w:rPr>
                <w:color w:val="000000"/>
                <w:sz w:val="20"/>
                <w:szCs w:val="20"/>
                <w:lang w:val="es-ES"/>
              </w:rPr>
              <w:t xml:space="preserve">     Paso 2</w:t>
            </w:r>
          </w:p>
        </w:tc>
        <w:tc>
          <w:tcPr>
            <w:tcW w:w="1300" w:type="dxa"/>
            <w:tcBorders>
              <w:top w:val="nil"/>
              <w:left w:val="nil"/>
              <w:bottom w:val="nil"/>
              <w:right w:val="nil"/>
            </w:tcBorders>
            <w:shd w:val="clear" w:color="auto" w:fill="auto"/>
            <w:noWrap/>
            <w:vAlign w:val="center"/>
            <w:hideMark/>
          </w:tcPr>
          <w:p w14:paraId="4C0863AD" w14:textId="77777777" w:rsidR="0023076E" w:rsidRPr="005044F0" w:rsidRDefault="0023076E" w:rsidP="00324A07">
            <w:pP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78E4B1FF" w14:textId="77777777" w:rsidR="0023076E" w:rsidRPr="005044F0" w:rsidRDefault="0023076E" w:rsidP="00324A07">
            <w:pPr>
              <w:jc w:val="center"/>
              <w:rPr>
                <w:sz w:val="20"/>
                <w:szCs w:val="20"/>
                <w:lang w:val="es-ES"/>
              </w:rPr>
            </w:pPr>
          </w:p>
        </w:tc>
        <w:tc>
          <w:tcPr>
            <w:tcW w:w="1300" w:type="dxa"/>
            <w:tcBorders>
              <w:top w:val="nil"/>
              <w:left w:val="nil"/>
              <w:bottom w:val="nil"/>
              <w:right w:val="nil"/>
            </w:tcBorders>
            <w:shd w:val="clear" w:color="auto" w:fill="auto"/>
            <w:noWrap/>
            <w:vAlign w:val="center"/>
            <w:hideMark/>
          </w:tcPr>
          <w:p w14:paraId="788D6EC8" w14:textId="77777777" w:rsidR="0023076E" w:rsidRPr="005044F0" w:rsidRDefault="0023076E" w:rsidP="00324A07">
            <w:pPr>
              <w:jc w:val="center"/>
              <w:rPr>
                <w:sz w:val="20"/>
                <w:szCs w:val="20"/>
                <w:lang w:val="es-ES"/>
              </w:rPr>
            </w:pPr>
          </w:p>
        </w:tc>
        <w:tc>
          <w:tcPr>
            <w:tcW w:w="942" w:type="dxa"/>
            <w:tcBorders>
              <w:top w:val="nil"/>
              <w:left w:val="nil"/>
              <w:bottom w:val="nil"/>
              <w:right w:val="nil"/>
            </w:tcBorders>
            <w:shd w:val="clear" w:color="auto" w:fill="auto"/>
            <w:noWrap/>
            <w:vAlign w:val="center"/>
            <w:hideMark/>
          </w:tcPr>
          <w:p w14:paraId="64DFE544" w14:textId="77777777" w:rsidR="0023076E" w:rsidRPr="005044F0" w:rsidRDefault="0023076E" w:rsidP="00324A07">
            <w:pPr>
              <w:jc w:val="center"/>
              <w:rPr>
                <w:color w:val="000000"/>
                <w:sz w:val="20"/>
                <w:szCs w:val="20"/>
                <w:lang w:val="es-ES"/>
              </w:rPr>
            </w:pPr>
            <w:r w:rsidRPr="005044F0">
              <w:rPr>
                <w:color w:val="000000"/>
                <w:sz w:val="20"/>
                <w:szCs w:val="20"/>
                <w:lang w:val="es-ES"/>
              </w:rPr>
              <w:t>.23</w:t>
            </w:r>
          </w:p>
        </w:tc>
        <w:tc>
          <w:tcPr>
            <w:tcW w:w="1138" w:type="dxa"/>
            <w:tcBorders>
              <w:top w:val="nil"/>
              <w:left w:val="nil"/>
              <w:bottom w:val="nil"/>
              <w:right w:val="nil"/>
            </w:tcBorders>
            <w:vAlign w:val="center"/>
          </w:tcPr>
          <w:p w14:paraId="7C6B5038" w14:textId="77777777" w:rsidR="0023076E" w:rsidRPr="005044F0" w:rsidRDefault="0023076E" w:rsidP="00324A07">
            <w:pPr>
              <w:jc w:val="center"/>
              <w:rPr>
                <w:color w:val="000000"/>
                <w:sz w:val="20"/>
                <w:szCs w:val="20"/>
                <w:lang w:val="es-ES"/>
              </w:rPr>
            </w:pPr>
            <w:r w:rsidRPr="005044F0">
              <w:rPr>
                <w:color w:val="000000"/>
                <w:sz w:val="20"/>
                <w:szCs w:val="20"/>
                <w:lang w:val="es-ES"/>
              </w:rPr>
              <w:t>19.99***</w:t>
            </w:r>
          </w:p>
        </w:tc>
      </w:tr>
      <w:tr w:rsidR="0023076E" w:rsidRPr="005044F0" w14:paraId="6A5CBF5A" w14:textId="77777777" w:rsidTr="00324A07">
        <w:trPr>
          <w:trHeight w:val="320"/>
        </w:trPr>
        <w:tc>
          <w:tcPr>
            <w:tcW w:w="3380" w:type="dxa"/>
            <w:tcBorders>
              <w:top w:val="nil"/>
              <w:left w:val="nil"/>
              <w:bottom w:val="nil"/>
              <w:right w:val="nil"/>
            </w:tcBorders>
            <w:shd w:val="clear" w:color="auto" w:fill="auto"/>
            <w:noWrap/>
            <w:vAlign w:val="bottom"/>
            <w:hideMark/>
          </w:tcPr>
          <w:p w14:paraId="389B15FC" w14:textId="77777777" w:rsidR="0023076E" w:rsidRPr="005044F0" w:rsidRDefault="0023076E" w:rsidP="00324A07">
            <w:pPr>
              <w:rPr>
                <w:color w:val="000000"/>
                <w:sz w:val="20"/>
                <w:szCs w:val="20"/>
                <w:lang w:val="es-ES"/>
              </w:rPr>
            </w:pPr>
            <w:r w:rsidRPr="005044F0">
              <w:rPr>
                <w:color w:val="000000"/>
                <w:sz w:val="20"/>
                <w:szCs w:val="20"/>
                <w:lang w:val="es-ES"/>
              </w:rPr>
              <w:t xml:space="preserve">        Aceptación y crecimiento personal</w:t>
            </w:r>
          </w:p>
        </w:tc>
        <w:tc>
          <w:tcPr>
            <w:tcW w:w="1300" w:type="dxa"/>
            <w:tcBorders>
              <w:top w:val="nil"/>
              <w:left w:val="nil"/>
              <w:bottom w:val="nil"/>
              <w:right w:val="nil"/>
            </w:tcBorders>
            <w:shd w:val="clear" w:color="auto" w:fill="auto"/>
            <w:noWrap/>
            <w:vAlign w:val="center"/>
            <w:hideMark/>
          </w:tcPr>
          <w:p w14:paraId="30A73505" w14:textId="77777777" w:rsidR="0023076E" w:rsidRPr="005044F0" w:rsidRDefault="0023076E" w:rsidP="00324A07">
            <w:pPr>
              <w:jc w:val="center"/>
              <w:rPr>
                <w:color w:val="000000"/>
                <w:sz w:val="20"/>
                <w:szCs w:val="20"/>
                <w:lang w:val="es-ES"/>
              </w:rPr>
            </w:pPr>
            <w:r w:rsidRPr="005044F0">
              <w:rPr>
                <w:color w:val="000000"/>
                <w:sz w:val="20"/>
                <w:szCs w:val="20"/>
                <w:lang w:val="es-ES"/>
              </w:rPr>
              <w:t>0.70</w:t>
            </w:r>
          </w:p>
        </w:tc>
        <w:tc>
          <w:tcPr>
            <w:tcW w:w="1300" w:type="dxa"/>
            <w:tcBorders>
              <w:top w:val="nil"/>
              <w:left w:val="nil"/>
              <w:bottom w:val="nil"/>
              <w:right w:val="nil"/>
            </w:tcBorders>
            <w:shd w:val="clear" w:color="auto" w:fill="auto"/>
            <w:noWrap/>
            <w:vAlign w:val="center"/>
            <w:hideMark/>
          </w:tcPr>
          <w:p w14:paraId="19A9DDCE" w14:textId="77777777" w:rsidR="0023076E" w:rsidRPr="005044F0" w:rsidRDefault="0023076E" w:rsidP="00324A07">
            <w:pPr>
              <w:jc w:val="center"/>
              <w:rPr>
                <w:color w:val="000000"/>
                <w:sz w:val="20"/>
                <w:szCs w:val="20"/>
                <w:lang w:val="es-ES"/>
              </w:rPr>
            </w:pPr>
            <w:r w:rsidRPr="005044F0">
              <w:rPr>
                <w:color w:val="000000"/>
                <w:sz w:val="20"/>
                <w:szCs w:val="20"/>
                <w:lang w:val="es-ES"/>
              </w:rPr>
              <w:t>0.12</w:t>
            </w:r>
          </w:p>
        </w:tc>
        <w:tc>
          <w:tcPr>
            <w:tcW w:w="1300" w:type="dxa"/>
            <w:tcBorders>
              <w:top w:val="nil"/>
              <w:left w:val="nil"/>
              <w:bottom w:val="nil"/>
              <w:right w:val="nil"/>
            </w:tcBorders>
            <w:shd w:val="clear" w:color="auto" w:fill="auto"/>
            <w:noWrap/>
            <w:vAlign w:val="center"/>
            <w:hideMark/>
          </w:tcPr>
          <w:p w14:paraId="24AEEB46" w14:textId="77777777" w:rsidR="0023076E" w:rsidRPr="005044F0" w:rsidRDefault="0023076E" w:rsidP="00324A07">
            <w:pPr>
              <w:jc w:val="center"/>
              <w:rPr>
                <w:color w:val="000000"/>
                <w:sz w:val="20"/>
                <w:szCs w:val="20"/>
                <w:lang w:val="es-ES"/>
              </w:rPr>
            </w:pPr>
            <w:r w:rsidRPr="005044F0">
              <w:rPr>
                <w:color w:val="000000"/>
                <w:sz w:val="20"/>
                <w:szCs w:val="20"/>
                <w:lang w:val="es-ES"/>
              </w:rPr>
              <w:t>.46***</w:t>
            </w:r>
          </w:p>
        </w:tc>
        <w:tc>
          <w:tcPr>
            <w:tcW w:w="942" w:type="dxa"/>
            <w:tcBorders>
              <w:top w:val="nil"/>
              <w:left w:val="nil"/>
              <w:bottom w:val="nil"/>
              <w:right w:val="nil"/>
            </w:tcBorders>
            <w:shd w:val="clear" w:color="auto" w:fill="auto"/>
            <w:noWrap/>
            <w:vAlign w:val="center"/>
            <w:hideMark/>
          </w:tcPr>
          <w:p w14:paraId="6584A230" w14:textId="77777777" w:rsidR="0023076E" w:rsidRPr="005044F0" w:rsidRDefault="0023076E" w:rsidP="00324A07">
            <w:pPr>
              <w:jc w:val="center"/>
              <w:rPr>
                <w:color w:val="000000"/>
                <w:sz w:val="20"/>
                <w:szCs w:val="20"/>
                <w:lang w:val="es-ES"/>
              </w:rPr>
            </w:pPr>
          </w:p>
        </w:tc>
        <w:tc>
          <w:tcPr>
            <w:tcW w:w="1138" w:type="dxa"/>
            <w:tcBorders>
              <w:top w:val="nil"/>
              <w:left w:val="nil"/>
              <w:bottom w:val="nil"/>
              <w:right w:val="nil"/>
            </w:tcBorders>
            <w:vAlign w:val="center"/>
          </w:tcPr>
          <w:p w14:paraId="2C4EE966" w14:textId="77777777" w:rsidR="0023076E" w:rsidRPr="005044F0" w:rsidRDefault="0023076E" w:rsidP="00324A07">
            <w:pPr>
              <w:jc w:val="center"/>
              <w:rPr>
                <w:color w:val="000000"/>
                <w:sz w:val="20"/>
                <w:szCs w:val="20"/>
                <w:lang w:val="es-ES"/>
              </w:rPr>
            </w:pPr>
          </w:p>
        </w:tc>
      </w:tr>
      <w:tr w:rsidR="0023076E" w:rsidRPr="005044F0" w14:paraId="5C456B35" w14:textId="77777777" w:rsidTr="00324A07">
        <w:trPr>
          <w:trHeight w:val="320"/>
        </w:trPr>
        <w:tc>
          <w:tcPr>
            <w:tcW w:w="3380" w:type="dxa"/>
            <w:tcBorders>
              <w:top w:val="nil"/>
              <w:left w:val="nil"/>
              <w:bottom w:val="single" w:sz="4" w:space="0" w:color="auto"/>
              <w:right w:val="nil"/>
            </w:tcBorders>
            <w:shd w:val="clear" w:color="auto" w:fill="auto"/>
            <w:noWrap/>
            <w:vAlign w:val="bottom"/>
            <w:hideMark/>
          </w:tcPr>
          <w:p w14:paraId="0325BC9C" w14:textId="77777777" w:rsidR="0023076E" w:rsidRPr="005044F0" w:rsidRDefault="0023076E" w:rsidP="00324A07">
            <w:pPr>
              <w:rPr>
                <w:color w:val="000000"/>
                <w:sz w:val="20"/>
                <w:szCs w:val="20"/>
                <w:lang w:val="es-ES"/>
              </w:rPr>
            </w:pPr>
            <w:r w:rsidRPr="005044F0">
              <w:rPr>
                <w:color w:val="000000"/>
                <w:sz w:val="20"/>
                <w:szCs w:val="20"/>
                <w:lang w:val="es-ES"/>
              </w:rPr>
              <w:t xml:space="preserve">        Refrenar el afrontamiento</w:t>
            </w:r>
          </w:p>
        </w:tc>
        <w:tc>
          <w:tcPr>
            <w:tcW w:w="1300" w:type="dxa"/>
            <w:tcBorders>
              <w:top w:val="nil"/>
              <w:left w:val="nil"/>
              <w:bottom w:val="single" w:sz="4" w:space="0" w:color="auto"/>
              <w:right w:val="nil"/>
            </w:tcBorders>
            <w:shd w:val="clear" w:color="auto" w:fill="auto"/>
            <w:noWrap/>
            <w:vAlign w:val="center"/>
            <w:hideMark/>
          </w:tcPr>
          <w:p w14:paraId="59C16923" w14:textId="77777777" w:rsidR="0023076E" w:rsidRPr="005044F0" w:rsidRDefault="0023076E" w:rsidP="00324A07">
            <w:pPr>
              <w:jc w:val="center"/>
              <w:rPr>
                <w:color w:val="000000"/>
                <w:sz w:val="20"/>
                <w:szCs w:val="20"/>
                <w:lang w:val="es-ES"/>
              </w:rPr>
            </w:pPr>
            <w:r w:rsidRPr="005044F0">
              <w:rPr>
                <w:color w:val="000000"/>
                <w:sz w:val="20"/>
                <w:szCs w:val="20"/>
                <w:lang w:val="es-ES"/>
              </w:rPr>
              <w:t>-0.27</w:t>
            </w:r>
          </w:p>
        </w:tc>
        <w:tc>
          <w:tcPr>
            <w:tcW w:w="1300" w:type="dxa"/>
            <w:tcBorders>
              <w:top w:val="nil"/>
              <w:left w:val="nil"/>
              <w:bottom w:val="single" w:sz="4" w:space="0" w:color="auto"/>
              <w:right w:val="nil"/>
            </w:tcBorders>
            <w:shd w:val="clear" w:color="auto" w:fill="auto"/>
            <w:noWrap/>
            <w:vAlign w:val="center"/>
            <w:hideMark/>
          </w:tcPr>
          <w:p w14:paraId="6BEB53F5" w14:textId="77777777" w:rsidR="0023076E" w:rsidRPr="005044F0" w:rsidRDefault="0023076E" w:rsidP="00324A07">
            <w:pPr>
              <w:jc w:val="center"/>
              <w:rPr>
                <w:color w:val="000000"/>
                <w:sz w:val="20"/>
                <w:szCs w:val="20"/>
                <w:lang w:val="es-ES"/>
              </w:rPr>
            </w:pPr>
            <w:r w:rsidRPr="005044F0">
              <w:rPr>
                <w:color w:val="000000"/>
                <w:sz w:val="20"/>
                <w:szCs w:val="20"/>
                <w:lang w:val="es-ES"/>
              </w:rPr>
              <w:t>0.10</w:t>
            </w:r>
          </w:p>
        </w:tc>
        <w:tc>
          <w:tcPr>
            <w:tcW w:w="1300" w:type="dxa"/>
            <w:tcBorders>
              <w:top w:val="nil"/>
              <w:left w:val="nil"/>
              <w:bottom w:val="single" w:sz="4" w:space="0" w:color="auto"/>
              <w:right w:val="nil"/>
            </w:tcBorders>
            <w:shd w:val="clear" w:color="auto" w:fill="auto"/>
            <w:noWrap/>
            <w:vAlign w:val="center"/>
            <w:hideMark/>
          </w:tcPr>
          <w:p w14:paraId="3E00D298" w14:textId="77777777" w:rsidR="0023076E" w:rsidRPr="005044F0" w:rsidRDefault="0023076E" w:rsidP="00324A07">
            <w:pPr>
              <w:jc w:val="center"/>
              <w:rPr>
                <w:color w:val="000000"/>
                <w:sz w:val="20"/>
                <w:szCs w:val="20"/>
                <w:lang w:val="es-ES"/>
              </w:rPr>
            </w:pPr>
            <w:r w:rsidRPr="005044F0">
              <w:rPr>
                <w:color w:val="000000"/>
                <w:sz w:val="20"/>
                <w:szCs w:val="20"/>
                <w:lang w:val="es-ES"/>
              </w:rPr>
              <w:t>-.21**</w:t>
            </w:r>
          </w:p>
        </w:tc>
        <w:tc>
          <w:tcPr>
            <w:tcW w:w="942" w:type="dxa"/>
            <w:tcBorders>
              <w:top w:val="nil"/>
              <w:left w:val="nil"/>
              <w:bottom w:val="single" w:sz="4" w:space="0" w:color="auto"/>
              <w:right w:val="nil"/>
            </w:tcBorders>
            <w:shd w:val="clear" w:color="auto" w:fill="auto"/>
            <w:noWrap/>
            <w:vAlign w:val="center"/>
            <w:hideMark/>
          </w:tcPr>
          <w:p w14:paraId="409BDCF9" w14:textId="77777777" w:rsidR="0023076E" w:rsidRPr="005044F0" w:rsidRDefault="0023076E" w:rsidP="00324A07">
            <w:pPr>
              <w:jc w:val="center"/>
              <w:rPr>
                <w:color w:val="000000"/>
                <w:sz w:val="20"/>
                <w:szCs w:val="20"/>
                <w:lang w:val="es-ES"/>
              </w:rPr>
            </w:pPr>
          </w:p>
        </w:tc>
        <w:tc>
          <w:tcPr>
            <w:tcW w:w="1138" w:type="dxa"/>
            <w:tcBorders>
              <w:top w:val="nil"/>
              <w:left w:val="nil"/>
              <w:bottom w:val="single" w:sz="4" w:space="0" w:color="auto"/>
              <w:right w:val="nil"/>
            </w:tcBorders>
            <w:vAlign w:val="center"/>
          </w:tcPr>
          <w:p w14:paraId="3679086F" w14:textId="77777777" w:rsidR="0023076E" w:rsidRPr="005044F0" w:rsidRDefault="0023076E" w:rsidP="00324A07">
            <w:pPr>
              <w:jc w:val="center"/>
              <w:rPr>
                <w:color w:val="000000"/>
                <w:sz w:val="20"/>
                <w:szCs w:val="20"/>
                <w:lang w:val="es-ES"/>
              </w:rPr>
            </w:pPr>
          </w:p>
        </w:tc>
      </w:tr>
      <w:tr w:rsidR="0023076E" w:rsidRPr="005044F0" w14:paraId="3AECB0FE" w14:textId="77777777" w:rsidTr="00324A07">
        <w:trPr>
          <w:trHeight w:val="320"/>
        </w:trPr>
        <w:tc>
          <w:tcPr>
            <w:tcW w:w="3380" w:type="dxa"/>
            <w:tcBorders>
              <w:top w:val="nil"/>
              <w:left w:val="nil"/>
              <w:bottom w:val="nil"/>
              <w:right w:val="nil"/>
            </w:tcBorders>
            <w:shd w:val="clear" w:color="auto" w:fill="auto"/>
            <w:noWrap/>
            <w:vAlign w:val="bottom"/>
            <w:hideMark/>
          </w:tcPr>
          <w:p w14:paraId="6E2EA4C5" w14:textId="77777777" w:rsidR="0023076E" w:rsidRPr="005044F0" w:rsidRDefault="0023076E" w:rsidP="00324A07">
            <w:pPr>
              <w:rPr>
                <w:color w:val="000000"/>
                <w:sz w:val="20"/>
                <w:szCs w:val="20"/>
                <w:lang w:val="es-ES"/>
              </w:rPr>
            </w:pPr>
            <w:r w:rsidRPr="005044F0">
              <w:rPr>
                <w:color w:val="000000"/>
                <w:sz w:val="20"/>
                <w:szCs w:val="20"/>
                <w:lang w:val="es-ES"/>
              </w:rPr>
              <w:lastRenderedPageBreak/>
              <w:t>* p &lt; .05. ** p &lt; .01. *** p &lt; .001</w:t>
            </w:r>
          </w:p>
        </w:tc>
        <w:tc>
          <w:tcPr>
            <w:tcW w:w="1300" w:type="dxa"/>
            <w:tcBorders>
              <w:top w:val="nil"/>
              <w:left w:val="nil"/>
              <w:bottom w:val="nil"/>
              <w:right w:val="nil"/>
            </w:tcBorders>
            <w:shd w:val="clear" w:color="auto" w:fill="auto"/>
            <w:noWrap/>
            <w:vAlign w:val="bottom"/>
            <w:hideMark/>
          </w:tcPr>
          <w:p w14:paraId="0E741593" w14:textId="77777777" w:rsidR="0023076E" w:rsidRPr="005044F0" w:rsidRDefault="0023076E" w:rsidP="00324A07">
            <w:pP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166C738F" w14:textId="77777777" w:rsidR="0023076E" w:rsidRPr="005044F0" w:rsidRDefault="0023076E" w:rsidP="00324A07">
            <w:pPr>
              <w:rPr>
                <w:sz w:val="20"/>
                <w:szCs w:val="20"/>
                <w:lang w:val="es-ES"/>
              </w:rPr>
            </w:pPr>
          </w:p>
        </w:tc>
        <w:tc>
          <w:tcPr>
            <w:tcW w:w="1300" w:type="dxa"/>
            <w:tcBorders>
              <w:top w:val="nil"/>
              <w:left w:val="nil"/>
              <w:bottom w:val="nil"/>
              <w:right w:val="nil"/>
            </w:tcBorders>
            <w:shd w:val="clear" w:color="auto" w:fill="auto"/>
            <w:noWrap/>
            <w:vAlign w:val="bottom"/>
            <w:hideMark/>
          </w:tcPr>
          <w:p w14:paraId="5999EF8B" w14:textId="77777777" w:rsidR="0023076E" w:rsidRPr="005044F0" w:rsidRDefault="0023076E" w:rsidP="00324A07">
            <w:pPr>
              <w:jc w:val="center"/>
              <w:rPr>
                <w:sz w:val="20"/>
                <w:szCs w:val="20"/>
                <w:lang w:val="es-ES"/>
              </w:rPr>
            </w:pPr>
          </w:p>
        </w:tc>
        <w:tc>
          <w:tcPr>
            <w:tcW w:w="942" w:type="dxa"/>
            <w:tcBorders>
              <w:top w:val="nil"/>
              <w:left w:val="nil"/>
              <w:bottom w:val="nil"/>
              <w:right w:val="nil"/>
            </w:tcBorders>
            <w:shd w:val="clear" w:color="auto" w:fill="auto"/>
            <w:noWrap/>
            <w:vAlign w:val="bottom"/>
            <w:hideMark/>
          </w:tcPr>
          <w:p w14:paraId="018782FD" w14:textId="77777777" w:rsidR="0023076E" w:rsidRPr="005044F0" w:rsidRDefault="0023076E" w:rsidP="00324A07">
            <w:pPr>
              <w:rPr>
                <w:sz w:val="20"/>
                <w:szCs w:val="20"/>
                <w:lang w:val="es-ES"/>
              </w:rPr>
            </w:pPr>
          </w:p>
        </w:tc>
        <w:tc>
          <w:tcPr>
            <w:tcW w:w="1138" w:type="dxa"/>
            <w:tcBorders>
              <w:top w:val="nil"/>
              <w:left w:val="nil"/>
              <w:bottom w:val="nil"/>
              <w:right w:val="nil"/>
            </w:tcBorders>
          </w:tcPr>
          <w:p w14:paraId="46B8CF12" w14:textId="77777777" w:rsidR="0023076E" w:rsidRPr="005044F0" w:rsidRDefault="0023076E" w:rsidP="00324A07">
            <w:pPr>
              <w:rPr>
                <w:sz w:val="20"/>
                <w:szCs w:val="20"/>
                <w:lang w:val="es-ES"/>
              </w:rPr>
            </w:pPr>
          </w:p>
        </w:tc>
      </w:tr>
    </w:tbl>
    <w:p w14:paraId="5E48CE3D" w14:textId="77777777" w:rsidR="0023076E" w:rsidRPr="005044F0" w:rsidRDefault="0023076E" w:rsidP="0023076E">
      <w:pPr>
        <w:spacing w:line="480" w:lineRule="auto"/>
        <w:rPr>
          <w:lang w:val="es-ES"/>
        </w:rPr>
      </w:pPr>
    </w:p>
    <w:p w14:paraId="4C322499" w14:textId="111AFE43" w:rsidR="0023076E" w:rsidRDefault="0023076E" w:rsidP="0023076E">
      <w:pPr>
        <w:spacing w:line="360" w:lineRule="auto"/>
        <w:ind w:firstLine="720"/>
        <w:rPr>
          <w:lang w:val="es-ES"/>
        </w:rPr>
      </w:pPr>
      <w:r w:rsidRPr="005044F0">
        <w:rPr>
          <w:lang w:val="es-ES"/>
        </w:rPr>
        <w:t>Para la variable dependiente propósito de vida (ver Tabla 6), el modelo de ajuste más adecuado identificó cuatro predictores: aceptación y crecimiento personal (β =.41, p &lt; .001), refrenar el afrontamiento (β = -.28, p = .001), consumo de alcohol o drogas (β = -.21, p = .008), y búsqueda de apoyo social (β = .15, p = .049). El modelo explicó el 33% de la varianza (R</w:t>
      </w:r>
      <w:r w:rsidRPr="005044F0">
        <w:rPr>
          <w:vertAlign w:val="superscript"/>
          <w:lang w:val="es-ES"/>
        </w:rPr>
        <w:t>2</w:t>
      </w:r>
      <w:r w:rsidRPr="005044F0">
        <w:rPr>
          <w:lang w:val="es-ES"/>
        </w:rPr>
        <w:t xml:space="preserve"> = .33, </w:t>
      </w:r>
      <w:proofErr w:type="gramStart"/>
      <w:r w:rsidRPr="005044F0">
        <w:rPr>
          <w:lang w:val="es-ES"/>
        </w:rPr>
        <w:t>F(</w:t>
      </w:r>
      <w:proofErr w:type="gramEnd"/>
      <w:r w:rsidRPr="005044F0">
        <w:rPr>
          <w:lang w:val="es-ES"/>
        </w:rPr>
        <w:t xml:space="preserve">4,130) = 15.97, p &lt; .001). La Tabla 6 contiene todos los pasos del análisis. </w:t>
      </w:r>
    </w:p>
    <w:p w14:paraId="5399175F" w14:textId="77777777" w:rsidR="0023076E" w:rsidRPr="0023076E" w:rsidRDefault="0023076E" w:rsidP="0023076E">
      <w:pPr>
        <w:spacing w:line="360" w:lineRule="auto"/>
        <w:ind w:firstLine="720"/>
        <w:rPr>
          <w:lang w:val="es-ES"/>
        </w:rPr>
      </w:pPr>
    </w:p>
    <w:p w14:paraId="3AB2D62D" w14:textId="77777777" w:rsidR="0023076E" w:rsidRPr="005044F0" w:rsidRDefault="0023076E" w:rsidP="0023076E">
      <w:pPr>
        <w:spacing w:line="360" w:lineRule="auto"/>
        <w:rPr>
          <w:b/>
          <w:bCs/>
          <w:lang w:val="es-ES"/>
        </w:rPr>
      </w:pPr>
      <w:r w:rsidRPr="005044F0">
        <w:rPr>
          <w:b/>
          <w:bCs/>
          <w:lang w:val="es-ES"/>
        </w:rPr>
        <w:t>Tabla 6</w:t>
      </w:r>
    </w:p>
    <w:p w14:paraId="79CF58F5" w14:textId="77777777" w:rsidR="0023076E" w:rsidRPr="005044F0" w:rsidRDefault="0023076E" w:rsidP="0023076E">
      <w:pPr>
        <w:spacing w:line="360" w:lineRule="auto"/>
        <w:rPr>
          <w:lang w:val="es-ES"/>
        </w:rPr>
      </w:pPr>
      <w:r w:rsidRPr="005044F0">
        <w:rPr>
          <w:i/>
          <w:iCs/>
          <w:lang w:val="es-ES"/>
        </w:rPr>
        <w:t>Regresión Múltiple con Variable Dependiente Propósito de la Vida y Variables Independientes Estrategias de Afrontamiento</w:t>
      </w:r>
    </w:p>
    <w:tbl>
      <w:tblPr>
        <w:tblW w:w="9360" w:type="dxa"/>
        <w:tblLook w:val="04A0" w:firstRow="1" w:lastRow="0" w:firstColumn="1" w:lastColumn="0" w:noHBand="0" w:noVBand="1"/>
      </w:tblPr>
      <w:tblGrid>
        <w:gridCol w:w="3380"/>
        <w:gridCol w:w="1300"/>
        <w:gridCol w:w="1300"/>
        <w:gridCol w:w="1108"/>
        <w:gridCol w:w="1134"/>
        <w:gridCol w:w="1138"/>
      </w:tblGrid>
      <w:tr w:rsidR="0023076E" w:rsidRPr="005044F0" w14:paraId="2B7BBA4C" w14:textId="77777777" w:rsidTr="00324A07">
        <w:trPr>
          <w:trHeight w:val="320"/>
        </w:trPr>
        <w:tc>
          <w:tcPr>
            <w:tcW w:w="3380" w:type="dxa"/>
            <w:tcBorders>
              <w:top w:val="single" w:sz="4" w:space="0" w:color="auto"/>
              <w:left w:val="nil"/>
              <w:bottom w:val="single" w:sz="4" w:space="0" w:color="auto"/>
              <w:right w:val="nil"/>
            </w:tcBorders>
            <w:shd w:val="clear" w:color="auto" w:fill="auto"/>
            <w:noWrap/>
            <w:vAlign w:val="center"/>
            <w:hideMark/>
          </w:tcPr>
          <w:p w14:paraId="22949C54" w14:textId="77777777" w:rsidR="0023076E" w:rsidRPr="005044F0" w:rsidRDefault="0023076E" w:rsidP="00324A07">
            <w:pPr>
              <w:jc w:val="center"/>
              <w:rPr>
                <w:color w:val="000000"/>
                <w:sz w:val="20"/>
                <w:szCs w:val="20"/>
                <w:lang w:val="es-ES"/>
              </w:rPr>
            </w:pPr>
          </w:p>
        </w:tc>
        <w:tc>
          <w:tcPr>
            <w:tcW w:w="1300" w:type="dxa"/>
            <w:tcBorders>
              <w:top w:val="single" w:sz="4" w:space="0" w:color="auto"/>
              <w:left w:val="nil"/>
              <w:bottom w:val="single" w:sz="4" w:space="0" w:color="auto"/>
              <w:right w:val="nil"/>
            </w:tcBorders>
            <w:shd w:val="clear" w:color="auto" w:fill="auto"/>
            <w:noWrap/>
            <w:vAlign w:val="center"/>
            <w:hideMark/>
          </w:tcPr>
          <w:p w14:paraId="3A3DF697" w14:textId="77777777" w:rsidR="0023076E" w:rsidRPr="005044F0" w:rsidRDefault="0023076E" w:rsidP="00324A07">
            <w:pPr>
              <w:jc w:val="center"/>
              <w:rPr>
                <w:i/>
                <w:color w:val="000000"/>
                <w:sz w:val="20"/>
                <w:szCs w:val="20"/>
                <w:lang w:val="es-ES"/>
              </w:rPr>
            </w:pPr>
            <w:r w:rsidRPr="005044F0">
              <w:rPr>
                <w:i/>
                <w:iCs/>
                <w:color w:val="000000"/>
                <w:sz w:val="20"/>
                <w:szCs w:val="20"/>
                <w:lang w:val="es-ES"/>
              </w:rPr>
              <w:t>B</w:t>
            </w:r>
          </w:p>
        </w:tc>
        <w:tc>
          <w:tcPr>
            <w:tcW w:w="1300" w:type="dxa"/>
            <w:tcBorders>
              <w:top w:val="single" w:sz="4" w:space="0" w:color="auto"/>
              <w:left w:val="nil"/>
              <w:bottom w:val="single" w:sz="4" w:space="0" w:color="auto"/>
              <w:right w:val="nil"/>
            </w:tcBorders>
            <w:shd w:val="clear" w:color="auto" w:fill="auto"/>
            <w:noWrap/>
            <w:vAlign w:val="center"/>
            <w:hideMark/>
          </w:tcPr>
          <w:p w14:paraId="7629E1E8" w14:textId="77777777" w:rsidR="0023076E" w:rsidRPr="005044F0" w:rsidRDefault="0023076E" w:rsidP="00324A07">
            <w:pPr>
              <w:jc w:val="center"/>
              <w:rPr>
                <w:i/>
                <w:color w:val="000000"/>
                <w:sz w:val="20"/>
                <w:szCs w:val="20"/>
                <w:lang w:val="es-ES"/>
              </w:rPr>
            </w:pPr>
            <w:r w:rsidRPr="005044F0">
              <w:rPr>
                <w:i/>
                <w:iCs/>
                <w:color w:val="000000"/>
                <w:sz w:val="20"/>
                <w:szCs w:val="20"/>
                <w:lang w:val="es-ES"/>
              </w:rPr>
              <w:t>SE B</w:t>
            </w:r>
          </w:p>
        </w:tc>
        <w:tc>
          <w:tcPr>
            <w:tcW w:w="1108" w:type="dxa"/>
            <w:tcBorders>
              <w:top w:val="single" w:sz="4" w:space="0" w:color="auto"/>
              <w:left w:val="nil"/>
              <w:bottom w:val="single" w:sz="4" w:space="0" w:color="auto"/>
              <w:right w:val="nil"/>
            </w:tcBorders>
            <w:shd w:val="clear" w:color="auto" w:fill="auto"/>
            <w:noWrap/>
            <w:vAlign w:val="center"/>
            <w:hideMark/>
          </w:tcPr>
          <w:p w14:paraId="3FCC866E" w14:textId="77777777" w:rsidR="0023076E" w:rsidRPr="005044F0" w:rsidRDefault="0023076E" w:rsidP="00324A07">
            <w:pPr>
              <w:jc w:val="center"/>
              <w:rPr>
                <w:color w:val="000000"/>
                <w:sz w:val="20"/>
                <w:szCs w:val="20"/>
                <w:lang w:val="es-ES"/>
              </w:rPr>
            </w:pPr>
            <w:r w:rsidRPr="005044F0">
              <w:rPr>
                <w:color w:val="000000"/>
                <w:sz w:val="20"/>
                <w:szCs w:val="20"/>
                <w:lang w:val="es-ES"/>
              </w:rPr>
              <w:t>β</w:t>
            </w:r>
          </w:p>
        </w:tc>
        <w:tc>
          <w:tcPr>
            <w:tcW w:w="1134" w:type="dxa"/>
            <w:tcBorders>
              <w:top w:val="single" w:sz="4" w:space="0" w:color="auto"/>
              <w:left w:val="nil"/>
              <w:bottom w:val="single" w:sz="4" w:space="0" w:color="auto"/>
              <w:right w:val="nil"/>
            </w:tcBorders>
            <w:shd w:val="clear" w:color="auto" w:fill="auto"/>
            <w:noWrap/>
            <w:vAlign w:val="center"/>
            <w:hideMark/>
          </w:tcPr>
          <w:p w14:paraId="244DFB43" w14:textId="77777777" w:rsidR="0023076E" w:rsidRPr="005044F0" w:rsidRDefault="0023076E" w:rsidP="00324A07">
            <w:pPr>
              <w:jc w:val="center"/>
              <w:rPr>
                <w:i/>
                <w:color w:val="000000"/>
                <w:sz w:val="20"/>
                <w:szCs w:val="20"/>
                <w:lang w:val="es-ES"/>
              </w:rPr>
            </w:pPr>
            <w:r w:rsidRPr="005044F0">
              <w:rPr>
                <w:i/>
                <w:iCs/>
                <w:color w:val="000000"/>
                <w:sz w:val="20"/>
                <w:szCs w:val="20"/>
                <w:lang w:val="es-ES"/>
              </w:rPr>
              <w:t>R</w:t>
            </w:r>
            <w:r w:rsidRPr="005044F0">
              <w:rPr>
                <w:i/>
                <w:iCs/>
                <w:color w:val="000000"/>
                <w:sz w:val="20"/>
                <w:szCs w:val="20"/>
                <w:vertAlign w:val="superscript"/>
                <w:lang w:val="es-ES"/>
              </w:rPr>
              <w:t>2</w:t>
            </w:r>
          </w:p>
        </w:tc>
        <w:tc>
          <w:tcPr>
            <w:tcW w:w="1138" w:type="dxa"/>
            <w:tcBorders>
              <w:top w:val="single" w:sz="4" w:space="0" w:color="auto"/>
              <w:left w:val="nil"/>
              <w:bottom w:val="single" w:sz="4" w:space="0" w:color="auto"/>
              <w:right w:val="nil"/>
            </w:tcBorders>
            <w:vAlign w:val="center"/>
          </w:tcPr>
          <w:p w14:paraId="5EACEFE3" w14:textId="77777777" w:rsidR="0023076E" w:rsidRPr="005044F0" w:rsidRDefault="0023076E" w:rsidP="00324A07">
            <w:pPr>
              <w:jc w:val="center"/>
              <w:rPr>
                <w:i/>
                <w:iCs/>
                <w:color w:val="000000"/>
                <w:sz w:val="20"/>
                <w:szCs w:val="20"/>
                <w:lang w:val="es-ES"/>
              </w:rPr>
            </w:pPr>
            <w:r w:rsidRPr="005044F0">
              <w:rPr>
                <w:i/>
                <w:iCs/>
                <w:color w:val="000000"/>
                <w:sz w:val="20"/>
                <w:szCs w:val="20"/>
                <w:lang w:val="es-ES"/>
              </w:rPr>
              <w:t>F</w:t>
            </w:r>
          </w:p>
        </w:tc>
      </w:tr>
      <w:tr w:rsidR="0023076E" w:rsidRPr="005044F0" w14:paraId="6B25D993" w14:textId="77777777" w:rsidTr="00324A07">
        <w:trPr>
          <w:trHeight w:val="320"/>
        </w:trPr>
        <w:tc>
          <w:tcPr>
            <w:tcW w:w="3380" w:type="dxa"/>
            <w:tcBorders>
              <w:top w:val="nil"/>
              <w:left w:val="nil"/>
              <w:bottom w:val="nil"/>
              <w:right w:val="nil"/>
            </w:tcBorders>
            <w:shd w:val="clear" w:color="auto" w:fill="auto"/>
            <w:noWrap/>
            <w:vAlign w:val="bottom"/>
            <w:hideMark/>
          </w:tcPr>
          <w:p w14:paraId="44A6BF7D" w14:textId="77777777" w:rsidR="0023076E" w:rsidRPr="005044F0" w:rsidRDefault="0023076E" w:rsidP="00324A07">
            <w:pPr>
              <w:rPr>
                <w:color w:val="000000"/>
                <w:sz w:val="20"/>
                <w:szCs w:val="20"/>
                <w:lang w:val="es-ES"/>
              </w:rPr>
            </w:pPr>
            <w:r w:rsidRPr="005044F0">
              <w:rPr>
                <w:color w:val="000000"/>
                <w:sz w:val="20"/>
                <w:szCs w:val="20"/>
                <w:lang w:val="es-ES"/>
              </w:rPr>
              <w:t>Propósito de la vida</w:t>
            </w:r>
          </w:p>
        </w:tc>
        <w:tc>
          <w:tcPr>
            <w:tcW w:w="1300" w:type="dxa"/>
            <w:tcBorders>
              <w:top w:val="nil"/>
              <w:left w:val="nil"/>
              <w:bottom w:val="nil"/>
              <w:right w:val="nil"/>
            </w:tcBorders>
            <w:shd w:val="clear" w:color="auto" w:fill="auto"/>
            <w:noWrap/>
            <w:vAlign w:val="center"/>
            <w:hideMark/>
          </w:tcPr>
          <w:p w14:paraId="4C0CFBFF" w14:textId="77777777" w:rsidR="0023076E" w:rsidRPr="005044F0" w:rsidRDefault="0023076E" w:rsidP="00324A07">
            <w:pPr>
              <w:jc w:val="cente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292C3A75" w14:textId="77777777" w:rsidR="0023076E" w:rsidRPr="005044F0" w:rsidRDefault="0023076E" w:rsidP="00324A07">
            <w:pPr>
              <w:jc w:val="center"/>
              <w:rPr>
                <w:sz w:val="20"/>
                <w:szCs w:val="20"/>
                <w:lang w:val="es-ES"/>
              </w:rPr>
            </w:pPr>
          </w:p>
        </w:tc>
        <w:tc>
          <w:tcPr>
            <w:tcW w:w="1108" w:type="dxa"/>
            <w:tcBorders>
              <w:top w:val="nil"/>
              <w:left w:val="nil"/>
              <w:bottom w:val="nil"/>
              <w:right w:val="nil"/>
            </w:tcBorders>
            <w:shd w:val="clear" w:color="auto" w:fill="auto"/>
            <w:noWrap/>
            <w:vAlign w:val="center"/>
            <w:hideMark/>
          </w:tcPr>
          <w:p w14:paraId="20CB65A9" w14:textId="77777777" w:rsidR="0023076E" w:rsidRPr="005044F0" w:rsidRDefault="0023076E" w:rsidP="00324A07">
            <w:pPr>
              <w:jc w:val="center"/>
              <w:rPr>
                <w:sz w:val="20"/>
                <w:szCs w:val="20"/>
                <w:lang w:val="es-ES"/>
              </w:rPr>
            </w:pPr>
          </w:p>
        </w:tc>
        <w:tc>
          <w:tcPr>
            <w:tcW w:w="1134" w:type="dxa"/>
            <w:tcBorders>
              <w:top w:val="nil"/>
              <w:left w:val="nil"/>
              <w:bottom w:val="nil"/>
              <w:right w:val="nil"/>
            </w:tcBorders>
            <w:shd w:val="clear" w:color="auto" w:fill="auto"/>
            <w:noWrap/>
            <w:vAlign w:val="center"/>
            <w:hideMark/>
          </w:tcPr>
          <w:p w14:paraId="3607BEFD" w14:textId="77777777" w:rsidR="0023076E" w:rsidRPr="005044F0" w:rsidRDefault="0023076E" w:rsidP="00324A07">
            <w:pPr>
              <w:jc w:val="center"/>
              <w:rPr>
                <w:sz w:val="20"/>
                <w:szCs w:val="20"/>
                <w:lang w:val="es-ES"/>
              </w:rPr>
            </w:pPr>
          </w:p>
        </w:tc>
        <w:tc>
          <w:tcPr>
            <w:tcW w:w="1138" w:type="dxa"/>
            <w:tcBorders>
              <w:top w:val="nil"/>
              <w:left w:val="nil"/>
              <w:bottom w:val="nil"/>
              <w:right w:val="nil"/>
            </w:tcBorders>
          </w:tcPr>
          <w:p w14:paraId="6236CB65" w14:textId="77777777" w:rsidR="0023076E" w:rsidRPr="005044F0" w:rsidRDefault="0023076E" w:rsidP="00324A07">
            <w:pPr>
              <w:jc w:val="center"/>
              <w:rPr>
                <w:sz w:val="20"/>
                <w:szCs w:val="20"/>
                <w:lang w:val="es-ES"/>
              </w:rPr>
            </w:pPr>
          </w:p>
        </w:tc>
      </w:tr>
      <w:tr w:rsidR="0023076E" w:rsidRPr="005044F0" w14:paraId="30DBA8A2" w14:textId="77777777" w:rsidTr="00324A07">
        <w:trPr>
          <w:trHeight w:val="320"/>
        </w:trPr>
        <w:tc>
          <w:tcPr>
            <w:tcW w:w="3380" w:type="dxa"/>
            <w:tcBorders>
              <w:top w:val="nil"/>
              <w:left w:val="nil"/>
              <w:bottom w:val="nil"/>
              <w:right w:val="nil"/>
            </w:tcBorders>
            <w:shd w:val="clear" w:color="auto" w:fill="auto"/>
            <w:noWrap/>
            <w:vAlign w:val="bottom"/>
            <w:hideMark/>
          </w:tcPr>
          <w:p w14:paraId="2618CE38" w14:textId="77777777" w:rsidR="0023076E" w:rsidRPr="005044F0" w:rsidRDefault="0023076E" w:rsidP="00324A07">
            <w:pPr>
              <w:rPr>
                <w:color w:val="000000"/>
                <w:sz w:val="20"/>
                <w:szCs w:val="20"/>
                <w:lang w:val="es-ES"/>
              </w:rPr>
            </w:pPr>
            <w:r w:rsidRPr="005044F0">
              <w:rPr>
                <w:color w:val="000000"/>
                <w:sz w:val="20"/>
                <w:szCs w:val="20"/>
                <w:lang w:val="es-ES"/>
              </w:rPr>
              <w:t xml:space="preserve">     Paso 1</w:t>
            </w:r>
          </w:p>
        </w:tc>
        <w:tc>
          <w:tcPr>
            <w:tcW w:w="1300" w:type="dxa"/>
            <w:tcBorders>
              <w:top w:val="nil"/>
              <w:left w:val="nil"/>
              <w:bottom w:val="nil"/>
              <w:right w:val="nil"/>
            </w:tcBorders>
            <w:shd w:val="clear" w:color="auto" w:fill="auto"/>
            <w:noWrap/>
            <w:vAlign w:val="center"/>
            <w:hideMark/>
          </w:tcPr>
          <w:p w14:paraId="20AC10E3" w14:textId="77777777" w:rsidR="0023076E" w:rsidRPr="005044F0" w:rsidRDefault="0023076E" w:rsidP="00324A07">
            <w:pPr>
              <w:jc w:val="cente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0410A671" w14:textId="77777777" w:rsidR="0023076E" w:rsidRPr="005044F0" w:rsidRDefault="0023076E" w:rsidP="00324A07">
            <w:pPr>
              <w:jc w:val="center"/>
              <w:rPr>
                <w:sz w:val="20"/>
                <w:szCs w:val="20"/>
                <w:lang w:val="es-ES"/>
              </w:rPr>
            </w:pPr>
          </w:p>
        </w:tc>
        <w:tc>
          <w:tcPr>
            <w:tcW w:w="1108" w:type="dxa"/>
            <w:tcBorders>
              <w:top w:val="nil"/>
              <w:left w:val="nil"/>
              <w:bottom w:val="nil"/>
              <w:right w:val="nil"/>
            </w:tcBorders>
            <w:shd w:val="clear" w:color="auto" w:fill="auto"/>
            <w:noWrap/>
            <w:vAlign w:val="center"/>
            <w:hideMark/>
          </w:tcPr>
          <w:p w14:paraId="0DCDE597" w14:textId="77777777" w:rsidR="0023076E" w:rsidRPr="005044F0" w:rsidRDefault="0023076E" w:rsidP="00324A07">
            <w:pPr>
              <w:jc w:val="center"/>
              <w:rPr>
                <w:sz w:val="20"/>
                <w:szCs w:val="20"/>
                <w:lang w:val="es-ES"/>
              </w:rPr>
            </w:pPr>
          </w:p>
        </w:tc>
        <w:tc>
          <w:tcPr>
            <w:tcW w:w="1134" w:type="dxa"/>
            <w:tcBorders>
              <w:top w:val="nil"/>
              <w:left w:val="nil"/>
              <w:bottom w:val="nil"/>
              <w:right w:val="nil"/>
            </w:tcBorders>
            <w:shd w:val="clear" w:color="auto" w:fill="auto"/>
            <w:noWrap/>
            <w:vAlign w:val="center"/>
            <w:hideMark/>
          </w:tcPr>
          <w:p w14:paraId="2EED8F99" w14:textId="77777777" w:rsidR="0023076E" w:rsidRPr="005044F0" w:rsidRDefault="0023076E" w:rsidP="00324A07">
            <w:pPr>
              <w:jc w:val="center"/>
              <w:rPr>
                <w:color w:val="000000"/>
                <w:sz w:val="20"/>
                <w:szCs w:val="20"/>
                <w:lang w:val="es-ES"/>
              </w:rPr>
            </w:pPr>
            <w:r w:rsidRPr="005044F0">
              <w:rPr>
                <w:color w:val="000000"/>
                <w:sz w:val="20"/>
                <w:szCs w:val="20"/>
                <w:lang w:val="es-ES"/>
              </w:rPr>
              <w:t>.18</w:t>
            </w:r>
          </w:p>
        </w:tc>
        <w:tc>
          <w:tcPr>
            <w:tcW w:w="1138" w:type="dxa"/>
            <w:tcBorders>
              <w:top w:val="nil"/>
              <w:left w:val="nil"/>
              <w:bottom w:val="nil"/>
              <w:right w:val="nil"/>
            </w:tcBorders>
            <w:vAlign w:val="center"/>
          </w:tcPr>
          <w:p w14:paraId="6AAAADD5" w14:textId="77777777" w:rsidR="0023076E" w:rsidRPr="005044F0" w:rsidRDefault="0023076E" w:rsidP="00324A07">
            <w:pPr>
              <w:jc w:val="center"/>
              <w:rPr>
                <w:color w:val="000000"/>
                <w:sz w:val="20"/>
                <w:szCs w:val="20"/>
                <w:lang w:val="es-ES"/>
              </w:rPr>
            </w:pPr>
            <w:r w:rsidRPr="005044F0">
              <w:rPr>
                <w:color w:val="000000"/>
                <w:sz w:val="20"/>
                <w:szCs w:val="20"/>
                <w:lang w:val="es-ES"/>
              </w:rPr>
              <w:t>28.28***</w:t>
            </w:r>
          </w:p>
        </w:tc>
      </w:tr>
      <w:tr w:rsidR="0023076E" w:rsidRPr="005044F0" w14:paraId="774A544F" w14:textId="77777777" w:rsidTr="00324A07">
        <w:trPr>
          <w:trHeight w:val="320"/>
        </w:trPr>
        <w:tc>
          <w:tcPr>
            <w:tcW w:w="3380" w:type="dxa"/>
            <w:tcBorders>
              <w:top w:val="nil"/>
              <w:left w:val="nil"/>
              <w:bottom w:val="nil"/>
              <w:right w:val="nil"/>
            </w:tcBorders>
            <w:shd w:val="clear" w:color="auto" w:fill="auto"/>
            <w:noWrap/>
            <w:vAlign w:val="bottom"/>
            <w:hideMark/>
          </w:tcPr>
          <w:p w14:paraId="75E12A09" w14:textId="77777777" w:rsidR="0023076E" w:rsidRPr="005044F0" w:rsidRDefault="0023076E" w:rsidP="00324A07">
            <w:pPr>
              <w:rPr>
                <w:color w:val="000000"/>
                <w:sz w:val="20"/>
                <w:szCs w:val="20"/>
                <w:lang w:val="es-ES"/>
              </w:rPr>
            </w:pPr>
            <w:r w:rsidRPr="005044F0">
              <w:rPr>
                <w:color w:val="000000"/>
                <w:sz w:val="20"/>
                <w:szCs w:val="20"/>
                <w:lang w:val="es-ES"/>
              </w:rPr>
              <w:t xml:space="preserve">        Aceptación y crecimiento personal</w:t>
            </w:r>
          </w:p>
        </w:tc>
        <w:tc>
          <w:tcPr>
            <w:tcW w:w="1300" w:type="dxa"/>
            <w:tcBorders>
              <w:top w:val="nil"/>
              <w:left w:val="nil"/>
              <w:bottom w:val="nil"/>
              <w:right w:val="nil"/>
            </w:tcBorders>
            <w:shd w:val="clear" w:color="auto" w:fill="auto"/>
            <w:noWrap/>
            <w:vAlign w:val="center"/>
            <w:hideMark/>
          </w:tcPr>
          <w:p w14:paraId="5A169DA5" w14:textId="77777777" w:rsidR="0023076E" w:rsidRPr="005044F0" w:rsidRDefault="0023076E" w:rsidP="00324A07">
            <w:pPr>
              <w:jc w:val="center"/>
              <w:rPr>
                <w:color w:val="000000"/>
                <w:sz w:val="20"/>
                <w:szCs w:val="20"/>
                <w:lang w:val="es-ES"/>
              </w:rPr>
            </w:pPr>
            <w:r w:rsidRPr="005044F0">
              <w:rPr>
                <w:color w:val="000000"/>
                <w:sz w:val="20"/>
                <w:szCs w:val="20"/>
                <w:lang w:val="es-ES"/>
              </w:rPr>
              <w:t>0.66</w:t>
            </w:r>
          </w:p>
        </w:tc>
        <w:tc>
          <w:tcPr>
            <w:tcW w:w="1300" w:type="dxa"/>
            <w:tcBorders>
              <w:top w:val="nil"/>
              <w:left w:val="nil"/>
              <w:bottom w:val="nil"/>
              <w:right w:val="nil"/>
            </w:tcBorders>
            <w:shd w:val="clear" w:color="auto" w:fill="auto"/>
            <w:noWrap/>
            <w:vAlign w:val="center"/>
            <w:hideMark/>
          </w:tcPr>
          <w:p w14:paraId="30AA9EE1" w14:textId="77777777" w:rsidR="0023076E" w:rsidRPr="005044F0" w:rsidRDefault="0023076E" w:rsidP="00324A07">
            <w:pPr>
              <w:jc w:val="center"/>
              <w:rPr>
                <w:color w:val="000000"/>
                <w:sz w:val="20"/>
                <w:szCs w:val="20"/>
                <w:lang w:val="es-ES"/>
              </w:rPr>
            </w:pPr>
            <w:r w:rsidRPr="005044F0">
              <w:rPr>
                <w:color w:val="000000"/>
                <w:sz w:val="20"/>
                <w:szCs w:val="20"/>
                <w:lang w:val="es-ES"/>
              </w:rPr>
              <w:t>0.12</w:t>
            </w:r>
          </w:p>
        </w:tc>
        <w:tc>
          <w:tcPr>
            <w:tcW w:w="1108" w:type="dxa"/>
            <w:tcBorders>
              <w:top w:val="nil"/>
              <w:left w:val="nil"/>
              <w:bottom w:val="nil"/>
              <w:right w:val="nil"/>
            </w:tcBorders>
            <w:shd w:val="clear" w:color="auto" w:fill="auto"/>
            <w:noWrap/>
            <w:vAlign w:val="center"/>
            <w:hideMark/>
          </w:tcPr>
          <w:p w14:paraId="1C9DF2B6" w14:textId="77777777" w:rsidR="0023076E" w:rsidRPr="005044F0" w:rsidRDefault="0023076E" w:rsidP="00324A07">
            <w:pPr>
              <w:jc w:val="center"/>
              <w:rPr>
                <w:color w:val="000000"/>
                <w:sz w:val="20"/>
                <w:szCs w:val="20"/>
                <w:lang w:val="es-ES"/>
              </w:rPr>
            </w:pPr>
            <w:r w:rsidRPr="005044F0">
              <w:rPr>
                <w:color w:val="000000"/>
                <w:sz w:val="20"/>
                <w:szCs w:val="20"/>
                <w:lang w:val="es-ES"/>
              </w:rPr>
              <w:t>.42***</w:t>
            </w:r>
          </w:p>
        </w:tc>
        <w:tc>
          <w:tcPr>
            <w:tcW w:w="1134" w:type="dxa"/>
            <w:tcBorders>
              <w:top w:val="nil"/>
              <w:left w:val="nil"/>
              <w:bottom w:val="nil"/>
              <w:right w:val="nil"/>
            </w:tcBorders>
            <w:shd w:val="clear" w:color="auto" w:fill="auto"/>
            <w:noWrap/>
            <w:vAlign w:val="center"/>
            <w:hideMark/>
          </w:tcPr>
          <w:p w14:paraId="7274E2D7" w14:textId="77777777" w:rsidR="0023076E" w:rsidRPr="005044F0" w:rsidRDefault="0023076E" w:rsidP="00324A07">
            <w:pPr>
              <w:jc w:val="center"/>
              <w:rPr>
                <w:color w:val="000000"/>
                <w:sz w:val="20"/>
                <w:szCs w:val="20"/>
                <w:lang w:val="es-ES"/>
              </w:rPr>
            </w:pPr>
          </w:p>
        </w:tc>
        <w:tc>
          <w:tcPr>
            <w:tcW w:w="1138" w:type="dxa"/>
            <w:tcBorders>
              <w:top w:val="nil"/>
              <w:left w:val="nil"/>
              <w:bottom w:val="nil"/>
              <w:right w:val="nil"/>
            </w:tcBorders>
            <w:vAlign w:val="center"/>
          </w:tcPr>
          <w:p w14:paraId="092F5130" w14:textId="77777777" w:rsidR="0023076E" w:rsidRPr="005044F0" w:rsidRDefault="0023076E" w:rsidP="00324A07">
            <w:pPr>
              <w:jc w:val="center"/>
              <w:rPr>
                <w:color w:val="000000"/>
                <w:sz w:val="20"/>
                <w:szCs w:val="20"/>
                <w:lang w:val="es-ES"/>
              </w:rPr>
            </w:pPr>
          </w:p>
        </w:tc>
      </w:tr>
      <w:tr w:rsidR="0023076E" w:rsidRPr="005044F0" w14:paraId="7AB31652" w14:textId="77777777" w:rsidTr="00324A07">
        <w:trPr>
          <w:trHeight w:val="320"/>
        </w:trPr>
        <w:tc>
          <w:tcPr>
            <w:tcW w:w="3380" w:type="dxa"/>
            <w:tcBorders>
              <w:top w:val="nil"/>
              <w:left w:val="nil"/>
              <w:bottom w:val="nil"/>
              <w:right w:val="nil"/>
            </w:tcBorders>
            <w:shd w:val="clear" w:color="auto" w:fill="auto"/>
            <w:noWrap/>
            <w:vAlign w:val="bottom"/>
            <w:hideMark/>
          </w:tcPr>
          <w:p w14:paraId="79914B8A" w14:textId="77777777" w:rsidR="0023076E" w:rsidRPr="005044F0" w:rsidRDefault="0023076E" w:rsidP="00324A07">
            <w:pPr>
              <w:rPr>
                <w:color w:val="000000"/>
                <w:sz w:val="20"/>
                <w:szCs w:val="20"/>
                <w:lang w:val="es-ES"/>
              </w:rPr>
            </w:pPr>
            <w:r w:rsidRPr="005044F0">
              <w:rPr>
                <w:color w:val="000000"/>
                <w:sz w:val="20"/>
                <w:szCs w:val="20"/>
                <w:lang w:val="es-ES"/>
              </w:rPr>
              <w:t xml:space="preserve">     Paso 2</w:t>
            </w:r>
          </w:p>
        </w:tc>
        <w:tc>
          <w:tcPr>
            <w:tcW w:w="1300" w:type="dxa"/>
            <w:tcBorders>
              <w:top w:val="nil"/>
              <w:left w:val="nil"/>
              <w:bottom w:val="nil"/>
              <w:right w:val="nil"/>
            </w:tcBorders>
            <w:shd w:val="clear" w:color="auto" w:fill="auto"/>
            <w:noWrap/>
            <w:vAlign w:val="center"/>
            <w:hideMark/>
          </w:tcPr>
          <w:p w14:paraId="560BDC40" w14:textId="77777777" w:rsidR="0023076E" w:rsidRPr="005044F0" w:rsidRDefault="0023076E" w:rsidP="00324A07">
            <w:pPr>
              <w:jc w:val="cente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200D6B7A" w14:textId="77777777" w:rsidR="0023076E" w:rsidRPr="005044F0" w:rsidRDefault="0023076E" w:rsidP="00324A07">
            <w:pPr>
              <w:jc w:val="center"/>
              <w:rPr>
                <w:sz w:val="20"/>
                <w:szCs w:val="20"/>
                <w:lang w:val="es-ES"/>
              </w:rPr>
            </w:pPr>
          </w:p>
        </w:tc>
        <w:tc>
          <w:tcPr>
            <w:tcW w:w="1108" w:type="dxa"/>
            <w:tcBorders>
              <w:top w:val="nil"/>
              <w:left w:val="nil"/>
              <w:bottom w:val="nil"/>
              <w:right w:val="nil"/>
            </w:tcBorders>
            <w:shd w:val="clear" w:color="auto" w:fill="auto"/>
            <w:noWrap/>
            <w:vAlign w:val="center"/>
            <w:hideMark/>
          </w:tcPr>
          <w:p w14:paraId="3DE0F432" w14:textId="77777777" w:rsidR="0023076E" w:rsidRPr="005044F0" w:rsidRDefault="0023076E" w:rsidP="00324A07">
            <w:pPr>
              <w:jc w:val="center"/>
              <w:rPr>
                <w:sz w:val="20"/>
                <w:szCs w:val="20"/>
                <w:lang w:val="es-ES"/>
              </w:rPr>
            </w:pPr>
          </w:p>
        </w:tc>
        <w:tc>
          <w:tcPr>
            <w:tcW w:w="1134" w:type="dxa"/>
            <w:tcBorders>
              <w:top w:val="nil"/>
              <w:left w:val="nil"/>
              <w:bottom w:val="nil"/>
              <w:right w:val="nil"/>
            </w:tcBorders>
            <w:shd w:val="clear" w:color="auto" w:fill="auto"/>
            <w:noWrap/>
            <w:vAlign w:val="center"/>
            <w:hideMark/>
          </w:tcPr>
          <w:p w14:paraId="7A0509F0" w14:textId="77777777" w:rsidR="0023076E" w:rsidRPr="005044F0" w:rsidRDefault="0023076E" w:rsidP="00324A07">
            <w:pPr>
              <w:jc w:val="center"/>
              <w:rPr>
                <w:color w:val="000000"/>
                <w:sz w:val="20"/>
                <w:szCs w:val="20"/>
                <w:lang w:val="es-ES"/>
              </w:rPr>
            </w:pPr>
            <w:r w:rsidRPr="005044F0">
              <w:rPr>
                <w:color w:val="000000"/>
                <w:sz w:val="20"/>
                <w:szCs w:val="20"/>
                <w:lang w:val="es-ES"/>
              </w:rPr>
              <w:t>.28</w:t>
            </w:r>
          </w:p>
        </w:tc>
        <w:tc>
          <w:tcPr>
            <w:tcW w:w="1138" w:type="dxa"/>
            <w:tcBorders>
              <w:top w:val="nil"/>
              <w:left w:val="nil"/>
              <w:bottom w:val="nil"/>
              <w:right w:val="nil"/>
            </w:tcBorders>
            <w:vAlign w:val="center"/>
          </w:tcPr>
          <w:p w14:paraId="2E5B2BFB" w14:textId="77777777" w:rsidR="0023076E" w:rsidRPr="005044F0" w:rsidRDefault="0023076E" w:rsidP="00324A07">
            <w:pPr>
              <w:jc w:val="center"/>
              <w:rPr>
                <w:color w:val="000000"/>
                <w:sz w:val="20"/>
                <w:szCs w:val="20"/>
                <w:lang w:val="es-ES"/>
              </w:rPr>
            </w:pPr>
            <w:r w:rsidRPr="005044F0">
              <w:rPr>
                <w:color w:val="000000"/>
                <w:sz w:val="20"/>
                <w:szCs w:val="20"/>
                <w:lang w:val="es-ES"/>
              </w:rPr>
              <w:t>25.14***</w:t>
            </w:r>
          </w:p>
        </w:tc>
      </w:tr>
      <w:tr w:rsidR="0023076E" w:rsidRPr="005044F0" w14:paraId="64780F67" w14:textId="77777777" w:rsidTr="00324A07">
        <w:trPr>
          <w:trHeight w:val="320"/>
        </w:trPr>
        <w:tc>
          <w:tcPr>
            <w:tcW w:w="3380" w:type="dxa"/>
            <w:tcBorders>
              <w:top w:val="nil"/>
              <w:left w:val="nil"/>
              <w:bottom w:val="nil"/>
              <w:right w:val="nil"/>
            </w:tcBorders>
            <w:shd w:val="clear" w:color="auto" w:fill="auto"/>
            <w:noWrap/>
            <w:vAlign w:val="bottom"/>
            <w:hideMark/>
          </w:tcPr>
          <w:p w14:paraId="436C3556" w14:textId="77777777" w:rsidR="0023076E" w:rsidRPr="005044F0" w:rsidRDefault="0023076E" w:rsidP="00324A07">
            <w:pPr>
              <w:rPr>
                <w:color w:val="000000"/>
                <w:sz w:val="20"/>
                <w:szCs w:val="20"/>
                <w:lang w:val="es-ES"/>
              </w:rPr>
            </w:pPr>
            <w:r w:rsidRPr="005044F0">
              <w:rPr>
                <w:color w:val="000000"/>
                <w:sz w:val="20"/>
                <w:szCs w:val="20"/>
                <w:lang w:val="es-ES"/>
              </w:rPr>
              <w:t xml:space="preserve">        Aceptación y crecimiento personal</w:t>
            </w:r>
          </w:p>
        </w:tc>
        <w:tc>
          <w:tcPr>
            <w:tcW w:w="1300" w:type="dxa"/>
            <w:tcBorders>
              <w:top w:val="nil"/>
              <w:left w:val="nil"/>
              <w:bottom w:val="nil"/>
              <w:right w:val="nil"/>
            </w:tcBorders>
            <w:shd w:val="clear" w:color="auto" w:fill="auto"/>
            <w:noWrap/>
            <w:vAlign w:val="center"/>
            <w:hideMark/>
          </w:tcPr>
          <w:p w14:paraId="2946ED4D" w14:textId="77777777" w:rsidR="0023076E" w:rsidRPr="005044F0" w:rsidRDefault="0023076E" w:rsidP="00324A07">
            <w:pPr>
              <w:jc w:val="center"/>
              <w:rPr>
                <w:color w:val="000000"/>
                <w:sz w:val="20"/>
                <w:szCs w:val="20"/>
                <w:lang w:val="es-ES"/>
              </w:rPr>
            </w:pPr>
            <w:r w:rsidRPr="005044F0">
              <w:rPr>
                <w:color w:val="000000"/>
                <w:sz w:val="20"/>
                <w:szCs w:val="20"/>
                <w:lang w:val="es-ES"/>
              </w:rPr>
              <w:t>0.71</w:t>
            </w:r>
          </w:p>
        </w:tc>
        <w:tc>
          <w:tcPr>
            <w:tcW w:w="1300" w:type="dxa"/>
            <w:tcBorders>
              <w:top w:val="nil"/>
              <w:left w:val="nil"/>
              <w:bottom w:val="nil"/>
              <w:right w:val="nil"/>
            </w:tcBorders>
            <w:shd w:val="clear" w:color="auto" w:fill="auto"/>
            <w:noWrap/>
            <w:vAlign w:val="center"/>
            <w:hideMark/>
          </w:tcPr>
          <w:p w14:paraId="210A5A46" w14:textId="77777777" w:rsidR="0023076E" w:rsidRPr="005044F0" w:rsidRDefault="0023076E" w:rsidP="00324A07">
            <w:pPr>
              <w:jc w:val="center"/>
              <w:rPr>
                <w:color w:val="000000"/>
                <w:sz w:val="20"/>
                <w:szCs w:val="20"/>
                <w:lang w:val="es-ES"/>
              </w:rPr>
            </w:pPr>
            <w:r w:rsidRPr="005044F0">
              <w:rPr>
                <w:color w:val="000000"/>
                <w:sz w:val="20"/>
                <w:szCs w:val="20"/>
                <w:lang w:val="es-ES"/>
              </w:rPr>
              <w:t>0.12</w:t>
            </w:r>
          </w:p>
        </w:tc>
        <w:tc>
          <w:tcPr>
            <w:tcW w:w="1108" w:type="dxa"/>
            <w:tcBorders>
              <w:top w:val="nil"/>
              <w:left w:val="nil"/>
              <w:bottom w:val="nil"/>
              <w:right w:val="nil"/>
            </w:tcBorders>
            <w:shd w:val="clear" w:color="auto" w:fill="auto"/>
            <w:noWrap/>
            <w:vAlign w:val="center"/>
            <w:hideMark/>
          </w:tcPr>
          <w:p w14:paraId="2535E4DB" w14:textId="77777777" w:rsidR="0023076E" w:rsidRPr="005044F0" w:rsidRDefault="0023076E" w:rsidP="00324A07">
            <w:pPr>
              <w:jc w:val="center"/>
              <w:rPr>
                <w:color w:val="000000"/>
                <w:sz w:val="20"/>
                <w:szCs w:val="20"/>
                <w:lang w:val="es-ES"/>
              </w:rPr>
            </w:pPr>
            <w:r w:rsidRPr="005044F0">
              <w:rPr>
                <w:color w:val="000000"/>
                <w:sz w:val="20"/>
                <w:szCs w:val="20"/>
                <w:lang w:val="es-ES"/>
              </w:rPr>
              <w:t>.46***</w:t>
            </w:r>
          </w:p>
        </w:tc>
        <w:tc>
          <w:tcPr>
            <w:tcW w:w="1134" w:type="dxa"/>
            <w:tcBorders>
              <w:top w:val="nil"/>
              <w:left w:val="nil"/>
              <w:bottom w:val="nil"/>
              <w:right w:val="nil"/>
            </w:tcBorders>
            <w:shd w:val="clear" w:color="auto" w:fill="auto"/>
            <w:noWrap/>
            <w:vAlign w:val="center"/>
            <w:hideMark/>
          </w:tcPr>
          <w:p w14:paraId="1F996C98" w14:textId="77777777" w:rsidR="0023076E" w:rsidRPr="005044F0" w:rsidRDefault="0023076E" w:rsidP="00324A07">
            <w:pPr>
              <w:jc w:val="center"/>
              <w:rPr>
                <w:color w:val="000000"/>
                <w:sz w:val="20"/>
                <w:szCs w:val="20"/>
                <w:lang w:val="es-ES"/>
              </w:rPr>
            </w:pPr>
          </w:p>
        </w:tc>
        <w:tc>
          <w:tcPr>
            <w:tcW w:w="1138" w:type="dxa"/>
            <w:tcBorders>
              <w:top w:val="nil"/>
              <w:left w:val="nil"/>
              <w:bottom w:val="nil"/>
              <w:right w:val="nil"/>
            </w:tcBorders>
            <w:vAlign w:val="center"/>
          </w:tcPr>
          <w:p w14:paraId="5BE7BE30" w14:textId="77777777" w:rsidR="0023076E" w:rsidRPr="005044F0" w:rsidRDefault="0023076E" w:rsidP="00324A07">
            <w:pPr>
              <w:jc w:val="center"/>
              <w:rPr>
                <w:color w:val="000000"/>
                <w:sz w:val="20"/>
                <w:szCs w:val="20"/>
                <w:lang w:val="es-ES"/>
              </w:rPr>
            </w:pPr>
          </w:p>
        </w:tc>
      </w:tr>
      <w:tr w:rsidR="0023076E" w:rsidRPr="005044F0" w14:paraId="53169E27" w14:textId="77777777" w:rsidTr="00324A07">
        <w:trPr>
          <w:trHeight w:val="320"/>
        </w:trPr>
        <w:tc>
          <w:tcPr>
            <w:tcW w:w="3380" w:type="dxa"/>
            <w:tcBorders>
              <w:top w:val="nil"/>
              <w:left w:val="nil"/>
              <w:bottom w:val="nil"/>
              <w:right w:val="nil"/>
            </w:tcBorders>
            <w:shd w:val="clear" w:color="auto" w:fill="auto"/>
            <w:noWrap/>
            <w:vAlign w:val="bottom"/>
            <w:hideMark/>
          </w:tcPr>
          <w:p w14:paraId="6CF3C5B2" w14:textId="77777777" w:rsidR="0023076E" w:rsidRPr="005044F0" w:rsidRDefault="0023076E" w:rsidP="00324A07">
            <w:pPr>
              <w:rPr>
                <w:color w:val="000000"/>
                <w:sz w:val="20"/>
                <w:szCs w:val="20"/>
                <w:lang w:val="es-ES"/>
              </w:rPr>
            </w:pPr>
            <w:r w:rsidRPr="005044F0">
              <w:rPr>
                <w:color w:val="000000"/>
                <w:sz w:val="20"/>
                <w:szCs w:val="20"/>
                <w:lang w:val="es-ES"/>
              </w:rPr>
              <w:t xml:space="preserve">        Refrenar el afrontamiento</w:t>
            </w:r>
          </w:p>
        </w:tc>
        <w:tc>
          <w:tcPr>
            <w:tcW w:w="1300" w:type="dxa"/>
            <w:tcBorders>
              <w:top w:val="nil"/>
              <w:left w:val="nil"/>
              <w:bottom w:val="nil"/>
              <w:right w:val="nil"/>
            </w:tcBorders>
            <w:shd w:val="clear" w:color="auto" w:fill="auto"/>
            <w:noWrap/>
            <w:vAlign w:val="center"/>
            <w:hideMark/>
          </w:tcPr>
          <w:p w14:paraId="5EF4315A" w14:textId="77777777" w:rsidR="0023076E" w:rsidRPr="005044F0" w:rsidRDefault="0023076E" w:rsidP="00324A07">
            <w:pPr>
              <w:jc w:val="center"/>
              <w:rPr>
                <w:color w:val="000000"/>
                <w:sz w:val="20"/>
                <w:szCs w:val="20"/>
                <w:lang w:val="es-ES"/>
              </w:rPr>
            </w:pPr>
            <w:r w:rsidRPr="005044F0">
              <w:rPr>
                <w:color w:val="000000"/>
                <w:sz w:val="20"/>
                <w:szCs w:val="20"/>
                <w:lang w:val="es-ES"/>
              </w:rPr>
              <w:t>-0.42</w:t>
            </w:r>
          </w:p>
        </w:tc>
        <w:tc>
          <w:tcPr>
            <w:tcW w:w="1300" w:type="dxa"/>
            <w:tcBorders>
              <w:top w:val="nil"/>
              <w:left w:val="nil"/>
              <w:bottom w:val="nil"/>
              <w:right w:val="nil"/>
            </w:tcBorders>
            <w:shd w:val="clear" w:color="auto" w:fill="auto"/>
            <w:noWrap/>
            <w:vAlign w:val="center"/>
            <w:hideMark/>
          </w:tcPr>
          <w:p w14:paraId="591634EB" w14:textId="77777777" w:rsidR="0023076E" w:rsidRPr="005044F0" w:rsidRDefault="0023076E" w:rsidP="00324A07">
            <w:pPr>
              <w:jc w:val="center"/>
              <w:rPr>
                <w:color w:val="000000"/>
                <w:sz w:val="20"/>
                <w:szCs w:val="20"/>
                <w:lang w:val="es-ES"/>
              </w:rPr>
            </w:pPr>
            <w:r w:rsidRPr="005044F0">
              <w:rPr>
                <w:color w:val="000000"/>
                <w:sz w:val="20"/>
                <w:szCs w:val="20"/>
                <w:lang w:val="es-ES"/>
              </w:rPr>
              <w:t>0.10</w:t>
            </w:r>
          </w:p>
        </w:tc>
        <w:tc>
          <w:tcPr>
            <w:tcW w:w="1108" w:type="dxa"/>
            <w:tcBorders>
              <w:top w:val="nil"/>
              <w:left w:val="nil"/>
              <w:bottom w:val="nil"/>
              <w:right w:val="nil"/>
            </w:tcBorders>
            <w:shd w:val="clear" w:color="auto" w:fill="auto"/>
            <w:noWrap/>
            <w:vAlign w:val="center"/>
            <w:hideMark/>
          </w:tcPr>
          <w:p w14:paraId="43F8F270" w14:textId="77777777" w:rsidR="0023076E" w:rsidRPr="005044F0" w:rsidRDefault="0023076E" w:rsidP="00324A07">
            <w:pPr>
              <w:jc w:val="center"/>
              <w:rPr>
                <w:color w:val="000000"/>
                <w:sz w:val="20"/>
                <w:szCs w:val="20"/>
                <w:lang w:val="es-ES"/>
              </w:rPr>
            </w:pPr>
            <w:r w:rsidRPr="005044F0">
              <w:rPr>
                <w:color w:val="000000"/>
                <w:sz w:val="20"/>
                <w:szCs w:val="20"/>
                <w:lang w:val="es-ES"/>
              </w:rPr>
              <w:t>-0.32***</w:t>
            </w:r>
          </w:p>
        </w:tc>
        <w:tc>
          <w:tcPr>
            <w:tcW w:w="1134" w:type="dxa"/>
            <w:tcBorders>
              <w:top w:val="nil"/>
              <w:left w:val="nil"/>
              <w:bottom w:val="nil"/>
              <w:right w:val="nil"/>
            </w:tcBorders>
            <w:shd w:val="clear" w:color="auto" w:fill="auto"/>
            <w:noWrap/>
            <w:vAlign w:val="center"/>
            <w:hideMark/>
          </w:tcPr>
          <w:p w14:paraId="40798F13" w14:textId="77777777" w:rsidR="0023076E" w:rsidRPr="005044F0" w:rsidRDefault="0023076E" w:rsidP="00324A07">
            <w:pPr>
              <w:jc w:val="center"/>
              <w:rPr>
                <w:color w:val="000000"/>
                <w:sz w:val="20"/>
                <w:szCs w:val="20"/>
                <w:lang w:val="es-ES"/>
              </w:rPr>
            </w:pPr>
          </w:p>
        </w:tc>
        <w:tc>
          <w:tcPr>
            <w:tcW w:w="1138" w:type="dxa"/>
            <w:tcBorders>
              <w:top w:val="nil"/>
              <w:left w:val="nil"/>
              <w:bottom w:val="nil"/>
              <w:right w:val="nil"/>
            </w:tcBorders>
            <w:vAlign w:val="center"/>
          </w:tcPr>
          <w:p w14:paraId="1272A452" w14:textId="77777777" w:rsidR="0023076E" w:rsidRPr="005044F0" w:rsidRDefault="0023076E" w:rsidP="00324A07">
            <w:pPr>
              <w:jc w:val="center"/>
              <w:rPr>
                <w:color w:val="000000"/>
                <w:sz w:val="20"/>
                <w:szCs w:val="20"/>
                <w:lang w:val="es-ES"/>
              </w:rPr>
            </w:pPr>
          </w:p>
        </w:tc>
      </w:tr>
      <w:tr w:rsidR="0023076E" w:rsidRPr="005044F0" w14:paraId="162642C3" w14:textId="77777777" w:rsidTr="00324A07">
        <w:trPr>
          <w:trHeight w:val="320"/>
        </w:trPr>
        <w:tc>
          <w:tcPr>
            <w:tcW w:w="3380" w:type="dxa"/>
            <w:tcBorders>
              <w:top w:val="nil"/>
              <w:left w:val="nil"/>
              <w:bottom w:val="nil"/>
              <w:right w:val="nil"/>
            </w:tcBorders>
            <w:shd w:val="clear" w:color="auto" w:fill="auto"/>
            <w:noWrap/>
            <w:vAlign w:val="bottom"/>
            <w:hideMark/>
          </w:tcPr>
          <w:p w14:paraId="25BE1922" w14:textId="77777777" w:rsidR="0023076E" w:rsidRPr="005044F0" w:rsidRDefault="0023076E" w:rsidP="00324A07">
            <w:pPr>
              <w:rPr>
                <w:color w:val="000000"/>
                <w:sz w:val="20"/>
                <w:szCs w:val="20"/>
                <w:lang w:val="es-ES"/>
              </w:rPr>
            </w:pPr>
            <w:r w:rsidRPr="005044F0">
              <w:rPr>
                <w:color w:val="000000"/>
                <w:sz w:val="20"/>
                <w:szCs w:val="20"/>
                <w:lang w:val="es-ES"/>
              </w:rPr>
              <w:t xml:space="preserve">     Paso 3</w:t>
            </w:r>
          </w:p>
        </w:tc>
        <w:tc>
          <w:tcPr>
            <w:tcW w:w="1300" w:type="dxa"/>
            <w:tcBorders>
              <w:top w:val="nil"/>
              <w:left w:val="nil"/>
              <w:bottom w:val="nil"/>
              <w:right w:val="nil"/>
            </w:tcBorders>
            <w:shd w:val="clear" w:color="auto" w:fill="auto"/>
            <w:noWrap/>
            <w:vAlign w:val="center"/>
            <w:hideMark/>
          </w:tcPr>
          <w:p w14:paraId="08D6F476" w14:textId="77777777" w:rsidR="0023076E" w:rsidRPr="005044F0" w:rsidRDefault="0023076E" w:rsidP="00324A07">
            <w:pPr>
              <w:jc w:val="cente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396D14CE" w14:textId="77777777" w:rsidR="0023076E" w:rsidRPr="005044F0" w:rsidRDefault="0023076E" w:rsidP="00324A07">
            <w:pPr>
              <w:jc w:val="center"/>
              <w:rPr>
                <w:sz w:val="20"/>
                <w:szCs w:val="20"/>
                <w:lang w:val="es-ES"/>
              </w:rPr>
            </w:pPr>
          </w:p>
        </w:tc>
        <w:tc>
          <w:tcPr>
            <w:tcW w:w="1108" w:type="dxa"/>
            <w:tcBorders>
              <w:top w:val="nil"/>
              <w:left w:val="nil"/>
              <w:bottom w:val="nil"/>
              <w:right w:val="nil"/>
            </w:tcBorders>
            <w:shd w:val="clear" w:color="auto" w:fill="auto"/>
            <w:noWrap/>
            <w:vAlign w:val="center"/>
            <w:hideMark/>
          </w:tcPr>
          <w:p w14:paraId="28C3F6AF" w14:textId="77777777" w:rsidR="0023076E" w:rsidRPr="005044F0" w:rsidRDefault="0023076E" w:rsidP="00324A07">
            <w:pPr>
              <w:jc w:val="center"/>
              <w:rPr>
                <w:sz w:val="20"/>
                <w:szCs w:val="20"/>
                <w:lang w:val="es-ES"/>
              </w:rPr>
            </w:pPr>
          </w:p>
        </w:tc>
        <w:tc>
          <w:tcPr>
            <w:tcW w:w="1134" w:type="dxa"/>
            <w:tcBorders>
              <w:top w:val="nil"/>
              <w:left w:val="nil"/>
              <w:bottom w:val="nil"/>
              <w:right w:val="nil"/>
            </w:tcBorders>
            <w:shd w:val="clear" w:color="auto" w:fill="auto"/>
            <w:noWrap/>
            <w:vAlign w:val="center"/>
            <w:hideMark/>
          </w:tcPr>
          <w:p w14:paraId="00DB54DF" w14:textId="77777777" w:rsidR="0023076E" w:rsidRPr="005044F0" w:rsidRDefault="0023076E" w:rsidP="00324A07">
            <w:pPr>
              <w:jc w:val="center"/>
              <w:rPr>
                <w:color w:val="000000"/>
                <w:sz w:val="20"/>
                <w:szCs w:val="20"/>
                <w:lang w:val="es-ES"/>
              </w:rPr>
            </w:pPr>
            <w:r w:rsidRPr="005044F0">
              <w:rPr>
                <w:color w:val="000000"/>
                <w:sz w:val="20"/>
                <w:szCs w:val="20"/>
                <w:lang w:val="es-ES"/>
              </w:rPr>
              <w:t>.31</w:t>
            </w:r>
          </w:p>
        </w:tc>
        <w:tc>
          <w:tcPr>
            <w:tcW w:w="1138" w:type="dxa"/>
            <w:tcBorders>
              <w:top w:val="nil"/>
              <w:left w:val="nil"/>
              <w:bottom w:val="nil"/>
              <w:right w:val="nil"/>
            </w:tcBorders>
            <w:vAlign w:val="center"/>
          </w:tcPr>
          <w:p w14:paraId="79539273" w14:textId="77777777" w:rsidR="0023076E" w:rsidRPr="005044F0" w:rsidRDefault="0023076E" w:rsidP="00324A07">
            <w:pPr>
              <w:jc w:val="center"/>
              <w:rPr>
                <w:color w:val="000000"/>
                <w:sz w:val="20"/>
                <w:szCs w:val="20"/>
                <w:lang w:val="es-ES"/>
              </w:rPr>
            </w:pPr>
            <w:r w:rsidRPr="005044F0">
              <w:rPr>
                <w:color w:val="000000"/>
                <w:sz w:val="20"/>
                <w:szCs w:val="20"/>
                <w:lang w:val="es-ES"/>
              </w:rPr>
              <w:t>19.53***</w:t>
            </w:r>
          </w:p>
        </w:tc>
      </w:tr>
      <w:tr w:rsidR="0023076E" w:rsidRPr="005044F0" w14:paraId="1A05EC17" w14:textId="77777777" w:rsidTr="00324A07">
        <w:trPr>
          <w:trHeight w:val="320"/>
        </w:trPr>
        <w:tc>
          <w:tcPr>
            <w:tcW w:w="3380" w:type="dxa"/>
            <w:tcBorders>
              <w:top w:val="nil"/>
              <w:left w:val="nil"/>
              <w:bottom w:val="nil"/>
              <w:right w:val="nil"/>
            </w:tcBorders>
            <w:shd w:val="clear" w:color="auto" w:fill="auto"/>
            <w:noWrap/>
            <w:vAlign w:val="bottom"/>
            <w:hideMark/>
          </w:tcPr>
          <w:p w14:paraId="54DBF0F4" w14:textId="77777777" w:rsidR="0023076E" w:rsidRPr="005044F0" w:rsidRDefault="0023076E" w:rsidP="00324A07">
            <w:pPr>
              <w:rPr>
                <w:color w:val="000000"/>
                <w:sz w:val="20"/>
                <w:szCs w:val="20"/>
                <w:lang w:val="es-ES"/>
              </w:rPr>
            </w:pPr>
            <w:r w:rsidRPr="005044F0">
              <w:rPr>
                <w:color w:val="000000"/>
                <w:sz w:val="20"/>
                <w:szCs w:val="20"/>
                <w:lang w:val="es-ES"/>
              </w:rPr>
              <w:t xml:space="preserve">        Aceptación y crecimiento personal</w:t>
            </w:r>
          </w:p>
        </w:tc>
        <w:tc>
          <w:tcPr>
            <w:tcW w:w="1300" w:type="dxa"/>
            <w:tcBorders>
              <w:top w:val="nil"/>
              <w:left w:val="nil"/>
              <w:bottom w:val="nil"/>
              <w:right w:val="nil"/>
            </w:tcBorders>
            <w:shd w:val="clear" w:color="auto" w:fill="auto"/>
            <w:noWrap/>
            <w:vAlign w:val="center"/>
            <w:hideMark/>
          </w:tcPr>
          <w:p w14:paraId="14B7B0BC" w14:textId="77777777" w:rsidR="0023076E" w:rsidRPr="005044F0" w:rsidRDefault="0023076E" w:rsidP="00324A07">
            <w:pPr>
              <w:jc w:val="center"/>
              <w:rPr>
                <w:color w:val="000000"/>
                <w:sz w:val="20"/>
                <w:szCs w:val="20"/>
                <w:lang w:val="es-ES"/>
              </w:rPr>
            </w:pPr>
            <w:r w:rsidRPr="005044F0">
              <w:rPr>
                <w:color w:val="000000"/>
                <w:sz w:val="20"/>
                <w:szCs w:val="20"/>
                <w:lang w:val="es-ES"/>
              </w:rPr>
              <w:t>0.68</w:t>
            </w:r>
          </w:p>
        </w:tc>
        <w:tc>
          <w:tcPr>
            <w:tcW w:w="1300" w:type="dxa"/>
            <w:tcBorders>
              <w:top w:val="nil"/>
              <w:left w:val="nil"/>
              <w:bottom w:val="nil"/>
              <w:right w:val="nil"/>
            </w:tcBorders>
            <w:shd w:val="clear" w:color="auto" w:fill="auto"/>
            <w:noWrap/>
            <w:vAlign w:val="center"/>
            <w:hideMark/>
          </w:tcPr>
          <w:p w14:paraId="6603EBF2" w14:textId="77777777" w:rsidR="0023076E" w:rsidRPr="005044F0" w:rsidRDefault="0023076E" w:rsidP="00324A07">
            <w:pPr>
              <w:jc w:val="center"/>
              <w:rPr>
                <w:color w:val="000000"/>
                <w:sz w:val="20"/>
                <w:szCs w:val="20"/>
                <w:lang w:val="es-ES"/>
              </w:rPr>
            </w:pPr>
            <w:r w:rsidRPr="005044F0">
              <w:rPr>
                <w:color w:val="000000"/>
                <w:sz w:val="20"/>
                <w:szCs w:val="20"/>
                <w:lang w:val="es-ES"/>
              </w:rPr>
              <w:t>0.12</w:t>
            </w:r>
          </w:p>
        </w:tc>
        <w:tc>
          <w:tcPr>
            <w:tcW w:w="1108" w:type="dxa"/>
            <w:tcBorders>
              <w:top w:val="nil"/>
              <w:left w:val="nil"/>
              <w:bottom w:val="nil"/>
              <w:right w:val="nil"/>
            </w:tcBorders>
            <w:shd w:val="clear" w:color="auto" w:fill="auto"/>
            <w:noWrap/>
            <w:vAlign w:val="center"/>
            <w:hideMark/>
          </w:tcPr>
          <w:p w14:paraId="3F7F7FFA" w14:textId="77777777" w:rsidR="0023076E" w:rsidRPr="005044F0" w:rsidRDefault="0023076E" w:rsidP="00324A07">
            <w:pPr>
              <w:jc w:val="center"/>
              <w:rPr>
                <w:color w:val="000000"/>
                <w:sz w:val="20"/>
                <w:szCs w:val="20"/>
                <w:lang w:val="es-ES"/>
              </w:rPr>
            </w:pPr>
            <w:r w:rsidRPr="005044F0">
              <w:rPr>
                <w:color w:val="000000"/>
                <w:sz w:val="20"/>
                <w:szCs w:val="20"/>
                <w:lang w:val="es-ES"/>
              </w:rPr>
              <w:t>.43***</w:t>
            </w:r>
          </w:p>
        </w:tc>
        <w:tc>
          <w:tcPr>
            <w:tcW w:w="1134" w:type="dxa"/>
            <w:tcBorders>
              <w:top w:val="nil"/>
              <w:left w:val="nil"/>
              <w:bottom w:val="nil"/>
              <w:right w:val="nil"/>
            </w:tcBorders>
            <w:shd w:val="clear" w:color="auto" w:fill="auto"/>
            <w:noWrap/>
            <w:vAlign w:val="center"/>
            <w:hideMark/>
          </w:tcPr>
          <w:p w14:paraId="195D643A" w14:textId="77777777" w:rsidR="0023076E" w:rsidRPr="005044F0" w:rsidRDefault="0023076E" w:rsidP="00324A07">
            <w:pPr>
              <w:jc w:val="center"/>
              <w:rPr>
                <w:color w:val="000000"/>
                <w:sz w:val="20"/>
                <w:szCs w:val="20"/>
                <w:lang w:val="es-ES"/>
              </w:rPr>
            </w:pPr>
          </w:p>
        </w:tc>
        <w:tc>
          <w:tcPr>
            <w:tcW w:w="1138" w:type="dxa"/>
            <w:tcBorders>
              <w:top w:val="nil"/>
              <w:left w:val="nil"/>
              <w:bottom w:val="nil"/>
              <w:right w:val="nil"/>
            </w:tcBorders>
            <w:vAlign w:val="center"/>
          </w:tcPr>
          <w:p w14:paraId="2EDAC6B5" w14:textId="77777777" w:rsidR="0023076E" w:rsidRPr="005044F0" w:rsidRDefault="0023076E" w:rsidP="00324A07">
            <w:pPr>
              <w:jc w:val="center"/>
              <w:rPr>
                <w:color w:val="000000"/>
                <w:sz w:val="20"/>
                <w:szCs w:val="20"/>
                <w:lang w:val="es-ES"/>
              </w:rPr>
            </w:pPr>
          </w:p>
        </w:tc>
      </w:tr>
      <w:tr w:rsidR="0023076E" w:rsidRPr="005044F0" w14:paraId="113173A2" w14:textId="77777777" w:rsidTr="00324A07">
        <w:trPr>
          <w:trHeight w:val="320"/>
        </w:trPr>
        <w:tc>
          <w:tcPr>
            <w:tcW w:w="3380" w:type="dxa"/>
            <w:tcBorders>
              <w:top w:val="nil"/>
              <w:left w:val="nil"/>
              <w:bottom w:val="nil"/>
              <w:right w:val="nil"/>
            </w:tcBorders>
            <w:shd w:val="clear" w:color="auto" w:fill="auto"/>
            <w:noWrap/>
            <w:vAlign w:val="bottom"/>
            <w:hideMark/>
          </w:tcPr>
          <w:p w14:paraId="703EFC21" w14:textId="77777777" w:rsidR="0023076E" w:rsidRPr="005044F0" w:rsidRDefault="0023076E" w:rsidP="00324A07">
            <w:pPr>
              <w:rPr>
                <w:color w:val="000000"/>
                <w:sz w:val="20"/>
                <w:szCs w:val="20"/>
                <w:lang w:val="es-ES"/>
              </w:rPr>
            </w:pPr>
            <w:r w:rsidRPr="005044F0">
              <w:rPr>
                <w:color w:val="000000"/>
                <w:sz w:val="20"/>
                <w:szCs w:val="20"/>
                <w:lang w:val="es-ES"/>
              </w:rPr>
              <w:t xml:space="preserve">        Refrenar el afrontamiento</w:t>
            </w:r>
          </w:p>
        </w:tc>
        <w:tc>
          <w:tcPr>
            <w:tcW w:w="1300" w:type="dxa"/>
            <w:tcBorders>
              <w:top w:val="nil"/>
              <w:left w:val="nil"/>
              <w:bottom w:val="nil"/>
              <w:right w:val="nil"/>
            </w:tcBorders>
            <w:shd w:val="clear" w:color="auto" w:fill="auto"/>
            <w:noWrap/>
            <w:vAlign w:val="center"/>
            <w:hideMark/>
          </w:tcPr>
          <w:p w14:paraId="3B5B6CA8" w14:textId="77777777" w:rsidR="0023076E" w:rsidRPr="005044F0" w:rsidRDefault="0023076E" w:rsidP="00324A07">
            <w:pPr>
              <w:jc w:val="center"/>
              <w:rPr>
                <w:color w:val="000000"/>
                <w:sz w:val="20"/>
                <w:szCs w:val="20"/>
                <w:lang w:val="es-ES"/>
              </w:rPr>
            </w:pPr>
            <w:r w:rsidRPr="005044F0">
              <w:rPr>
                <w:color w:val="000000"/>
                <w:sz w:val="20"/>
                <w:szCs w:val="20"/>
                <w:lang w:val="es-ES"/>
              </w:rPr>
              <w:t>-0.32</w:t>
            </w:r>
          </w:p>
        </w:tc>
        <w:tc>
          <w:tcPr>
            <w:tcW w:w="1300" w:type="dxa"/>
            <w:tcBorders>
              <w:top w:val="nil"/>
              <w:left w:val="nil"/>
              <w:bottom w:val="nil"/>
              <w:right w:val="nil"/>
            </w:tcBorders>
            <w:shd w:val="clear" w:color="auto" w:fill="auto"/>
            <w:noWrap/>
            <w:vAlign w:val="center"/>
            <w:hideMark/>
          </w:tcPr>
          <w:p w14:paraId="3D644DCF" w14:textId="77777777" w:rsidR="0023076E" w:rsidRPr="005044F0" w:rsidRDefault="0023076E" w:rsidP="00324A07">
            <w:pPr>
              <w:jc w:val="center"/>
              <w:rPr>
                <w:color w:val="000000"/>
                <w:sz w:val="20"/>
                <w:szCs w:val="20"/>
                <w:lang w:val="es-ES"/>
              </w:rPr>
            </w:pPr>
            <w:r w:rsidRPr="005044F0">
              <w:rPr>
                <w:color w:val="000000"/>
                <w:sz w:val="20"/>
                <w:szCs w:val="20"/>
                <w:lang w:val="es-ES"/>
              </w:rPr>
              <w:t>0.11</w:t>
            </w:r>
          </w:p>
        </w:tc>
        <w:tc>
          <w:tcPr>
            <w:tcW w:w="1108" w:type="dxa"/>
            <w:tcBorders>
              <w:top w:val="nil"/>
              <w:left w:val="nil"/>
              <w:bottom w:val="nil"/>
              <w:right w:val="nil"/>
            </w:tcBorders>
            <w:shd w:val="clear" w:color="auto" w:fill="auto"/>
            <w:noWrap/>
            <w:vAlign w:val="center"/>
            <w:hideMark/>
          </w:tcPr>
          <w:p w14:paraId="4C09E3CD" w14:textId="77777777" w:rsidR="0023076E" w:rsidRPr="005044F0" w:rsidRDefault="0023076E" w:rsidP="00324A07">
            <w:pPr>
              <w:jc w:val="center"/>
              <w:rPr>
                <w:color w:val="000000"/>
                <w:sz w:val="20"/>
                <w:szCs w:val="20"/>
                <w:lang w:val="es-ES"/>
              </w:rPr>
            </w:pPr>
            <w:r w:rsidRPr="005044F0">
              <w:rPr>
                <w:color w:val="000000"/>
                <w:sz w:val="20"/>
                <w:szCs w:val="20"/>
                <w:lang w:val="es-ES"/>
              </w:rPr>
              <w:t>-.24**</w:t>
            </w:r>
          </w:p>
        </w:tc>
        <w:tc>
          <w:tcPr>
            <w:tcW w:w="1134" w:type="dxa"/>
            <w:tcBorders>
              <w:top w:val="nil"/>
              <w:left w:val="nil"/>
              <w:bottom w:val="nil"/>
              <w:right w:val="nil"/>
            </w:tcBorders>
            <w:shd w:val="clear" w:color="auto" w:fill="auto"/>
            <w:noWrap/>
            <w:vAlign w:val="center"/>
            <w:hideMark/>
          </w:tcPr>
          <w:p w14:paraId="32751500" w14:textId="77777777" w:rsidR="0023076E" w:rsidRPr="005044F0" w:rsidRDefault="0023076E" w:rsidP="00324A07">
            <w:pPr>
              <w:jc w:val="center"/>
              <w:rPr>
                <w:color w:val="000000"/>
                <w:sz w:val="20"/>
                <w:szCs w:val="20"/>
                <w:lang w:val="es-ES"/>
              </w:rPr>
            </w:pPr>
          </w:p>
        </w:tc>
        <w:tc>
          <w:tcPr>
            <w:tcW w:w="1138" w:type="dxa"/>
            <w:tcBorders>
              <w:top w:val="nil"/>
              <w:left w:val="nil"/>
              <w:bottom w:val="nil"/>
              <w:right w:val="nil"/>
            </w:tcBorders>
            <w:vAlign w:val="center"/>
          </w:tcPr>
          <w:p w14:paraId="50B37F8F" w14:textId="77777777" w:rsidR="0023076E" w:rsidRPr="005044F0" w:rsidRDefault="0023076E" w:rsidP="00324A07">
            <w:pPr>
              <w:jc w:val="center"/>
              <w:rPr>
                <w:color w:val="000000"/>
                <w:sz w:val="20"/>
                <w:szCs w:val="20"/>
                <w:lang w:val="es-ES"/>
              </w:rPr>
            </w:pPr>
          </w:p>
        </w:tc>
      </w:tr>
      <w:tr w:rsidR="0023076E" w:rsidRPr="005044F0" w14:paraId="5B2BFAE7" w14:textId="77777777" w:rsidTr="00324A07">
        <w:trPr>
          <w:trHeight w:val="320"/>
        </w:trPr>
        <w:tc>
          <w:tcPr>
            <w:tcW w:w="3380" w:type="dxa"/>
            <w:tcBorders>
              <w:top w:val="nil"/>
              <w:left w:val="nil"/>
              <w:bottom w:val="nil"/>
              <w:right w:val="nil"/>
            </w:tcBorders>
            <w:shd w:val="clear" w:color="auto" w:fill="auto"/>
            <w:noWrap/>
            <w:vAlign w:val="bottom"/>
            <w:hideMark/>
          </w:tcPr>
          <w:p w14:paraId="312DC9CC" w14:textId="77777777" w:rsidR="0023076E" w:rsidRPr="005044F0" w:rsidRDefault="0023076E" w:rsidP="00324A07">
            <w:pPr>
              <w:rPr>
                <w:color w:val="000000"/>
                <w:sz w:val="20"/>
                <w:szCs w:val="20"/>
                <w:lang w:val="es-ES"/>
              </w:rPr>
            </w:pPr>
            <w:r w:rsidRPr="005044F0">
              <w:rPr>
                <w:color w:val="000000"/>
                <w:sz w:val="20"/>
                <w:szCs w:val="20"/>
                <w:lang w:val="es-ES"/>
              </w:rPr>
              <w:t xml:space="preserve">        Consumo de alcohol o drogas</w:t>
            </w:r>
          </w:p>
        </w:tc>
        <w:tc>
          <w:tcPr>
            <w:tcW w:w="1300" w:type="dxa"/>
            <w:tcBorders>
              <w:top w:val="nil"/>
              <w:left w:val="nil"/>
              <w:bottom w:val="nil"/>
              <w:right w:val="nil"/>
            </w:tcBorders>
            <w:shd w:val="clear" w:color="auto" w:fill="auto"/>
            <w:noWrap/>
            <w:vAlign w:val="center"/>
            <w:hideMark/>
          </w:tcPr>
          <w:p w14:paraId="44A35693" w14:textId="77777777" w:rsidR="0023076E" w:rsidRPr="005044F0" w:rsidRDefault="0023076E" w:rsidP="00324A07">
            <w:pPr>
              <w:jc w:val="center"/>
              <w:rPr>
                <w:color w:val="000000"/>
                <w:sz w:val="20"/>
                <w:szCs w:val="20"/>
                <w:lang w:val="es-ES"/>
              </w:rPr>
            </w:pPr>
            <w:r w:rsidRPr="005044F0">
              <w:rPr>
                <w:color w:val="000000"/>
                <w:sz w:val="20"/>
                <w:szCs w:val="20"/>
                <w:lang w:val="es-ES"/>
              </w:rPr>
              <w:t>-0.20</w:t>
            </w:r>
          </w:p>
        </w:tc>
        <w:tc>
          <w:tcPr>
            <w:tcW w:w="1300" w:type="dxa"/>
            <w:tcBorders>
              <w:top w:val="nil"/>
              <w:left w:val="nil"/>
              <w:bottom w:val="nil"/>
              <w:right w:val="nil"/>
            </w:tcBorders>
            <w:shd w:val="clear" w:color="auto" w:fill="auto"/>
            <w:noWrap/>
            <w:vAlign w:val="center"/>
            <w:hideMark/>
          </w:tcPr>
          <w:p w14:paraId="493D1979" w14:textId="77777777" w:rsidR="0023076E" w:rsidRPr="005044F0" w:rsidRDefault="0023076E" w:rsidP="00324A07">
            <w:pPr>
              <w:jc w:val="center"/>
              <w:rPr>
                <w:color w:val="000000"/>
                <w:sz w:val="20"/>
                <w:szCs w:val="20"/>
                <w:lang w:val="es-ES"/>
              </w:rPr>
            </w:pPr>
            <w:r w:rsidRPr="005044F0">
              <w:rPr>
                <w:color w:val="000000"/>
                <w:sz w:val="20"/>
                <w:szCs w:val="20"/>
                <w:lang w:val="es-ES"/>
              </w:rPr>
              <w:t>0.08</w:t>
            </w:r>
          </w:p>
        </w:tc>
        <w:tc>
          <w:tcPr>
            <w:tcW w:w="1108" w:type="dxa"/>
            <w:tcBorders>
              <w:top w:val="nil"/>
              <w:left w:val="nil"/>
              <w:bottom w:val="nil"/>
              <w:right w:val="nil"/>
            </w:tcBorders>
            <w:shd w:val="clear" w:color="auto" w:fill="auto"/>
            <w:noWrap/>
            <w:vAlign w:val="center"/>
            <w:hideMark/>
          </w:tcPr>
          <w:p w14:paraId="48070927" w14:textId="77777777" w:rsidR="0023076E" w:rsidRPr="005044F0" w:rsidRDefault="0023076E" w:rsidP="00324A07">
            <w:pPr>
              <w:jc w:val="center"/>
              <w:rPr>
                <w:color w:val="000000"/>
                <w:sz w:val="20"/>
                <w:szCs w:val="20"/>
                <w:lang w:val="es-ES"/>
              </w:rPr>
            </w:pPr>
            <w:r w:rsidRPr="005044F0">
              <w:rPr>
                <w:color w:val="000000"/>
                <w:sz w:val="20"/>
                <w:szCs w:val="20"/>
                <w:lang w:val="es-ES"/>
              </w:rPr>
              <w:t>-.20*</w:t>
            </w:r>
          </w:p>
        </w:tc>
        <w:tc>
          <w:tcPr>
            <w:tcW w:w="1134" w:type="dxa"/>
            <w:tcBorders>
              <w:top w:val="nil"/>
              <w:left w:val="nil"/>
              <w:bottom w:val="nil"/>
              <w:right w:val="nil"/>
            </w:tcBorders>
            <w:shd w:val="clear" w:color="auto" w:fill="auto"/>
            <w:noWrap/>
            <w:vAlign w:val="center"/>
            <w:hideMark/>
          </w:tcPr>
          <w:p w14:paraId="50F700F9" w14:textId="77777777" w:rsidR="0023076E" w:rsidRPr="005044F0" w:rsidRDefault="0023076E" w:rsidP="00324A07">
            <w:pPr>
              <w:jc w:val="center"/>
              <w:rPr>
                <w:color w:val="000000"/>
                <w:sz w:val="20"/>
                <w:szCs w:val="20"/>
                <w:lang w:val="es-ES"/>
              </w:rPr>
            </w:pPr>
          </w:p>
        </w:tc>
        <w:tc>
          <w:tcPr>
            <w:tcW w:w="1138" w:type="dxa"/>
            <w:tcBorders>
              <w:top w:val="nil"/>
              <w:left w:val="nil"/>
              <w:bottom w:val="nil"/>
              <w:right w:val="nil"/>
            </w:tcBorders>
            <w:vAlign w:val="center"/>
          </w:tcPr>
          <w:p w14:paraId="2EED2833" w14:textId="77777777" w:rsidR="0023076E" w:rsidRPr="005044F0" w:rsidRDefault="0023076E" w:rsidP="00324A07">
            <w:pPr>
              <w:jc w:val="center"/>
              <w:rPr>
                <w:color w:val="000000"/>
                <w:sz w:val="20"/>
                <w:szCs w:val="20"/>
                <w:lang w:val="es-ES"/>
              </w:rPr>
            </w:pPr>
          </w:p>
        </w:tc>
      </w:tr>
      <w:tr w:rsidR="0023076E" w:rsidRPr="005044F0" w14:paraId="4B255BE2" w14:textId="77777777" w:rsidTr="00324A07">
        <w:trPr>
          <w:trHeight w:val="320"/>
        </w:trPr>
        <w:tc>
          <w:tcPr>
            <w:tcW w:w="3380" w:type="dxa"/>
            <w:tcBorders>
              <w:top w:val="nil"/>
              <w:left w:val="nil"/>
              <w:bottom w:val="nil"/>
              <w:right w:val="nil"/>
            </w:tcBorders>
            <w:shd w:val="clear" w:color="auto" w:fill="auto"/>
            <w:noWrap/>
            <w:vAlign w:val="bottom"/>
            <w:hideMark/>
          </w:tcPr>
          <w:p w14:paraId="4145499B" w14:textId="77777777" w:rsidR="0023076E" w:rsidRPr="005044F0" w:rsidRDefault="0023076E" w:rsidP="00324A07">
            <w:pPr>
              <w:rPr>
                <w:color w:val="000000"/>
                <w:sz w:val="20"/>
                <w:szCs w:val="20"/>
                <w:lang w:val="es-ES"/>
              </w:rPr>
            </w:pPr>
            <w:r w:rsidRPr="005044F0">
              <w:rPr>
                <w:color w:val="000000"/>
                <w:sz w:val="20"/>
                <w:szCs w:val="20"/>
                <w:lang w:val="es-ES"/>
              </w:rPr>
              <w:t xml:space="preserve">     Paso 4</w:t>
            </w:r>
          </w:p>
        </w:tc>
        <w:tc>
          <w:tcPr>
            <w:tcW w:w="1300" w:type="dxa"/>
            <w:tcBorders>
              <w:top w:val="nil"/>
              <w:left w:val="nil"/>
              <w:bottom w:val="nil"/>
              <w:right w:val="nil"/>
            </w:tcBorders>
            <w:shd w:val="clear" w:color="auto" w:fill="auto"/>
            <w:noWrap/>
            <w:vAlign w:val="center"/>
            <w:hideMark/>
          </w:tcPr>
          <w:p w14:paraId="1A25A969" w14:textId="77777777" w:rsidR="0023076E" w:rsidRPr="005044F0" w:rsidRDefault="0023076E" w:rsidP="00324A07">
            <w:pPr>
              <w:jc w:val="cente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31E0DC6A" w14:textId="77777777" w:rsidR="0023076E" w:rsidRPr="005044F0" w:rsidRDefault="0023076E" w:rsidP="00324A07">
            <w:pPr>
              <w:jc w:val="center"/>
              <w:rPr>
                <w:sz w:val="20"/>
                <w:szCs w:val="20"/>
                <w:lang w:val="es-ES"/>
              </w:rPr>
            </w:pPr>
          </w:p>
        </w:tc>
        <w:tc>
          <w:tcPr>
            <w:tcW w:w="1108" w:type="dxa"/>
            <w:tcBorders>
              <w:top w:val="nil"/>
              <w:left w:val="nil"/>
              <w:bottom w:val="nil"/>
              <w:right w:val="nil"/>
            </w:tcBorders>
            <w:shd w:val="clear" w:color="auto" w:fill="auto"/>
            <w:noWrap/>
            <w:vAlign w:val="center"/>
            <w:hideMark/>
          </w:tcPr>
          <w:p w14:paraId="1A749BFC" w14:textId="77777777" w:rsidR="0023076E" w:rsidRPr="005044F0" w:rsidRDefault="0023076E" w:rsidP="00324A07">
            <w:pPr>
              <w:jc w:val="center"/>
              <w:rPr>
                <w:sz w:val="20"/>
                <w:szCs w:val="20"/>
                <w:lang w:val="es-ES"/>
              </w:rPr>
            </w:pPr>
          </w:p>
        </w:tc>
        <w:tc>
          <w:tcPr>
            <w:tcW w:w="1134" w:type="dxa"/>
            <w:tcBorders>
              <w:top w:val="nil"/>
              <w:left w:val="nil"/>
              <w:bottom w:val="nil"/>
              <w:right w:val="nil"/>
            </w:tcBorders>
            <w:shd w:val="clear" w:color="auto" w:fill="auto"/>
            <w:noWrap/>
            <w:vAlign w:val="center"/>
            <w:hideMark/>
          </w:tcPr>
          <w:p w14:paraId="0690E559" w14:textId="77777777" w:rsidR="0023076E" w:rsidRPr="005044F0" w:rsidRDefault="0023076E" w:rsidP="00324A07">
            <w:pPr>
              <w:jc w:val="center"/>
              <w:rPr>
                <w:color w:val="000000"/>
                <w:sz w:val="20"/>
                <w:szCs w:val="20"/>
                <w:lang w:val="es-ES"/>
              </w:rPr>
            </w:pPr>
            <w:r w:rsidRPr="005044F0">
              <w:rPr>
                <w:color w:val="000000"/>
                <w:sz w:val="20"/>
                <w:szCs w:val="20"/>
                <w:lang w:val="es-ES"/>
              </w:rPr>
              <w:t>.33</w:t>
            </w:r>
          </w:p>
        </w:tc>
        <w:tc>
          <w:tcPr>
            <w:tcW w:w="1138" w:type="dxa"/>
            <w:tcBorders>
              <w:top w:val="nil"/>
              <w:left w:val="nil"/>
              <w:bottom w:val="nil"/>
              <w:right w:val="nil"/>
            </w:tcBorders>
            <w:vAlign w:val="center"/>
          </w:tcPr>
          <w:p w14:paraId="7FBB2FCA" w14:textId="77777777" w:rsidR="0023076E" w:rsidRPr="005044F0" w:rsidRDefault="0023076E" w:rsidP="00324A07">
            <w:pPr>
              <w:jc w:val="center"/>
              <w:rPr>
                <w:color w:val="000000"/>
                <w:sz w:val="20"/>
                <w:szCs w:val="20"/>
                <w:lang w:val="es-ES"/>
              </w:rPr>
            </w:pPr>
            <w:r w:rsidRPr="005044F0">
              <w:rPr>
                <w:color w:val="000000"/>
                <w:sz w:val="20"/>
                <w:szCs w:val="20"/>
                <w:lang w:val="es-ES"/>
              </w:rPr>
              <w:t>15.97***</w:t>
            </w:r>
          </w:p>
        </w:tc>
      </w:tr>
      <w:tr w:rsidR="0023076E" w:rsidRPr="005044F0" w14:paraId="4A5EE338" w14:textId="77777777" w:rsidTr="00324A07">
        <w:trPr>
          <w:trHeight w:val="320"/>
        </w:trPr>
        <w:tc>
          <w:tcPr>
            <w:tcW w:w="3380" w:type="dxa"/>
            <w:tcBorders>
              <w:top w:val="nil"/>
              <w:left w:val="nil"/>
              <w:bottom w:val="nil"/>
              <w:right w:val="nil"/>
            </w:tcBorders>
            <w:shd w:val="clear" w:color="auto" w:fill="auto"/>
            <w:noWrap/>
            <w:vAlign w:val="bottom"/>
            <w:hideMark/>
          </w:tcPr>
          <w:p w14:paraId="7342BE8C" w14:textId="77777777" w:rsidR="0023076E" w:rsidRPr="005044F0" w:rsidRDefault="0023076E" w:rsidP="00324A07">
            <w:pPr>
              <w:rPr>
                <w:color w:val="000000"/>
                <w:sz w:val="20"/>
                <w:szCs w:val="20"/>
                <w:lang w:val="es-ES"/>
              </w:rPr>
            </w:pPr>
            <w:r w:rsidRPr="005044F0">
              <w:rPr>
                <w:color w:val="000000"/>
                <w:sz w:val="20"/>
                <w:szCs w:val="20"/>
                <w:lang w:val="es-ES"/>
              </w:rPr>
              <w:t xml:space="preserve">        Aceptación y crecimiento personal</w:t>
            </w:r>
          </w:p>
        </w:tc>
        <w:tc>
          <w:tcPr>
            <w:tcW w:w="1300" w:type="dxa"/>
            <w:tcBorders>
              <w:top w:val="nil"/>
              <w:left w:val="nil"/>
              <w:bottom w:val="nil"/>
              <w:right w:val="nil"/>
            </w:tcBorders>
            <w:shd w:val="clear" w:color="auto" w:fill="auto"/>
            <w:noWrap/>
            <w:vAlign w:val="center"/>
            <w:hideMark/>
          </w:tcPr>
          <w:p w14:paraId="6294EBB5" w14:textId="77777777" w:rsidR="0023076E" w:rsidRPr="005044F0" w:rsidRDefault="0023076E" w:rsidP="00324A07">
            <w:pPr>
              <w:jc w:val="center"/>
              <w:rPr>
                <w:color w:val="000000"/>
                <w:sz w:val="20"/>
                <w:szCs w:val="20"/>
                <w:lang w:val="es-ES"/>
              </w:rPr>
            </w:pPr>
            <w:r w:rsidRPr="005044F0">
              <w:rPr>
                <w:color w:val="000000"/>
                <w:sz w:val="20"/>
                <w:szCs w:val="20"/>
                <w:lang w:val="es-ES"/>
              </w:rPr>
              <w:t>0.64</w:t>
            </w:r>
          </w:p>
        </w:tc>
        <w:tc>
          <w:tcPr>
            <w:tcW w:w="1300" w:type="dxa"/>
            <w:tcBorders>
              <w:top w:val="nil"/>
              <w:left w:val="nil"/>
              <w:bottom w:val="nil"/>
              <w:right w:val="nil"/>
            </w:tcBorders>
            <w:shd w:val="clear" w:color="auto" w:fill="auto"/>
            <w:noWrap/>
            <w:vAlign w:val="center"/>
            <w:hideMark/>
          </w:tcPr>
          <w:p w14:paraId="0623597F" w14:textId="77777777" w:rsidR="0023076E" w:rsidRPr="005044F0" w:rsidRDefault="0023076E" w:rsidP="00324A07">
            <w:pPr>
              <w:jc w:val="center"/>
              <w:rPr>
                <w:color w:val="000000"/>
                <w:sz w:val="20"/>
                <w:szCs w:val="20"/>
                <w:lang w:val="es-ES"/>
              </w:rPr>
            </w:pPr>
            <w:r w:rsidRPr="005044F0">
              <w:rPr>
                <w:color w:val="000000"/>
                <w:sz w:val="20"/>
                <w:szCs w:val="20"/>
                <w:lang w:val="es-ES"/>
              </w:rPr>
              <w:t>0.12</w:t>
            </w:r>
          </w:p>
        </w:tc>
        <w:tc>
          <w:tcPr>
            <w:tcW w:w="1108" w:type="dxa"/>
            <w:tcBorders>
              <w:top w:val="nil"/>
              <w:left w:val="nil"/>
              <w:bottom w:val="nil"/>
              <w:right w:val="nil"/>
            </w:tcBorders>
            <w:shd w:val="clear" w:color="auto" w:fill="auto"/>
            <w:noWrap/>
            <w:vAlign w:val="center"/>
            <w:hideMark/>
          </w:tcPr>
          <w:p w14:paraId="152D0F57" w14:textId="77777777" w:rsidR="0023076E" w:rsidRPr="005044F0" w:rsidRDefault="0023076E" w:rsidP="00324A07">
            <w:pPr>
              <w:jc w:val="center"/>
              <w:rPr>
                <w:color w:val="000000"/>
                <w:sz w:val="20"/>
                <w:szCs w:val="20"/>
                <w:lang w:val="es-ES"/>
              </w:rPr>
            </w:pPr>
            <w:r w:rsidRPr="005044F0">
              <w:rPr>
                <w:color w:val="000000"/>
                <w:sz w:val="20"/>
                <w:szCs w:val="20"/>
                <w:lang w:val="es-ES"/>
              </w:rPr>
              <w:t>.41***</w:t>
            </w:r>
          </w:p>
        </w:tc>
        <w:tc>
          <w:tcPr>
            <w:tcW w:w="1134" w:type="dxa"/>
            <w:tcBorders>
              <w:top w:val="nil"/>
              <w:left w:val="nil"/>
              <w:bottom w:val="nil"/>
              <w:right w:val="nil"/>
            </w:tcBorders>
            <w:shd w:val="clear" w:color="auto" w:fill="auto"/>
            <w:noWrap/>
            <w:vAlign w:val="center"/>
            <w:hideMark/>
          </w:tcPr>
          <w:p w14:paraId="7CB24AE7" w14:textId="77777777" w:rsidR="0023076E" w:rsidRPr="005044F0" w:rsidRDefault="0023076E" w:rsidP="00324A07">
            <w:pPr>
              <w:jc w:val="center"/>
              <w:rPr>
                <w:color w:val="000000"/>
                <w:sz w:val="20"/>
                <w:szCs w:val="20"/>
                <w:lang w:val="es-ES"/>
              </w:rPr>
            </w:pPr>
          </w:p>
        </w:tc>
        <w:tc>
          <w:tcPr>
            <w:tcW w:w="1138" w:type="dxa"/>
            <w:tcBorders>
              <w:top w:val="nil"/>
              <w:left w:val="nil"/>
              <w:bottom w:val="nil"/>
              <w:right w:val="nil"/>
            </w:tcBorders>
            <w:vAlign w:val="center"/>
          </w:tcPr>
          <w:p w14:paraId="5EF07900" w14:textId="77777777" w:rsidR="0023076E" w:rsidRPr="005044F0" w:rsidRDefault="0023076E" w:rsidP="00324A07">
            <w:pPr>
              <w:jc w:val="center"/>
              <w:rPr>
                <w:color w:val="000000"/>
                <w:sz w:val="20"/>
                <w:szCs w:val="20"/>
                <w:lang w:val="es-ES"/>
              </w:rPr>
            </w:pPr>
          </w:p>
        </w:tc>
      </w:tr>
      <w:tr w:rsidR="0023076E" w:rsidRPr="005044F0" w14:paraId="3EFC82F7" w14:textId="77777777" w:rsidTr="00324A07">
        <w:trPr>
          <w:trHeight w:val="320"/>
        </w:trPr>
        <w:tc>
          <w:tcPr>
            <w:tcW w:w="3380" w:type="dxa"/>
            <w:tcBorders>
              <w:top w:val="nil"/>
              <w:left w:val="nil"/>
              <w:bottom w:val="nil"/>
              <w:right w:val="nil"/>
            </w:tcBorders>
            <w:shd w:val="clear" w:color="auto" w:fill="auto"/>
            <w:noWrap/>
            <w:vAlign w:val="bottom"/>
            <w:hideMark/>
          </w:tcPr>
          <w:p w14:paraId="353FBC9A" w14:textId="77777777" w:rsidR="0023076E" w:rsidRPr="005044F0" w:rsidRDefault="0023076E" w:rsidP="00324A07">
            <w:pPr>
              <w:rPr>
                <w:color w:val="000000"/>
                <w:sz w:val="20"/>
                <w:szCs w:val="20"/>
                <w:lang w:val="es-ES"/>
              </w:rPr>
            </w:pPr>
            <w:r w:rsidRPr="005044F0">
              <w:rPr>
                <w:color w:val="000000"/>
                <w:sz w:val="20"/>
                <w:szCs w:val="20"/>
                <w:lang w:val="es-ES"/>
              </w:rPr>
              <w:t xml:space="preserve">        Refrenar el afrontamiento</w:t>
            </w:r>
          </w:p>
        </w:tc>
        <w:tc>
          <w:tcPr>
            <w:tcW w:w="1300" w:type="dxa"/>
            <w:tcBorders>
              <w:top w:val="nil"/>
              <w:left w:val="nil"/>
              <w:bottom w:val="nil"/>
              <w:right w:val="nil"/>
            </w:tcBorders>
            <w:shd w:val="clear" w:color="auto" w:fill="auto"/>
            <w:noWrap/>
            <w:vAlign w:val="center"/>
            <w:hideMark/>
          </w:tcPr>
          <w:p w14:paraId="693330F1" w14:textId="77777777" w:rsidR="0023076E" w:rsidRPr="005044F0" w:rsidRDefault="0023076E" w:rsidP="00324A07">
            <w:pPr>
              <w:jc w:val="center"/>
              <w:rPr>
                <w:color w:val="000000"/>
                <w:sz w:val="20"/>
                <w:szCs w:val="20"/>
                <w:lang w:val="es-ES"/>
              </w:rPr>
            </w:pPr>
            <w:r w:rsidRPr="005044F0">
              <w:rPr>
                <w:color w:val="000000"/>
                <w:sz w:val="20"/>
                <w:szCs w:val="20"/>
                <w:lang w:val="es-ES"/>
              </w:rPr>
              <w:t>-0.37</w:t>
            </w:r>
          </w:p>
        </w:tc>
        <w:tc>
          <w:tcPr>
            <w:tcW w:w="1300" w:type="dxa"/>
            <w:tcBorders>
              <w:top w:val="nil"/>
              <w:left w:val="nil"/>
              <w:bottom w:val="nil"/>
              <w:right w:val="nil"/>
            </w:tcBorders>
            <w:shd w:val="clear" w:color="auto" w:fill="auto"/>
            <w:noWrap/>
            <w:vAlign w:val="center"/>
            <w:hideMark/>
          </w:tcPr>
          <w:p w14:paraId="6BE974F3" w14:textId="77777777" w:rsidR="0023076E" w:rsidRPr="005044F0" w:rsidRDefault="0023076E" w:rsidP="00324A07">
            <w:pPr>
              <w:jc w:val="center"/>
              <w:rPr>
                <w:color w:val="000000"/>
                <w:sz w:val="20"/>
                <w:szCs w:val="20"/>
                <w:lang w:val="es-ES"/>
              </w:rPr>
            </w:pPr>
            <w:r w:rsidRPr="005044F0">
              <w:rPr>
                <w:color w:val="000000"/>
                <w:sz w:val="20"/>
                <w:szCs w:val="20"/>
                <w:lang w:val="es-ES"/>
              </w:rPr>
              <w:t>0.11</w:t>
            </w:r>
          </w:p>
        </w:tc>
        <w:tc>
          <w:tcPr>
            <w:tcW w:w="1108" w:type="dxa"/>
            <w:tcBorders>
              <w:top w:val="nil"/>
              <w:left w:val="nil"/>
              <w:bottom w:val="nil"/>
              <w:right w:val="nil"/>
            </w:tcBorders>
            <w:shd w:val="clear" w:color="auto" w:fill="auto"/>
            <w:noWrap/>
            <w:vAlign w:val="center"/>
            <w:hideMark/>
          </w:tcPr>
          <w:p w14:paraId="76388197" w14:textId="77777777" w:rsidR="0023076E" w:rsidRPr="005044F0" w:rsidRDefault="0023076E" w:rsidP="00324A07">
            <w:pPr>
              <w:jc w:val="center"/>
              <w:rPr>
                <w:color w:val="000000"/>
                <w:sz w:val="20"/>
                <w:szCs w:val="20"/>
                <w:lang w:val="es-ES"/>
              </w:rPr>
            </w:pPr>
            <w:r w:rsidRPr="005044F0">
              <w:rPr>
                <w:color w:val="000000"/>
                <w:sz w:val="20"/>
                <w:szCs w:val="20"/>
                <w:lang w:val="es-ES"/>
              </w:rPr>
              <w:t>-.28**</w:t>
            </w:r>
          </w:p>
        </w:tc>
        <w:tc>
          <w:tcPr>
            <w:tcW w:w="1134" w:type="dxa"/>
            <w:tcBorders>
              <w:top w:val="nil"/>
              <w:left w:val="nil"/>
              <w:bottom w:val="nil"/>
              <w:right w:val="nil"/>
            </w:tcBorders>
            <w:shd w:val="clear" w:color="auto" w:fill="auto"/>
            <w:noWrap/>
            <w:vAlign w:val="center"/>
            <w:hideMark/>
          </w:tcPr>
          <w:p w14:paraId="70D06CAC" w14:textId="77777777" w:rsidR="0023076E" w:rsidRPr="005044F0" w:rsidRDefault="0023076E" w:rsidP="00324A07">
            <w:pPr>
              <w:jc w:val="center"/>
              <w:rPr>
                <w:color w:val="000000"/>
                <w:sz w:val="20"/>
                <w:szCs w:val="20"/>
                <w:lang w:val="es-ES"/>
              </w:rPr>
            </w:pPr>
          </w:p>
        </w:tc>
        <w:tc>
          <w:tcPr>
            <w:tcW w:w="1138" w:type="dxa"/>
            <w:tcBorders>
              <w:top w:val="nil"/>
              <w:left w:val="nil"/>
              <w:bottom w:val="nil"/>
              <w:right w:val="nil"/>
            </w:tcBorders>
          </w:tcPr>
          <w:p w14:paraId="06E5F534" w14:textId="77777777" w:rsidR="0023076E" w:rsidRPr="005044F0" w:rsidRDefault="0023076E" w:rsidP="00324A07">
            <w:pPr>
              <w:jc w:val="center"/>
              <w:rPr>
                <w:color w:val="000000"/>
                <w:sz w:val="20"/>
                <w:szCs w:val="20"/>
                <w:lang w:val="es-ES"/>
              </w:rPr>
            </w:pPr>
          </w:p>
        </w:tc>
      </w:tr>
      <w:tr w:rsidR="0023076E" w:rsidRPr="005044F0" w14:paraId="4685E5CB" w14:textId="77777777" w:rsidTr="00324A07">
        <w:trPr>
          <w:trHeight w:val="320"/>
        </w:trPr>
        <w:tc>
          <w:tcPr>
            <w:tcW w:w="3380" w:type="dxa"/>
            <w:tcBorders>
              <w:top w:val="nil"/>
              <w:left w:val="nil"/>
              <w:bottom w:val="nil"/>
              <w:right w:val="nil"/>
            </w:tcBorders>
            <w:shd w:val="clear" w:color="auto" w:fill="auto"/>
            <w:noWrap/>
            <w:vAlign w:val="bottom"/>
            <w:hideMark/>
          </w:tcPr>
          <w:p w14:paraId="7839049C" w14:textId="77777777" w:rsidR="0023076E" w:rsidRPr="005044F0" w:rsidRDefault="0023076E" w:rsidP="00324A07">
            <w:pPr>
              <w:rPr>
                <w:color w:val="000000"/>
                <w:sz w:val="20"/>
                <w:szCs w:val="20"/>
                <w:lang w:val="es-ES"/>
              </w:rPr>
            </w:pPr>
            <w:r w:rsidRPr="005044F0">
              <w:rPr>
                <w:color w:val="000000"/>
                <w:sz w:val="20"/>
                <w:szCs w:val="20"/>
                <w:lang w:val="es-ES"/>
              </w:rPr>
              <w:t xml:space="preserve">        Consumo de alcohol o drogas</w:t>
            </w:r>
          </w:p>
        </w:tc>
        <w:tc>
          <w:tcPr>
            <w:tcW w:w="1300" w:type="dxa"/>
            <w:tcBorders>
              <w:top w:val="nil"/>
              <w:left w:val="nil"/>
              <w:bottom w:val="nil"/>
              <w:right w:val="nil"/>
            </w:tcBorders>
            <w:shd w:val="clear" w:color="auto" w:fill="auto"/>
            <w:noWrap/>
            <w:vAlign w:val="center"/>
            <w:hideMark/>
          </w:tcPr>
          <w:p w14:paraId="3E72CE6E" w14:textId="77777777" w:rsidR="0023076E" w:rsidRPr="005044F0" w:rsidRDefault="0023076E" w:rsidP="00324A07">
            <w:pPr>
              <w:jc w:val="center"/>
              <w:rPr>
                <w:color w:val="000000"/>
                <w:sz w:val="20"/>
                <w:szCs w:val="20"/>
                <w:lang w:val="es-ES"/>
              </w:rPr>
            </w:pPr>
            <w:r w:rsidRPr="005044F0">
              <w:rPr>
                <w:color w:val="000000"/>
                <w:sz w:val="20"/>
                <w:szCs w:val="20"/>
                <w:lang w:val="es-ES"/>
              </w:rPr>
              <w:t>-0.21</w:t>
            </w:r>
          </w:p>
        </w:tc>
        <w:tc>
          <w:tcPr>
            <w:tcW w:w="1300" w:type="dxa"/>
            <w:tcBorders>
              <w:top w:val="nil"/>
              <w:left w:val="nil"/>
              <w:bottom w:val="nil"/>
              <w:right w:val="nil"/>
            </w:tcBorders>
            <w:shd w:val="clear" w:color="auto" w:fill="auto"/>
            <w:noWrap/>
            <w:vAlign w:val="center"/>
            <w:hideMark/>
          </w:tcPr>
          <w:p w14:paraId="5566323E" w14:textId="77777777" w:rsidR="0023076E" w:rsidRPr="005044F0" w:rsidRDefault="0023076E" w:rsidP="00324A07">
            <w:pPr>
              <w:jc w:val="center"/>
              <w:rPr>
                <w:color w:val="000000"/>
                <w:sz w:val="20"/>
                <w:szCs w:val="20"/>
                <w:lang w:val="es-ES"/>
              </w:rPr>
            </w:pPr>
            <w:r w:rsidRPr="005044F0">
              <w:rPr>
                <w:color w:val="000000"/>
                <w:sz w:val="20"/>
                <w:szCs w:val="20"/>
                <w:lang w:val="es-ES"/>
              </w:rPr>
              <w:t>0.08</w:t>
            </w:r>
          </w:p>
        </w:tc>
        <w:tc>
          <w:tcPr>
            <w:tcW w:w="1108" w:type="dxa"/>
            <w:tcBorders>
              <w:top w:val="nil"/>
              <w:left w:val="nil"/>
              <w:bottom w:val="nil"/>
              <w:right w:val="nil"/>
            </w:tcBorders>
            <w:shd w:val="clear" w:color="auto" w:fill="auto"/>
            <w:noWrap/>
            <w:vAlign w:val="center"/>
            <w:hideMark/>
          </w:tcPr>
          <w:p w14:paraId="4CA25E06" w14:textId="77777777" w:rsidR="0023076E" w:rsidRPr="005044F0" w:rsidRDefault="0023076E" w:rsidP="00324A07">
            <w:pPr>
              <w:jc w:val="center"/>
              <w:rPr>
                <w:color w:val="000000"/>
                <w:sz w:val="20"/>
                <w:szCs w:val="20"/>
                <w:lang w:val="es-ES"/>
              </w:rPr>
            </w:pPr>
            <w:r w:rsidRPr="005044F0">
              <w:rPr>
                <w:color w:val="000000"/>
                <w:sz w:val="20"/>
                <w:szCs w:val="20"/>
                <w:lang w:val="es-ES"/>
              </w:rPr>
              <w:t>-.21**</w:t>
            </w:r>
          </w:p>
        </w:tc>
        <w:tc>
          <w:tcPr>
            <w:tcW w:w="1134" w:type="dxa"/>
            <w:tcBorders>
              <w:top w:val="nil"/>
              <w:left w:val="nil"/>
              <w:bottom w:val="nil"/>
              <w:right w:val="nil"/>
            </w:tcBorders>
            <w:shd w:val="clear" w:color="auto" w:fill="auto"/>
            <w:noWrap/>
            <w:vAlign w:val="center"/>
            <w:hideMark/>
          </w:tcPr>
          <w:p w14:paraId="0BFDDC6E" w14:textId="77777777" w:rsidR="0023076E" w:rsidRPr="005044F0" w:rsidRDefault="0023076E" w:rsidP="00324A07">
            <w:pPr>
              <w:jc w:val="center"/>
              <w:rPr>
                <w:color w:val="000000"/>
                <w:sz w:val="20"/>
                <w:szCs w:val="20"/>
                <w:lang w:val="es-ES"/>
              </w:rPr>
            </w:pPr>
          </w:p>
        </w:tc>
        <w:tc>
          <w:tcPr>
            <w:tcW w:w="1138" w:type="dxa"/>
            <w:tcBorders>
              <w:top w:val="nil"/>
              <w:left w:val="nil"/>
              <w:bottom w:val="nil"/>
              <w:right w:val="nil"/>
            </w:tcBorders>
          </w:tcPr>
          <w:p w14:paraId="24FE300B" w14:textId="77777777" w:rsidR="0023076E" w:rsidRPr="005044F0" w:rsidRDefault="0023076E" w:rsidP="00324A07">
            <w:pPr>
              <w:jc w:val="center"/>
              <w:rPr>
                <w:color w:val="000000"/>
                <w:sz w:val="20"/>
                <w:szCs w:val="20"/>
                <w:lang w:val="es-ES"/>
              </w:rPr>
            </w:pPr>
          </w:p>
        </w:tc>
      </w:tr>
      <w:tr w:rsidR="0023076E" w:rsidRPr="005044F0" w14:paraId="655400BE" w14:textId="77777777" w:rsidTr="00324A07">
        <w:trPr>
          <w:trHeight w:val="320"/>
        </w:trPr>
        <w:tc>
          <w:tcPr>
            <w:tcW w:w="3380" w:type="dxa"/>
            <w:tcBorders>
              <w:top w:val="nil"/>
              <w:left w:val="nil"/>
              <w:bottom w:val="single" w:sz="4" w:space="0" w:color="auto"/>
              <w:right w:val="nil"/>
            </w:tcBorders>
            <w:shd w:val="clear" w:color="auto" w:fill="auto"/>
            <w:noWrap/>
            <w:vAlign w:val="bottom"/>
            <w:hideMark/>
          </w:tcPr>
          <w:p w14:paraId="19CD87BF" w14:textId="77777777" w:rsidR="0023076E" w:rsidRPr="005044F0" w:rsidRDefault="0023076E" w:rsidP="00324A07">
            <w:pPr>
              <w:rPr>
                <w:color w:val="000000"/>
                <w:sz w:val="20"/>
                <w:szCs w:val="20"/>
                <w:lang w:val="es-ES"/>
              </w:rPr>
            </w:pPr>
            <w:r w:rsidRPr="005044F0">
              <w:rPr>
                <w:color w:val="000000"/>
                <w:sz w:val="20"/>
                <w:szCs w:val="20"/>
                <w:lang w:val="es-ES"/>
              </w:rPr>
              <w:t xml:space="preserve">        Búsqueda de apoyo social</w:t>
            </w:r>
          </w:p>
        </w:tc>
        <w:tc>
          <w:tcPr>
            <w:tcW w:w="1300" w:type="dxa"/>
            <w:tcBorders>
              <w:top w:val="nil"/>
              <w:left w:val="nil"/>
              <w:bottom w:val="single" w:sz="4" w:space="0" w:color="auto"/>
              <w:right w:val="nil"/>
            </w:tcBorders>
            <w:shd w:val="clear" w:color="auto" w:fill="auto"/>
            <w:noWrap/>
            <w:vAlign w:val="center"/>
            <w:hideMark/>
          </w:tcPr>
          <w:p w14:paraId="7CDD6C8C" w14:textId="77777777" w:rsidR="0023076E" w:rsidRPr="005044F0" w:rsidRDefault="0023076E" w:rsidP="00324A07">
            <w:pPr>
              <w:jc w:val="center"/>
              <w:rPr>
                <w:color w:val="000000"/>
                <w:sz w:val="20"/>
                <w:szCs w:val="20"/>
                <w:lang w:val="es-ES"/>
              </w:rPr>
            </w:pPr>
            <w:r w:rsidRPr="005044F0">
              <w:rPr>
                <w:color w:val="000000"/>
                <w:sz w:val="20"/>
                <w:szCs w:val="20"/>
                <w:lang w:val="es-ES"/>
              </w:rPr>
              <w:t>0.17</w:t>
            </w:r>
          </w:p>
        </w:tc>
        <w:tc>
          <w:tcPr>
            <w:tcW w:w="1300" w:type="dxa"/>
            <w:tcBorders>
              <w:top w:val="nil"/>
              <w:left w:val="nil"/>
              <w:bottom w:val="single" w:sz="4" w:space="0" w:color="auto"/>
              <w:right w:val="nil"/>
            </w:tcBorders>
            <w:shd w:val="clear" w:color="auto" w:fill="auto"/>
            <w:noWrap/>
            <w:vAlign w:val="center"/>
            <w:hideMark/>
          </w:tcPr>
          <w:p w14:paraId="559A1F9C" w14:textId="77777777" w:rsidR="0023076E" w:rsidRPr="005044F0" w:rsidRDefault="0023076E" w:rsidP="00324A07">
            <w:pPr>
              <w:jc w:val="center"/>
              <w:rPr>
                <w:color w:val="000000"/>
                <w:sz w:val="20"/>
                <w:szCs w:val="20"/>
                <w:lang w:val="es-ES"/>
              </w:rPr>
            </w:pPr>
            <w:r w:rsidRPr="005044F0">
              <w:rPr>
                <w:color w:val="000000"/>
                <w:sz w:val="20"/>
                <w:szCs w:val="20"/>
                <w:lang w:val="es-ES"/>
              </w:rPr>
              <w:t>0.09</w:t>
            </w:r>
          </w:p>
        </w:tc>
        <w:tc>
          <w:tcPr>
            <w:tcW w:w="1108" w:type="dxa"/>
            <w:tcBorders>
              <w:top w:val="nil"/>
              <w:left w:val="nil"/>
              <w:bottom w:val="single" w:sz="4" w:space="0" w:color="auto"/>
              <w:right w:val="nil"/>
            </w:tcBorders>
            <w:shd w:val="clear" w:color="auto" w:fill="auto"/>
            <w:noWrap/>
            <w:vAlign w:val="center"/>
            <w:hideMark/>
          </w:tcPr>
          <w:p w14:paraId="14BB7B1E" w14:textId="77777777" w:rsidR="0023076E" w:rsidRPr="005044F0" w:rsidRDefault="0023076E" w:rsidP="00324A07">
            <w:pPr>
              <w:jc w:val="center"/>
              <w:rPr>
                <w:color w:val="000000"/>
                <w:sz w:val="20"/>
                <w:szCs w:val="20"/>
                <w:lang w:val="es-ES"/>
              </w:rPr>
            </w:pPr>
            <w:r w:rsidRPr="005044F0">
              <w:rPr>
                <w:color w:val="000000"/>
                <w:sz w:val="20"/>
                <w:szCs w:val="20"/>
                <w:lang w:val="es-ES"/>
              </w:rPr>
              <w:t>.15*</w:t>
            </w:r>
          </w:p>
        </w:tc>
        <w:tc>
          <w:tcPr>
            <w:tcW w:w="1134" w:type="dxa"/>
            <w:tcBorders>
              <w:top w:val="nil"/>
              <w:left w:val="nil"/>
              <w:bottom w:val="single" w:sz="4" w:space="0" w:color="auto"/>
              <w:right w:val="nil"/>
            </w:tcBorders>
            <w:shd w:val="clear" w:color="auto" w:fill="auto"/>
            <w:noWrap/>
            <w:vAlign w:val="center"/>
            <w:hideMark/>
          </w:tcPr>
          <w:p w14:paraId="776EE066" w14:textId="77777777" w:rsidR="0023076E" w:rsidRPr="005044F0" w:rsidRDefault="0023076E" w:rsidP="00324A07">
            <w:pPr>
              <w:jc w:val="center"/>
              <w:rPr>
                <w:color w:val="000000"/>
                <w:sz w:val="20"/>
                <w:szCs w:val="20"/>
                <w:lang w:val="es-ES"/>
              </w:rPr>
            </w:pPr>
          </w:p>
        </w:tc>
        <w:tc>
          <w:tcPr>
            <w:tcW w:w="1138" w:type="dxa"/>
            <w:tcBorders>
              <w:top w:val="nil"/>
              <w:left w:val="nil"/>
              <w:bottom w:val="single" w:sz="4" w:space="0" w:color="auto"/>
              <w:right w:val="nil"/>
            </w:tcBorders>
          </w:tcPr>
          <w:p w14:paraId="73A3933A" w14:textId="77777777" w:rsidR="0023076E" w:rsidRPr="005044F0" w:rsidRDefault="0023076E" w:rsidP="00324A07">
            <w:pPr>
              <w:jc w:val="center"/>
              <w:rPr>
                <w:color w:val="000000"/>
                <w:sz w:val="20"/>
                <w:szCs w:val="20"/>
                <w:lang w:val="es-ES"/>
              </w:rPr>
            </w:pPr>
          </w:p>
        </w:tc>
      </w:tr>
      <w:tr w:rsidR="0023076E" w:rsidRPr="005044F0" w14:paraId="602E6B72" w14:textId="77777777" w:rsidTr="00324A07">
        <w:trPr>
          <w:trHeight w:val="320"/>
        </w:trPr>
        <w:tc>
          <w:tcPr>
            <w:tcW w:w="3380" w:type="dxa"/>
            <w:tcBorders>
              <w:top w:val="nil"/>
              <w:left w:val="nil"/>
              <w:bottom w:val="nil"/>
              <w:right w:val="nil"/>
            </w:tcBorders>
            <w:shd w:val="clear" w:color="auto" w:fill="auto"/>
            <w:noWrap/>
            <w:vAlign w:val="bottom"/>
            <w:hideMark/>
          </w:tcPr>
          <w:p w14:paraId="62AD6FC8" w14:textId="77777777" w:rsidR="0023076E" w:rsidRPr="005044F0" w:rsidRDefault="0023076E" w:rsidP="00324A07">
            <w:pPr>
              <w:rPr>
                <w:color w:val="000000"/>
                <w:sz w:val="20"/>
                <w:szCs w:val="20"/>
                <w:lang w:val="es-ES"/>
              </w:rPr>
            </w:pPr>
            <w:r w:rsidRPr="005044F0">
              <w:rPr>
                <w:color w:val="000000"/>
                <w:sz w:val="20"/>
                <w:szCs w:val="20"/>
                <w:lang w:val="es-ES"/>
              </w:rPr>
              <w:t>* p &lt; .05. ** p &lt; .01. *** p &lt; .001</w:t>
            </w:r>
          </w:p>
        </w:tc>
        <w:tc>
          <w:tcPr>
            <w:tcW w:w="1300" w:type="dxa"/>
            <w:tcBorders>
              <w:top w:val="nil"/>
              <w:left w:val="nil"/>
              <w:bottom w:val="nil"/>
              <w:right w:val="nil"/>
            </w:tcBorders>
            <w:shd w:val="clear" w:color="auto" w:fill="auto"/>
            <w:noWrap/>
            <w:vAlign w:val="bottom"/>
            <w:hideMark/>
          </w:tcPr>
          <w:p w14:paraId="32A6480A" w14:textId="77777777" w:rsidR="0023076E" w:rsidRPr="005044F0" w:rsidRDefault="0023076E" w:rsidP="00324A07">
            <w:pPr>
              <w:rPr>
                <w:color w:val="000000"/>
                <w:sz w:val="20"/>
                <w:szCs w:val="20"/>
                <w:lang w:val="es-ES"/>
              </w:rPr>
            </w:pPr>
          </w:p>
        </w:tc>
        <w:tc>
          <w:tcPr>
            <w:tcW w:w="1300" w:type="dxa"/>
            <w:tcBorders>
              <w:top w:val="nil"/>
              <w:left w:val="nil"/>
              <w:bottom w:val="nil"/>
              <w:right w:val="nil"/>
            </w:tcBorders>
            <w:shd w:val="clear" w:color="auto" w:fill="auto"/>
            <w:noWrap/>
            <w:vAlign w:val="center"/>
            <w:hideMark/>
          </w:tcPr>
          <w:p w14:paraId="30266F31" w14:textId="77777777" w:rsidR="0023076E" w:rsidRPr="005044F0" w:rsidRDefault="0023076E" w:rsidP="00324A07">
            <w:pPr>
              <w:rPr>
                <w:sz w:val="20"/>
                <w:szCs w:val="20"/>
                <w:lang w:val="es-ES"/>
              </w:rPr>
            </w:pPr>
          </w:p>
        </w:tc>
        <w:tc>
          <w:tcPr>
            <w:tcW w:w="1108" w:type="dxa"/>
            <w:tcBorders>
              <w:top w:val="nil"/>
              <w:left w:val="nil"/>
              <w:bottom w:val="nil"/>
              <w:right w:val="nil"/>
            </w:tcBorders>
            <w:shd w:val="clear" w:color="auto" w:fill="auto"/>
            <w:noWrap/>
            <w:vAlign w:val="bottom"/>
            <w:hideMark/>
          </w:tcPr>
          <w:p w14:paraId="4D84702F" w14:textId="77777777" w:rsidR="0023076E" w:rsidRPr="005044F0" w:rsidRDefault="0023076E" w:rsidP="00324A07">
            <w:pPr>
              <w:jc w:val="center"/>
              <w:rPr>
                <w:sz w:val="20"/>
                <w:szCs w:val="20"/>
                <w:lang w:val="es-ES"/>
              </w:rPr>
            </w:pPr>
          </w:p>
        </w:tc>
        <w:tc>
          <w:tcPr>
            <w:tcW w:w="1134" w:type="dxa"/>
            <w:tcBorders>
              <w:top w:val="nil"/>
              <w:left w:val="nil"/>
              <w:bottom w:val="nil"/>
              <w:right w:val="nil"/>
            </w:tcBorders>
            <w:shd w:val="clear" w:color="auto" w:fill="auto"/>
            <w:noWrap/>
            <w:vAlign w:val="bottom"/>
            <w:hideMark/>
          </w:tcPr>
          <w:p w14:paraId="6CD09C8E" w14:textId="77777777" w:rsidR="0023076E" w:rsidRPr="005044F0" w:rsidRDefault="0023076E" w:rsidP="00324A07">
            <w:pPr>
              <w:rPr>
                <w:sz w:val="20"/>
                <w:szCs w:val="20"/>
                <w:lang w:val="es-ES"/>
              </w:rPr>
            </w:pPr>
          </w:p>
        </w:tc>
        <w:tc>
          <w:tcPr>
            <w:tcW w:w="1138" w:type="dxa"/>
            <w:tcBorders>
              <w:top w:val="nil"/>
              <w:left w:val="nil"/>
              <w:bottom w:val="nil"/>
              <w:right w:val="nil"/>
            </w:tcBorders>
          </w:tcPr>
          <w:p w14:paraId="1A12D97E" w14:textId="77777777" w:rsidR="0023076E" w:rsidRPr="005044F0" w:rsidRDefault="0023076E" w:rsidP="00324A07">
            <w:pPr>
              <w:rPr>
                <w:sz w:val="20"/>
                <w:szCs w:val="20"/>
                <w:lang w:val="es-ES"/>
              </w:rPr>
            </w:pPr>
          </w:p>
        </w:tc>
      </w:tr>
    </w:tbl>
    <w:p w14:paraId="6FDCE8DA" w14:textId="77777777" w:rsidR="0023076E" w:rsidRPr="005044F0" w:rsidRDefault="0023076E" w:rsidP="0023076E">
      <w:pPr>
        <w:spacing w:line="480" w:lineRule="auto"/>
        <w:rPr>
          <w:lang w:val="es-ES"/>
        </w:rPr>
      </w:pPr>
    </w:p>
    <w:p w14:paraId="08DDD761" w14:textId="77777777" w:rsidR="0023076E" w:rsidRPr="005044F0" w:rsidRDefault="0023076E" w:rsidP="0023076E">
      <w:pPr>
        <w:spacing w:line="360" w:lineRule="auto"/>
        <w:ind w:firstLine="720"/>
        <w:rPr>
          <w:lang w:val="es-ES"/>
        </w:rPr>
      </w:pPr>
      <w:r w:rsidRPr="005044F0">
        <w:rPr>
          <w:lang w:val="es-ES"/>
        </w:rPr>
        <w:t>Para la variable dependiente crecimiento personal (ver Tabla 7), el modelo de ajuste más adecuado identificó tres predictores: aceptación y crecimiento personal (β =.28, p &lt; .001), búsqueda de apoyo social (β = -.36, p &lt; .001) y centrarse en las emociones y desahogarse (β = -.25, p = .005). El modelo explicó el 23% de la varianza (R</w:t>
      </w:r>
      <w:r w:rsidRPr="005044F0">
        <w:rPr>
          <w:vertAlign w:val="superscript"/>
          <w:lang w:val="es-ES"/>
        </w:rPr>
        <w:t>2</w:t>
      </w:r>
      <w:r w:rsidRPr="005044F0">
        <w:rPr>
          <w:lang w:val="es-ES"/>
        </w:rPr>
        <w:t xml:space="preserve"> = .23, </w:t>
      </w:r>
      <w:proofErr w:type="gramStart"/>
      <w:r w:rsidRPr="005044F0">
        <w:rPr>
          <w:lang w:val="es-ES"/>
        </w:rPr>
        <w:t>F(</w:t>
      </w:r>
      <w:proofErr w:type="gramEnd"/>
      <w:r w:rsidRPr="005044F0">
        <w:rPr>
          <w:lang w:val="es-ES"/>
        </w:rPr>
        <w:t xml:space="preserve">3,131) = 12.93, p &lt; .001). </w:t>
      </w:r>
    </w:p>
    <w:p w14:paraId="28244ACC" w14:textId="77777777" w:rsidR="0023076E" w:rsidRPr="005044F0" w:rsidRDefault="0023076E" w:rsidP="0023076E">
      <w:pPr>
        <w:spacing w:line="360" w:lineRule="auto"/>
        <w:rPr>
          <w:b/>
          <w:bCs/>
          <w:lang w:val="es-ES"/>
        </w:rPr>
      </w:pPr>
    </w:p>
    <w:p w14:paraId="13563659" w14:textId="77777777" w:rsidR="0023076E" w:rsidRPr="005044F0" w:rsidRDefault="0023076E" w:rsidP="0023076E">
      <w:pPr>
        <w:spacing w:line="360" w:lineRule="auto"/>
        <w:rPr>
          <w:b/>
          <w:bCs/>
          <w:lang w:val="es-ES"/>
        </w:rPr>
      </w:pPr>
      <w:r w:rsidRPr="005044F0">
        <w:rPr>
          <w:b/>
          <w:bCs/>
          <w:lang w:val="es-ES"/>
        </w:rPr>
        <w:t>Tabla 7</w:t>
      </w:r>
    </w:p>
    <w:p w14:paraId="6D6FBDAF" w14:textId="77777777" w:rsidR="0023076E" w:rsidRPr="005044F0" w:rsidRDefault="0023076E" w:rsidP="0023076E">
      <w:pPr>
        <w:spacing w:line="360" w:lineRule="auto"/>
        <w:rPr>
          <w:lang w:val="es-ES"/>
        </w:rPr>
      </w:pPr>
      <w:r w:rsidRPr="005044F0">
        <w:rPr>
          <w:i/>
          <w:iCs/>
          <w:lang w:val="es-ES"/>
        </w:rPr>
        <w:t>Regresión Múltiple con Variable Dependiente Crecimiento Personal y Variables Independientes Estrategias de Afrontamiento</w:t>
      </w:r>
    </w:p>
    <w:tbl>
      <w:tblPr>
        <w:tblW w:w="9360" w:type="dxa"/>
        <w:tblLook w:val="04A0" w:firstRow="1" w:lastRow="0" w:firstColumn="1" w:lastColumn="0" w:noHBand="0" w:noVBand="1"/>
      </w:tblPr>
      <w:tblGrid>
        <w:gridCol w:w="3424"/>
        <w:gridCol w:w="1374"/>
        <w:gridCol w:w="1014"/>
        <w:gridCol w:w="992"/>
        <w:gridCol w:w="1418"/>
        <w:gridCol w:w="1138"/>
      </w:tblGrid>
      <w:tr w:rsidR="0023076E" w:rsidRPr="005044F0" w14:paraId="693D40E5" w14:textId="77777777" w:rsidTr="00324A07">
        <w:trPr>
          <w:trHeight w:val="320"/>
        </w:trPr>
        <w:tc>
          <w:tcPr>
            <w:tcW w:w="3424" w:type="dxa"/>
            <w:tcBorders>
              <w:top w:val="single" w:sz="4" w:space="0" w:color="auto"/>
              <w:left w:val="nil"/>
              <w:bottom w:val="single" w:sz="4" w:space="0" w:color="auto"/>
              <w:right w:val="nil"/>
            </w:tcBorders>
            <w:shd w:val="clear" w:color="auto" w:fill="auto"/>
            <w:noWrap/>
            <w:vAlign w:val="bottom"/>
            <w:hideMark/>
          </w:tcPr>
          <w:p w14:paraId="72CCDC1B" w14:textId="77777777" w:rsidR="0023076E" w:rsidRPr="005044F0" w:rsidRDefault="0023076E" w:rsidP="00324A07">
            <w:pPr>
              <w:rPr>
                <w:color w:val="000000"/>
                <w:sz w:val="20"/>
                <w:szCs w:val="20"/>
                <w:lang w:val="es-ES"/>
              </w:rPr>
            </w:pPr>
            <w:r w:rsidRPr="005044F0">
              <w:rPr>
                <w:color w:val="000000"/>
                <w:sz w:val="20"/>
                <w:szCs w:val="20"/>
                <w:lang w:val="es-ES"/>
              </w:rPr>
              <w:t> </w:t>
            </w:r>
          </w:p>
        </w:tc>
        <w:tc>
          <w:tcPr>
            <w:tcW w:w="1374" w:type="dxa"/>
            <w:tcBorders>
              <w:top w:val="single" w:sz="4" w:space="0" w:color="auto"/>
              <w:left w:val="nil"/>
              <w:bottom w:val="single" w:sz="4" w:space="0" w:color="auto"/>
              <w:right w:val="nil"/>
            </w:tcBorders>
            <w:shd w:val="clear" w:color="auto" w:fill="auto"/>
            <w:noWrap/>
            <w:vAlign w:val="center"/>
            <w:hideMark/>
          </w:tcPr>
          <w:p w14:paraId="3824E9A0" w14:textId="77777777" w:rsidR="0023076E" w:rsidRPr="005044F0" w:rsidRDefault="0023076E" w:rsidP="00324A07">
            <w:pPr>
              <w:jc w:val="center"/>
              <w:rPr>
                <w:i/>
                <w:color w:val="000000"/>
                <w:sz w:val="20"/>
                <w:szCs w:val="20"/>
                <w:lang w:val="es-ES"/>
              </w:rPr>
            </w:pPr>
            <w:r w:rsidRPr="005044F0">
              <w:rPr>
                <w:i/>
                <w:iCs/>
                <w:color w:val="000000"/>
                <w:sz w:val="20"/>
                <w:szCs w:val="20"/>
                <w:lang w:val="es-ES"/>
              </w:rPr>
              <w:t>B</w:t>
            </w:r>
          </w:p>
        </w:tc>
        <w:tc>
          <w:tcPr>
            <w:tcW w:w="1014" w:type="dxa"/>
            <w:tcBorders>
              <w:top w:val="single" w:sz="4" w:space="0" w:color="auto"/>
              <w:left w:val="nil"/>
              <w:bottom w:val="single" w:sz="4" w:space="0" w:color="auto"/>
              <w:right w:val="nil"/>
            </w:tcBorders>
            <w:shd w:val="clear" w:color="auto" w:fill="auto"/>
            <w:noWrap/>
            <w:vAlign w:val="center"/>
            <w:hideMark/>
          </w:tcPr>
          <w:p w14:paraId="7B2375AA" w14:textId="77777777" w:rsidR="0023076E" w:rsidRPr="005044F0" w:rsidRDefault="0023076E" w:rsidP="00324A07">
            <w:pPr>
              <w:jc w:val="center"/>
              <w:rPr>
                <w:i/>
                <w:color w:val="000000"/>
                <w:sz w:val="20"/>
                <w:szCs w:val="20"/>
                <w:lang w:val="es-ES"/>
              </w:rPr>
            </w:pPr>
            <w:r w:rsidRPr="005044F0">
              <w:rPr>
                <w:i/>
                <w:iCs/>
                <w:color w:val="000000"/>
                <w:sz w:val="20"/>
                <w:szCs w:val="20"/>
                <w:lang w:val="es-ES"/>
              </w:rPr>
              <w:t>SE B</w:t>
            </w:r>
          </w:p>
        </w:tc>
        <w:tc>
          <w:tcPr>
            <w:tcW w:w="992" w:type="dxa"/>
            <w:tcBorders>
              <w:top w:val="single" w:sz="4" w:space="0" w:color="auto"/>
              <w:left w:val="nil"/>
              <w:bottom w:val="single" w:sz="4" w:space="0" w:color="auto"/>
              <w:right w:val="nil"/>
            </w:tcBorders>
            <w:shd w:val="clear" w:color="auto" w:fill="auto"/>
            <w:noWrap/>
            <w:vAlign w:val="center"/>
            <w:hideMark/>
          </w:tcPr>
          <w:p w14:paraId="1A65F318" w14:textId="77777777" w:rsidR="0023076E" w:rsidRPr="005044F0" w:rsidRDefault="0023076E" w:rsidP="00324A07">
            <w:pPr>
              <w:jc w:val="center"/>
              <w:rPr>
                <w:color w:val="000000"/>
                <w:sz w:val="20"/>
                <w:szCs w:val="20"/>
                <w:lang w:val="es-ES"/>
              </w:rPr>
            </w:pPr>
            <w:r w:rsidRPr="005044F0">
              <w:rPr>
                <w:color w:val="000000"/>
                <w:sz w:val="20"/>
                <w:szCs w:val="20"/>
                <w:lang w:val="es-ES"/>
              </w:rPr>
              <w:t>β</w:t>
            </w:r>
          </w:p>
        </w:tc>
        <w:tc>
          <w:tcPr>
            <w:tcW w:w="1418" w:type="dxa"/>
            <w:tcBorders>
              <w:top w:val="single" w:sz="4" w:space="0" w:color="auto"/>
              <w:left w:val="nil"/>
              <w:bottom w:val="single" w:sz="4" w:space="0" w:color="auto"/>
              <w:right w:val="nil"/>
            </w:tcBorders>
            <w:shd w:val="clear" w:color="auto" w:fill="auto"/>
            <w:noWrap/>
            <w:vAlign w:val="center"/>
            <w:hideMark/>
          </w:tcPr>
          <w:p w14:paraId="542BAEC4" w14:textId="77777777" w:rsidR="0023076E" w:rsidRPr="005044F0" w:rsidRDefault="0023076E" w:rsidP="00324A07">
            <w:pPr>
              <w:jc w:val="center"/>
              <w:rPr>
                <w:i/>
                <w:color w:val="000000"/>
                <w:sz w:val="20"/>
                <w:szCs w:val="20"/>
                <w:lang w:val="es-ES"/>
              </w:rPr>
            </w:pPr>
            <w:r w:rsidRPr="005044F0">
              <w:rPr>
                <w:i/>
                <w:iCs/>
                <w:color w:val="000000"/>
                <w:sz w:val="20"/>
                <w:szCs w:val="20"/>
                <w:lang w:val="es-ES"/>
              </w:rPr>
              <w:t>R</w:t>
            </w:r>
            <w:r w:rsidRPr="005044F0">
              <w:rPr>
                <w:i/>
                <w:iCs/>
                <w:color w:val="000000"/>
                <w:sz w:val="20"/>
                <w:szCs w:val="20"/>
                <w:vertAlign w:val="superscript"/>
                <w:lang w:val="es-ES"/>
              </w:rPr>
              <w:t>2</w:t>
            </w:r>
          </w:p>
        </w:tc>
        <w:tc>
          <w:tcPr>
            <w:tcW w:w="1138" w:type="dxa"/>
            <w:tcBorders>
              <w:top w:val="single" w:sz="4" w:space="0" w:color="auto"/>
              <w:left w:val="nil"/>
              <w:bottom w:val="single" w:sz="4" w:space="0" w:color="auto"/>
              <w:right w:val="nil"/>
            </w:tcBorders>
            <w:vAlign w:val="center"/>
          </w:tcPr>
          <w:p w14:paraId="2ADC873F" w14:textId="77777777" w:rsidR="0023076E" w:rsidRPr="005044F0" w:rsidRDefault="0023076E" w:rsidP="00324A07">
            <w:pPr>
              <w:jc w:val="center"/>
              <w:rPr>
                <w:i/>
                <w:iCs/>
                <w:color w:val="000000"/>
                <w:sz w:val="20"/>
                <w:szCs w:val="20"/>
                <w:lang w:val="es-ES"/>
              </w:rPr>
            </w:pPr>
            <w:r w:rsidRPr="005044F0">
              <w:rPr>
                <w:i/>
                <w:iCs/>
                <w:color w:val="000000"/>
                <w:sz w:val="20"/>
                <w:szCs w:val="20"/>
                <w:lang w:val="es-ES"/>
              </w:rPr>
              <w:t>F</w:t>
            </w:r>
          </w:p>
        </w:tc>
      </w:tr>
      <w:tr w:rsidR="0023076E" w:rsidRPr="005044F0" w14:paraId="1407AA6A" w14:textId="77777777" w:rsidTr="00324A07">
        <w:trPr>
          <w:trHeight w:val="320"/>
        </w:trPr>
        <w:tc>
          <w:tcPr>
            <w:tcW w:w="3424" w:type="dxa"/>
            <w:tcBorders>
              <w:top w:val="nil"/>
              <w:left w:val="nil"/>
              <w:bottom w:val="nil"/>
              <w:right w:val="nil"/>
            </w:tcBorders>
            <w:shd w:val="clear" w:color="auto" w:fill="auto"/>
            <w:noWrap/>
            <w:vAlign w:val="bottom"/>
            <w:hideMark/>
          </w:tcPr>
          <w:p w14:paraId="6DEF7631" w14:textId="77777777" w:rsidR="0023076E" w:rsidRPr="005044F0" w:rsidRDefault="0023076E" w:rsidP="00324A07">
            <w:pPr>
              <w:rPr>
                <w:color w:val="000000"/>
                <w:sz w:val="20"/>
                <w:szCs w:val="20"/>
                <w:lang w:val="es-ES"/>
              </w:rPr>
            </w:pPr>
            <w:r w:rsidRPr="005044F0">
              <w:rPr>
                <w:color w:val="000000"/>
                <w:sz w:val="20"/>
                <w:szCs w:val="20"/>
                <w:lang w:val="es-ES"/>
              </w:rPr>
              <w:t>Crecimiento personal</w:t>
            </w:r>
          </w:p>
        </w:tc>
        <w:tc>
          <w:tcPr>
            <w:tcW w:w="1374" w:type="dxa"/>
            <w:tcBorders>
              <w:top w:val="nil"/>
              <w:left w:val="nil"/>
              <w:bottom w:val="nil"/>
              <w:right w:val="nil"/>
            </w:tcBorders>
            <w:shd w:val="clear" w:color="auto" w:fill="auto"/>
            <w:noWrap/>
            <w:vAlign w:val="center"/>
            <w:hideMark/>
          </w:tcPr>
          <w:p w14:paraId="16963050" w14:textId="77777777" w:rsidR="0023076E" w:rsidRPr="005044F0" w:rsidRDefault="0023076E" w:rsidP="00324A07">
            <w:pPr>
              <w:rPr>
                <w:color w:val="000000"/>
                <w:sz w:val="20"/>
                <w:szCs w:val="20"/>
                <w:lang w:val="es-ES"/>
              </w:rPr>
            </w:pPr>
          </w:p>
        </w:tc>
        <w:tc>
          <w:tcPr>
            <w:tcW w:w="1014" w:type="dxa"/>
            <w:tcBorders>
              <w:top w:val="nil"/>
              <w:left w:val="nil"/>
              <w:bottom w:val="nil"/>
              <w:right w:val="nil"/>
            </w:tcBorders>
            <w:shd w:val="clear" w:color="auto" w:fill="auto"/>
            <w:noWrap/>
            <w:vAlign w:val="center"/>
            <w:hideMark/>
          </w:tcPr>
          <w:p w14:paraId="1AC81FF1" w14:textId="77777777" w:rsidR="0023076E" w:rsidRPr="005044F0" w:rsidRDefault="0023076E" w:rsidP="00324A07">
            <w:pPr>
              <w:jc w:val="center"/>
              <w:rPr>
                <w:sz w:val="20"/>
                <w:szCs w:val="20"/>
                <w:lang w:val="es-ES"/>
              </w:rPr>
            </w:pPr>
          </w:p>
        </w:tc>
        <w:tc>
          <w:tcPr>
            <w:tcW w:w="992" w:type="dxa"/>
            <w:tcBorders>
              <w:top w:val="nil"/>
              <w:left w:val="nil"/>
              <w:bottom w:val="nil"/>
              <w:right w:val="nil"/>
            </w:tcBorders>
            <w:shd w:val="clear" w:color="auto" w:fill="auto"/>
            <w:noWrap/>
            <w:vAlign w:val="center"/>
            <w:hideMark/>
          </w:tcPr>
          <w:p w14:paraId="0A7E20D8" w14:textId="77777777" w:rsidR="0023076E" w:rsidRPr="005044F0" w:rsidRDefault="0023076E" w:rsidP="00324A07">
            <w:pPr>
              <w:jc w:val="center"/>
              <w:rPr>
                <w:sz w:val="20"/>
                <w:szCs w:val="20"/>
                <w:lang w:val="es-ES"/>
              </w:rPr>
            </w:pPr>
          </w:p>
        </w:tc>
        <w:tc>
          <w:tcPr>
            <w:tcW w:w="1418" w:type="dxa"/>
            <w:tcBorders>
              <w:top w:val="nil"/>
              <w:left w:val="nil"/>
              <w:bottom w:val="nil"/>
              <w:right w:val="nil"/>
            </w:tcBorders>
            <w:shd w:val="clear" w:color="auto" w:fill="auto"/>
            <w:noWrap/>
            <w:vAlign w:val="center"/>
            <w:hideMark/>
          </w:tcPr>
          <w:p w14:paraId="23BEAC1A" w14:textId="77777777" w:rsidR="0023076E" w:rsidRPr="005044F0" w:rsidRDefault="0023076E" w:rsidP="00324A07">
            <w:pPr>
              <w:jc w:val="center"/>
              <w:rPr>
                <w:sz w:val="20"/>
                <w:szCs w:val="20"/>
                <w:lang w:val="es-ES"/>
              </w:rPr>
            </w:pPr>
          </w:p>
        </w:tc>
        <w:tc>
          <w:tcPr>
            <w:tcW w:w="1138" w:type="dxa"/>
            <w:tcBorders>
              <w:top w:val="nil"/>
              <w:left w:val="nil"/>
              <w:bottom w:val="nil"/>
              <w:right w:val="nil"/>
            </w:tcBorders>
          </w:tcPr>
          <w:p w14:paraId="64DD2CAC" w14:textId="77777777" w:rsidR="0023076E" w:rsidRPr="005044F0" w:rsidRDefault="0023076E" w:rsidP="00324A07">
            <w:pPr>
              <w:jc w:val="center"/>
              <w:rPr>
                <w:sz w:val="20"/>
                <w:szCs w:val="20"/>
                <w:lang w:val="es-ES"/>
              </w:rPr>
            </w:pPr>
          </w:p>
        </w:tc>
      </w:tr>
      <w:tr w:rsidR="0023076E" w:rsidRPr="005044F0" w14:paraId="6BD09AD5" w14:textId="77777777" w:rsidTr="00324A07">
        <w:trPr>
          <w:trHeight w:val="320"/>
        </w:trPr>
        <w:tc>
          <w:tcPr>
            <w:tcW w:w="3424" w:type="dxa"/>
            <w:tcBorders>
              <w:top w:val="nil"/>
              <w:left w:val="nil"/>
              <w:bottom w:val="nil"/>
              <w:right w:val="nil"/>
            </w:tcBorders>
            <w:shd w:val="clear" w:color="auto" w:fill="auto"/>
            <w:noWrap/>
            <w:vAlign w:val="bottom"/>
            <w:hideMark/>
          </w:tcPr>
          <w:p w14:paraId="05215584" w14:textId="77777777" w:rsidR="0023076E" w:rsidRPr="005044F0" w:rsidRDefault="0023076E" w:rsidP="00324A07">
            <w:pPr>
              <w:rPr>
                <w:color w:val="000000"/>
                <w:sz w:val="20"/>
                <w:szCs w:val="20"/>
                <w:lang w:val="es-ES"/>
              </w:rPr>
            </w:pPr>
            <w:r w:rsidRPr="005044F0">
              <w:rPr>
                <w:color w:val="000000"/>
                <w:sz w:val="20"/>
                <w:szCs w:val="20"/>
                <w:lang w:val="es-ES"/>
              </w:rPr>
              <w:t xml:space="preserve">     Paso 1</w:t>
            </w:r>
          </w:p>
        </w:tc>
        <w:tc>
          <w:tcPr>
            <w:tcW w:w="1374" w:type="dxa"/>
            <w:tcBorders>
              <w:top w:val="nil"/>
              <w:left w:val="nil"/>
              <w:bottom w:val="nil"/>
              <w:right w:val="nil"/>
            </w:tcBorders>
            <w:shd w:val="clear" w:color="auto" w:fill="auto"/>
            <w:noWrap/>
            <w:vAlign w:val="center"/>
            <w:hideMark/>
          </w:tcPr>
          <w:p w14:paraId="6ADA547C" w14:textId="77777777" w:rsidR="0023076E" w:rsidRPr="005044F0" w:rsidRDefault="0023076E" w:rsidP="00324A07">
            <w:pPr>
              <w:rPr>
                <w:color w:val="000000"/>
                <w:sz w:val="20"/>
                <w:szCs w:val="20"/>
                <w:lang w:val="es-ES"/>
              </w:rPr>
            </w:pPr>
          </w:p>
        </w:tc>
        <w:tc>
          <w:tcPr>
            <w:tcW w:w="1014" w:type="dxa"/>
            <w:tcBorders>
              <w:top w:val="nil"/>
              <w:left w:val="nil"/>
              <w:bottom w:val="nil"/>
              <w:right w:val="nil"/>
            </w:tcBorders>
            <w:shd w:val="clear" w:color="auto" w:fill="auto"/>
            <w:noWrap/>
            <w:vAlign w:val="center"/>
            <w:hideMark/>
          </w:tcPr>
          <w:p w14:paraId="54E80757" w14:textId="77777777" w:rsidR="0023076E" w:rsidRPr="005044F0" w:rsidRDefault="0023076E" w:rsidP="00324A07">
            <w:pPr>
              <w:jc w:val="center"/>
              <w:rPr>
                <w:sz w:val="20"/>
                <w:szCs w:val="20"/>
                <w:lang w:val="es-ES"/>
              </w:rPr>
            </w:pPr>
          </w:p>
        </w:tc>
        <w:tc>
          <w:tcPr>
            <w:tcW w:w="992" w:type="dxa"/>
            <w:tcBorders>
              <w:top w:val="nil"/>
              <w:left w:val="nil"/>
              <w:bottom w:val="nil"/>
              <w:right w:val="nil"/>
            </w:tcBorders>
            <w:shd w:val="clear" w:color="auto" w:fill="auto"/>
            <w:noWrap/>
            <w:vAlign w:val="center"/>
            <w:hideMark/>
          </w:tcPr>
          <w:p w14:paraId="646E7CD4" w14:textId="77777777" w:rsidR="0023076E" w:rsidRPr="005044F0" w:rsidRDefault="0023076E" w:rsidP="00324A07">
            <w:pPr>
              <w:jc w:val="center"/>
              <w:rPr>
                <w:sz w:val="20"/>
                <w:szCs w:val="20"/>
                <w:lang w:val="es-ES"/>
              </w:rPr>
            </w:pPr>
          </w:p>
        </w:tc>
        <w:tc>
          <w:tcPr>
            <w:tcW w:w="1418" w:type="dxa"/>
            <w:tcBorders>
              <w:top w:val="nil"/>
              <w:left w:val="nil"/>
              <w:bottom w:val="nil"/>
              <w:right w:val="nil"/>
            </w:tcBorders>
            <w:shd w:val="clear" w:color="auto" w:fill="auto"/>
            <w:noWrap/>
            <w:vAlign w:val="center"/>
            <w:hideMark/>
          </w:tcPr>
          <w:p w14:paraId="7DB7C440" w14:textId="77777777" w:rsidR="0023076E" w:rsidRPr="005044F0" w:rsidRDefault="0023076E" w:rsidP="00324A07">
            <w:pPr>
              <w:jc w:val="center"/>
              <w:rPr>
                <w:color w:val="000000"/>
                <w:sz w:val="20"/>
                <w:szCs w:val="20"/>
                <w:lang w:val="es-ES"/>
              </w:rPr>
            </w:pPr>
            <w:r w:rsidRPr="005044F0">
              <w:rPr>
                <w:color w:val="000000"/>
                <w:sz w:val="20"/>
                <w:szCs w:val="20"/>
                <w:lang w:val="es-ES"/>
              </w:rPr>
              <w:t>0.13</w:t>
            </w:r>
          </w:p>
        </w:tc>
        <w:tc>
          <w:tcPr>
            <w:tcW w:w="1138" w:type="dxa"/>
            <w:tcBorders>
              <w:top w:val="nil"/>
              <w:left w:val="nil"/>
              <w:bottom w:val="nil"/>
              <w:right w:val="nil"/>
            </w:tcBorders>
            <w:vAlign w:val="center"/>
          </w:tcPr>
          <w:p w14:paraId="0DF0D964" w14:textId="77777777" w:rsidR="0023076E" w:rsidRPr="005044F0" w:rsidRDefault="0023076E" w:rsidP="00324A07">
            <w:pPr>
              <w:jc w:val="center"/>
              <w:rPr>
                <w:color w:val="000000"/>
                <w:sz w:val="20"/>
                <w:szCs w:val="20"/>
                <w:lang w:val="es-ES"/>
              </w:rPr>
            </w:pPr>
            <w:r w:rsidRPr="005044F0">
              <w:rPr>
                <w:color w:val="000000"/>
                <w:sz w:val="20"/>
                <w:szCs w:val="20"/>
                <w:lang w:val="es-ES"/>
              </w:rPr>
              <w:t>18.99***</w:t>
            </w:r>
          </w:p>
        </w:tc>
      </w:tr>
      <w:tr w:rsidR="0023076E" w:rsidRPr="005044F0" w14:paraId="24073BB3" w14:textId="77777777" w:rsidTr="00324A07">
        <w:trPr>
          <w:trHeight w:val="320"/>
        </w:trPr>
        <w:tc>
          <w:tcPr>
            <w:tcW w:w="3424" w:type="dxa"/>
            <w:tcBorders>
              <w:top w:val="nil"/>
              <w:left w:val="nil"/>
              <w:bottom w:val="nil"/>
              <w:right w:val="nil"/>
            </w:tcBorders>
            <w:shd w:val="clear" w:color="auto" w:fill="auto"/>
            <w:noWrap/>
            <w:vAlign w:val="bottom"/>
            <w:hideMark/>
          </w:tcPr>
          <w:p w14:paraId="3CD0BE7D" w14:textId="77777777" w:rsidR="0023076E" w:rsidRPr="005044F0" w:rsidRDefault="0023076E" w:rsidP="00324A07">
            <w:pPr>
              <w:rPr>
                <w:color w:val="000000"/>
                <w:sz w:val="20"/>
                <w:szCs w:val="20"/>
                <w:lang w:val="es-ES"/>
              </w:rPr>
            </w:pPr>
            <w:r w:rsidRPr="005044F0">
              <w:rPr>
                <w:color w:val="000000"/>
                <w:sz w:val="20"/>
                <w:szCs w:val="20"/>
                <w:lang w:val="es-ES"/>
              </w:rPr>
              <w:t xml:space="preserve">        Aceptación y crecimiento personal</w:t>
            </w:r>
          </w:p>
        </w:tc>
        <w:tc>
          <w:tcPr>
            <w:tcW w:w="1374" w:type="dxa"/>
            <w:tcBorders>
              <w:top w:val="nil"/>
              <w:left w:val="nil"/>
              <w:bottom w:val="nil"/>
              <w:right w:val="nil"/>
            </w:tcBorders>
            <w:shd w:val="clear" w:color="auto" w:fill="auto"/>
            <w:noWrap/>
            <w:vAlign w:val="center"/>
            <w:hideMark/>
          </w:tcPr>
          <w:p w14:paraId="2F288479" w14:textId="77777777" w:rsidR="0023076E" w:rsidRPr="005044F0" w:rsidRDefault="0023076E" w:rsidP="00324A07">
            <w:pPr>
              <w:jc w:val="center"/>
              <w:rPr>
                <w:color w:val="000000"/>
                <w:sz w:val="20"/>
                <w:szCs w:val="20"/>
                <w:lang w:val="es-ES"/>
              </w:rPr>
            </w:pPr>
            <w:r w:rsidRPr="005044F0">
              <w:rPr>
                <w:color w:val="000000"/>
                <w:sz w:val="20"/>
                <w:szCs w:val="20"/>
                <w:lang w:val="es-ES"/>
              </w:rPr>
              <w:t>0.63</w:t>
            </w:r>
          </w:p>
        </w:tc>
        <w:tc>
          <w:tcPr>
            <w:tcW w:w="1014" w:type="dxa"/>
            <w:tcBorders>
              <w:top w:val="nil"/>
              <w:left w:val="nil"/>
              <w:bottom w:val="nil"/>
              <w:right w:val="nil"/>
            </w:tcBorders>
            <w:shd w:val="clear" w:color="auto" w:fill="auto"/>
            <w:noWrap/>
            <w:vAlign w:val="center"/>
            <w:hideMark/>
          </w:tcPr>
          <w:p w14:paraId="406EDF3D" w14:textId="77777777" w:rsidR="0023076E" w:rsidRPr="005044F0" w:rsidRDefault="0023076E" w:rsidP="00324A07">
            <w:pPr>
              <w:jc w:val="center"/>
              <w:rPr>
                <w:color w:val="000000"/>
                <w:sz w:val="20"/>
                <w:szCs w:val="20"/>
                <w:lang w:val="es-ES"/>
              </w:rPr>
            </w:pPr>
            <w:r w:rsidRPr="005044F0">
              <w:rPr>
                <w:color w:val="000000"/>
                <w:sz w:val="20"/>
                <w:szCs w:val="20"/>
                <w:lang w:val="es-ES"/>
              </w:rPr>
              <w:t>0.15</w:t>
            </w:r>
          </w:p>
        </w:tc>
        <w:tc>
          <w:tcPr>
            <w:tcW w:w="992" w:type="dxa"/>
            <w:tcBorders>
              <w:top w:val="nil"/>
              <w:left w:val="nil"/>
              <w:bottom w:val="nil"/>
              <w:right w:val="nil"/>
            </w:tcBorders>
            <w:shd w:val="clear" w:color="auto" w:fill="auto"/>
            <w:noWrap/>
            <w:vAlign w:val="center"/>
            <w:hideMark/>
          </w:tcPr>
          <w:p w14:paraId="7876F35C" w14:textId="77777777" w:rsidR="0023076E" w:rsidRPr="005044F0" w:rsidRDefault="0023076E" w:rsidP="00324A07">
            <w:pPr>
              <w:jc w:val="center"/>
              <w:rPr>
                <w:color w:val="000000"/>
                <w:sz w:val="20"/>
                <w:szCs w:val="20"/>
                <w:lang w:val="es-ES"/>
              </w:rPr>
            </w:pPr>
            <w:r w:rsidRPr="005044F0">
              <w:rPr>
                <w:color w:val="000000"/>
                <w:sz w:val="20"/>
                <w:szCs w:val="20"/>
                <w:lang w:val="es-ES"/>
              </w:rPr>
              <w:t>0.35***</w:t>
            </w:r>
          </w:p>
        </w:tc>
        <w:tc>
          <w:tcPr>
            <w:tcW w:w="1418" w:type="dxa"/>
            <w:tcBorders>
              <w:top w:val="nil"/>
              <w:left w:val="nil"/>
              <w:bottom w:val="nil"/>
              <w:right w:val="nil"/>
            </w:tcBorders>
            <w:shd w:val="clear" w:color="auto" w:fill="auto"/>
            <w:noWrap/>
            <w:vAlign w:val="center"/>
            <w:hideMark/>
          </w:tcPr>
          <w:p w14:paraId="06630637" w14:textId="77777777" w:rsidR="0023076E" w:rsidRPr="005044F0" w:rsidRDefault="0023076E" w:rsidP="00324A07">
            <w:pPr>
              <w:jc w:val="center"/>
              <w:rPr>
                <w:color w:val="000000"/>
                <w:sz w:val="20"/>
                <w:szCs w:val="20"/>
                <w:lang w:val="es-ES"/>
              </w:rPr>
            </w:pPr>
          </w:p>
        </w:tc>
        <w:tc>
          <w:tcPr>
            <w:tcW w:w="1138" w:type="dxa"/>
            <w:tcBorders>
              <w:top w:val="nil"/>
              <w:left w:val="nil"/>
              <w:bottom w:val="nil"/>
              <w:right w:val="nil"/>
            </w:tcBorders>
            <w:vAlign w:val="center"/>
          </w:tcPr>
          <w:p w14:paraId="1FF20DC7" w14:textId="77777777" w:rsidR="0023076E" w:rsidRPr="005044F0" w:rsidRDefault="0023076E" w:rsidP="00324A07">
            <w:pPr>
              <w:jc w:val="center"/>
              <w:rPr>
                <w:color w:val="000000"/>
                <w:sz w:val="20"/>
                <w:szCs w:val="20"/>
                <w:lang w:val="es-ES"/>
              </w:rPr>
            </w:pPr>
          </w:p>
        </w:tc>
      </w:tr>
      <w:tr w:rsidR="0023076E" w:rsidRPr="005044F0" w14:paraId="7830BCEB" w14:textId="77777777" w:rsidTr="00324A07">
        <w:trPr>
          <w:trHeight w:val="320"/>
        </w:trPr>
        <w:tc>
          <w:tcPr>
            <w:tcW w:w="3424" w:type="dxa"/>
            <w:tcBorders>
              <w:top w:val="nil"/>
              <w:left w:val="nil"/>
              <w:bottom w:val="nil"/>
              <w:right w:val="nil"/>
            </w:tcBorders>
            <w:shd w:val="clear" w:color="auto" w:fill="auto"/>
            <w:noWrap/>
            <w:vAlign w:val="bottom"/>
            <w:hideMark/>
          </w:tcPr>
          <w:p w14:paraId="448A028A" w14:textId="77777777" w:rsidR="0023076E" w:rsidRPr="005044F0" w:rsidRDefault="0023076E" w:rsidP="00324A07">
            <w:pPr>
              <w:rPr>
                <w:color w:val="000000"/>
                <w:sz w:val="20"/>
                <w:szCs w:val="20"/>
                <w:lang w:val="es-ES"/>
              </w:rPr>
            </w:pPr>
            <w:r w:rsidRPr="005044F0">
              <w:rPr>
                <w:color w:val="000000"/>
                <w:sz w:val="20"/>
                <w:szCs w:val="20"/>
                <w:lang w:val="es-ES"/>
              </w:rPr>
              <w:t xml:space="preserve">     Paso 2</w:t>
            </w:r>
          </w:p>
        </w:tc>
        <w:tc>
          <w:tcPr>
            <w:tcW w:w="1374" w:type="dxa"/>
            <w:tcBorders>
              <w:top w:val="nil"/>
              <w:left w:val="nil"/>
              <w:bottom w:val="nil"/>
              <w:right w:val="nil"/>
            </w:tcBorders>
            <w:shd w:val="clear" w:color="auto" w:fill="auto"/>
            <w:noWrap/>
            <w:vAlign w:val="center"/>
            <w:hideMark/>
          </w:tcPr>
          <w:p w14:paraId="7D905107" w14:textId="77777777" w:rsidR="0023076E" w:rsidRPr="005044F0" w:rsidRDefault="0023076E" w:rsidP="00324A07">
            <w:pPr>
              <w:rPr>
                <w:color w:val="000000"/>
                <w:sz w:val="20"/>
                <w:szCs w:val="20"/>
                <w:lang w:val="es-ES"/>
              </w:rPr>
            </w:pPr>
          </w:p>
        </w:tc>
        <w:tc>
          <w:tcPr>
            <w:tcW w:w="1014" w:type="dxa"/>
            <w:tcBorders>
              <w:top w:val="nil"/>
              <w:left w:val="nil"/>
              <w:bottom w:val="nil"/>
              <w:right w:val="nil"/>
            </w:tcBorders>
            <w:shd w:val="clear" w:color="auto" w:fill="auto"/>
            <w:noWrap/>
            <w:vAlign w:val="center"/>
            <w:hideMark/>
          </w:tcPr>
          <w:p w14:paraId="24818523" w14:textId="77777777" w:rsidR="0023076E" w:rsidRPr="005044F0" w:rsidRDefault="0023076E" w:rsidP="00324A07">
            <w:pPr>
              <w:jc w:val="center"/>
              <w:rPr>
                <w:sz w:val="20"/>
                <w:szCs w:val="20"/>
                <w:lang w:val="es-ES"/>
              </w:rPr>
            </w:pPr>
          </w:p>
        </w:tc>
        <w:tc>
          <w:tcPr>
            <w:tcW w:w="992" w:type="dxa"/>
            <w:tcBorders>
              <w:top w:val="nil"/>
              <w:left w:val="nil"/>
              <w:bottom w:val="nil"/>
              <w:right w:val="nil"/>
            </w:tcBorders>
            <w:shd w:val="clear" w:color="auto" w:fill="auto"/>
            <w:noWrap/>
            <w:vAlign w:val="center"/>
            <w:hideMark/>
          </w:tcPr>
          <w:p w14:paraId="17DD527B" w14:textId="77777777" w:rsidR="0023076E" w:rsidRPr="005044F0" w:rsidRDefault="0023076E" w:rsidP="00324A07">
            <w:pPr>
              <w:jc w:val="center"/>
              <w:rPr>
                <w:sz w:val="20"/>
                <w:szCs w:val="20"/>
                <w:lang w:val="es-ES"/>
              </w:rPr>
            </w:pPr>
          </w:p>
        </w:tc>
        <w:tc>
          <w:tcPr>
            <w:tcW w:w="1418" w:type="dxa"/>
            <w:tcBorders>
              <w:top w:val="nil"/>
              <w:left w:val="nil"/>
              <w:bottom w:val="nil"/>
              <w:right w:val="nil"/>
            </w:tcBorders>
            <w:shd w:val="clear" w:color="auto" w:fill="auto"/>
            <w:noWrap/>
            <w:vAlign w:val="center"/>
            <w:hideMark/>
          </w:tcPr>
          <w:p w14:paraId="20B1E618" w14:textId="77777777" w:rsidR="0023076E" w:rsidRPr="005044F0" w:rsidRDefault="0023076E" w:rsidP="00324A07">
            <w:pPr>
              <w:jc w:val="center"/>
              <w:rPr>
                <w:color w:val="000000"/>
                <w:sz w:val="20"/>
                <w:szCs w:val="20"/>
                <w:lang w:val="es-ES"/>
              </w:rPr>
            </w:pPr>
            <w:r w:rsidRPr="005044F0">
              <w:rPr>
                <w:color w:val="000000"/>
                <w:sz w:val="20"/>
                <w:szCs w:val="20"/>
                <w:lang w:val="es-ES"/>
              </w:rPr>
              <w:t>0.18</w:t>
            </w:r>
          </w:p>
        </w:tc>
        <w:tc>
          <w:tcPr>
            <w:tcW w:w="1138" w:type="dxa"/>
            <w:tcBorders>
              <w:top w:val="nil"/>
              <w:left w:val="nil"/>
              <w:bottom w:val="nil"/>
              <w:right w:val="nil"/>
            </w:tcBorders>
            <w:vAlign w:val="center"/>
          </w:tcPr>
          <w:p w14:paraId="63D4DD0A" w14:textId="77777777" w:rsidR="0023076E" w:rsidRPr="005044F0" w:rsidRDefault="0023076E" w:rsidP="00324A07">
            <w:pPr>
              <w:jc w:val="center"/>
              <w:rPr>
                <w:color w:val="000000"/>
                <w:sz w:val="20"/>
                <w:szCs w:val="20"/>
                <w:lang w:val="es-ES"/>
              </w:rPr>
            </w:pPr>
            <w:r w:rsidRPr="005044F0">
              <w:rPr>
                <w:color w:val="000000"/>
                <w:sz w:val="20"/>
                <w:szCs w:val="20"/>
                <w:lang w:val="es-ES"/>
              </w:rPr>
              <w:t>14.46***</w:t>
            </w:r>
          </w:p>
        </w:tc>
      </w:tr>
      <w:tr w:rsidR="0023076E" w:rsidRPr="005044F0" w14:paraId="17307C1F" w14:textId="77777777" w:rsidTr="00324A07">
        <w:trPr>
          <w:trHeight w:val="320"/>
        </w:trPr>
        <w:tc>
          <w:tcPr>
            <w:tcW w:w="3424" w:type="dxa"/>
            <w:tcBorders>
              <w:top w:val="nil"/>
              <w:left w:val="nil"/>
              <w:bottom w:val="nil"/>
              <w:right w:val="nil"/>
            </w:tcBorders>
            <w:shd w:val="clear" w:color="auto" w:fill="auto"/>
            <w:noWrap/>
            <w:vAlign w:val="bottom"/>
            <w:hideMark/>
          </w:tcPr>
          <w:p w14:paraId="00CC7FFB" w14:textId="77777777" w:rsidR="0023076E" w:rsidRPr="005044F0" w:rsidRDefault="0023076E" w:rsidP="00324A07">
            <w:pPr>
              <w:rPr>
                <w:color w:val="000000"/>
                <w:sz w:val="20"/>
                <w:szCs w:val="20"/>
                <w:lang w:val="es-ES"/>
              </w:rPr>
            </w:pPr>
            <w:r w:rsidRPr="005044F0">
              <w:rPr>
                <w:color w:val="000000"/>
                <w:sz w:val="20"/>
                <w:szCs w:val="20"/>
                <w:lang w:val="es-ES"/>
              </w:rPr>
              <w:t xml:space="preserve">        Aceptación y crecimiento personal</w:t>
            </w:r>
          </w:p>
        </w:tc>
        <w:tc>
          <w:tcPr>
            <w:tcW w:w="1374" w:type="dxa"/>
            <w:tcBorders>
              <w:top w:val="nil"/>
              <w:left w:val="nil"/>
              <w:bottom w:val="nil"/>
              <w:right w:val="nil"/>
            </w:tcBorders>
            <w:shd w:val="clear" w:color="auto" w:fill="auto"/>
            <w:noWrap/>
            <w:vAlign w:val="center"/>
            <w:hideMark/>
          </w:tcPr>
          <w:p w14:paraId="4056765B" w14:textId="77777777" w:rsidR="0023076E" w:rsidRPr="005044F0" w:rsidRDefault="0023076E" w:rsidP="00324A07">
            <w:pPr>
              <w:jc w:val="center"/>
              <w:rPr>
                <w:color w:val="000000"/>
                <w:sz w:val="20"/>
                <w:szCs w:val="20"/>
                <w:lang w:val="es-ES"/>
              </w:rPr>
            </w:pPr>
            <w:r w:rsidRPr="005044F0">
              <w:rPr>
                <w:color w:val="000000"/>
                <w:sz w:val="20"/>
                <w:szCs w:val="20"/>
                <w:lang w:val="es-ES"/>
              </w:rPr>
              <w:t>0.56</w:t>
            </w:r>
          </w:p>
        </w:tc>
        <w:tc>
          <w:tcPr>
            <w:tcW w:w="1014" w:type="dxa"/>
            <w:tcBorders>
              <w:top w:val="nil"/>
              <w:left w:val="nil"/>
              <w:bottom w:val="nil"/>
              <w:right w:val="nil"/>
            </w:tcBorders>
            <w:shd w:val="clear" w:color="auto" w:fill="auto"/>
            <w:noWrap/>
            <w:vAlign w:val="center"/>
            <w:hideMark/>
          </w:tcPr>
          <w:p w14:paraId="50076769" w14:textId="77777777" w:rsidR="0023076E" w:rsidRPr="005044F0" w:rsidRDefault="0023076E" w:rsidP="00324A07">
            <w:pPr>
              <w:jc w:val="center"/>
              <w:rPr>
                <w:color w:val="000000"/>
                <w:sz w:val="20"/>
                <w:szCs w:val="20"/>
                <w:lang w:val="es-ES"/>
              </w:rPr>
            </w:pPr>
            <w:r w:rsidRPr="005044F0">
              <w:rPr>
                <w:color w:val="000000"/>
                <w:sz w:val="20"/>
                <w:szCs w:val="20"/>
                <w:lang w:val="es-ES"/>
              </w:rPr>
              <w:t>0.14</w:t>
            </w:r>
          </w:p>
        </w:tc>
        <w:tc>
          <w:tcPr>
            <w:tcW w:w="992" w:type="dxa"/>
            <w:tcBorders>
              <w:top w:val="nil"/>
              <w:left w:val="nil"/>
              <w:bottom w:val="nil"/>
              <w:right w:val="nil"/>
            </w:tcBorders>
            <w:shd w:val="clear" w:color="auto" w:fill="auto"/>
            <w:noWrap/>
            <w:vAlign w:val="center"/>
            <w:hideMark/>
          </w:tcPr>
          <w:p w14:paraId="47171118" w14:textId="77777777" w:rsidR="0023076E" w:rsidRPr="005044F0" w:rsidRDefault="0023076E" w:rsidP="00324A07">
            <w:pPr>
              <w:jc w:val="center"/>
              <w:rPr>
                <w:color w:val="000000"/>
                <w:sz w:val="20"/>
                <w:szCs w:val="20"/>
                <w:lang w:val="es-ES"/>
              </w:rPr>
            </w:pPr>
            <w:r w:rsidRPr="005044F0">
              <w:rPr>
                <w:color w:val="000000"/>
                <w:sz w:val="20"/>
                <w:szCs w:val="20"/>
                <w:lang w:val="es-ES"/>
              </w:rPr>
              <w:t>0.31***</w:t>
            </w:r>
          </w:p>
        </w:tc>
        <w:tc>
          <w:tcPr>
            <w:tcW w:w="1418" w:type="dxa"/>
            <w:tcBorders>
              <w:top w:val="nil"/>
              <w:left w:val="nil"/>
              <w:bottom w:val="nil"/>
              <w:right w:val="nil"/>
            </w:tcBorders>
            <w:shd w:val="clear" w:color="auto" w:fill="auto"/>
            <w:noWrap/>
            <w:vAlign w:val="center"/>
            <w:hideMark/>
          </w:tcPr>
          <w:p w14:paraId="5AF7996A" w14:textId="77777777" w:rsidR="0023076E" w:rsidRPr="005044F0" w:rsidRDefault="0023076E" w:rsidP="00324A07">
            <w:pPr>
              <w:jc w:val="center"/>
              <w:rPr>
                <w:color w:val="000000"/>
                <w:sz w:val="20"/>
                <w:szCs w:val="20"/>
                <w:lang w:val="es-ES"/>
              </w:rPr>
            </w:pPr>
          </w:p>
        </w:tc>
        <w:tc>
          <w:tcPr>
            <w:tcW w:w="1138" w:type="dxa"/>
            <w:tcBorders>
              <w:top w:val="nil"/>
              <w:left w:val="nil"/>
              <w:bottom w:val="nil"/>
              <w:right w:val="nil"/>
            </w:tcBorders>
            <w:vAlign w:val="center"/>
          </w:tcPr>
          <w:p w14:paraId="67C54D39" w14:textId="77777777" w:rsidR="0023076E" w:rsidRPr="005044F0" w:rsidRDefault="0023076E" w:rsidP="00324A07">
            <w:pPr>
              <w:jc w:val="center"/>
              <w:rPr>
                <w:color w:val="000000"/>
                <w:sz w:val="20"/>
                <w:szCs w:val="20"/>
                <w:lang w:val="es-ES"/>
              </w:rPr>
            </w:pPr>
          </w:p>
        </w:tc>
      </w:tr>
      <w:tr w:rsidR="0023076E" w:rsidRPr="005044F0" w14:paraId="6F081068" w14:textId="77777777" w:rsidTr="00324A07">
        <w:trPr>
          <w:trHeight w:val="320"/>
        </w:trPr>
        <w:tc>
          <w:tcPr>
            <w:tcW w:w="3424" w:type="dxa"/>
            <w:tcBorders>
              <w:top w:val="nil"/>
              <w:left w:val="nil"/>
              <w:bottom w:val="nil"/>
              <w:right w:val="nil"/>
            </w:tcBorders>
            <w:shd w:val="clear" w:color="auto" w:fill="auto"/>
            <w:noWrap/>
            <w:vAlign w:val="bottom"/>
            <w:hideMark/>
          </w:tcPr>
          <w:p w14:paraId="3A1660C4" w14:textId="77777777" w:rsidR="0023076E" w:rsidRPr="005044F0" w:rsidRDefault="0023076E" w:rsidP="00324A07">
            <w:pPr>
              <w:rPr>
                <w:color w:val="000000"/>
                <w:sz w:val="20"/>
                <w:szCs w:val="20"/>
                <w:lang w:val="es-ES"/>
              </w:rPr>
            </w:pPr>
            <w:r w:rsidRPr="005044F0">
              <w:rPr>
                <w:color w:val="000000"/>
                <w:sz w:val="20"/>
                <w:szCs w:val="20"/>
                <w:lang w:val="es-ES"/>
              </w:rPr>
              <w:t xml:space="preserve">        Búsqueda de apoyo social</w:t>
            </w:r>
          </w:p>
        </w:tc>
        <w:tc>
          <w:tcPr>
            <w:tcW w:w="1374" w:type="dxa"/>
            <w:tcBorders>
              <w:top w:val="nil"/>
              <w:left w:val="nil"/>
              <w:bottom w:val="nil"/>
              <w:right w:val="nil"/>
            </w:tcBorders>
            <w:shd w:val="clear" w:color="auto" w:fill="auto"/>
            <w:noWrap/>
            <w:vAlign w:val="center"/>
            <w:hideMark/>
          </w:tcPr>
          <w:p w14:paraId="078B1F31" w14:textId="77777777" w:rsidR="0023076E" w:rsidRPr="005044F0" w:rsidRDefault="0023076E" w:rsidP="00324A07">
            <w:pPr>
              <w:jc w:val="center"/>
              <w:rPr>
                <w:color w:val="000000"/>
                <w:sz w:val="20"/>
                <w:szCs w:val="20"/>
                <w:lang w:val="es-ES"/>
              </w:rPr>
            </w:pPr>
            <w:r w:rsidRPr="005044F0">
              <w:rPr>
                <w:color w:val="000000"/>
                <w:sz w:val="20"/>
                <w:szCs w:val="20"/>
                <w:lang w:val="es-ES"/>
              </w:rPr>
              <w:t>0.31</w:t>
            </w:r>
          </w:p>
        </w:tc>
        <w:tc>
          <w:tcPr>
            <w:tcW w:w="1014" w:type="dxa"/>
            <w:tcBorders>
              <w:top w:val="nil"/>
              <w:left w:val="nil"/>
              <w:bottom w:val="nil"/>
              <w:right w:val="nil"/>
            </w:tcBorders>
            <w:shd w:val="clear" w:color="auto" w:fill="auto"/>
            <w:noWrap/>
            <w:vAlign w:val="center"/>
            <w:hideMark/>
          </w:tcPr>
          <w:p w14:paraId="7F38420F" w14:textId="77777777" w:rsidR="0023076E" w:rsidRPr="005044F0" w:rsidRDefault="0023076E" w:rsidP="00324A07">
            <w:pPr>
              <w:jc w:val="center"/>
              <w:rPr>
                <w:color w:val="000000"/>
                <w:sz w:val="20"/>
                <w:szCs w:val="20"/>
                <w:lang w:val="es-ES"/>
              </w:rPr>
            </w:pPr>
            <w:r w:rsidRPr="005044F0">
              <w:rPr>
                <w:color w:val="000000"/>
                <w:sz w:val="20"/>
                <w:szCs w:val="20"/>
                <w:lang w:val="es-ES"/>
              </w:rPr>
              <w:t>0.11</w:t>
            </w:r>
          </w:p>
        </w:tc>
        <w:tc>
          <w:tcPr>
            <w:tcW w:w="992" w:type="dxa"/>
            <w:tcBorders>
              <w:top w:val="nil"/>
              <w:left w:val="nil"/>
              <w:bottom w:val="nil"/>
              <w:right w:val="nil"/>
            </w:tcBorders>
            <w:shd w:val="clear" w:color="auto" w:fill="auto"/>
            <w:noWrap/>
            <w:vAlign w:val="center"/>
            <w:hideMark/>
          </w:tcPr>
          <w:p w14:paraId="2C4B408C" w14:textId="77777777" w:rsidR="0023076E" w:rsidRPr="005044F0" w:rsidRDefault="0023076E" w:rsidP="00324A07">
            <w:pPr>
              <w:jc w:val="center"/>
              <w:rPr>
                <w:color w:val="000000"/>
                <w:sz w:val="20"/>
                <w:szCs w:val="20"/>
                <w:lang w:val="es-ES"/>
              </w:rPr>
            </w:pPr>
            <w:r w:rsidRPr="005044F0">
              <w:rPr>
                <w:color w:val="000000"/>
                <w:sz w:val="20"/>
                <w:szCs w:val="20"/>
                <w:lang w:val="es-ES"/>
              </w:rPr>
              <w:t>0.24**</w:t>
            </w:r>
          </w:p>
        </w:tc>
        <w:tc>
          <w:tcPr>
            <w:tcW w:w="1418" w:type="dxa"/>
            <w:tcBorders>
              <w:top w:val="nil"/>
              <w:left w:val="nil"/>
              <w:bottom w:val="nil"/>
              <w:right w:val="nil"/>
            </w:tcBorders>
            <w:shd w:val="clear" w:color="auto" w:fill="auto"/>
            <w:noWrap/>
            <w:vAlign w:val="center"/>
            <w:hideMark/>
          </w:tcPr>
          <w:p w14:paraId="5DF80184" w14:textId="77777777" w:rsidR="0023076E" w:rsidRPr="005044F0" w:rsidRDefault="0023076E" w:rsidP="00324A07">
            <w:pPr>
              <w:jc w:val="center"/>
              <w:rPr>
                <w:color w:val="000000"/>
                <w:sz w:val="20"/>
                <w:szCs w:val="20"/>
                <w:lang w:val="es-ES"/>
              </w:rPr>
            </w:pPr>
          </w:p>
        </w:tc>
        <w:tc>
          <w:tcPr>
            <w:tcW w:w="1138" w:type="dxa"/>
            <w:tcBorders>
              <w:top w:val="nil"/>
              <w:left w:val="nil"/>
              <w:bottom w:val="nil"/>
              <w:right w:val="nil"/>
            </w:tcBorders>
            <w:vAlign w:val="center"/>
          </w:tcPr>
          <w:p w14:paraId="0E5F09CF" w14:textId="77777777" w:rsidR="0023076E" w:rsidRPr="005044F0" w:rsidRDefault="0023076E" w:rsidP="00324A07">
            <w:pPr>
              <w:jc w:val="center"/>
              <w:rPr>
                <w:color w:val="000000"/>
                <w:sz w:val="20"/>
                <w:szCs w:val="20"/>
                <w:lang w:val="es-ES"/>
              </w:rPr>
            </w:pPr>
          </w:p>
        </w:tc>
      </w:tr>
      <w:tr w:rsidR="0023076E" w:rsidRPr="005044F0" w14:paraId="45AF3E60" w14:textId="77777777" w:rsidTr="00324A07">
        <w:trPr>
          <w:trHeight w:val="320"/>
        </w:trPr>
        <w:tc>
          <w:tcPr>
            <w:tcW w:w="3424" w:type="dxa"/>
            <w:tcBorders>
              <w:top w:val="nil"/>
              <w:left w:val="nil"/>
              <w:bottom w:val="nil"/>
              <w:right w:val="nil"/>
            </w:tcBorders>
            <w:shd w:val="clear" w:color="auto" w:fill="auto"/>
            <w:noWrap/>
            <w:vAlign w:val="bottom"/>
            <w:hideMark/>
          </w:tcPr>
          <w:p w14:paraId="236A4731" w14:textId="77777777" w:rsidR="0023076E" w:rsidRPr="005044F0" w:rsidRDefault="0023076E" w:rsidP="00324A07">
            <w:pPr>
              <w:rPr>
                <w:color w:val="000000"/>
                <w:sz w:val="20"/>
                <w:szCs w:val="20"/>
                <w:lang w:val="es-ES"/>
              </w:rPr>
            </w:pPr>
            <w:r w:rsidRPr="005044F0">
              <w:rPr>
                <w:color w:val="000000"/>
                <w:sz w:val="20"/>
                <w:szCs w:val="20"/>
                <w:lang w:val="es-ES"/>
              </w:rPr>
              <w:t xml:space="preserve">     Paso 3</w:t>
            </w:r>
          </w:p>
        </w:tc>
        <w:tc>
          <w:tcPr>
            <w:tcW w:w="1374" w:type="dxa"/>
            <w:tcBorders>
              <w:top w:val="nil"/>
              <w:left w:val="nil"/>
              <w:bottom w:val="nil"/>
              <w:right w:val="nil"/>
            </w:tcBorders>
            <w:shd w:val="clear" w:color="auto" w:fill="auto"/>
            <w:noWrap/>
            <w:vAlign w:val="center"/>
            <w:hideMark/>
          </w:tcPr>
          <w:p w14:paraId="3F39DB5F" w14:textId="77777777" w:rsidR="0023076E" w:rsidRPr="005044F0" w:rsidRDefault="0023076E" w:rsidP="00324A07">
            <w:pPr>
              <w:rPr>
                <w:color w:val="000000"/>
                <w:sz w:val="20"/>
                <w:szCs w:val="20"/>
                <w:lang w:val="es-ES"/>
              </w:rPr>
            </w:pPr>
          </w:p>
        </w:tc>
        <w:tc>
          <w:tcPr>
            <w:tcW w:w="1014" w:type="dxa"/>
            <w:tcBorders>
              <w:top w:val="nil"/>
              <w:left w:val="nil"/>
              <w:bottom w:val="nil"/>
              <w:right w:val="nil"/>
            </w:tcBorders>
            <w:shd w:val="clear" w:color="auto" w:fill="auto"/>
            <w:noWrap/>
            <w:vAlign w:val="center"/>
            <w:hideMark/>
          </w:tcPr>
          <w:p w14:paraId="29A1AAAC" w14:textId="77777777" w:rsidR="0023076E" w:rsidRPr="005044F0" w:rsidRDefault="0023076E" w:rsidP="00324A07">
            <w:pPr>
              <w:jc w:val="center"/>
              <w:rPr>
                <w:sz w:val="20"/>
                <w:szCs w:val="20"/>
                <w:lang w:val="es-ES"/>
              </w:rPr>
            </w:pPr>
          </w:p>
        </w:tc>
        <w:tc>
          <w:tcPr>
            <w:tcW w:w="992" w:type="dxa"/>
            <w:tcBorders>
              <w:top w:val="nil"/>
              <w:left w:val="nil"/>
              <w:bottom w:val="nil"/>
              <w:right w:val="nil"/>
            </w:tcBorders>
            <w:shd w:val="clear" w:color="auto" w:fill="auto"/>
            <w:noWrap/>
            <w:vAlign w:val="center"/>
            <w:hideMark/>
          </w:tcPr>
          <w:p w14:paraId="3A1D5630" w14:textId="77777777" w:rsidR="0023076E" w:rsidRPr="005044F0" w:rsidRDefault="0023076E" w:rsidP="00324A07">
            <w:pPr>
              <w:jc w:val="center"/>
              <w:rPr>
                <w:sz w:val="20"/>
                <w:szCs w:val="20"/>
                <w:lang w:val="es-ES"/>
              </w:rPr>
            </w:pPr>
          </w:p>
        </w:tc>
        <w:tc>
          <w:tcPr>
            <w:tcW w:w="1418" w:type="dxa"/>
            <w:tcBorders>
              <w:top w:val="nil"/>
              <w:left w:val="nil"/>
              <w:bottom w:val="nil"/>
              <w:right w:val="nil"/>
            </w:tcBorders>
            <w:shd w:val="clear" w:color="auto" w:fill="auto"/>
            <w:noWrap/>
            <w:vAlign w:val="center"/>
            <w:hideMark/>
          </w:tcPr>
          <w:p w14:paraId="128030C7" w14:textId="77777777" w:rsidR="0023076E" w:rsidRPr="005044F0" w:rsidRDefault="0023076E" w:rsidP="00324A07">
            <w:pPr>
              <w:jc w:val="center"/>
              <w:rPr>
                <w:color w:val="000000"/>
                <w:sz w:val="20"/>
                <w:szCs w:val="20"/>
                <w:lang w:val="es-ES"/>
              </w:rPr>
            </w:pPr>
            <w:r w:rsidRPr="005044F0">
              <w:rPr>
                <w:color w:val="000000"/>
                <w:sz w:val="20"/>
                <w:szCs w:val="20"/>
                <w:lang w:val="es-ES"/>
              </w:rPr>
              <w:t>0.23</w:t>
            </w:r>
          </w:p>
        </w:tc>
        <w:tc>
          <w:tcPr>
            <w:tcW w:w="1138" w:type="dxa"/>
            <w:tcBorders>
              <w:top w:val="nil"/>
              <w:left w:val="nil"/>
              <w:bottom w:val="nil"/>
              <w:right w:val="nil"/>
            </w:tcBorders>
            <w:vAlign w:val="center"/>
          </w:tcPr>
          <w:p w14:paraId="5ADC04C1" w14:textId="77777777" w:rsidR="0023076E" w:rsidRPr="005044F0" w:rsidRDefault="0023076E" w:rsidP="00324A07">
            <w:pPr>
              <w:jc w:val="center"/>
              <w:rPr>
                <w:color w:val="000000"/>
                <w:sz w:val="20"/>
                <w:szCs w:val="20"/>
                <w:lang w:val="es-ES"/>
              </w:rPr>
            </w:pPr>
            <w:r w:rsidRPr="005044F0">
              <w:rPr>
                <w:color w:val="000000"/>
                <w:sz w:val="20"/>
                <w:szCs w:val="20"/>
                <w:lang w:val="es-ES"/>
              </w:rPr>
              <w:t>12.93***</w:t>
            </w:r>
          </w:p>
        </w:tc>
      </w:tr>
      <w:tr w:rsidR="0023076E" w:rsidRPr="005044F0" w14:paraId="7ECF14E2" w14:textId="77777777" w:rsidTr="00324A07">
        <w:trPr>
          <w:trHeight w:val="320"/>
        </w:trPr>
        <w:tc>
          <w:tcPr>
            <w:tcW w:w="3424" w:type="dxa"/>
            <w:tcBorders>
              <w:top w:val="nil"/>
              <w:left w:val="nil"/>
              <w:bottom w:val="nil"/>
              <w:right w:val="nil"/>
            </w:tcBorders>
            <w:shd w:val="clear" w:color="auto" w:fill="auto"/>
            <w:noWrap/>
            <w:vAlign w:val="bottom"/>
            <w:hideMark/>
          </w:tcPr>
          <w:p w14:paraId="6EF8AFAE" w14:textId="77777777" w:rsidR="0023076E" w:rsidRPr="005044F0" w:rsidRDefault="0023076E" w:rsidP="00324A07">
            <w:pPr>
              <w:rPr>
                <w:color w:val="000000"/>
                <w:sz w:val="20"/>
                <w:szCs w:val="20"/>
                <w:lang w:val="es-ES"/>
              </w:rPr>
            </w:pPr>
            <w:r w:rsidRPr="005044F0">
              <w:rPr>
                <w:color w:val="000000"/>
                <w:sz w:val="20"/>
                <w:szCs w:val="20"/>
                <w:lang w:val="es-ES"/>
              </w:rPr>
              <w:t xml:space="preserve">        Aceptación y crecimiento personal</w:t>
            </w:r>
          </w:p>
        </w:tc>
        <w:tc>
          <w:tcPr>
            <w:tcW w:w="1374" w:type="dxa"/>
            <w:tcBorders>
              <w:top w:val="nil"/>
              <w:left w:val="nil"/>
              <w:bottom w:val="nil"/>
              <w:right w:val="nil"/>
            </w:tcBorders>
            <w:shd w:val="clear" w:color="auto" w:fill="auto"/>
            <w:noWrap/>
            <w:vAlign w:val="bottom"/>
            <w:hideMark/>
          </w:tcPr>
          <w:p w14:paraId="55789900" w14:textId="77777777" w:rsidR="0023076E" w:rsidRPr="005044F0" w:rsidRDefault="0023076E" w:rsidP="00324A07">
            <w:pPr>
              <w:jc w:val="center"/>
              <w:rPr>
                <w:color w:val="000000"/>
                <w:sz w:val="20"/>
                <w:szCs w:val="20"/>
                <w:lang w:val="es-ES"/>
              </w:rPr>
            </w:pPr>
            <w:r w:rsidRPr="005044F0">
              <w:rPr>
                <w:color w:val="000000"/>
                <w:sz w:val="20"/>
                <w:szCs w:val="20"/>
                <w:lang w:val="es-ES"/>
              </w:rPr>
              <w:t>0.51</w:t>
            </w:r>
          </w:p>
        </w:tc>
        <w:tc>
          <w:tcPr>
            <w:tcW w:w="1014" w:type="dxa"/>
            <w:tcBorders>
              <w:top w:val="nil"/>
              <w:left w:val="nil"/>
              <w:bottom w:val="nil"/>
              <w:right w:val="nil"/>
            </w:tcBorders>
            <w:shd w:val="clear" w:color="auto" w:fill="auto"/>
            <w:noWrap/>
            <w:vAlign w:val="center"/>
            <w:hideMark/>
          </w:tcPr>
          <w:p w14:paraId="0E927955" w14:textId="77777777" w:rsidR="0023076E" w:rsidRPr="005044F0" w:rsidRDefault="0023076E" w:rsidP="00324A07">
            <w:pPr>
              <w:jc w:val="center"/>
              <w:rPr>
                <w:color w:val="000000"/>
                <w:sz w:val="20"/>
                <w:szCs w:val="20"/>
                <w:lang w:val="es-ES"/>
              </w:rPr>
            </w:pPr>
            <w:r w:rsidRPr="005044F0">
              <w:rPr>
                <w:color w:val="000000"/>
                <w:sz w:val="20"/>
                <w:szCs w:val="20"/>
                <w:lang w:val="es-ES"/>
              </w:rPr>
              <w:t>0.14</w:t>
            </w:r>
          </w:p>
        </w:tc>
        <w:tc>
          <w:tcPr>
            <w:tcW w:w="992" w:type="dxa"/>
            <w:tcBorders>
              <w:top w:val="nil"/>
              <w:left w:val="nil"/>
              <w:bottom w:val="nil"/>
              <w:right w:val="nil"/>
            </w:tcBorders>
            <w:shd w:val="clear" w:color="auto" w:fill="auto"/>
            <w:noWrap/>
            <w:vAlign w:val="bottom"/>
            <w:hideMark/>
          </w:tcPr>
          <w:p w14:paraId="24456DAC" w14:textId="77777777" w:rsidR="0023076E" w:rsidRPr="005044F0" w:rsidRDefault="0023076E" w:rsidP="00324A07">
            <w:pPr>
              <w:jc w:val="center"/>
              <w:rPr>
                <w:color w:val="000000"/>
                <w:sz w:val="20"/>
                <w:szCs w:val="20"/>
                <w:lang w:val="es-ES"/>
              </w:rPr>
            </w:pPr>
            <w:r w:rsidRPr="005044F0">
              <w:rPr>
                <w:color w:val="000000"/>
                <w:sz w:val="20"/>
                <w:szCs w:val="20"/>
                <w:lang w:val="es-ES"/>
              </w:rPr>
              <w:t>0.28***</w:t>
            </w:r>
          </w:p>
        </w:tc>
        <w:tc>
          <w:tcPr>
            <w:tcW w:w="1418" w:type="dxa"/>
            <w:tcBorders>
              <w:top w:val="nil"/>
              <w:left w:val="nil"/>
              <w:bottom w:val="nil"/>
              <w:right w:val="nil"/>
            </w:tcBorders>
            <w:shd w:val="clear" w:color="auto" w:fill="auto"/>
            <w:noWrap/>
            <w:vAlign w:val="center"/>
            <w:hideMark/>
          </w:tcPr>
          <w:p w14:paraId="168D3761" w14:textId="77777777" w:rsidR="0023076E" w:rsidRPr="005044F0" w:rsidRDefault="0023076E" w:rsidP="00324A07">
            <w:pPr>
              <w:jc w:val="center"/>
              <w:rPr>
                <w:color w:val="000000"/>
                <w:sz w:val="20"/>
                <w:szCs w:val="20"/>
                <w:lang w:val="es-ES"/>
              </w:rPr>
            </w:pPr>
          </w:p>
        </w:tc>
        <w:tc>
          <w:tcPr>
            <w:tcW w:w="1138" w:type="dxa"/>
            <w:tcBorders>
              <w:top w:val="nil"/>
              <w:left w:val="nil"/>
              <w:bottom w:val="nil"/>
              <w:right w:val="nil"/>
            </w:tcBorders>
            <w:vAlign w:val="center"/>
          </w:tcPr>
          <w:p w14:paraId="42923A30" w14:textId="77777777" w:rsidR="0023076E" w:rsidRPr="005044F0" w:rsidRDefault="0023076E" w:rsidP="00324A07">
            <w:pPr>
              <w:jc w:val="center"/>
              <w:rPr>
                <w:color w:val="000000"/>
                <w:sz w:val="20"/>
                <w:szCs w:val="20"/>
                <w:lang w:val="es-ES"/>
              </w:rPr>
            </w:pPr>
          </w:p>
        </w:tc>
      </w:tr>
      <w:tr w:rsidR="0023076E" w:rsidRPr="005044F0" w14:paraId="67675BA7" w14:textId="77777777" w:rsidTr="00324A07">
        <w:trPr>
          <w:trHeight w:val="320"/>
        </w:trPr>
        <w:tc>
          <w:tcPr>
            <w:tcW w:w="3424" w:type="dxa"/>
            <w:tcBorders>
              <w:top w:val="nil"/>
              <w:left w:val="nil"/>
              <w:bottom w:val="nil"/>
              <w:right w:val="nil"/>
            </w:tcBorders>
            <w:shd w:val="clear" w:color="auto" w:fill="auto"/>
            <w:noWrap/>
            <w:vAlign w:val="bottom"/>
            <w:hideMark/>
          </w:tcPr>
          <w:p w14:paraId="69610CF2" w14:textId="77777777" w:rsidR="0023076E" w:rsidRPr="005044F0" w:rsidRDefault="0023076E" w:rsidP="00324A07">
            <w:pPr>
              <w:rPr>
                <w:color w:val="000000"/>
                <w:sz w:val="20"/>
                <w:szCs w:val="20"/>
                <w:lang w:val="es-ES"/>
              </w:rPr>
            </w:pPr>
            <w:r w:rsidRPr="005044F0">
              <w:rPr>
                <w:color w:val="000000"/>
                <w:sz w:val="20"/>
                <w:szCs w:val="20"/>
                <w:lang w:val="es-ES"/>
              </w:rPr>
              <w:t xml:space="preserve">        Búsqueda de apoyo social</w:t>
            </w:r>
          </w:p>
        </w:tc>
        <w:tc>
          <w:tcPr>
            <w:tcW w:w="1374" w:type="dxa"/>
            <w:tcBorders>
              <w:top w:val="nil"/>
              <w:left w:val="nil"/>
              <w:bottom w:val="nil"/>
              <w:right w:val="nil"/>
            </w:tcBorders>
            <w:shd w:val="clear" w:color="auto" w:fill="auto"/>
            <w:noWrap/>
            <w:vAlign w:val="bottom"/>
            <w:hideMark/>
          </w:tcPr>
          <w:p w14:paraId="4B3AA104" w14:textId="77777777" w:rsidR="0023076E" w:rsidRPr="005044F0" w:rsidRDefault="0023076E" w:rsidP="00324A07">
            <w:pPr>
              <w:jc w:val="center"/>
              <w:rPr>
                <w:color w:val="000000"/>
                <w:sz w:val="20"/>
                <w:szCs w:val="20"/>
                <w:lang w:val="es-ES"/>
              </w:rPr>
            </w:pPr>
            <w:r w:rsidRPr="005044F0">
              <w:rPr>
                <w:color w:val="000000"/>
                <w:sz w:val="20"/>
                <w:szCs w:val="20"/>
                <w:lang w:val="es-ES"/>
              </w:rPr>
              <w:t>0.47</w:t>
            </w:r>
          </w:p>
        </w:tc>
        <w:tc>
          <w:tcPr>
            <w:tcW w:w="1014" w:type="dxa"/>
            <w:tcBorders>
              <w:top w:val="nil"/>
              <w:left w:val="nil"/>
              <w:bottom w:val="nil"/>
              <w:right w:val="nil"/>
            </w:tcBorders>
            <w:shd w:val="clear" w:color="auto" w:fill="auto"/>
            <w:noWrap/>
            <w:vAlign w:val="center"/>
            <w:hideMark/>
          </w:tcPr>
          <w:p w14:paraId="233FEF05" w14:textId="77777777" w:rsidR="0023076E" w:rsidRPr="005044F0" w:rsidRDefault="0023076E" w:rsidP="00324A07">
            <w:pPr>
              <w:jc w:val="center"/>
              <w:rPr>
                <w:color w:val="000000"/>
                <w:sz w:val="20"/>
                <w:szCs w:val="20"/>
                <w:lang w:val="es-ES"/>
              </w:rPr>
            </w:pPr>
            <w:r w:rsidRPr="005044F0">
              <w:rPr>
                <w:color w:val="000000"/>
                <w:sz w:val="20"/>
                <w:szCs w:val="20"/>
                <w:lang w:val="es-ES"/>
              </w:rPr>
              <w:t>0.12</w:t>
            </w:r>
          </w:p>
        </w:tc>
        <w:tc>
          <w:tcPr>
            <w:tcW w:w="992" w:type="dxa"/>
            <w:tcBorders>
              <w:top w:val="nil"/>
              <w:left w:val="nil"/>
              <w:bottom w:val="nil"/>
              <w:right w:val="nil"/>
            </w:tcBorders>
            <w:shd w:val="clear" w:color="auto" w:fill="auto"/>
            <w:noWrap/>
            <w:vAlign w:val="bottom"/>
            <w:hideMark/>
          </w:tcPr>
          <w:p w14:paraId="66C1611D" w14:textId="77777777" w:rsidR="0023076E" w:rsidRPr="005044F0" w:rsidRDefault="0023076E" w:rsidP="00324A07">
            <w:pPr>
              <w:jc w:val="center"/>
              <w:rPr>
                <w:color w:val="000000"/>
                <w:sz w:val="20"/>
                <w:szCs w:val="20"/>
                <w:lang w:val="es-ES"/>
              </w:rPr>
            </w:pPr>
            <w:r w:rsidRPr="005044F0">
              <w:rPr>
                <w:color w:val="000000"/>
                <w:sz w:val="20"/>
                <w:szCs w:val="20"/>
                <w:lang w:val="es-ES"/>
              </w:rPr>
              <w:t>0.36***</w:t>
            </w:r>
          </w:p>
        </w:tc>
        <w:tc>
          <w:tcPr>
            <w:tcW w:w="1418" w:type="dxa"/>
            <w:tcBorders>
              <w:top w:val="nil"/>
              <w:left w:val="nil"/>
              <w:bottom w:val="nil"/>
              <w:right w:val="nil"/>
            </w:tcBorders>
            <w:shd w:val="clear" w:color="auto" w:fill="auto"/>
            <w:noWrap/>
            <w:vAlign w:val="bottom"/>
            <w:hideMark/>
          </w:tcPr>
          <w:p w14:paraId="23B78E9F" w14:textId="77777777" w:rsidR="0023076E" w:rsidRPr="005044F0" w:rsidRDefault="0023076E" w:rsidP="00324A07">
            <w:pPr>
              <w:jc w:val="center"/>
              <w:rPr>
                <w:color w:val="000000"/>
                <w:sz w:val="20"/>
                <w:szCs w:val="20"/>
                <w:lang w:val="es-ES"/>
              </w:rPr>
            </w:pPr>
          </w:p>
        </w:tc>
        <w:tc>
          <w:tcPr>
            <w:tcW w:w="1138" w:type="dxa"/>
            <w:tcBorders>
              <w:top w:val="nil"/>
              <w:left w:val="nil"/>
              <w:bottom w:val="nil"/>
              <w:right w:val="nil"/>
            </w:tcBorders>
          </w:tcPr>
          <w:p w14:paraId="53E7319E" w14:textId="77777777" w:rsidR="0023076E" w:rsidRPr="005044F0" w:rsidRDefault="0023076E" w:rsidP="00324A07">
            <w:pPr>
              <w:jc w:val="center"/>
              <w:rPr>
                <w:color w:val="000000"/>
                <w:sz w:val="20"/>
                <w:szCs w:val="20"/>
                <w:lang w:val="es-ES"/>
              </w:rPr>
            </w:pPr>
          </w:p>
        </w:tc>
      </w:tr>
      <w:tr w:rsidR="0023076E" w:rsidRPr="005044F0" w14:paraId="177CF70D" w14:textId="77777777" w:rsidTr="00324A07">
        <w:trPr>
          <w:trHeight w:val="320"/>
        </w:trPr>
        <w:tc>
          <w:tcPr>
            <w:tcW w:w="3424" w:type="dxa"/>
            <w:tcBorders>
              <w:top w:val="nil"/>
              <w:left w:val="nil"/>
              <w:bottom w:val="single" w:sz="4" w:space="0" w:color="auto"/>
              <w:right w:val="nil"/>
            </w:tcBorders>
            <w:shd w:val="clear" w:color="auto" w:fill="auto"/>
            <w:noWrap/>
            <w:vAlign w:val="bottom"/>
            <w:hideMark/>
          </w:tcPr>
          <w:p w14:paraId="03340D08" w14:textId="77777777" w:rsidR="0023076E" w:rsidRPr="005044F0" w:rsidRDefault="0023076E" w:rsidP="00324A07">
            <w:pPr>
              <w:rPr>
                <w:color w:val="000000"/>
                <w:sz w:val="20"/>
                <w:szCs w:val="20"/>
                <w:lang w:val="es-ES"/>
              </w:rPr>
            </w:pPr>
            <w:r w:rsidRPr="005044F0">
              <w:rPr>
                <w:color w:val="000000"/>
                <w:sz w:val="20"/>
                <w:szCs w:val="20"/>
                <w:lang w:val="es-ES"/>
              </w:rPr>
              <w:t xml:space="preserve">        Centrarse en las emociones y desahogarse</w:t>
            </w:r>
          </w:p>
        </w:tc>
        <w:tc>
          <w:tcPr>
            <w:tcW w:w="1374" w:type="dxa"/>
            <w:tcBorders>
              <w:top w:val="nil"/>
              <w:left w:val="nil"/>
              <w:bottom w:val="single" w:sz="4" w:space="0" w:color="auto"/>
              <w:right w:val="nil"/>
            </w:tcBorders>
            <w:shd w:val="clear" w:color="auto" w:fill="auto"/>
            <w:noWrap/>
            <w:vAlign w:val="bottom"/>
            <w:hideMark/>
          </w:tcPr>
          <w:p w14:paraId="7EE4ACF1" w14:textId="77777777" w:rsidR="0023076E" w:rsidRPr="005044F0" w:rsidRDefault="0023076E" w:rsidP="00324A07">
            <w:pPr>
              <w:jc w:val="center"/>
              <w:rPr>
                <w:color w:val="000000"/>
                <w:sz w:val="20"/>
                <w:szCs w:val="20"/>
                <w:lang w:val="es-ES"/>
              </w:rPr>
            </w:pPr>
            <w:r w:rsidRPr="005044F0">
              <w:rPr>
                <w:color w:val="000000"/>
                <w:sz w:val="20"/>
                <w:szCs w:val="20"/>
                <w:lang w:val="es-ES"/>
              </w:rPr>
              <w:t>-0.33</w:t>
            </w:r>
          </w:p>
        </w:tc>
        <w:tc>
          <w:tcPr>
            <w:tcW w:w="1014" w:type="dxa"/>
            <w:tcBorders>
              <w:top w:val="nil"/>
              <w:left w:val="nil"/>
              <w:bottom w:val="single" w:sz="4" w:space="0" w:color="auto"/>
              <w:right w:val="nil"/>
            </w:tcBorders>
            <w:shd w:val="clear" w:color="auto" w:fill="auto"/>
            <w:noWrap/>
            <w:vAlign w:val="center"/>
            <w:hideMark/>
          </w:tcPr>
          <w:p w14:paraId="25CB8CDF" w14:textId="77777777" w:rsidR="0023076E" w:rsidRPr="005044F0" w:rsidRDefault="0023076E" w:rsidP="00324A07">
            <w:pPr>
              <w:jc w:val="center"/>
              <w:rPr>
                <w:color w:val="000000"/>
                <w:sz w:val="20"/>
                <w:szCs w:val="20"/>
                <w:lang w:val="es-ES"/>
              </w:rPr>
            </w:pPr>
            <w:r w:rsidRPr="005044F0">
              <w:rPr>
                <w:color w:val="000000"/>
                <w:sz w:val="20"/>
                <w:szCs w:val="20"/>
                <w:lang w:val="es-ES"/>
              </w:rPr>
              <w:t>0.11</w:t>
            </w:r>
          </w:p>
        </w:tc>
        <w:tc>
          <w:tcPr>
            <w:tcW w:w="992" w:type="dxa"/>
            <w:tcBorders>
              <w:top w:val="nil"/>
              <w:left w:val="nil"/>
              <w:bottom w:val="single" w:sz="4" w:space="0" w:color="auto"/>
              <w:right w:val="nil"/>
            </w:tcBorders>
            <w:shd w:val="clear" w:color="auto" w:fill="auto"/>
            <w:noWrap/>
            <w:vAlign w:val="bottom"/>
            <w:hideMark/>
          </w:tcPr>
          <w:p w14:paraId="0CE80009" w14:textId="77777777" w:rsidR="0023076E" w:rsidRPr="005044F0" w:rsidRDefault="0023076E" w:rsidP="00324A07">
            <w:pPr>
              <w:jc w:val="center"/>
              <w:rPr>
                <w:color w:val="000000"/>
                <w:sz w:val="20"/>
                <w:szCs w:val="20"/>
                <w:lang w:val="es-ES"/>
              </w:rPr>
            </w:pPr>
            <w:r w:rsidRPr="005044F0">
              <w:rPr>
                <w:color w:val="000000"/>
                <w:sz w:val="20"/>
                <w:szCs w:val="20"/>
                <w:lang w:val="es-ES"/>
              </w:rPr>
              <w:t>-0.25**</w:t>
            </w:r>
          </w:p>
        </w:tc>
        <w:tc>
          <w:tcPr>
            <w:tcW w:w="1418" w:type="dxa"/>
            <w:tcBorders>
              <w:top w:val="nil"/>
              <w:left w:val="nil"/>
              <w:bottom w:val="single" w:sz="4" w:space="0" w:color="auto"/>
              <w:right w:val="nil"/>
            </w:tcBorders>
            <w:shd w:val="clear" w:color="auto" w:fill="auto"/>
            <w:noWrap/>
            <w:vAlign w:val="bottom"/>
            <w:hideMark/>
          </w:tcPr>
          <w:p w14:paraId="3B561583" w14:textId="77777777" w:rsidR="0023076E" w:rsidRPr="005044F0" w:rsidRDefault="0023076E" w:rsidP="00324A07">
            <w:pPr>
              <w:jc w:val="center"/>
              <w:rPr>
                <w:color w:val="000000"/>
                <w:sz w:val="20"/>
                <w:szCs w:val="20"/>
                <w:lang w:val="es-ES"/>
              </w:rPr>
            </w:pPr>
            <w:r w:rsidRPr="005044F0">
              <w:rPr>
                <w:color w:val="000000"/>
                <w:sz w:val="20"/>
                <w:szCs w:val="20"/>
                <w:lang w:val="es-ES"/>
              </w:rPr>
              <w:t> </w:t>
            </w:r>
          </w:p>
        </w:tc>
        <w:tc>
          <w:tcPr>
            <w:tcW w:w="1138" w:type="dxa"/>
            <w:tcBorders>
              <w:top w:val="nil"/>
              <w:left w:val="nil"/>
              <w:bottom w:val="single" w:sz="4" w:space="0" w:color="auto"/>
              <w:right w:val="nil"/>
            </w:tcBorders>
          </w:tcPr>
          <w:p w14:paraId="70841DED" w14:textId="77777777" w:rsidR="0023076E" w:rsidRPr="005044F0" w:rsidRDefault="0023076E" w:rsidP="00324A07">
            <w:pPr>
              <w:jc w:val="center"/>
              <w:rPr>
                <w:color w:val="000000"/>
                <w:sz w:val="20"/>
                <w:szCs w:val="20"/>
                <w:lang w:val="es-ES"/>
              </w:rPr>
            </w:pPr>
          </w:p>
        </w:tc>
      </w:tr>
      <w:tr w:rsidR="0023076E" w:rsidRPr="005044F0" w14:paraId="3AC9C9BE" w14:textId="77777777" w:rsidTr="00324A07">
        <w:trPr>
          <w:trHeight w:val="320"/>
        </w:trPr>
        <w:tc>
          <w:tcPr>
            <w:tcW w:w="3424" w:type="dxa"/>
            <w:tcBorders>
              <w:top w:val="nil"/>
              <w:left w:val="nil"/>
              <w:bottom w:val="nil"/>
              <w:right w:val="nil"/>
            </w:tcBorders>
            <w:shd w:val="clear" w:color="auto" w:fill="auto"/>
            <w:noWrap/>
            <w:vAlign w:val="bottom"/>
            <w:hideMark/>
          </w:tcPr>
          <w:p w14:paraId="301E5B35" w14:textId="77777777" w:rsidR="0023076E" w:rsidRPr="005044F0" w:rsidRDefault="0023076E" w:rsidP="00324A07">
            <w:pPr>
              <w:rPr>
                <w:color w:val="000000"/>
                <w:sz w:val="20"/>
                <w:szCs w:val="20"/>
                <w:lang w:val="es-ES"/>
              </w:rPr>
            </w:pPr>
            <w:r w:rsidRPr="005044F0">
              <w:rPr>
                <w:color w:val="000000"/>
                <w:sz w:val="20"/>
                <w:szCs w:val="20"/>
                <w:lang w:val="es-ES"/>
              </w:rPr>
              <w:t>* p &lt; .05. ** p &lt; .01. *** p &lt; .001</w:t>
            </w:r>
          </w:p>
        </w:tc>
        <w:tc>
          <w:tcPr>
            <w:tcW w:w="1374" w:type="dxa"/>
            <w:tcBorders>
              <w:top w:val="nil"/>
              <w:left w:val="nil"/>
              <w:bottom w:val="nil"/>
              <w:right w:val="nil"/>
            </w:tcBorders>
            <w:shd w:val="clear" w:color="auto" w:fill="auto"/>
            <w:noWrap/>
            <w:vAlign w:val="bottom"/>
            <w:hideMark/>
          </w:tcPr>
          <w:p w14:paraId="179DBD8C" w14:textId="77777777" w:rsidR="0023076E" w:rsidRPr="005044F0" w:rsidRDefault="0023076E" w:rsidP="00324A07">
            <w:pPr>
              <w:rPr>
                <w:color w:val="000000"/>
                <w:sz w:val="20"/>
                <w:szCs w:val="20"/>
                <w:lang w:val="es-ES"/>
              </w:rPr>
            </w:pPr>
          </w:p>
        </w:tc>
        <w:tc>
          <w:tcPr>
            <w:tcW w:w="1014" w:type="dxa"/>
            <w:tcBorders>
              <w:top w:val="nil"/>
              <w:left w:val="nil"/>
              <w:bottom w:val="nil"/>
              <w:right w:val="nil"/>
            </w:tcBorders>
            <w:shd w:val="clear" w:color="auto" w:fill="auto"/>
            <w:noWrap/>
            <w:vAlign w:val="center"/>
            <w:hideMark/>
          </w:tcPr>
          <w:p w14:paraId="197D6DAB" w14:textId="77777777" w:rsidR="0023076E" w:rsidRPr="005044F0" w:rsidRDefault="0023076E" w:rsidP="00324A07">
            <w:pPr>
              <w:rPr>
                <w:sz w:val="20"/>
                <w:szCs w:val="20"/>
                <w:lang w:val="es-ES"/>
              </w:rPr>
            </w:pPr>
          </w:p>
        </w:tc>
        <w:tc>
          <w:tcPr>
            <w:tcW w:w="992" w:type="dxa"/>
            <w:tcBorders>
              <w:top w:val="nil"/>
              <w:left w:val="nil"/>
              <w:bottom w:val="nil"/>
              <w:right w:val="nil"/>
            </w:tcBorders>
            <w:shd w:val="clear" w:color="auto" w:fill="auto"/>
            <w:noWrap/>
            <w:vAlign w:val="bottom"/>
            <w:hideMark/>
          </w:tcPr>
          <w:p w14:paraId="7BE4E95F" w14:textId="77777777" w:rsidR="0023076E" w:rsidRPr="005044F0" w:rsidRDefault="0023076E" w:rsidP="00324A07">
            <w:pPr>
              <w:jc w:val="center"/>
              <w:rPr>
                <w:sz w:val="20"/>
                <w:szCs w:val="20"/>
                <w:lang w:val="es-ES"/>
              </w:rPr>
            </w:pPr>
          </w:p>
        </w:tc>
        <w:tc>
          <w:tcPr>
            <w:tcW w:w="1418" w:type="dxa"/>
            <w:tcBorders>
              <w:top w:val="nil"/>
              <w:left w:val="nil"/>
              <w:bottom w:val="nil"/>
              <w:right w:val="nil"/>
            </w:tcBorders>
            <w:shd w:val="clear" w:color="auto" w:fill="auto"/>
            <w:noWrap/>
            <w:vAlign w:val="bottom"/>
            <w:hideMark/>
          </w:tcPr>
          <w:p w14:paraId="17D9E0D1" w14:textId="77777777" w:rsidR="0023076E" w:rsidRPr="005044F0" w:rsidRDefault="0023076E" w:rsidP="00324A07">
            <w:pPr>
              <w:rPr>
                <w:sz w:val="20"/>
                <w:szCs w:val="20"/>
                <w:lang w:val="es-ES"/>
              </w:rPr>
            </w:pPr>
          </w:p>
        </w:tc>
        <w:tc>
          <w:tcPr>
            <w:tcW w:w="1138" w:type="dxa"/>
            <w:tcBorders>
              <w:top w:val="nil"/>
              <w:left w:val="nil"/>
              <w:bottom w:val="nil"/>
              <w:right w:val="nil"/>
            </w:tcBorders>
          </w:tcPr>
          <w:p w14:paraId="1C927CC8" w14:textId="77777777" w:rsidR="0023076E" w:rsidRPr="005044F0" w:rsidRDefault="0023076E" w:rsidP="00324A07">
            <w:pPr>
              <w:rPr>
                <w:sz w:val="20"/>
                <w:szCs w:val="20"/>
                <w:lang w:val="es-ES"/>
              </w:rPr>
            </w:pPr>
          </w:p>
        </w:tc>
      </w:tr>
    </w:tbl>
    <w:p w14:paraId="31286DE0" w14:textId="77777777" w:rsidR="0023076E" w:rsidRPr="005044F0" w:rsidRDefault="0023076E" w:rsidP="0023076E">
      <w:pPr>
        <w:spacing w:line="480" w:lineRule="auto"/>
        <w:rPr>
          <w:lang w:val="es-ES"/>
        </w:rPr>
      </w:pPr>
    </w:p>
    <w:p w14:paraId="770C03E9" w14:textId="155DDD2A" w:rsidR="00B13EC9" w:rsidRDefault="0023076E" w:rsidP="0023076E">
      <w:pPr>
        <w:spacing w:line="360" w:lineRule="auto"/>
        <w:rPr>
          <w:lang w:val="es-ES"/>
        </w:rPr>
      </w:pPr>
      <w:r w:rsidRPr="005044F0">
        <w:rPr>
          <w:lang w:val="es-ES"/>
        </w:rPr>
        <w:tab/>
        <w:t xml:space="preserve">Para resumir los resultados de los modelos predictivos, se realizó un análisis de componentes principales de las subescalas de estrategias de afrontamiento con rotación </w:t>
      </w:r>
      <w:r w:rsidRPr="2A956723">
        <w:rPr>
          <w:i/>
          <w:iCs/>
          <w:lang w:val="es-ES"/>
        </w:rPr>
        <w:t>varimax</w:t>
      </w:r>
      <w:r w:rsidRPr="005044F0">
        <w:rPr>
          <w:lang w:val="es-ES"/>
        </w:rPr>
        <w:t>, permitiendo extraer dos factores.</w:t>
      </w:r>
      <w:r w:rsidR="00324A07">
        <w:rPr>
          <w:lang w:val="es-ES"/>
        </w:rPr>
        <w:t xml:space="preserve"> </w:t>
      </w:r>
      <w:r w:rsidR="00B13EC9">
        <w:rPr>
          <w:lang w:val="es-ES"/>
        </w:rPr>
        <w:t>Los resultados de la prueba de esfericidad de Bartlett indican que es apropiado usar un análisis factorial en estos datos, debido a la significancia general de las correlaciones en la matriz de correlaciones (X</w:t>
      </w:r>
      <w:r w:rsidR="00B13EC9" w:rsidRPr="00B13EC9">
        <w:rPr>
          <w:vertAlign w:val="superscript"/>
          <w:lang w:val="es-ES"/>
        </w:rPr>
        <w:t>2</w:t>
      </w:r>
      <w:r w:rsidR="00B13EC9">
        <w:rPr>
          <w:lang w:val="es-ES"/>
        </w:rPr>
        <w:t xml:space="preserve"> (36) = 317.03, p &lt; .001). De igual forma, la medición de Kaiser-Meyer-Oklin indica que es aceptable proceder con el análisis (KMO = .70). </w:t>
      </w:r>
      <w:r w:rsidRPr="005044F0">
        <w:rPr>
          <w:lang w:val="es-ES"/>
        </w:rPr>
        <w:t xml:space="preserve">El análisis organizó las subescalas en dos componentes: (1) Afrontamiento negativo, incluyendo consumo de alcohol o drogas, negación, centrarse en las emociones y desahogarse, refrenar el afrontamiento, y humor; (2) Afrontamiento positivo, incluyendo aceptación y crecimiento personal, búsqueda de apoyo social, religión y afrontamiento activo del problema. </w:t>
      </w:r>
      <w:r w:rsidR="00B13EC9">
        <w:rPr>
          <w:lang w:val="es-ES"/>
        </w:rPr>
        <w:t xml:space="preserve">Ambos factores explican el </w:t>
      </w:r>
      <w:r w:rsidR="0B2248F5">
        <w:rPr>
          <w:lang w:val="es-ES"/>
        </w:rPr>
        <w:t xml:space="preserve">52.29% de la varianza. </w:t>
      </w:r>
      <w:r w:rsidRPr="2A956723">
        <w:rPr>
          <w:lang w:val="es-ES"/>
        </w:rPr>
        <w:t xml:space="preserve">La Tabla 8 contiene los valores de cada componente. </w:t>
      </w:r>
    </w:p>
    <w:p w14:paraId="74168C93" w14:textId="77777777" w:rsidR="00C42F93" w:rsidRDefault="00C42F93" w:rsidP="0023076E">
      <w:pPr>
        <w:spacing w:line="360" w:lineRule="auto"/>
        <w:rPr>
          <w:b/>
          <w:lang w:val="es-ES"/>
        </w:rPr>
      </w:pPr>
    </w:p>
    <w:p w14:paraId="22FF042C" w14:textId="77777777" w:rsidR="0023076E" w:rsidRPr="005044F0" w:rsidRDefault="0023076E" w:rsidP="0023076E">
      <w:pPr>
        <w:spacing w:line="360" w:lineRule="auto"/>
        <w:rPr>
          <w:b/>
          <w:lang w:val="es-ES"/>
        </w:rPr>
      </w:pPr>
      <w:r w:rsidRPr="005044F0">
        <w:rPr>
          <w:b/>
          <w:lang w:val="es-ES"/>
        </w:rPr>
        <w:t>Tabla 8</w:t>
      </w:r>
    </w:p>
    <w:p w14:paraId="2C4FCFA5" w14:textId="77777777" w:rsidR="0023076E" w:rsidRPr="005044F0" w:rsidRDefault="0023076E" w:rsidP="0023076E">
      <w:pPr>
        <w:spacing w:line="360" w:lineRule="auto"/>
        <w:rPr>
          <w:i/>
          <w:lang w:val="es-ES"/>
        </w:rPr>
      </w:pPr>
      <w:r w:rsidRPr="005044F0">
        <w:rPr>
          <w:i/>
          <w:iCs/>
          <w:lang w:val="es-ES"/>
        </w:rPr>
        <w:t>Matriz de Componentes Rotados de Estrategias de Afrontamiento</w:t>
      </w:r>
    </w:p>
    <w:tbl>
      <w:tblPr>
        <w:tblW w:w="7720" w:type="dxa"/>
        <w:tblCellMar>
          <w:top w:w="15" w:type="dxa"/>
          <w:bottom w:w="15" w:type="dxa"/>
        </w:tblCellMar>
        <w:tblLook w:val="04A0" w:firstRow="1" w:lastRow="0" w:firstColumn="1" w:lastColumn="0" w:noHBand="0" w:noVBand="1"/>
      </w:tblPr>
      <w:tblGrid>
        <w:gridCol w:w="5600"/>
        <w:gridCol w:w="1060"/>
        <w:gridCol w:w="1060"/>
      </w:tblGrid>
      <w:tr w:rsidR="0023076E" w:rsidRPr="005044F0" w14:paraId="34EDCFBD" w14:textId="77777777" w:rsidTr="00324A07">
        <w:trPr>
          <w:trHeight w:val="315"/>
        </w:trPr>
        <w:tc>
          <w:tcPr>
            <w:tcW w:w="5600" w:type="dxa"/>
            <w:tcBorders>
              <w:top w:val="single" w:sz="4" w:space="0" w:color="auto"/>
              <w:left w:val="nil"/>
              <w:bottom w:val="single" w:sz="4" w:space="0" w:color="auto"/>
              <w:right w:val="nil"/>
            </w:tcBorders>
            <w:noWrap/>
            <w:vAlign w:val="bottom"/>
            <w:hideMark/>
          </w:tcPr>
          <w:p w14:paraId="0CDDC79C" w14:textId="77777777" w:rsidR="0023076E" w:rsidRPr="005044F0" w:rsidRDefault="0023076E" w:rsidP="00324A07">
            <w:pPr>
              <w:rPr>
                <w:lang w:eastAsia="en-US"/>
              </w:rPr>
            </w:pPr>
          </w:p>
        </w:tc>
        <w:tc>
          <w:tcPr>
            <w:tcW w:w="1060" w:type="dxa"/>
            <w:tcBorders>
              <w:top w:val="single" w:sz="4" w:space="0" w:color="auto"/>
              <w:left w:val="nil"/>
              <w:bottom w:val="single" w:sz="4" w:space="0" w:color="auto"/>
              <w:right w:val="nil"/>
            </w:tcBorders>
            <w:noWrap/>
            <w:vAlign w:val="center"/>
            <w:hideMark/>
          </w:tcPr>
          <w:p w14:paraId="333F56E8" w14:textId="77777777" w:rsidR="0023076E" w:rsidRPr="005044F0" w:rsidRDefault="0023076E" w:rsidP="00324A07">
            <w:pPr>
              <w:jc w:val="center"/>
              <w:rPr>
                <w:color w:val="000000"/>
                <w:sz w:val="20"/>
                <w:szCs w:val="20"/>
              </w:rPr>
            </w:pPr>
            <w:r w:rsidRPr="005044F0">
              <w:rPr>
                <w:color w:val="000000"/>
                <w:sz w:val="20"/>
                <w:szCs w:val="20"/>
              </w:rPr>
              <w:t>1</w:t>
            </w:r>
          </w:p>
        </w:tc>
        <w:tc>
          <w:tcPr>
            <w:tcW w:w="1060" w:type="dxa"/>
            <w:tcBorders>
              <w:top w:val="single" w:sz="4" w:space="0" w:color="auto"/>
              <w:left w:val="nil"/>
              <w:bottom w:val="single" w:sz="4" w:space="0" w:color="auto"/>
              <w:right w:val="nil"/>
            </w:tcBorders>
            <w:noWrap/>
            <w:vAlign w:val="center"/>
            <w:hideMark/>
          </w:tcPr>
          <w:p w14:paraId="1FF5D4B4" w14:textId="77777777" w:rsidR="0023076E" w:rsidRPr="005044F0" w:rsidRDefault="0023076E" w:rsidP="00324A07">
            <w:pPr>
              <w:jc w:val="center"/>
              <w:rPr>
                <w:color w:val="000000"/>
                <w:sz w:val="20"/>
                <w:szCs w:val="20"/>
              </w:rPr>
            </w:pPr>
            <w:r w:rsidRPr="005044F0">
              <w:rPr>
                <w:color w:val="000000"/>
                <w:sz w:val="20"/>
                <w:szCs w:val="20"/>
              </w:rPr>
              <w:t>2</w:t>
            </w:r>
          </w:p>
        </w:tc>
      </w:tr>
      <w:tr w:rsidR="0023076E" w:rsidRPr="005044F0" w14:paraId="7E25A1F6" w14:textId="77777777" w:rsidTr="00324A07">
        <w:trPr>
          <w:trHeight w:val="315"/>
        </w:trPr>
        <w:tc>
          <w:tcPr>
            <w:tcW w:w="5600" w:type="dxa"/>
            <w:tcBorders>
              <w:top w:val="nil"/>
              <w:left w:val="nil"/>
              <w:bottom w:val="nil"/>
              <w:right w:val="nil"/>
            </w:tcBorders>
            <w:noWrap/>
            <w:vAlign w:val="bottom"/>
            <w:hideMark/>
          </w:tcPr>
          <w:p w14:paraId="2247510A" w14:textId="77777777" w:rsidR="0023076E" w:rsidRPr="005044F0" w:rsidRDefault="0023076E" w:rsidP="00324A07">
            <w:pPr>
              <w:rPr>
                <w:color w:val="000000"/>
                <w:sz w:val="20"/>
                <w:szCs w:val="20"/>
              </w:rPr>
            </w:pPr>
            <w:r w:rsidRPr="005044F0">
              <w:rPr>
                <w:color w:val="000000"/>
                <w:sz w:val="20"/>
                <w:szCs w:val="20"/>
              </w:rPr>
              <w:t>Consumo de alcohol o drogas</w:t>
            </w:r>
          </w:p>
        </w:tc>
        <w:tc>
          <w:tcPr>
            <w:tcW w:w="1060" w:type="dxa"/>
            <w:tcBorders>
              <w:top w:val="nil"/>
              <w:left w:val="nil"/>
              <w:bottom w:val="nil"/>
              <w:right w:val="nil"/>
            </w:tcBorders>
            <w:noWrap/>
            <w:vAlign w:val="bottom"/>
            <w:hideMark/>
          </w:tcPr>
          <w:p w14:paraId="24FCBC22" w14:textId="77777777" w:rsidR="0023076E" w:rsidRPr="005044F0" w:rsidRDefault="0023076E" w:rsidP="00324A07">
            <w:pPr>
              <w:jc w:val="center"/>
              <w:rPr>
                <w:color w:val="000000"/>
                <w:sz w:val="20"/>
                <w:szCs w:val="20"/>
              </w:rPr>
            </w:pPr>
            <w:r w:rsidRPr="005044F0">
              <w:rPr>
                <w:color w:val="000000"/>
                <w:sz w:val="20"/>
                <w:szCs w:val="20"/>
              </w:rPr>
              <w:t>0.82</w:t>
            </w:r>
          </w:p>
        </w:tc>
        <w:tc>
          <w:tcPr>
            <w:tcW w:w="1060" w:type="dxa"/>
            <w:tcBorders>
              <w:top w:val="nil"/>
              <w:left w:val="nil"/>
              <w:bottom w:val="nil"/>
              <w:right w:val="nil"/>
            </w:tcBorders>
            <w:noWrap/>
            <w:vAlign w:val="bottom"/>
            <w:hideMark/>
          </w:tcPr>
          <w:p w14:paraId="0ECA337B" w14:textId="77777777" w:rsidR="0023076E" w:rsidRPr="005044F0" w:rsidRDefault="0023076E" w:rsidP="00324A07">
            <w:pPr>
              <w:jc w:val="center"/>
              <w:rPr>
                <w:color w:val="000000"/>
                <w:sz w:val="20"/>
                <w:szCs w:val="20"/>
              </w:rPr>
            </w:pPr>
          </w:p>
        </w:tc>
      </w:tr>
      <w:tr w:rsidR="0023076E" w:rsidRPr="005044F0" w14:paraId="35FEF887" w14:textId="77777777" w:rsidTr="00324A07">
        <w:trPr>
          <w:trHeight w:val="315"/>
        </w:trPr>
        <w:tc>
          <w:tcPr>
            <w:tcW w:w="5600" w:type="dxa"/>
            <w:tcBorders>
              <w:top w:val="nil"/>
              <w:left w:val="nil"/>
              <w:bottom w:val="nil"/>
              <w:right w:val="nil"/>
            </w:tcBorders>
            <w:noWrap/>
            <w:vAlign w:val="bottom"/>
            <w:hideMark/>
          </w:tcPr>
          <w:p w14:paraId="04C367FC" w14:textId="77777777" w:rsidR="0023076E" w:rsidRPr="005044F0" w:rsidRDefault="0023076E" w:rsidP="00324A07">
            <w:pPr>
              <w:rPr>
                <w:color w:val="000000"/>
                <w:sz w:val="20"/>
                <w:szCs w:val="20"/>
              </w:rPr>
            </w:pPr>
            <w:r w:rsidRPr="005044F0">
              <w:rPr>
                <w:color w:val="000000"/>
                <w:sz w:val="20"/>
                <w:szCs w:val="20"/>
              </w:rPr>
              <w:lastRenderedPageBreak/>
              <w:t>Negación</w:t>
            </w:r>
          </w:p>
        </w:tc>
        <w:tc>
          <w:tcPr>
            <w:tcW w:w="1060" w:type="dxa"/>
            <w:tcBorders>
              <w:top w:val="nil"/>
              <w:left w:val="nil"/>
              <w:bottom w:val="nil"/>
              <w:right w:val="nil"/>
            </w:tcBorders>
            <w:noWrap/>
            <w:vAlign w:val="bottom"/>
            <w:hideMark/>
          </w:tcPr>
          <w:p w14:paraId="5778EDB6" w14:textId="77777777" w:rsidR="0023076E" w:rsidRPr="005044F0" w:rsidRDefault="0023076E" w:rsidP="00324A07">
            <w:pPr>
              <w:jc w:val="center"/>
              <w:rPr>
                <w:color w:val="000000"/>
                <w:sz w:val="20"/>
                <w:szCs w:val="20"/>
              </w:rPr>
            </w:pPr>
            <w:r w:rsidRPr="005044F0">
              <w:rPr>
                <w:color w:val="000000"/>
                <w:sz w:val="20"/>
                <w:szCs w:val="20"/>
              </w:rPr>
              <w:t>0.78</w:t>
            </w:r>
          </w:p>
        </w:tc>
        <w:tc>
          <w:tcPr>
            <w:tcW w:w="1060" w:type="dxa"/>
            <w:tcBorders>
              <w:top w:val="nil"/>
              <w:left w:val="nil"/>
              <w:bottom w:val="nil"/>
              <w:right w:val="nil"/>
            </w:tcBorders>
            <w:noWrap/>
            <w:vAlign w:val="bottom"/>
            <w:hideMark/>
          </w:tcPr>
          <w:p w14:paraId="55443DAD" w14:textId="77777777" w:rsidR="0023076E" w:rsidRPr="005044F0" w:rsidRDefault="0023076E" w:rsidP="00324A07">
            <w:pPr>
              <w:jc w:val="center"/>
              <w:rPr>
                <w:color w:val="000000"/>
                <w:sz w:val="20"/>
                <w:szCs w:val="20"/>
              </w:rPr>
            </w:pPr>
          </w:p>
        </w:tc>
      </w:tr>
      <w:tr w:rsidR="0023076E" w:rsidRPr="005044F0" w14:paraId="240912EE" w14:textId="77777777" w:rsidTr="00324A07">
        <w:trPr>
          <w:trHeight w:val="315"/>
        </w:trPr>
        <w:tc>
          <w:tcPr>
            <w:tcW w:w="5600" w:type="dxa"/>
            <w:tcBorders>
              <w:top w:val="nil"/>
              <w:left w:val="nil"/>
              <w:bottom w:val="nil"/>
              <w:right w:val="nil"/>
            </w:tcBorders>
            <w:noWrap/>
            <w:vAlign w:val="bottom"/>
            <w:hideMark/>
          </w:tcPr>
          <w:p w14:paraId="1191355A" w14:textId="77777777" w:rsidR="0023076E" w:rsidRPr="005044F0" w:rsidRDefault="0023076E" w:rsidP="00324A07">
            <w:pPr>
              <w:rPr>
                <w:color w:val="000000"/>
                <w:sz w:val="20"/>
                <w:szCs w:val="20"/>
              </w:rPr>
            </w:pPr>
            <w:r w:rsidRPr="005044F0">
              <w:rPr>
                <w:color w:val="000000"/>
                <w:sz w:val="20"/>
                <w:szCs w:val="20"/>
              </w:rPr>
              <w:t>Centrarse en las emociones y desahogarse</w:t>
            </w:r>
          </w:p>
        </w:tc>
        <w:tc>
          <w:tcPr>
            <w:tcW w:w="1060" w:type="dxa"/>
            <w:tcBorders>
              <w:top w:val="nil"/>
              <w:left w:val="nil"/>
              <w:bottom w:val="nil"/>
              <w:right w:val="nil"/>
            </w:tcBorders>
            <w:noWrap/>
            <w:vAlign w:val="bottom"/>
            <w:hideMark/>
          </w:tcPr>
          <w:p w14:paraId="0AB87D2A" w14:textId="77777777" w:rsidR="0023076E" w:rsidRPr="005044F0" w:rsidRDefault="0023076E" w:rsidP="00324A07">
            <w:pPr>
              <w:jc w:val="center"/>
              <w:rPr>
                <w:color w:val="000000"/>
                <w:sz w:val="20"/>
                <w:szCs w:val="20"/>
              </w:rPr>
            </w:pPr>
            <w:r w:rsidRPr="005044F0">
              <w:rPr>
                <w:color w:val="000000"/>
                <w:sz w:val="20"/>
                <w:szCs w:val="20"/>
              </w:rPr>
              <w:t>0.67</w:t>
            </w:r>
          </w:p>
        </w:tc>
        <w:tc>
          <w:tcPr>
            <w:tcW w:w="1060" w:type="dxa"/>
            <w:tcBorders>
              <w:top w:val="nil"/>
              <w:left w:val="nil"/>
              <w:bottom w:val="nil"/>
              <w:right w:val="nil"/>
            </w:tcBorders>
            <w:noWrap/>
            <w:vAlign w:val="bottom"/>
            <w:hideMark/>
          </w:tcPr>
          <w:p w14:paraId="62A661F6" w14:textId="77777777" w:rsidR="0023076E" w:rsidRPr="005044F0" w:rsidRDefault="0023076E" w:rsidP="00324A07">
            <w:pPr>
              <w:jc w:val="center"/>
              <w:rPr>
                <w:color w:val="000000"/>
                <w:sz w:val="20"/>
                <w:szCs w:val="20"/>
              </w:rPr>
            </w:pPr>
          </w:p>
        </w:tc>
      </w:tr>
      <w:tr w:rsidR="0023076E" w:rsidRPr="005044F0" w14:paraId="5C9DEE41" w14:textId="77777777" w:rsidTr="00324A07">
        <w:trPr>
          <w:trHeight w:val="315"/>
        </w:trPr>
        <w:tc>
          <w:tcPr>
            <w:tcW w:w="5600" w:type="dxa"/>
            <w:tcBorders>
              <w:top w:val="nil"/>
              <w:left w:val="nil"/>
              <w:bottom w:val="nil"/>
              <w:right w:val="nil"/>
            </w:tcBorders>
            <w:noWrap/>
            <w:vAlign w:val="bottom"/>
            <w:hideMark/>
          </w:tcPr>
          <w:p w14:paraId="0B27F1E8" w14:textId="77777777" w:rsidR="0023076E" w:rsidRPr="005044F0" w:rsidRDefault="0023076E" w:rsidP="00324A07">
            <w:pPr>
              <w:rPr>
                <w:color w:val="000000"/>
                <w:sz w:val="20"/>
                <w:szCs w:val="20"/>
              </w:rPr>
            </w:pPr>
            <w:r w:rsidRPr="005044F0">
              <w:rPr>
                <w:color w:val="000000"/>
                <w:sz w:val="20"/>
                <w:szCs w:val="20"/>
              </w:rPr>
              <w:t>Refrenar el afrontamiento</w:t>
            </w:r>
          </w:p>
        </w:tc>
        <w:tc>
          <w:tcPr>
            <w:tcW w:w="1060" w:type="dxa"/>
            <w:tcBorders>
              <w:top w:val="nil"/>
              <w:left w:val="nil"/>
              <w:bottom w:val="nil"/>
              <w:right w:val="nil"/>
            </w:tcBorders>
            <w:noWrap/>
            <w:vAlign w:val="bottom"/>
            <w:hideMark/>
          </w:tcPr>
          <w:p w14:paraId="167802A9" w14:textId="77777777" w:rsidR="0023076E" w:rsidRPr="005044F0" w:rsidRDefault="0023076E" w:rsidP="00324A07">
            <w:pPr>
              <w:jc w:val="center"/>
              <w:rPr>
                <w:color w:val="000000"/>
                <w:sz w:val="20"/>
                <w:szCs w:val="20"/>
              </w:rPr>
            </w:pPr>
            <w:r w:rsidRPr="005044F0">
              <w:rPr>
                <w:color w:val="000000"/>
                <w:sz w:val="20"/>
                <w:szCs w:val="20"/>
              </w:rPr>
              <w:t>0.62</w:t>
            </w:r>
          </w:p>
        </w:tc>
        <w:tc>
          <w:tcPr>
            <w:tcW w:w="1060" w:type="dxa"/>
            <w:tcBorders>
              <w:top w:val="nil"/>
              <w:left w:val="nil"/>
              <w:bottom w:val="nil"/>
              <w:right w:val="nil"/>
            </w:tcBorders>
            <w:noWrap/>
            <w:vAlign w:val="bottom"/>
            <w:hideMark/>
          </w:tcPr>
          <w:p w14:paraId="150ADBC6" w14:textId="77777777" w:rsidR="0023076E" w:rsidRPr="005044F0" w:rsidRDefault="0023076E" w:rsidP="00324A07">
            <w:pPr>
              <w:jc w:val="center"/>
              <w:rPr>
                <w:color w:val="000000"/>
                <w:sz w:val="20"/>
                <w:szCs w:val="20"/>
              </w:rPr>
            </w:pPr>
          </w:p>
        </w:tc>
      </w:tr>
      <w:tr w:rsidR="0023076E" w:rsidRPr="005044F0" w14:paraId="7BEE1ADD" w14:textId="77777777" w:rsidTr="00324A07">
        <w:trPr>
          <w:trHeight w:val="315"/>
        </w:trPr>
        <w:tc>
          <w:tcPr>
            <w:tcW w:w="5600" w:type="dxa"/>
            <w:tcBorders>
              <w:top w:val="nil"/>
              <w:left w:val="nil"/>
              <w:bottom w:val="nil"/>
              <w:right w:val="nil"/>
            </w:tcBorders>
            <w:noWrap/>
            <w:vAlign w:val="bottom"/>
            <w:hideMark/>
          </w:tcPr>
          <w:p w14:paraId="31CA1DB7" w14:textId="77777777" w:rsidR="0023076E" w:rsidRPr="005044F0" w:rsidRDefault="0023076E" w:rsidP="00324A07">
            <w:pPr>
              <w:rPr>
                <w:color w:val="000000"/>
                <w:sz w:val="20"/>
                <w:szCs w:val="20"/>
              </w:rPr>
            </w:pPr>
            <w:r w:rsidRPr="005044F0">
              <w:rPr>
                <w:color w:val="000000"/>
                <w:sz w:val="20"/>
                <w:szCs w:val="20"/>
              </w:rPr>
              <w:t>Humor</w:t>
            </w:r>
          </w:p>
        </w:tc>
        <w:tc>
          <w:tcPr>
            <w:tcW w:w="1060" w:type="dxa"/>
            <w:tcBorders>
              <w:top w:val="nil"/>
              <w:left w:val="nil"/>
              <w:bottom w:val="nil"/>
              <w:right w:val="nil"/>
            </w:tcBorders>
            <w:noWrap/>
            <w:vAlign w:val="bottom"/>
            <w:hideMark/>
          </w:tcPr>
          <w:p w14:paraId="31E2B0C0" w14:textId="77777777" w:rsidR="0023076E" w:rsidRPr="005044F0" w:rsidRDefault="0023076E" w:rsidP="00324A07">
            <w:pPr>
              <w:jc w:val="center"/>
              <w:rPr>
                <w:color w:val="000000"/>
                <w:sz w:val="20"/>
                <w:szCs w:val="20"/>
              </w:rPr>
            </w:pPr>
            <w:r w:rsidRPr="005044F0">
              <w:rPr>
                <w:color w:val="000000"/>
                <w:sz w:val="20"/>
                <w:szCs w:val="20"/>
              </w:rPr>
              <w:t>0.53</w:t>
            </w:r>
          </w:p>
        </w:tc>
        <w:tc>
          <w:tcPr>
            <w:tcW w:w="1060" w:type="dxa"/>
            <w:tcBorders>
              <w:top w:val="nil"/>
              <w:left w:val="nil"/>
              <w:bottom w:val="nil"/>
              <w:right w:val="nil"/>
            </w:tcBorders>
            <w:noWrap/>
            <w:vAlign w:val="bottom"/>
            <w:hideMark/>
          </w:tcPr>
          <w:p w14:paraId="60A38339" w14:textId="77777777" w:rsidR="0023076E" w:rsidRPr="005044F0" w:rsidRDefault="0023076E" w:rsidP="00324A07">
            <w:pPr>
              <w:jc w:val="center"/>
              <w:rPr>
                <w:color w:val="000000"/>
                <w:sz w:val="20"/>
                <w:szCs w:val="20"/>
              </w:rPr>
            </w:pPr>
          </w:p>
        </w:tc>
      </w:tr>
      <w:tr w:rsidR="0023076E" w:rsidRPr="005044F0" w14:paraId="37F6881B" w14:textId="77777777" w:rsidTr="00324A07">
        <w:trPr>
          <w:trHeight w:val="315"/>
        </w:trPr>
        <w:tc>
          <w:tcPr>
            <w:tcW w:w="5600" w:type="dxa"/>
            <w:tcBorders>
              <w:top w:val="nil"/>
              <w:left w:val="nil"/>
              <w:bottom w:val="nil"/>
              <w:right w:val="nil"/>
            </w:tcBorders>
            <w:noWrap/>
            <w:vAlign w:val="bottom"/>
            <w:hideMark/>
          </w:tcPr>
          <w:p w14:paraId="78898578" w14:textId="77777777" w:rsidR="0023076E" w:rsidRPr="005044F0" w:rsidRDefault="0023076E" w:rsidP="00324A07">
            <w:pPr>
              <w:rPr>
                <w:color w:val="000000"/>
                <w:sz w:val="20"/>
                <w:szCs w:val="20"/>
              </w:rPr>
            </w:pPr>
            <w:r w:rsidRPr="005044F0">
              <w:rPr>
                <w:color w:val="000000"/>
                <w:sz w:val="20"/>
                <w:szCs w:val="20"/>
              </w:rPr>
              <w:t>Afrontamiento activo del problema</w:t>
            </w:r>
          </w:p>
        </w:tc>
        <w:tc>
          <w:tcPr>
            <w:tcW w:w="1060" w:type="dxa"/>
            <w:tcBorders>
              <w:top w:val="nil"/>
              <w:left w:val="nil"/>
              <w:bottom w:val="nil"/>
              <w:right w:val="nil"/>
            </w:tcBorders>
            <w:noWrap/>
            <w:vAlign w:val="bottom"/>
            <w:hideMark/>
          </w:tcPr>
          <w:p w14:paraId="4ED25018" w14:textId="77777777" w:rsidR="0023076E" w:rsidRPr="005044F0" w:rsidRDefault="0023076E" w:rsidP="00324A07">
            <w:pPr>
              <w:rPr>
                <w:color w:val="000000"/>
                <w:sz w:val="20"/>
                <w:szCs w:val="20"/>
              </w:rPr>
            </w:pPr>
          </w:p>
        </w:tc>
        <w:tc>
          <w:tcPr>
            <w:tcW w:w="1060" w:type="dxa"/>
            <w:tcBorders>
              <w:top w:val="nil"/>
              <w:left w:val="nil"/>
              <w:bottom w:val="nil"/>
              <w:right w:val="nil"/>
            </w:tcBorders>
            <w:noWrap/>
            <w:vAlign w:val="bottom"/>
            <w:hideMark/>
          </w:tcPr>
          <w:p w14:paraId="75577A2A" w14:textId="77777777" w:rsidR="0023076E" w:rsidRPr="005044F0" w:rsidRDefault="0023076E" w:rsidP="00324A07">
            <w:pPr>
              <w:jc w:val="center"/>
              <w:rPr>
                <w:color w:val="000000"/>
                <w:sz w:val="20"/>
                <w:szCs w:val="20"/>
              </w:rPr>
            </w:pPr>
            <w:r w:rsidRPr="005044F0">
              <w:rPr>
                <w:color w:val="000000"/>
                <w:sz w:val="20"/>
                <w:szCs w:val="20"/>
              </w:rPr>
              <w:t>0.78</w:t>
            </w:r>
          </w:p>
        </w:tc>
      </w:tr>
      <w:tr w:rsidR="0023076E" w:rsidRPr="005044F0" w14:paraId="294E3247" w14:textId="77777777" w:rsidTr="00324A07">
        <w:trPr>
          <w:trHeight w:val="315"/>
        </w:trPr>
        <w:tc>
          <w:tcPr>
            <w:tcW w:w="5600" w:type="dxa"/>
            <w:tcBorders>
              <w:top w:val="nil"/>
              <w:left w:val="nil"/>
              <w:bottom w:val="nil"/>
              <w:right w:val="nil"/>
            </w:tcBorders>
            <w:noWrap/>
            <w:vAlign w:val="bottom"/>
            <w:hideMark/>
          </w:tcPr>
          <w:p w14:paraId="07D04E8D" w14:textId="77777777" w:rsidR="0023076E" w:rsidRPr="005044F0" w:rsidRDefault="0023076E" w:rsidP="00324A07">
            <w:pPr>
              <w:rPr>
                <w:color w:val="000000"/>
                <w:sz w:val="20"/>
                <w:szCs w:val="20"/>
              </w:rPr>
            </w:pPr>
            <w:r w:rsidRPr="005044F0">
              <w:rPr>
                <w:color w:val="000000"/>
                <w:sz w:val="20"/>
                <w:szCs w:val="20"/>
              </w:rPr>
              <w:t>Religión</w:t>
            </w:r>
          </w:p>
        </w:tc>
        <w:tc>
          <w:tcPr>
            <w:tcW w:w="1060" w:type="dxa"/>
            <w:tcBorders>
              <w:top w:val="nil"/>
              <w:left w:val="nil"/>
              <w:bottom w:val="nil"/>
              <w:right w:val="nil"/>
            </w:tcBorders>
            <w:noWrap/>
            <w:vAlign w:val="bottom"/>
            <w:hideMark/>
          </w:tcPr>
          <w:p w14:paraId="5D62296C" w14:textId="77777777" w:rsidR="0023076E" w:rsidRPr="005044F0" w:rsidRDefault="0023076E" w:rsidP="00324A07">
            <w:pPr>
              <w:rPr>
                <w:color w:val="000000"/>
                <w:sz w:val="20"/>
                <w:szCs w:val="20"/>
              </w:rPr>
            </w:pPr>
          </w:p>
        </w:tc>
        <w:tc>
          <w:tcPr>
            <w:tcW w:w="1060" w:type="dxa"/>
            <w:tcBorders>
              <w:top w:val="nil"/>
              <w:left w:val="nil"/>
              <w:bottom w:val="nil"/>
              <w:right w:val="nil"/>
            </w:tcBorders>
            <w:noWrap/>
            <w:vAlign w:val="bottom"/>
            <w:hideMark/>
          </w:tcPr>
          <w:p w14:paraId="19DC08E6" w14:textId="77777777" w:rsidR="0023076E" w:rsidRPr="005044F0" w:rsidRDefault="0023076E" w:rsidP="00324A07">
            <w:pPr>
              <w:jc w:val="center"/>
              <w:rPr>
                <w:color w:val="000000"/>
                <w:sz w:val="20"/>
                <w:szCs w:val="20"/>
              </w:rPr>
            </w:pPr>
            <w:r w:rsidRPr="005044F0">
              <w:rPr>
                <w:color w:val="000000"/>
                <w:sz w:val="20"/>
                <w:szCs w:val="20"/>
              </w:rPr>
              <w:t>0.77</w:t>
            </w:r>
          </w:p>
        </w:tc>
      </w:tr>
      <w:tr w:rsidR="0023076E" w:rsidRPr="005044F0" w14:paraId="33B8E11A" w14:textId="77777777" w:rsidTr="00324A07">
        <w:trPr>
          <w:trHeight w:val="315"/>
        </w:trPr>
        <w:tc>
          <w:tcPr>
            <w:tcW w:w="5600" w:type="dxa"/>
            <w:tcBorders>
              <w:top w:val="nil"/>
              <w:left w:val="nil"/>
              <w:bottom w:val="nil"/>
              <w:right w:val="nil"/>
            </w:tcBorders>
            <w:noWrap/>
            <w:vAlign w:val="bottom"/>
            <w:hideMark/>
          </w:tcPr>
          <w:p w14:paraId="37EB95A6" w14:textId="77777777" w:rsidR="0023076E" w:rsidRPr="005044F0" w:rsidRDefault="0023076E" w:rsidP="00324A07">
            <w:pPr>
              <w:rPr>
                <w:color w:val="000000"/>
                <w:sz w:val="20"/>
                <w:szCs w:val="20"/>
              </w:rPr>
            </w:pPr>
            <w:r w:rsidRPr="005044F0">
              <w:rPr>
                <w:color w:val="000000"/>
                <w:sz w:val="20"/>
                <w:szCs w:val="20"/>
              </w:rPr>
              <w:t>Búsqueda de apoyo social</w:t>
            </w:r>
          </w:p>
        </w:tc>
        <w:tc>
          <w:tcPr>
            <w:tcW w:w="1060" w:type="dxa"/>
            <w:tcBorders>
              <w:top w:val="nil"/>
              <w:left w:val="nil"/>
              <w:bottom w:val="nil"/>
              <w:right w:val="nil"/>
            </w:tcBorders>
            <w:noWrap/>
            <w:vAlign w:val="bottom"/>
            <w:hideMark/>
          </w:tcPr>
          <w:p w14:paraId="63D8E28F" w14:textId="77777777" w:rsidR="0023076E" w:rsidRPr="005044F0" w:rsidRDefault="0023076E" w:rsidP="00324A07">
            <w:pPr>
              <w:rPr>
                <w:color w:val="000000"/>
                <w:sz w:val="20"/>
                <w:szCs w:val="20"/>
              </w:rPr>
            </w:pPr>
          </w:p>
        </w:tc>
        <w:tc>
          <w:tcPr>
            <w:tcW w:w="1060" w:type="dxa"/>
            <w:tcBorders>
              <w:top w:val="nil"/>
              <w:left w:val="nil"/>
              <w:bottom w:val="nil"/>
              <w:right w:val="nil"/>
            </w:tcBorders>
            <w:noWrap/>
            <w:vAlign w:val="bottom"/>
            <w:hideMark/>
          </w:tcPr>
          <w:p w14:paraId="12787F50" w14:textId="77777777" w:rsidR="0023076E" w:rsidRPr="005044F0" w:rsidRDefault="0023076E" w:rsidP="00324A07">
            <w:pPr>
              <w:jc w:val="center"/>
              <w:rPr>
                <w:color w:val="000000"/>
                <w:sz w:val="20"/>
                <w:szCs w:val="20"/>
              </w:rPr>
            </w:pPr>
            <w:r w:rsidRPr="005044F0">
              <w:rPr>
                <w:color w:val="000000"/>
                <w:sz w:val="20"/>
                <w:szCs w:val="20"/>
              </w:rPr>
              <w:t>0.71</w:t>
            </w:r>
          </w:p>
        </w:tc>
      </w:tr>
      <w:tr w:rsidR="0023076E" w:rsidRPr="005044F0" w14:paraId="0D4DCE27" w14:textId="77777777" w:rsidTr="00324A07">
        <w:trPr>
          <w:trHeight w:val="315"/>
        </w:trPr>
        <w:tc>
          <w:tcPr>
            <w:tcW w:w="5600" w:type="dxa"/>
            <w:tcBorders>
              <w:top w:val="nil"/>
              <w:left w:val="nil"/>
              <w:bottom w:val="single" w:sz="4" w:space="0" w:color="000000"/>
              <w:right w:val="nil"/>
            </w:tcBorders>
            <w:noWrap/>
            <w:vAlign w:val="bottom"/>
            <w:hideMark/>
          </w:tcPr>
          <w:p w14:paraId="56A06F65" w14:textId="77777777" w:rsidR="0023076E" w:rsidRPr="005044F0" w:rsidRDefault="0023076E" w:rsidP="00324A07">
            <w:pPr>
              <w:rPr>
                <w:color w:val="000000"/>
                <w:sz w:val="20"/>
                <w:szCs w:val="20"/>
              </w:rPr>
            </w:pPr>
            <w:r w:rsidRPr="005044F0">
              <w:rPr>
                <w:color w:val="000000"/>
                <w:sz w:val="20"/>
                <w:szCs w:val="20"/>
              </w:rPr>
              <w:t>Aceptación y crecimiento personal</w:t>
            </w:r>
          </w:p>
        </w:tc>
        <w:tc>
          <w:tcPr>
            <w:tcW w:w="1060" w:type="dxa"/>
            <w:tcBorders>
              <w:top w:val="nil"/>
              <w:left w:val="nil"/>
              <w:bottom w:val="single" w:sz="4" w:space="0" w:color="000000"/>
              <w:right w:val="nil"/>
            </w:tcBorders>
            <w:noWrap/>
            <w:vAlign w:val="bottom"/>
            <w:hideMark/>
          </w:tcPr>
          <w:p w14:paraId="63DE646F" w14:textId="77777777" w:rsidR="0023076E" w:rsidRPr="005044F0" w:rsidRDefault="0023076E" w:rsidP="00324A07">
            <w:pPr>
              <w:rPr>
                <w:color w:val="000000"/>
                <w:sz w:val="20"/>
                <w:szCs w:val="20"/>
              </w:rPr>
            </w:pPr>
          </w:p>
        </w:tc>
        <w:tc>
          <w:tcPr>
            <w:tcW w:w="1060" w:type="dxa"/>
            <w:tcBorders>
              <w:top w:val="nil"/>
              <w:left w:val="nil"/>
              <w:bottom w:val="single" w:sz="4" w:space="0" w:color="000000"/>
              <w:right w:val="nil"/>
            </w:tcBorders>
            <w:noWrap/>
            <w:vAlign w:val="bottom"/>
            <w:hideMark/>
          </w:tcPr>
          <w:p w14:paraId="65BFE1FF" w14:textId="77777777" w:rsidR="0023076E" w:rsidRPr="005044F0" w:rsidRDefault="0023076E" w:rsidP="00324A07">
            <w:pPr>
              <w:jc w:val="center"/>
              <w:rPr>
                <w:color w:val="000000"/>
                <w:sz w:val="20"/>
                <w:szCs w:val="20"/>
              </w:rPr>
            </w:pPr>
            <w:r w:rsidRPr="005044F0">
              <w:rPr>
                <w:color w:val="000000"/>
                <w:sz w:val="20"/>
                <w:szCs w:val="20"/>
              </w:rPr>
              <w:t>0.49</w:t>
            </w:r>
          </w:p>
        </w:tc>
      </w:tr>
      <w:tr w:rsidR="0023076E" w:rsidRPr="005044F0" w14:paraId="491DACAE" w14:textId="77777777" w:rsidTr="00324A07">
        <w:trPr>
          <w:trHeight w:val="570"/>
        </w:trPr>
        <w:tc>
          <w:tcPr>
            <w:tcW w:w="7720" w:type="dxa"/>
            <w:gridSpan w:val="3"/>
            <w:tcBorders>
              <w:top w:val="nil"/>
              <w:left w:val="nil"/>
              <w:bottom w:val="nil"/>
              <w:right w:val="nil"/>
            </w:tcBorders>
            <w:vAlign w:val="bottom"/>
            <w:hideMark/>
          </w:tcPr>
          <w:p w14:paraId="7CEA71D3" w14:textId="77777777" w:rsidR="0023076E" w:rsidRPr="005044F0" w:rsidRDefault="0023076E" w:rsidP="00324A07">
            <w:pPr>
              <w:rPr>
                <w:color w:val="000000"/>
                <w:sz w:val="20"/>
                <w:szCs w:val="20"/>
              </w:rPr>
            </w:pPr>
            <w:r w:rsidRPr="005044F0">
              <w:rPr>
                <w:rStyle w:val="font91"/>
                <w:rFonts w:ascii="Times New Roman" w:eastAsiaTheme="majorEastAsia" w:hAnsi="Times New Roman"/>
              </w:rPr>
              <w:t>Nota:</w:t>
            </w:r>
            <w:r w:rsidRPr="005044F0">
              <w:rPr>
                <w:rStyle w:val="font81"/>
                <w:rFonts w:ascii="Times New Roman" w:eastAsiaTheme="majorEastAsia" w:hAnsi="Times New Roman"/>
              </w:rPr>
              <w:t xml:space="preserve"> El método de extracción fue análisis de componentes principales, rotación varimax con normalización de Kaiser.</w:t>
            </w:r>
          </w:p>
        </w:tc>
      </w:tr>
    </w:tbl>
    <w:p w14:paraId="127660F6" w14:textId="77777777" w:rsidR="0023076E" w:rsidRPr="005044F0" w:rsidRDefault="0023076E" w:rsidP="0023076E">
      <w:pPr>
        <w:spacing w:line="480" w:lineRule="auto"/>
        <w:rPr>
          <w:lang w:val="es-ES"/>
        </w:rPr>
      </w:pPr>
    </w:p>
    <w:p w14:paraId="6272775C" w14:textId="77777777" w:rsidR="0023076E" w:rsidRPr="005044F0" w:rsidRDefault="0023076E" w:rsidP="00324A07">
      <w:pPr>
        <w:spacing w:line="360" w:lineRule="auto"/>
        <w:ind w:firstLine="720"/>
        <w:rPr>
          <w:lang w:val="es-ES"/>
        </w:rPr>
      </w:pPr>
      <w:r w:rsidRPr="005044F0">
        <w:rPr>
          <w:lang w:val="es-ES"/>
        </w:rPr>
        <w:t xml:space="preserve">La Tabla 9 presenta un resumen de las puntuaciones de las betas estandarizadas de los modelos de predicción de cada dimensión de bienestar psicológico organizados según tipo de estrategias de afrontamiento (positivas y negativas). Las estrategias positivas que contribuyeron a los modelos de predicción fueron la aceptación y crecimiento personal, y la búsqueda de apoyo social. Las estrategias negativas que contribuyeron a los modelos de predicción fueron el consumo de alcohol o drogas, refrenar el afrontamiento, centrarse en las emociones y desahogarse y la negación. </w:t>
      </w:r>
    </w:p>
    <w:p w14:paraId="5C59F4E3" w14:textId="77777777" w:rsidR="0023076E" w:rsidRPr="005044F0" w:rsidRDefault="0023076E" w:rsidP="00324A07">
      <w:pPr>
        <w:spacing w:line="360" w:lineRule="auto"/>
        <w:ind w:firstLine="720"/>
        <w:rPr>
          <w:lang w:val="es-ES"/>
        </w:rPr>
      </w:pPr>
    </w:p>
    <w:p w14:paraId="02149AF6" w14:textId="77777777" w:rsidR="0023076E" w:rsidRPr="005044F0" w:rsidRDefault="0023076E" w:rsidP="00324A07">
      <w:pPr>
        <w:spacing w:line="360" w:lineRule="auto"/>
        <w:rPr>
          <w:b/>
          <w:bCs/>
          <w:lang w:val="es-ES"/>
        </w:rPr>
      </w:pPr>
      <w:r w:rsidRPr="005044F0">
        <w:rPr>
          <w:b/>
          <w:bCs/>
          <w:lang w:val="es-ES"/>
        </w:rPr>
        <w:t>Tabla 9</w:t>
      </w:r>
    </w:p>
    <w:p w14:paraId="6B897175" w14:textId="77777777" w:rsidR="0023076E" w:rsidRPr="005044F0" w:rsidRDefault="0023076E" w:rsidP="00324A07">
      <w:pPr>
        <w:spacing w:line="360" w:lineRule="auto"/>
        <w:rPr>
          <w:lang w:val="es-ES"/>
        </w:rPr>
      </w:pPr>
      <w:r w:rsidRPr="005044F0">
        <w:rPr>
          <w:i/>
          <w:iCs/>
          <w:lang w:val="es-ES"/>
        </w:rPr>
        <w:t>Resumen de las puntuaciones de Beta de los Predictores de los Modelos de Cada Dimensión del Bienestar Psicológico</w:t>
      </w:r>
    </w:p>
    <w:tbl>
      <w:tblPr>
        <w:tblW w:w="9497" w:type="dxa"/>
        <w:tblLayout w:type="fixed"/>
        <w:tblLook w:val="04A0" w:firstRow="1" w:lastRow="0" w:firstColumn="1" w:lastColumn="0" w:noHBand="0" w:noVBand="1"/>
      </w:tblPr>
      <w:tblGrid>
        <w:gridCol w:w="567"/>
        <w:gridCol w:w="1679"/>
        <w:gridCol w:w="857"/>
        <w:gridCol w:w="959"/>
        <w:gridCol w:w="760"/>
        <w:gridCol w:w="663"/>
        <w:gridCol w:w="758"/>
        <w:gridCol w:w="982"/>
        <w:gridCol w:w="576"/>
        <w:gridCol w:w="708"/>
        <w:gridCol w:w="988"/>
      </w:tblGrid>
      <w:tr w:rsidR="0023076E" w:rsidRPr="005044F0" w14:paraId="09B49323" w14:textId="77777777" w:rsidTr="00324A07">
        <w:trPr>
          <w:trHeight w:val="320"/>
        </w:trPr>
        <w:tc>
          <w:tcPr>
            <w:tcW w:w="567" w:type="dxa"/>
            <w:tcBorders>
              <w:top w:val="nil"/>
              <w:left w:val="nil"/>
              <w:bottom w:val="nil"/>
              <w:right w:val="nil"/>
            </w:tcBorders>
            <w:shd w:val="clear" w:color="auto" w:fill="auto"/>
            <w:noWrap/>
            <w:vAlign w:val="bottom"/>
            <w:hideMark/>
          </w:tcPr>
          <w:p w14:paraId="12D28826" w14:textId="77777777" w:rsidR="0023076E" w:rsidRPr="005044F0" w:rsidRDefault="0023076E" w:rsidP="00324A07">
            <w:pPr>
              <w:rPr>
                <w:sz w:val="16"/>
                <w:szCs w:val="16"/>
                <w:lang w:val="es-ES"/>
              </w:rPr>
            </w:pPr>
          </w:p>
        </w:tc>
        <w:tc>
          <w:tcPr>
            <w:tcW w:w="1679" w:type="dxa"/>
            <w:vMerge w:val="restart"/>
            <w:tcBorders>
              <w:top w:val="nil"/>
              <w:left w:val="nil"/>
              <w:right w:val="nil"/>
            </w:tcBorders>
            <w:shd w:val="clear" w:color="auto" w:fill="auto"/>
            <w:noWrap/>
            <w:vAlign w:val="bottom"/>
            <w:hideMark/>
          </w:tcPr>
          <w:p w14:paraId="31BDE0EA" w14:textId="77777777" w:rsidR="0023076E" w:rsidRPr="005044F0" w:rsidRDefault="0023076E" w:rsidP="00324A07">
            <w:pPr>
              <w:jc w:val="center"/>
              <w:rPr>
                <w:sz w:val="16"/>
                <w:szCs w:val="16"/>
                <w:lang w:val="es-ES"/>
              </w:rPr>
            </w:pPr>
            <w:r w:rsidRPr="005044F0">
              <w:rPr>
                <w:color w:val="000000"/>
                <w:sz w:val="16"/>
                <w:szCs w:val="16"/>
                <w:lang w:val="es-ES"/>
              </w:rPr>
              <w:t> </w:t>
            </w:r>
          </w:p>
        </w:tc>
        <w:tc>
          <w:tcPr>
            <w:tcW w:w="32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A32F1" w14:textId="77777777" w:rsidR="0023076E" w:rsidRPr="005044F0" w:rsidRDefault="0023076E" w:rsidP="00324A07">
            <w:pPr>
              <w:jc w:val="center"/>
              <w:rPr>
                <w:color w:val="000000"/>
                <w:sz w:val="16"/>
                <w:szCs w:val="16"/>
                <w:lang w:val="es-ES"/>
              </w:rPr>
            </w:pPr>
            <w:r w:rsidRPr="005044F0">
              <w:rPr>
                <w:color w:val="000000"/>
                <w:sz w:val="16"/>
                <w:szCs w:val="16"/>
                <w:lang w:val="es-ES"/>
              </w:rPr>
              <w:t>Estrategias positivas</w:t>
            </w:r>
          </w:p>
        </w:tc>
        <w:tc>
          <w:tcPr>
            <w:tcW w:w="4012" w:type="dxa"/>
            <w:gridSpan w:val="5"/>
            <w:tcBorders>
              <w:top w:val="single" w:sz="4" w:space="0" w:color="auto"/>
              <w:left w:val="nil"/>
              <w:bottom w:val="single" w:sz="4" w:space="0" w:color="auto"/>
              <w:right w:val="single" w:sz="4" w:space="0" w:color="auto"/>
            </w:tcBorders>
            <w:shd w:val="clear" w:color="auto" w:fill="auto"/>
            <w:noWrap/>
            <w:vAlign w:val="center"/>
            <w:hideMark/>
          </w:tcPr>
          <w:p w14:paraId="713141C2" w14:textId="77777777" w:rsidR="0023076E" w:rsidRPr="005044F0" w:rsidRDefault="0023076E" w:rsidP="00324A07">
            <w:pPr>
              <w:jc w:val="center"/>
              <w:rPr>
                <w:color w:val="000000"/>
                <w:sz w:val="16"/>
                <w:szCs w:val="16"/>
                <w:lang w:val="es-ES"/>
              </w:rPr>
            </w:pPr>
            <w:r w:rsidRPr="005044F0">
              <w:rPr>
                <w:color w:val="000000"/>
                <w:sz w:val="16"/>
                <w:szCs w:val="16"/>
                <w:lang w:val="es-ES"/>
              </w:rPr>
              <w:t>Estrategias negativas</w:t>
            </w:r>
          </w:p>
        </w:tc>
      </w:tr>
      <w:tr w:rsidR="0023076E" w:rsidRPr="005044F0" w14:paraId="5FEFAB02" w14:textId="77777777" w:rsidTr="00324A07">
        <w:trPr>
          <w:trHeight w:val="556"/>
        </w:trPr>
        <w:tc>
          <w:tcPr>
            <w:tcW w:w="567" w:type="dxa"/>
            <w:vMerge w:val="restart"/>
            <w:tcBorders>
              <w:top w:val="nil"/>
              <w:left w:val="nil"/>
              <w:bottom w:val="nil"/>
            </w:tcBorders>
            <w:shd w:val="clear" w:color="auto" w:fill="auto"/>
            <w:textDirection w:val="btLr"/>
            <w:vAlign w:val="center"/>
            <w:hideMark/>
          </w:tcPr>
          <w:p w14:paraId="6F7D494E" w14:textId="77777777" w:rsidR="0023076E" w:rsidRPr="005044F0" w:rsidRDefault="0023076E" w:rsidP="00324A07">
            <w:pPr>
              <w:jc w:val="center"/>
              <w:rPr>
                <w:color w:val="000000"/>
                <w:sz w:val="16"/>
                <w:szCs w:val="16"/>
                <w:lang w:val="es-ES"/>
              </w:rPr>
            </w:pPr>
            <w:r w:rsidRPr="005044F0">
              <w:rPr>
                <w:color w:val="000000"/>
                <w:sz w:val="16"/>
                <w:szCs w:val="16"/>
                <w:lang w:val="es-ES"/>
              </w:rPr>
              <w:t xml:space="preserve">Modelos de cada dimensión del </w:t>
            </w:r>
            <w:r w:rsidRPr="005044F0">
              <w:rPr>
                <w:color w:val="000000"/>
                <w:sz w:val="16"/>
                <w:szCs w:val="16"/>
                <w:lang w:val="es-ES"/>
              </w:rPr>
              <w:br/>
              <w:t>Bienestar Psicológico</w:t>
            </w:r>
          </w:p>
        </w:tc>
        <w:tc>
          <w:tcPr>
            <w:tcW w:w="1679" w:type="dxa"/>
            <w:vMerge/>
            <w:tcBorders>
              <w:bottom w:val="single" w:sz="4" w:space="0" w:color="auto"/>
              <w:right w:val="single" w:sz="4" w:space="0" w:color="auto"/>
            </w:tcBorders>
            <w:noWrap/>
            <w:vAlign w:val="bottom"/>
            <w:hideMark/>
          </w:tcPr>
          <w:p w14:paraId="347219E4" w14:textId="77777777" w:rsidR="0023076E" w:rsidRPr="005044F0" w:rsidRDefault="0023076E" w:rsidP="00324A07">
            <w:pPr>
              <w:jc w:val="center"/>
              <w:rPr>
                <w:color w:val="000000"/>
                <w:sz w:val="16"/>
                <w:szCs w:val="16"/>
                <w:lang w:val="es-ES"/>
              </w:rPr>
            </w:pPr>
          </w:p>
        </w:tc>
        <w:tc>
          <w:tcPr>
            <w:tcW w:w="857" w:type="dxa"/>
            <w:tcBorders>
              <w:top w:val="nil"/>
              <w:left w:val="single" w:sz="4" w:space="0" w:color="auto"/>
              <w:bottom w:val="single" w:sz="4" w:space="0" w:color="auto"/>
              <w:right w:val="nil"/>
            </w:tcBorders>
            <w:shd w:val="clear" w:color="auto" w:fill="auto"/>
            <w:vAlign w:val="center"/>
            <w:hideMark/>
          </w:tcPr>
          <w:p w14:paraId="185810AE" w14:textId="77777777" w:rsidR="0023076E" w:rsidRPr="005044F0" w:rsidRDefault="0023076E" w:rsidP="00324A07">
            <w:pPr>
              <w:jc w:val="center"/>
              <w:rPr>
                <w:color w:val="000000"/>
                <w:sz w:val="12"/>
                <w:szCs w:val="12"/>
                <w:lang w:val="es-ES"/>
              </w:rPr>
            </w:pPr>
            <w:r w:rsidRPr="005044F0">
              <w:rPr>
                <w:color w:val="000000"/>
                <w:sz w:val="12"/>
                <w:szCs w:val="12"/>
                <w:lang w:val="es-ES"/>
              </w:rPr>
              <w:t>Aceptación y crecimiento personal</w:t>
            </w:r>
          </w:p>
          <w:p w14:paraId="05849651" w14:textId="77777777" w:rsidR="0023076E" w:rsidRPr="005044F0" w:rsidRDefault="0023076E" w:rsidP="00324A07">
            <w:pPr>
              <w:jc w:val="center"/>
              <w:rPr>
                <w:color w:val="000000"/>
                <w:sz w:val="12"/>
                <w:szCs w:val="12"/>
                <w:lang w:val="es-ES"/>
              </w:rPr>
            </w:pPr>
            <w:r w:rsidRPr="005044F0">
              <w:rPr>
                <w:color w:val="000000"/>
                <w:sz w:val="12"/>
                <w:szCs w:val="12"/>
                <w:lang w:val="es-ES"/>
              </w:rPr>
              <w:t>E-AOE</w:t>
            </w:r>
          </w:p>
        </w:tc>
        <w:tc>
          <w:tcPr>
            <w:tcW w:w="959" w:type="dxa"/>
            <w:tcBorders>
              <w:top w:val="nil"/>
              <w:left w:val="nil"/>
              <w:bottom w:val="single" w:sz="4" w:space="0" w:color="auto"/>
              <w:right w:val="nil"/>
            </w:tcBorders>
            <w:shd w:val="clear" w:color="auto" w:fill="auto"/>
            <w:vAlign w:val="center"/>
            <w:hideMark/>
          </w:tcPr>
          <w:p w14:paraId="4A875041" w14:textId="77777777" w:rsidR="0023076E" w:rsidRPr="005044F0" w:rsidRDefault="0023076E" w:rsidP="00324A07">
            <w:pPr>
              <w:jc w:val="center"/>
              <w:rPr>
                <w:color w:val="000000"/>
                <w:sz w:val="12"/>
                <w:szCs w:val="12"/>
                <w:lang w:val="es-ES"/>
              </w:rPr>
            </w:pPr>
            <w:r w:rsidRPr="005044F0">
              <w:rPr>
                <w:color w:val="000000"/>
                <w:sz w:val="12"/>
                <w:szCs w:val="12"/>
                <w:lang w:val="es-ES"/>
              </w:rPr>
              <w:t>Afrontamiento activo del problema</w:t>
            </w:r>
          </w:p>
          <w:p w14:paraId="441EBB9C" w14:textId="77777777" w:rsidR="0023076E" w:rsidRPr="005044F0" w:rsidRDefault="0023076E" w:rsidP="00324A07">
            <w:pPr>
              <w:jc w:val="center"/>
              <w:rPr>
                <w:color w:val="000000"/>
                <w:sz w:val="12"/>
                <w:szCs w:val="12"/>
                <w:lang w:val="es-ES"/>
              </w:rPr>
            </w:pPr>
            <w:r w:rsidRPr="005044F0">
              <w:rPr>
                <w:color w:val="000000"/>
                <w:sz w:val="12"/>
                <w:szCs w:val="12"/>
                <w:lang w:val="es-ES"/>
              </w:rPr>
              <w:t>E-AOP</w:t>
            </w:r>
          </w:p>
          <w:p w14:paraId="6A101C06" w14:textId="77777777" w:rsidR="0023076E" w:rsidRPr="005044F0" w:rsidRDefault="0023076E" w:rsidP="00324A07">
            <w:pPr>
              <w:rPr>
                <w:color w:val="000000"/>
                <w:sz w:val="12"/>
                <w:szCs w:val="12"/>
                <w:lang w:val="es-ES"/>
              </w:rPr>
            </w:pPr>
          </w:p>
        </w:tc>
        <w:tc>
          <w:tcPr>
            <w:tcW w:w="760" w:type="dxa"/>
            <w:tcBorders>
              <w:top w:val="nil"/>
              <w:left w:val="nil"/>
              <w:bottom w:val="single" w:sz="4" w:space="0" w:color="auto"/>
              <w:right w:val="nil"/>
            </w:tcBorders>
            <w:shd w:val="clear" w:color="auto" w:fill="auto"/>
            <w:vAlign w:val="center"/>
            <w:hideMark/>
          </w:tcPr>
          <w:p w14:paraId="070FEF8B" w14:textId="77777777" w:rsidR="0023076E" w:rsidRPr="005044F0" w:rsidRDefault="0023076E" w:rsidP="00324A07">
            <w:pPr>
              <w:jc w:val="center"/>
              <w:rPr>
                <w:color w:val="000000"/>
                <w:sz w:val="12"/>
                <w:szCs w:val="12"/>
                <w:lang w:val="es-ES"/>
              </w:rPr>
            </w:pPr>
            <w:r w:rsidRPr="005044F0">
              <w:rPr>
                <w:color w:val="000000"/>
                <w:sz w:val="12"/>
                <w:szCs w:val="12"/>
                <w:lang w:val="es-ES"/>
              </w:rPr>
              <w:t>Búsqueda de apoyo social</w:t>
            </w:r>
          </w:p>
          <w:p w14:paraId="0965676A" w14:textId="77777777" w:rsidR="0023076E" w:rsidRPr="005044F0" w:rsidRDefault="0023076E" w:rsidP="00324A07">
            <w:pPr>
              <w:jc w:val="center"/>
              <w:rPr>
                <w:color w:val="000000"/>
                <w:sz w:val="12"/>
                <w:szCs w:val="12"/>
                <w:lang w:val="es-ES"/>
              </w:rPr>
            </w:pPr>
            <w:r w:rsidRPr="005044F0">
              <w:rPr>
                <w:color w:val="000000"/>
                <w:sz w:val="12"/>
                <w:szCs w:val="12"/>
                <w:lang w:val="es-ES"/>
              </w:rPr>
              <w:t>E-SA</w:t>
            </w:r>
          </w:p>
        </w:tc>
        <w:tc>
          <w:tcPr>
            <w:tcW w:w="663" w:type="dxa"/>
            <w:tcBorders>
              <w:top w:val="nil"/>
              <w:left w:val="nil"/>
              <w:bottom w:val="single" w:sz="4" w:space="0" w:color="auto"/>
              <w:right w:val="single" w:sz="4" w:space="0" w:color="auto"/>
            </w:tcBorders>
            <w:shd w:val="clear" w:color="auto" w:fill="auto"/>
            <w:vAlign w:val="center"/>
            <w:hideMark/>
          </w:tcPr>
          <w:p w14:paraId="123CFEAA" w14:textId="77777777" w:rsidR="0023076E" w:rsidRPr="005044F0" w:rsidRDefault="0023076E" w:rsidP="00324A07">
            <w:pPr>
              <w:jc w:val="center"/>
              <w:rPr>
                <w:color w:val="000000"/>
                <w:sz w:val="12"/>
                <w:szCs w:val="12"/>
                <w:lang w:val="es-ES"/>
              </w:rPr>
            </w:pPr>
            <w:r w:rsidRPr="005044F0">
              <w:rPr>
                <w:color w:val="000000"/>
                <w:sz w:val="12"/>
                <w:szCs w:val="12"/>
                <w:lang w:val="es-ES"/>
              </w:rPr>
              <w:t>Religión</w:t>
            </w:r>
          </w:p>
          <w:p w14:paraId="4902793A" w14:textId="77777777" w:rsidR="0023076E" w:rsidRPr="005044F0" w:rsidRDefault="0023076E" w:rsidP="00324A07">
            <w:pPr>
              <w:jc w:val="center"/>
              <w:rPr>
                <w:color w:val="000000"/>
                <w:sz w:val="12"/>
                <w:szCs w:val="12"/>
                <w:lang w:val="es-ES"/>
              </w:rPr>
            </w:pPr>
            <w:r w:rsidRPr="005044F0">
              <w:rPr>
                <w:color w:val="000000"/>
                <w:sz w:val="12"/>
                <w:szCs w:val="12"/>
                <w:lang w:val="es-ES"/>
              </w:rPr>
              <w:t>E-AOE</w:t>
            </w:r>
          </w:p>
        </w:tc>
        <w:tc>
          <w:tcPr>
            <w:tcW w:w="758" w:type="dxa"/>
            <w:tcBorders>
              <w:top w:val="nil"/>
              <w:left w:val="nil"/>
              <w:bottom w:val="single" w:sz="4" w:space="0" w:color="auto"/>
              <w:right w:val="nil"/>
            </w:tcBorders>
            <w:shd w:val="clear" w:color="auto" w:fill="auto"/>
            <w:vAlign w:val="center"/>
            <w:hideMark/>
          </w:tcPr>
          <w:p w14:paraId="7EF18C1E" w14:textId="77777777" w:rsidR="0023076E" w:rsidRPr="005044F0" w:rsidRDefault="0023076E" w:rsidP="00324A07">
            <w:pPr>
              <w:jc w:val="center"/>
              <w:rPr>
                <w:color w:val="000000"/>
                <w:sz w:val="12"/>
                <w:szCs w:val="12"/>
                <w:lang w:val="es-ES"/>
              </w:rPr>
            </w:pPr>
            <w:r w:rsidRPr="005044F0">
              <w:rPr>
                <w:color w:val="000000"/>
                <w:sz w:val="12"/>
                <w:szCs w:val="12"/>
                <w:lang w:val="es-ES"/>
              </w:rPr>
              <w:t>Consumo de alcohol o drogas</w:t>
            </w:r>
          </w:p>
          <w:p w14:paraId="13996A3D" w14:textId="77777777" w:rsidR="0023076E" w:rsidRPr="005044F0" w:rsidRDefault="0023076E" w:rsidP="00324A07">
            <w:pPr>
              <w:jc w:val="center"/>
              <w:rPr>
                <w:color w:val="000000"/>
                <w:sz w:val="12"/>
                <w:szCs w:val="12"/>
                <w:lang w:val="es-ES"/>
              </w:rPr>
            </w:pPr>
            <w:r w:rsidRPr="005044F0">
              <w:rPr>
                <w:color w:val="000000"/>
                <w:sz w:val="12"/>
                <w:szCs w:val="12"/>
                <w:lang w:val="es-ES"/>
              </w:rPr>
              <w:t>E-E</w:t>
            </w:r>
          </w:p>
        </w:tc>
        <w:tc>
          <w:tcPr>
            <w:tcW w:w="982" w:type="dxa"/>
            <w:tcBorders>
              <w:top w:val="nil"/>
              <w:left w:val="nil"/>
              <w:bottom w:val="single" w:sz="4" w:space="0" w:color="auto"/>
              <w:right w:val="nil"/>
            </w:tcBorders>
            <w:shd w:val="clear" w:color="auto" w:fill="auto"/>
            <w:vAlign w:val="center"/>
            <w:hideMark/>
          </w:tcPr>
          <w:p w14:paraId="7F8D6C11" w14:textId="77777777" w:rsidR="0023076E" w:rsidRPr="005044F0" w:rsidRDefault="0023076E" w:rsidP="00324A07">
            <w:pPr>
              <w:jc w:val="center"/>
              <w:rPr>
                <w:color w:val="000000"/>
                <w:sz w:val="12"/>
                <w:szCs w:val="12"/>
                <w:lang w:val="es-ES"/>
              </w:rPr>
            </w:pPr>
            <w:r w:rsidRPr="005044F0">
              <w:rPr>
                <w:color w:val="000000"/>
                <w:sz w:val="12"/>
                <w:szCs w:val="12"/>
                <w:lang w:val="es-ES"/>
              </w:rPr>
              <w:t>Centrarse en las emociones y desahogarse</w:t>
            </w:r>
          </w:p>
          <w:p w14:paraId="6F77B412" w14:textId="77777777" w:rsidR="0023076E" w:rsidRPr="005044F0" w:rsidRDefault="0023076E" w:rsidP="00324A07">
            <w:pPr>
              <w:jc w:val="center"/>
              <w:rPr>
                <w:color w:val="000000"/>
                <w:sz w:val="12"/>
                <w:szCs w:val="12"/>
                <w:lang w:val="es-ES"/>
              </w:rPr>
            </w:pPr>
            <w:r w:rsidRPr="005044F0">
              <w:rPr>
                <w:color w:val="000000"/>
                <w:sz w:val="12"/>
                <w:szCs w:val="12"/>
                <w:lang w:val="es-ES"/>
              </w:rPr>
              <w:t>E-SA</w:t>
            </w:r>
          </w:p>
        </w:tc>
        <w:tc>
          <w:tcPr>
            <w:tcW w:w="576" w:type="dxa"/>
            <w:tcBorders>
              <w:top w:val="nil"/>
              <w:left w:val="nil"/>
              <w:bottom w:val="single" w:sz="4" w:space="0" w:color="auto"/>
              <w:right w:val="nil"/>
            </w:tcBorders>
            <w:shd w:val="clear" w:color="auto" w:fill="auto"/>
            <w:vAlign w:val="center"/>
            <w:hideMark/>
          </w:tcPr>
          <w:p w14:paraId="5E4405F5" w14:textId="77777777" w:rsidR="0023076E" w:rsidRPr="005044F0" w:rsidRDefault="0023076E" w:rsidP="00324A07">
            <w:pPr>
              <w:jc w:val="center"/>
              <w:rPr>
                <w:color w:val="000000"/>
                <w:sz w:val="12"/>
                <w:szCs w:val="12"/>
                <w:lang w:val="es-ES"/>
              </w:rPr>
            </w:pPr>
            <w:r w:rsidRPr="005044F0">
              <w:rPr>
                <w:color w:val="000000"/>
                <w:sz w:val="12"/>
                <w:szCs w:val="12"/>
                <w:lang w:val="es-ES"/>
              </w:rPr>
              <w:t>Humor</w:t>
            </w:r>
          </w:p>
          <w:p w14:paraId="72A565BD" w14:textId="77777777" w:rsidR="0023076E" w:rsidRPr="005044F0" w:rsidRDefault="0023076E" w:rsidP="00324A07">
            <w:pPr>
              <w:jc w:val="center"/>
              <w:rPr>
                <w:color w:val="000000"/>
                <w:sz w:val="12"/>
                <w:szCs w:val="12"/>
                <w:lang w:val="es-ES"/>
              </w:rPr>
            </w:pPr>
            <w:r w:rsidRPr="005044F0">
              <w:rPr>
                <w:color w:val="000000"/>
                <w:sz w:val="12"/>
                <w:szCs w:val="12"/>
                <w:lang w:val="es-ES"/>
              </w:rPr>
              <w:t>E-AOE</w:t>
            </w:r>
          </w:p>
        </w:tc>
        <w:tc>
          <w:tcPr>
            <w:tcW w:w="708" w:type="dxa"/>
            <w:tcBorders>
              <w:top w:val="nil"/>
              <w:left w:val="nil"/>
              <w:bottom w:val="single" w:sz="4" w:space="0" w:color="auto"/>
              <w:right w:val="nil"/>
            </w:tcBorders>
            <w:shd w:val="clear" w:color="auto" w:fill="auto"/>
            <w:vAlign w:val="center"/>
            <w:hideMark/>
          </w:tcPr>
          <w:p w14:paraId="4E3CE66A" w14:textId="77777777" w:rsidR="0023076E" w:rsidRPr="005044F0" w:rsidRDefault="0023076E" w:rsidP="00324A07">
            <w:pPr>
              <w:jc w:val="center"/>
              <w:rPr>
                <w:color w:val="000000"/>
                <w:sz w:val="12"/>
                <w:szCs w:val="12"/>
                <w:lang w:val="es-ES"/>
              </w:rPr>
            </w:pPr>
            <w:r w:rsidRPr="005044F0">
              <w:rPr>
                <w:color w:val="000000"/>
                <w:sz w:val="12"/>
                <w:szCs w:val="12"/>
                <w:lang w:val="es-ES"/>
              </w:rPr>
              <w:t>Negación</w:t>
            </w:r>
          </w:p>
          <w:p w14:paraId="116059EF" w14:textId="77777777" w:rsidR="0023076E" w:rsidRPr="005044F0" w:rsidRDefault="0023076E" w:rsidP="00324A07">
            <w:pPr>
              <w:jc w:val="center"/>
              <w:rPr>
                <w:color w:val="000000"/>
                <w:sz w:val="12"/>
                <w:szCs w:val="12"/>
                <w:lang w:val="es-ES"/>
              </w:rPr>
            </w:pPr>
            <w:r w:rsidRPr="005044F0">
              <w:rPr>
                <w:color w:val="000000"/>
                <w:sz w:val="12"/>
                <w:szCs w:val="12"/>
                <w:lang w:val="es-ES"/>
              </w:rPr>
              <w:t>E-E</w:t>
            </w:r>
          </w:p>
        </w:tc>
        <w:tc>
          <w:tcPr>
            <w:tcW w:w="988" w:type="dxa"/>
            <w:tcBorders>
              <w:top w:val="nil"/>
              <w:left w:val="nil"/>
              <w:bottom w:val="single" w:sz="4" w:space="0" w:color="auto"/>
              <w:right w:val="single" w:sz="4" w:space="0" w:color="auto"/>
            </w:tcBorders>
            <w:shd w:val="clear" w:color="auto" w:fill="auto"/>
            <w:vAlign w:val="center"/>
            <w:hideMark/>
          </w:tcPr>
          <w:p w14:paraId="3866EF1B" w14:textId="77777777" w:rsidR="0023076E" w:rsidRPr="005044F0" w:rsidRDefault="0023076E" w:rsidP="00324A07">
            <w:pPr>
              <w:jc w:val="center"/>
              <w:rPr>
                <w:color w:val="000000"/>
                <w:sz w:val="12"/>
                <w:szCs w:val="12"/>
                <w:lang w:val="es-ES"/>
              </w:rPr>
            </w:pPr>
            <w:r w:rsidRPr="005044F0">
              <w:rPr>
                <w:color w:val="000000"/>
                <w:sz w:val="12"/>
                <w:szCs w:val="12"/>
                <w:lang w:val="es-ES"/>
              </w:rPr>
              <w:t>Refrenar el afrontamiento</w:t>
            </w:r>
          </w:p>
        </w:tc>
      </w:tr>
      <w:tr w:rsidR="0023076E" w:rsidRPr="005044F0" w14:paraId="30341BDD" w14:textId="77777777" w:rsidTr="00324A07">
        <w:trPr>
          <w:trHeight w:val="320"/>
        </w:trPr>
        <w:tc>
          <w:tcPr>
            <w:tcW w:w="567" w:type="dxa"/>
            <w:vMerge/>
            <w:vAlign w:val="center"/>
            <w:hideMark/>
          </w:tcPr>
          <w:p w14:paraId="08806184" w14:textId="77777777" w:rsidR="0023076E" w:rsidRPr="005044F0" w:rsidRDefault="0023076E" w:rsidP="00324A07">
            <w:pPr>
              <w:rPr>
                <w:color w:val="000000"/>
                <w:sz w:val="16"/>
                <w:szCs w:val="16"/>
                <w:lang w:val="es-ES"/>
              </w:rPr>
            </w:pPr>
          </w:p>
        </w:tc>
        <w:tc>
          <w:tcPr>
            <w:tcW w:w="1679" w:type="dxa"/>
            <w:tcBorders>
              <w:top w:val="single" w:sz="4" w:space="0" w:color="auto"/>
              <w:left w:val="single" w:sz="4" w:space="0" w:color="auto"/>
              <w:bottom w:val="nil"/>
              <w:right w:val="single" w:sz="4" w:space="0" w:color="auto"/>
            </w:tcBorders>
            <w:shd w:val="clear" w:color="auto" w:fill="auto"/>
            <w:noWrap/>
            <w:vAlign w:val="bottom"/>
            <w:hideMark/>
          </w:tcPr>
          <w:p w14:paraId="4029CD1C" w14:textId="77777777" w:rsidR="0023076E" w:rsidRPr="005044F0" w:rsidRDefault="0023076E" w:rsidP="00324A07">
            <w:pPr>
              <w:rPr>
                <w:color w:val="000000"/>
                <w:sz w:val="16"/>
                <w:szCs w:val="16"/>
                <w:lang w:val="es-ES"/>
              </w:rPr>
            </w:pPr>
            <w:r w:rsidRPr="005044F0">
              <w:rPr>
                <w:color w:val="000000"/>
                <w:sz w:val="16"/>
                <w:szCs w:val="16"/>
                <w:lang w:val="es-ES"/>
              </w:rPr>
              <w:t>Auto aceptación</w:t>
            </w:r>
          </w:p>
        </w:tc>
        <w:tc>
          <w:tcPr>
            <w:tcW w:w="857" w:type="dxa"/>
            <w:tcBorders>
              <w:top w:val="nil"/>
              <w:left w:val="single" w:sz="4" w:space="0" w:color="auto"/>
              <w:bottom w:val="nil"/>
              <w:right w:val="nil"/>
            </w:tcBorders>
            <w:shd w:val="clear" w:color="auto" w:fill="5A8AC6"/>
            <w:noWrap/>
            <w:vAlign w:val="center"/>
            <w:hideMark/>
          </w:tcPr>
          <w:p w14:paraId="1EAE81F1" w14:textId="77777777" w:rsidR="0023076E" w:rsidRPr="005044F0" w:rsidRDefault="0023076E" w:rsidP="00324A07">
            <w:pPr>
              <w:jc w:val="center"/>
              <w:rPr>
                <w:color w:val="000000"/>
                <w:sz w:val="16"/>
                <w:szCs w:val="16"/>
                <w:lang w:val="es-ES"/>
              </w:rPr>
            </w:pPr>
            <w:r w:rsidRPr="005044F0">
              <w:rPr>
                <w:color w:val="000000"/>
                <w:sz w:val="16"/>
                <w:szCs w:val="16"/>
                <w:lang w:val="es-ES"/>
              </w:rPr>
              <w:t>0.49</w:t>
            </w:r>
          </w:p>
        </w:tc>
        <w:tc>
          <w:tcPr>
            <w:tcW w:w="959" w:type="dxa"/>
            <w:tcBorders>
              <w:top w:val="nil"/>
              <w:left w:val="nil"/>
              <w:bottom w:val="nil"/>
              <w:right w:val="nil"/>
            </w:tcBorders>
            <w:shd w:val="clear" w:color="auto" w:fill="D0CECE"/>
            <w:noWrap/>
            <w:vAlign w:val="center"/>
            <w:hideMark/>
          </w:tcPr>
          <w:p w14:paraId="27BBBB11" w14:textId="77777777" w:rsidR="0023076E" w:rsidRPr="005044F0" w:rsidRDefault="0023076E" w:rsidP="00324A07">
            <w:pPr>
              <w:jc w:val="center"/>
              <w:rPr>
                <w:color w:val="000000"/>
                <w:sz w:val="16"/>
                <w:szCs w:val="16"/>
                <w:lang w:val="es-ES"/>
              </w:rPr>
            </w:pPr>
          </w:p>
        </w:tc>
        <w:tc>
          <w:tcPr>
            <w:tcW w:w="760" w:type="dxa"/>
            <w:tcBorders>
              <w:top w:val="nil"/>
              <w:left w:val="nil"/>
              <w:bottom w:val="nil"/>
              <w:right w:val="nil"/>
            </w:tcBorders>
            <w:shd w:val="clear" w:color="auto" w:fill="E5ECF7"/>
            <w:noWrap/>
            <w:vAlign w:val="center"/>
            <w:hideMark/>
          </w:tcPr>
          <w:p w14:paraId="68043DB6" w14:textId="77777777" w:rsidR="0023076E" w:rsidRPr="005044F0" w:rsidRDefault="0023076E" w:rsidP="00324A07">
            <w:pPr>
              <w:jc w:val="center"/>
              <w:rPr>
                <w:color w:val="000000"/>
                <w:sz w:val="16"/>
                <w:szCs w:val="16"/>
                <w:lang w:val="es-ES"/>
              </w:rPr>
            </w:pPr>
            <w:r w:rsidRPr="005044F0">
              <w:rPr>
                <w:color w:val="000000"/>
                <w:sz w:val="16"/>
                <w:szCs w:val="16"/>
                <w:lang w:val="es-ES"/>
              </w:rPr>
              <w:t>0.2</w:t>
            </w:r>
          </w:p>
        </w:tc>
        <w:tc>
          <w:tcPr>
            <w:tcW w:w="663" w:type="dxa"/>
            <w:tcBorders>
              <w:top w:val="nil"/>
              <w:left w:val="nil"/>
              <w:bottom w:val="nil"/>
              <w:right w:val="single" w:sz="4" w:space="0" w:color="auto"/>
            </w:tcBorders>
            <w:shd w:val="clear" w:color="auto" w:fill="D0CECE"/>
            <w:noWrap/>
            <w:vAlign w:val="center"/>
            <w:hideMark/>
          </w:tcPr>
          <w:p w14:paraId="05C05459" w14:textId="77777777" w:rsidR="0023076E" w:rsidRPr="005044F0" w:rsidRDefault="0023076E" w:rsidP="00324A07">
            <w:pPr>
              <w:jc w:val="center"/>
              <w:rPr>
                <w:color w:val="000000"/>
                <w:sz w:val="16"/>
                <w:szCs w:val="16"/>
                <w:lang w:val="es-ES"/>
              </w:rPr>
            </w:pPr>
          </w:p>
        </w:tc>
        <w:tc>
          <w:tcPr>
            <w:tcW w:w="758" w:type="dxa"/>
            <w:tcBorders>
              <w:top w:val="nil"/>
              <w:left w:val="single" w:sz="4" w:space="0" w:color="auto"/>
              <w:bottom w:val="nil"/>
              <w:right w:val="nil"/>
            </w:tcBorders>
            <w:shd w:val="clear" w:color="auto" w:fill="F99395"/>
            <w:noWrap/>
            <w:vAlign w:val="center"/>
            <w:hideMark/>
          </w:tcPr>
          <w:p w14:paraId="3E709D05" w14:textId="77777777" w:rsidR="0023076E" w:rsidRPr="005044F0" w:rsidRDefault="0023076E" w:rsidP="00324A07">
            <w:pPr>
              <w:jc w:val="center"/>
              <w:rPr>
                <w:color w:val="000000"/>
                <w:sz w:val="16"/>
                <w:szCs w:val="16"/>
                <w:lang w:val="es-ES"/>
              </w:rPr>
            </w:pPr>
            <w:r w:rsidRPr="005044F0">
              <w:rPr>
                <w:color w:val="000000"/>
                <w:sz w:val="16"/>
                <w:szCs w:val="16"/>
                <w:lang w:val="es-ES"/>
              </w:rPr>
              <w:t>-0.25</w:t>
            </w:r>
          </w:p>
        </w:tc>
        <w:tc>
          <w:tcPr>
            <w:tcW w:w="982" w:type="dxa"/>
            <w:tcBorders>
              <w:top w:val="nil"/>
              <w:left w:val="nil"/>
              <w:bottom w:val="nil"/>
              <w:right w:val="nil"/>
            </w:tcBorders>
            <w:shd w:val="clear" w:color="auto" w:fill="D0CECE"/>
            <w:noWrap/>
            <w:vAlign w:val="center"/>
            <w:hideMark/>
          </w:tcPr>
          <w:p w14:paraId="0144959F" w14:textId="77777777" w:rsidR="0023076E" w:rsidRPr="005044F0" w:rsidRDefault="0023076E" w:rsidP="00324A07">
            <w:pPr>
              <w:jc w:val="center"/>
              <w:rPr>
                <w:color w:val="000000"/>
                <w:sz w:val="16"/>
                <w:szCs w:val="16"/>
                <w:lang w:val="es-ES"/>
              </w:rPr>
            </w:pPr>
          </w:p>
        </w:tc>
        <w:tc>
          <w:tcPr>
            <w:tcW w:w="576" w:type="dxa"/>
            <w:tcBorders>
              <w:top w:val="nil"/>
              <w:left w:val="nil"/>
              <w:bottom w:val="nil"/>
              <w:right w:val="nil"/>
            </w:tcBorders>
            <w:shd w:val="clear" w:color="auto" w:fill="D0CECE"/>
            <w:noWrap/>
            <w:vAlign w:val="center"/>
            <w:hideMark/>
          </w:tcPr>
          <w:p w14:paraId="3F2CAF35" w14:textId="77777777" w:rsidR="0023076E" w:rsidRPr="005044F0" w:rsidRDefault="0023076E" w:rsidP="00324A07">
            <w:pPr>
              <w:jc w:val="center"/>
              <w:rPr>
                <w:color w:val="000000"/>
                <w:sz w:val="16"/>
                <w:szCs w:val="16"/>
                <w:lang w:val="es-ES"/>
              </w:rPr>
            </w:pPr>
          </w:p>
        </w:tc>
        <w:tc>
          <w:tcPr>
            <w:tcW w:w="708" w:type="dxa"/>
            <w:tcBorders>
              <w:top w:val="nil"/>
              <w:left w:val="nil"/>
              <w:bottom w:val="nil"/>
              <w:right w:val="nil"/>
            </w:tcBorders>
            <w:shd w:val="clear" w:color="auto" w:fill="D0CECE"/>
            <w:noWrap/>
            <w:vAlign w:val="center"/>
            <w:hideMark/>
          </w:tcPr>
          <w:p w14:paraId="304A51CF" w14:textId="77777777" w:rsidR="0023076E" w:rsidRPr="005044F0" w:rsidRDefault="0023076E" w:rsidP="00324A07">
            <w:pPr>
              <w:jc w:val="center"/>
              <w:rPr>
                <w:color w:val="000000"/>
                <w:sz w:val="16"/>
                <w:szCs w:val="16"/>
                <w:lang w:val="es-ES"/>
              </w:rPr>
            </w:pPr>
          </w:p>
        </w:tc>
        <w:tc>
          <w:tcPr>
            <w:tcW w:w="988" w:type="dxa"/>
            <w:tcBorders>
              <w:top w:val="nil"/>
              <w:left w:val="nil"/>
              <w:bottom w:val="nil"/>
              <w:right w:val="single" w:sz="4" w:space="0" w:color="auto"/>
            </w:tcBorders>
            <w:shd w:val="clear" w:color="auto" w:fill="F99D9F"/>
            <w:noWrap/>
            <w:vAlign w:val="center"/>
            <w:hideMark/>
          </w:tcPr>
          <w:p w14:paraId="2E313111" w14:textId="77777777" w:rsidR="0023076E" w:rsidRPr="005044F0" w:rsidRDefault="0023076E" w:rsidP="00324A07">
            <w:pPr>
              <w:jc w:val="center"/>
              <w:rPr>
                <w:color w:val="000000"/>
                <w:sz w:val="16"/>
                <w:szCs w:val="16"/>
                <w:lang w:val="es-ES"/>
              </w:rPr>
            </w:pPr>
            <w:r w:rsidRPr="005044F0">
              <w:rPr>
                <w:color w:val="000000"/>
                <w:sz w:val="16"/>
                <w:szCs w:val="16"/>
                <w:lang w:val="es-ES"/>
              </w:rPr>
              <w:t>-0.21</w:t>
            </w:r>
          </w:p>
        </w:tc>
      </w:tr>
      <w:tr w:rsidR="0023076E" w:rsidRPr="005044F0" w14:paraId="7EB25D6A" w14:textId="77777777" w:rsidTr="00324A07">
        <w:trPr>
          <w:trHeight w:val="320"/>
        </w:trPr>
        <w:tc>
          <w:tcPr>
            <w:tcW w:w="567" w:type="dxa"/>
            <w:vMerge/>
            <w:vAlign w:val="center"/>
            <w:hideMark/>
          </w:tcPr>
          <w:p w14:paraId="5A1DBA16" w14:textId="77777777" w:rsidR="0023076E" w:rsidRPr="005044F0" w:rsidRDefault="0023076E" w:rsidP="00324A07">
            <w:pPr>
              <w:rPr>
                <w:color w:val="000000"/>
                <w:sz w:val="16"/>
                <w:szCs w:val="16"/>
                <w:lang w:val="es-ES"/>
              </w:rPr>
            </w:pPr>
          </w:p>
        </w:tc>
        <w:tc>
          <w:tcPr>
            <w:tcW w:w="1679" w:type="dxa"/>
            <w:tcBorders>
              <w:top w:val="nil"/>
              <w:left w:val="single" w:sz="4" w:space="0" w:color="auto"/>
              <w:bottom w:val="nil"/>
              <w:right w:val="single" w:sz="4" w:space="0" w:color="auto"/>
            </w:tcBorders>
            <w:shd w:val="clear" w:color="auto" w:fill="auto"/>
            <w:noWrap/>
            <w:vAlign w:val="bottom"/>
            <w:hideMark/>
          </w:tcPr>
          <w:p w14:paraId="4178BECD" w14:textId="77777777" w:rsidR="0023076E" w:rsidRPr="005044F0" w:rsidRDefault="0023076E" w:rsidP="00324A07">
            <w:pPr>
              <w:rPr>
                <w:color w:val="000000"/>
                <w:sz w:val="16"/>
                <w:szCs w:val="16"/>
                <w:lang w:val="es-ES"/>
              </w:rPr>
            </w:pPr>
            <w:r w:rsidRPr="005044F0">
              <w:rPr>
                <w:color w:val="000000"/>
                <w:sz w:val="16"/>
                <w:szCs w:val="16"/>
                <w:lang w:val="es-ES"/>
              </w:rPr>
              <w:t>Relaciones positivas</w:t>
            </w:r>
          </w:p>
        </w:tc>
        <w:tc>
          <w:tcPr>
            <w:tcW w:w="857" w:type="dxa"/>
            <w:tcBorders>
              <w:top w:val="nil"/>
              <w:left w:val="single" w:sz="4" w:space="0" w:color="auto"/>
              <w:bottom w:val="nil"/>
              <w:right w:val="nil"/>
            </w:tcBorders>
            <w:shd w:val="clear" w:color="auto" w:fill="D6E2F2"/>
            <w:noWrap/>
            <w:vAlign w:val="center"/>
            <w:hideMark/>
          </w:tcPr>
          <w:p w14:paraId="503C8C06" w14:textId="77777777" w:rsidR="0023076E" w:rsidRPr="005044F0" w:rsidRDefault="0023076E" w:rsidP="00324A07">
            <w:pPr>
              <w:jc w:val="center"/>
              <w:rPr>
                <w:color w:val="000000"/>
                <w:sz w:val="16"/>
                <w:szCs w:val="16"/>
                <w:lang w:val="es-ES"/>
              </w:rPr>
            </w:pPr>
            <w:r w:rsidRPr="005044F0">
              <w:rPr>
                <w:color w:val="000000"/>
                <w:sz w:val="16"/>
                <w:szCs w:val="16"/>
                <w:lang w:val="es-ES"/>
              </w:rPr>
              <w:t>0.23</w:t>
            </w:r>
          </w:p>
        </w:tc>
        <w:tc>
          <w:tcPr>
            <w:tcW w:w="959" w:type="dxa"/>
            <w:tcBorders>
              <w:top w:val="nil"/>
              <w:left w:val="nil"/>
              <w:bottom w:val="nil"/>
              <w:right w:val="nil"/>
            </w:tcBorders>
            <w:shd w:val="clear" w:color="auto" w:fill="D0CECE"/>
            <w:noWrap/>
            <w:vAlign w:val="center"/>
            <w:hideMark/>
          </w:tcPr>
          <w:p w14:paraId="3DD49BF2" w14:textId="77777777" w:rsidR="0023076E" w:rsidRPr="005044F0" w:rsidRDefault="0023076E" w:rsidP="00324A07">
            <w:pPr>
              <w:jc w:val="center"/>
              <w:rPr>
                <w:color w:val="000000"/>
                <w:sz w:val="16"/>
                <w:szCs w:val="16"/>
                <w:lang w:val="es-ES"/>
              </w:rPr>
            </w:pPr>
          </w:p>
        </w:tc>
        <w:tc>
          <w:tcPr>
            <w:tcW w:w="760" w:type="dxa"/>
            <w:tcBorders>
              <w:top w:val="nil"/>
              <w:left w:val="nil"/>
              <w:bottom w:val="nil"/>
              <w:right w:val="nil"/>
            </w:tcBorders>
            <w:shd w:val="clear" w:color="auto" w:fill="D0CECE"/>
            <w:noWrap/>
            <w:vAlign w:val="center"/>
            <w:hideMark/>
          </w:tcPr>
          <w:p w14:paraId="206F5D9F" w14:textId="77777777" w:rsidR="0023076E" w:rsidRPr="005044F0" w:rsidRDefault="0023076E" w:rsidP="00324A07">
            <w:pPr>
              <w:jc w:val="center"/>
              <w:rPr>
                <w:color w:val="000000"/>
                <w:sz w:val="16"/>
                <w:szCs w:val="16"/>
                <w:lang w:val="es-ES"/>
              </w:rPr>
            </w:pPr>
          </w:p>
        </w:tc>
        <w:tc>
          <w:tcPr>
            <w:tcW w:w="663" w:type="dxa"/>
            <w:tcBorders>
              <w:top w:val="nil"/>
              <w:left w:val="nil"/>
              <w:bottom w:val="nil"/>
              <w:right w:val="single" w:sz="4" w:space="0" w:color="auto"/>
            </w:tcBorders>
            <w:shd w:val="clear" w:color="auto" w:fill="D0CECE"/>
            <w:noWrap/>
            <w:vAlign w:val="center"/>
            <w:hideMark/>
          </w:tcPr>
          <w:p w14:paraId="6B6753E8" w14:textId="77777777" w:rsidR="0023076E" w:rsidRPr="005044F0" w:rsidRDefault="0023076E" w:rsidP="00324A07">
            <w:pPr>
              <w:jc w:val="center"/>
              <w:rPr>
                <w:color w:val="000000"/>
                <w:sz w:val="16"/>
                <w:szCs w:val="16"/>
                <w:lang w:val="es-ES"/>
              </w:rPr>
            </w:pPr>
          </w:p>
        </w:tc>
        <w:tc>
          <w:tcPr>
            <w:tcW w:w="758" w:type="dxa"/>
            <w:tcBorders>
              <w:top w:val="nil"/>
              <w:left w:val="single" w:sz="4" w:space="0" w:color="auto"/>
              <w:bottom w:val="nil"/>
              <w:right w:val="nil"/>
            </w:tcBorders>
            <w:shd w:val="clear" w:color="auto" w:fill="F8696B"/>
            <w:noWrap/>
            <w:vAlign w:val="center"/>
            <w:hideMark/>
          </w:tcPr>
          <w:p w14:paraId="760ADF7E" w14:textId="77777777" w:rsidR="0023076E" w:rsidRPr="005044F0" w:rsidRDefault="0023076E" w:rsidP="00324A07">
            <w:pPr>
              <w:jc w:val="center"/>
              <w:rPr>
                <w:color w:val="000000"/>
                <w:sz w:val="16"/>
                <w:szCs w:val="16"/>
                <w:lang w:val="es-ES"/>
              </w:rPr>
            </w:pPr>
            <w:r w:rsidRPr="005044F0">
              <w:rPr>
                <w:color w:val="000000"/>
                <w:sz w:val="16"/>
                <w:szCs w:val="16"/>
                <w:lang w:val="es-ES"/>
              </w:rPr>
              <w:t>-0.41</w:t>
            </w:r>
          </w:p>
        </w:tc>
        <w:tc>
          <w:tcPr>
            <w:tcW w:w="982" w:type="dxa"/>
            <w:tcBorders>
              <w:top w:val="nil"/>
              <w:left w:val="nil"/>
              <w:bottom w:val="nil"/>
              <w:right w:val="nil"/>
            </w:tcBorders>
            <w:shd w:val="clear" w:color="auto" w:fill="D0CECE"/>
            <w:noWrap/>
            <w:vAlign w:val="center"/>
            <w:hideMark/>
          </w:tcPr>
          <w:p w14:paraId="1A2CDA7D" w14:textId="77777777" w:rsidR="0023076E" w:rsidRPr="005044F0" w:rsidRDefault="0023076E" w:rsidP="00324A07">
            <w:pPr>
              <w:jc w:val="center"/>
              <w:rPr>
                <w:color w:val="000000"/>
                <w:sz w:val="16"/>
                <w:szCs w:val="16"/>
                <w:lang w:val="es-ES"/>
              </w:rPr>
            </w:pPr>
          </w:p>
        </w:tc>
        <w:tc>
          <w:tcPr>
            <w:tcW w:w="576" w:type="dxa"/>
            <w:tcBorders>
              <w:top w:val="nil"/>
              <w:left w:val="nil"/>
              <w:bottom w:val="nil"/>
              <w:right w:val="nil"/>
            </w:tcBorders>
            <w:shd w:val="clear" w:color="auto" w:fill="D0CECE"/>
            <w:noWrap/>
            <w:vAlign w:val="center"/>
            <w:hideMark/>
          </w:tcPr>
          <w:p w14:paraId="45C6AEAC" w14:textId="77777777" w:rsidR="0023076E" w:rsidRPr="005044F0" w:rsidRDefault="0023076E" w:rsidP="00324A07">
            <w:pPr>
              <w:jc w:val="center"/>
              <w:rPr>
                <w:color w:val="000000"/>
                <w:sz w:val="16"/>
                <w:szCs w:val="16"/>
                <w:lang w:val="es-ES"/>
              </w:rPr>
            </w:pPr>
          </w:p>
        </w:tc>
        <w:tc>
          <w:tcPr>
            <w:tcW w:w="708" w:type="dxa"/>
            <w:tcBorders>
              <w:top w:val="nil"/>
              <w:left w:val="nil"/>
              <w:bottom w:val="nil"/>
              <w:right w:val="nil"/>
            </w:tcBorders>
            <w:shd w:val="clear" w:color="auto" w:fill="D0CECE"/>
            <w:noWrap/>
            <w:vAlign w:val="center"/>
            <w:hideMark/>
          </w:tcPr>
          <w:p w14:paraId="7227DE57" w14:textId="77777777" w:rsidR="0023076E" w:rsidRPr="005044F0" w:rsidRDefault="0023076E" w:rsidP="00324A07">
            <w:pPr>
              <w:jc w:val="center"/>
              <w:rPr>
                <w:color w:val="000000"/>
                <w:sz w:val="16"/>
                <w:szCs w:val="16"/>
                <w:lang w:val="es-ES"/>
              </w:rPr>
            </w:pPr>
          </w:p>
        </w:tc>
        <w:tc>
          <w:tcPr>
            <w:tcW w:w="988" w:type="dxa"/>
            <w:tcBorders>
              <w:top w:val="nil"/>
              <w:left w:val="nil"/>
              <w:bottom w:val="nil"/>
              <w:right w:val="single" w:sz="4" w:space="0" w:color="auto"/>
            </w:tcBorders>
            <w:shd w:val="clear" w:color="auto" w:fill="D0CECE"/>
            <w:noWrap/>
            <w:vAlign w:val="center"/>
            <w:hideMark/>
          </w:tcPr>
          <w:p w14:paraId="7E8991FC" w14:textId="77777777" w:rsidR="0023076E" w:rsidRPr="005044F0" w:rsidRDefault="0023076E" w:rsidP="00324A07">
            <w:pPr>
              <w:jc w:val="center"/>
              <w:rPr>
                <w:color w:val="000000"/>
                <w:sz w:val="16"/>
                <w:szCs w:val="16"/>
                <w:lang w:val="es-ES"/>
              </w:rPr>
            </w:pPr>
          </w:p>
        </w:tc>
      </w:tr>
      <w:tr w:rsidR="0023076E" w:rsidRPr="005044F0" w14:paraId="6BC08D9A" w14:textId="77777777" w:rsidTr="00324A07">
        <w:trPr>
          <w:trHeight w:val="320"/>
        </w:trPr>
        <w:tc>
          <w:tcPr>
            <w:tcW w:w="567" w:type="dxa"/>
            <w:vMerge/>
            <w:vAlign w:val="center"/>
            <w:hideMark/>
          </w:tcPr>
          <w:p w14:paraId="1BB6A8DE" w14:textId="77777777" w:rsidR="0023076E" w:rsidRPr="005044F0" w:rsidRDefault="0023076E" w:rsidP="00324A07">
            <w:pPr>
              <w:rPr>
                <w:color w:val="000000"/>
                <w:sz w:val="16"/>
                <w:szCs w:val="16"/>
                <w:lang w:val="es-ES"/>
              </w:rPr>
            </w:pPr>
          </w:p>
        </w:tc>
        <w:tc>
          <w:tcPr>
            <w:tcW w:w="1679" w:type="dxa"/>
            <w:tcBorders>
              <w:top w:val="nil"/>
              <w:left w:val="single" w:sz="4" w:space="0" w:color="auto"/>
              <w:bottom w:val="nil"/>
              <w:right w:val="single" w:sz="4" w:space="0" w:color="auto"/>
            </w:tcBorders>
            <w:shd w:val="clear" w:color="auto" w:fill="auto"/>
            <w:noWrap/>
            <w:vAlign w:val="bottom"/>
            <w:hideMark/>
          </w:tcPr>
          <w:p w14:paraId="4978FBC7" w14:textId="77777777" w:rsidR="0023076E" w:rsidRPr="005044F0" w:rsidRDefault="0023076E" w:rsidP="00324A07">
            <w:pPr>
              <w:rPr>
                <w:color w:val="000000"/>
                <w:sz w:val="16"/>
                <w:szCs w:val="16"/>
                <w:lang w:val="es-ES"/>
              </w:rPr>
            </w:pPr>
            <w:r w:rsidRPr="005044F0">
              <w:rPr>
                <w:color w:val="000000"/>
                <w:sz w:val="16"/>
                <w:szCs w:val="16"/>
                <w:lang w:val="es-ES"/>
              </w:rPr>
              <w:t>Autonomía</w:t>
            </w:r>
          </w:p>
        </w:tc>
        <w:tc>
          <w:tcPr>
            <w:tcW w:w="857" w:type="dxa"/>
            <w:tcBorders>
              <w:top w:val="nil"/>
              <w:left w:val="single" w:sz="4" w:space="0" w:color="auto"/>
              <w:bottom w:val="nil"/>
              <w:right w:val="nil"/>
            </w:tcBorders>
            <w:shd w:val="clear" w:color="auto" w:fill="B5CAE6"/>
            <w:noWrap/>
            <w:vAlign w:val="center"/>
            <w:hideMark/>
          </w:tcPr>
          <w:p w14:paraId="415FE4CC" w14:textId="77777777" w:rsidR="0023076E" w:rsidRPr="005044F0" w:rsidRDefault="0023076E" w:rsidP="00324A07">
            <w:pPr>
              <w:jc w:val="center"/>
              <w:rPr>
                <w:color w:val="000000"/>
                <w:sz w:val="16"/>
                <w:szCs w:val="16"/>
                <w:lang w:val="es-ES"/>
              </w:rPr>
            </w:pPr>
            <w:r w:rsidRPr="005044F0">
              <w:rPr>
                <w:color w:val="000000"/>
                <w:sz w:val="16"/>
                <w:szCs w:val="16"/>
                <w:lang w:val="es-ES"/>
              </w:rPr>
              <w:t>0.3</w:t>
            </w:r>
          </w:p>
        </w:tc>
        <w:tc>
          <w:tcPr>
            <w:tcW w:w="959" w:type="dxa"/>
            <w:tcBorders>
              <w:top w:val="nil"/>
              <w:left w:val="nil"/>
              <w:bottom w:val="nil"/>
              <w:right w:val="nil"/>
            </w:tcBorders>
            <w:shd w:val="clear" w:color="auto" w:fill="D0CECE"/>
            <w:noWrap/>
            <w:vAlign w:val="center"/>
            <w:hideMark/>
          </w:tcPr>
          <w:p w14:paraId="16D94858" w14:textId="77777777" w:rsidR="0023076E" w:rsidRPr="005044F0" w:rsidRDefault="0023076E" w:rsidP="00324A07">
            <w:pPr>
              <w:jc w:val="center"/>
              <w:rPr>
                <w:color w:val="000000"/>
                <w:sz w:val="16"/>
                <w:szCs w:val="16"/>
                <w:lang w:val="es-ES"/>
              </w:rPr>
            </w:pPr>
          </w:p>
        </w:tc>
        <w:tc>
          <w:tcPr>
            <w:tcW w:w="760" w:type="dxa"/>
            <w:tcBorders>
              <w:top w:val="nil"/>
              <w:left w:val="nil"/>
              <w:bottom w:val="nil"/>
              <w:right w:val="nil"/>
            </w:tcBorders>
            <w:shd w:val="clear" w:color="auto" w:fill="D0CECE"/>
            <w:noWrap/>
            <w:vAlign w:val="center"/>
            <w:hideMark/>
          </w:tcPr>
          <w:p w14:paraId="28B91077" w14:textId="77777777" w:rsidR="0023076E" w:rsidRPr="005044F0" w:rsidRDefault="0023076E" w:rsidP="00324A07">
            <w:pPr>
              <w:jc w:val="center"/>
              <w:rPr>
                <w:color w:val="000000"/>
                <w:sz w:val="16"/>
                <w:szCs w:val="16"/>
                <w:lang w:val="es-ES"/>
              </w:rPr>
            </w:pPr>
          </w:p>
        </w:tc>
        <w:tc>
          <w:tcPr>
            <w:tcW w:w="663" w:type="dxa"/>
            <w:tcBorders>
              <w:top w:val="nil"/>
              <w:left w:val="nil"/>
              <w:bottom w:val="nil"/>
              <w:right w:val="single" w:sz="4" w:space="0" w:color="auto"/>
            </w:tcBorders>
            <w:shd w:val="clear" w:color="auto" w:fill="D0CECE"/>
            <w:noWrap/>
            <w:vAlign w:val="center"/>
            <w:hideMark/>
          </w:tcPr>
          <w:p w14:paraId="5EB97D6B" w14:textId="77777777" w:rsidR="0023076E" w:rsidRPr="005044F0" w:rsidRDefault="0023076E" w:rsidP="00324A07">
            <w:pPr>
              <w:jc w:val="center"/>
              <w:rPr>
                <w:color w:val="000000"/>
                <w:sz w:val="16"/>
                <w:szCs w:val="16"/>
                <w:lang w:val="es-ES"/>
              </w:rPr>
            </w:pPr>
          </w:p>
        </w:tc>
        <w:tc>
          <w:tcPr>
            <w:tcW w:w="758" w:type="dxa"/>
            <w:tcBorders>
              <w:top w:val="nil"/>
              <w:left w:val="nil"/>
              <w:bottom w:val="nil"/>
              <w:right w:val="nil"/>
            </w:tcBorders>
            <w:shd w:val="clear" w:color="auto" w:fill="D0CECE"/>
            <w:noWrap/>
            <w:vAlign w:val="center"/>
            <w:hideMark/>
          </w:tcPr>
          <w:p w14:paraId="0D0D6A0F" w14:textId="77777777" w:rsidR="0023076E" w:rsidRPr="005044F0" w:rsidRDefault="0023076E" w:rsidP="00324A07">
            <w:pPr>
              <w:jc w:val="center"/>
              <w:rPr>
                <w:color w:val="000000"/>
                <w:sz w:val="16"/>
                <w:szCs w:val="16"/>
                <w:lang w:val="es-ES"/>
              </w:rPr>
            </w:pPr>
          </w:p>
        </w:tc>
        <w:tc>
          <w:tcPr>
            <w:tcW w:w="982" w:type="dxa"/>
            <w:tcBorders>
              <w:top w:val="nil"/>
              <w:left w:val="nil"/>
              <w:bottom w:val="nil"/>
              <w:right w:val="nil"/>
            </w:tcBorders>
            <w:shd w:val="clear" w:color="auto" w:fill="D0CECE"/>
            <w:noWrap/>
            <w:vAlign w:val="center"/>
            <w:hideMark/>
          </w:tcPr>
          <w:p w14:paraId="56AA8269" w14:textId="77777777" w:rsidR="0023076E" w:rsidRPr="005044F0" w:rsidRDefault="0023076E" w:rsidP="00324A07">
            <w:pPr>
              <w:jc w:val="center"/>
              <w:rPr>
                <w:color w:val="000000"/>
                <w:sz w:val="16"/>
                <w:szCs w:val="16"/>
                <w:lang w:val="es-ES"/>
              </w:rPr>
            </w:pPr>
          </w:p>
        </w:tc>
        <w:tc>
          <w:tcPr>
            <w:tcW w:w="576" w:type="dxa"/>
            <w:tcBorders>
              <w:top w:val="nil"/>
              <w:left w:val="nil"/>
              <w:bottom w:val="nil"/>
              <w:right w:val="nil"/>
            </w:tcBorders>
            <w:shd w:val="clear" w:color="auto" w:fill="D0CECE"/>
            <w:noWrap/>
            <w:vAlign w:val="center"/>
            <w:hideMark/>
          </w:tcPr>
          <w:p w14:paraId="6659E27D" w14:textId="77777777" w:rsidR="0023076E" w:rsidRPr="005044F0" w:rsidRDefault="0023076E" w:rsidP="00324A07">
            <w:pPr>
              <w:jc w:val="center"/>
              <w:rPr>
                <w:color w:val="000000"/>
                <w:sz w:val="16"/>
                <w:szCs w:val="16"/>
                <w:lang w:val="es-ES"/>
              </w:rPr>
            </w:pPr>
          </w:p>
        </w:tc>
        <w:tc>
          <w:tcPr>
            <w:tcW w:w="708" w:type="dxa"/>
            <w:tcBorders>
              <w:top w:val="nil"/>
              <w:left w:val="nil"/>
              <w:bottom w:val="nil"/>
              <w:right w:val="nil"/>
            </w:tcBorders>
            <w:shd w:val="clear" w:color="auto" w:fill="F87D80"/>
            <w:noWrap/>
            <w:vAlign w:val="center"/>
            <w:hideMark/>
          </w:tcPr>
          <w:p w14:paraId="2152C847" w14:textId="77777777" w:rsidR="0023076E" w:rsidRPr="005044F0" w:rsidRDefault="0023076E" w:rsidP="00324A07">
            <w:pPr>
              <w:jc w:val="center"/>
              <w:rPr>
                <w:color w:val="000000"/>
                <w:sz w:val="16"/>
                <w:szCs w:val="16"/>
                <w:lang w:val="es-ES"/>
              </w:rPr>
            </w:pPr>
            <w:r w:rsidRPr="005044F0">
              <w:rPr>
                <w:color w:val="000000"/>
                <w:sz w:val="16"/>
                <w:szCs w:val="16"/>
                <w:lang w:val="es-ES"/>
              </w:rPr>
              <w:t>-0.33</w:t>
            </w:r>
          </w:p>
        </w:tc>
        <w:tc>
          <w:tcPr>
            <w:tcW w:w="988" w:type="dxa"/>
            <w:tcBorders>
              <w:top w:val="nil"/>
              <w:left w:val="nil"/>
              <w:bottom w:val="nil"/>
              <w:right w:val="single" w:sz="4" w:space="0" w:color="auto"/>
            </w:tcBorders>
            <w:shd w:val="clear" w:color="auto" w:fill="D0CECE"/>
            <w:noWrap/>
            <w:vAlign w:val="center"/>
            <w:hideMark/>
          </w:tcPr>
          <w:p w14:paraId="7FDA10B9" w14:textId="77777777" w:rsidR="0023076E" w:rsidRPr="005044F0" w:rsidRDefault="0023076E" w:rsidP="00324A07">
            <w:pPr>
              <w:jc w:val="center"/>
              <w:rPr>
                <w:color w:val="000000"/>
                <w:sz w:val="16"/>
                <w:szCs w:val="16"/>
                <w:lang w:val="es-ES"/>
              </w:rPr>
            </w:pPr>
          </w:p>
        </w:tc>
      </w:tr>
      <w:tr w:rsidR="0023076E" w:rsidRPr="005044F0" w14:paraId="567D84C7" w14:textId="77777777" w:rsidTr="00324A07">
        <w:trPr>
          <w:trHeight w:val="320"/>
        </w:trPr>
        <w:tc>
          <w:tcPr>
            <w:tcW w:w="567" w:type="dxa"/>
            <w:vMerge/>
            <w:vAlign w:val="center"/>
            <w:hideMark/>
          </w:tcPr>
          <w:p w14:paraId="55054BA6" w14:textId="77777777" w:rsidR="0023076E" w:rsidRPr="005044F0" w:rsidRDefault="0023076E" w:rsidP="00324A07">
            <w:pPr>
              <w:rPr>
                <w:color w:val="000000"/>
                <w:sz w:val="16"/>
                <w:szCs w:val="16"/>
                <w:lang w:val="es-ES"/>
              </w:rPr>
            </w:pPr>
          </w:p>
        </w:tc>
        <w:tc>
          <w:tcPr>
            <w:tcW w:w="1679" w:type="dxa"/>
            <w:tcBorders>
              <w:top w:val="nil"/>
              <w:left w:val="single" w:sz="4" w:space="0" w:color="auto"/>
              <w:bottom w:val="nil"/>
              <w:right w:val="single" w:sz="4" w:space="0" w:color="auto"/>
            </w:tcBorders>
            <w:shd w:val="clear" w:color="auto" w:fill="auto"/>
            <w:noWrap/>
            <w:vAlign w:val="bottom"/>
            <w:hideMark/>
          </w:tcPr>
          <w:p w14:paraId="4733FF23" w14:textId="77777777" w:rsidR="0023076E" w:rsidRPr="005044F0" w:rsidRDefault="0023076E" w:rsidP="00324A07">
            <w:pPr>
              <w:rPr>
                <w:color w:val="000000"/>
                <w:sz w:val="16"/>
                <w:szCs w:val="16"/>
                <w:lang w:val="es-ES"/>
              </w:rPr>
            </w:pPr>
            <w:r w:rsidRPr="005044F0">
              <w:rPr>
                <w:color w:val="000000"/>
                <w:sz w:val="16"/>
                <w:szCs w:val="16"/>
                <w:lang w:val="es-ES"/>
              </w:rPr>
              <w:t>Dominio del ambiente</w:t>
            </w:r>
          </w:p>
        </w:tc>
        <w:tc>
          <w:tcPr>
            <w:tcW w:w="857" w:type="dxa"/>
            <w:tcBorders>
              <w:top w:val="nil"/>
              <w:left w:val="single" w:sz="4" w:space="0" w:color="auto"/>
              <w:bottom w:val="nil"/>
              <w:right w:val="nil"/>
            </w:tcBorders>
            <w:shd w:val="clear" w:color="auto" w:fill="6995CC"/>
            <w:noWrap/>
            <w:vAlign w:val="center"/>
            <w:hideMark/>
          </w:tcPr>
          <w:p w14:paraId="30CFC7C5" w14:textId="77777777" w:rsidR="0023076E" w:rsidRPr="005044F0" w:rsidRDefault="0023076E" w:rsidP="00324A07">
            <w:pPr>
              <w:jc w:val="center"/>
              <w:rPr>
                <w:color w:val="000000"/>
                <w:sz w:val="16"/>
                <w:szCs w:val="16"/>
                <w:lang w:val="es-ES"/>
              </w:rPr>
            </w:pPr>
            <w:r w:rsidRPr="005044F0">
              <w:rPr>
                <w:color w:val="000000"/>
                <w:sz w:val="16"/>
                <w:szCs w:val="16"/>
                <w:lang w:val="es-ES"/>
              </w:rPr>
              <w:t>0.46</w:t>
            </w:r>
          </w:p>
        </w:tc>
        <w:tc>
          <w:tcPr>
            <w:tcW w:w="959" w:type="dxa"/>
            <w:tcBorders>
              <w:top w:val="nil"/>
              <w:left w:val="nil"/>
              <w:bottom w:val="nil"/>
              <w:right w:val="nil"/>
            </w:tcBorders>
            <w:shd w:val="clear" w:color="auto" w:fill="D0CECE"/>
            <w:noWrap/>
            <w:vAlign w:val="center"/>
            <w:hideMark/>
          </w:tcPr>
          <w:p w14:paraId="2E2F932E" w14:textId="77777777" w:rsidR="0023076E" w:rsidRPr="005044F0" w:rsidRDefault="0023076E" w:rsidP="00324A07">
            <w:pPr>
              <w:jc w:val="center"/>
              <w:rPr>
                <w:color w:val="000000"/>
                <w:sz w:val="16"/>
                <w:szCs w:val="16"/>
                <w:lang w:val="es-ES"/>
              </w:rPr>
            </w:pPr>
          </w:p>
        </w:tc>
        <w:tc>
          <w:tcPr>
            <w:tcW w:w="760" w:type="dxa"/>
            <w:tcBorders>
              <w:top w:val="nil"/>
              <w:left w:val="nil"/>
              <w:bottom w:val="nil"/>
              <w:right w:val="nil"/>
            </w:tcBorders>
            <w:shd w:val="clear" w:color="auto" w:fill="D0CECE"/>
            <w:noWrap/>
            <w:vAlign w:val="center"/>
            <w:hideMark/>
          </w:tcPr>
          <w:p w14:paraId="722E118B" w14:textId="77777777" w:rsidR="0023076E" w:rsidRPr="005044F0" w:rsidRDefault="0023076E" w:rsidP="00324A07">
            <w:pPr>
              <w:jc w:val="center"/>
              <w:rPr>
                <w:color w:val="000000"/>
                <w:sz w:val="16"/>
                <w:szCs w:val="16"/>
                <w:lang w:val="es-ES"/>
              </w:rPr>
            </w:pPr>
          </w:p>
        </w:tc>
        <w:tc>
          <w:tcPr>
            <w:tcW w:w="663" w:type="dxa"/>
            <w:tcBorders>
              <w:top w:val="nil"/>
              <w:left w:val="nil"/>
              <w:bottom w:val="nil"/>
              <w:right w:val="single" w:sz="4" w:space="0" w:color="auto"/>
            </w:tcBorders>
            <w:shd w:val="clear" w:color="auto" w:fill="D0CECE"/>
            <w:noWrap/>
            <w:vAlign w:val="center"/>
            <w:hideMark/>
          </w:tcPr>
          <w:p w14:paraId="6C63E66C" w14:textId="77777777" w:rsidR="0023076E" w:rsidRPr="005044F0" w:rsidRDefault="0023076E" w:rsidP="00324A07">
            <w:pPr>
              <w:jc w:val="center"/>
              <w:rPr>
                <w:color w:val="000000"/>
                <w:sz w:val="16"/>
                <w:szCs w:val="16"/>
                <w:lang w:val="es-ES"/>
              </w:rPr>
            </w:pPr>
          </w:p>
        </w:tc>
        <w:tc>
          <w:tcPr>
            <w:tcW w:w="758" w:type="dxa"/>
            <w:tcBorders>
              <w:top w:val="nil"/>
              <w:left w:val="nil"/>
              <w:bottom w:val="nil"/>
              <w:right w:val="nil"/>
            </w:tcBorders>
            <w:shd w:val="clear" w:color="auto" w:fill="D0CECE"/>
            <w:noWrap/>
            <w:vAlign w:val="center"/>
            <w:hideMark/>
          </w:tcPr>
          <w:p w14:paraId="4F8BB0D9" w14:textId="77777777" w:rsidR="0023076E" w:rsidRPr="005044F0" w:rsidRDefault="0023076E" w:rsidP="00324A07">
            <w:pPr>
              <w:jc w:val="center"/>
              <w:rPr>
                <w:color w:val="000000"/>
                <w:sz w:val="16"/>
                <w:szCs w:val="16"/>
                <w:lang w:val="es-ES"/>
              </w:rPr>
            </w:pPr>
          </w:p>
        </w:tc>
        <w:tc>
          <w:tcPr>
            <w:tcW w:w="982" w:type="dxa"/>
            <w:tcBorders>
              <w:top w:val="nil"/>
              <w:left w:val="nil"/>
              <w:bottom w:val="nil"/>
              <w:right w:val="nil"/>
            </w:tcBorders>
            <w:shd w:val="clear" w:color="auto" w:fill="D0CECE"/>
            <w:noWrap/>
            <w:vAlign w:val="center"/>
            <w:hideMark/>
          </w:tcPr>
          <w:p w14:paraId="3D0C5929" w14:textId="77777777" w:rsidR="0023076E" w:rsidRPr="005044F0" w:rsidRDefault="0023076E" w:rsidP="00324A07">
            <w:pPr>
              <w:jc w:val="center"/>
              <w:rPr>
                <w:color w:val="000000"/>
                <w:sz w:val="16"/>
                <w:szCs w:val="16"/>
                <w:lang w:val="es-ES"/>
              </w:rPr>
            </w:pPr>
          </w:p>
        </w:tc>
        <w:tc>
          <w:tcPr>
            <w:tcW w:w="576" w:type="dxa"/>
            <w:tcBorders>
              <w:top w:val="nil"/>
              <w:left w:val="nil"/>
              <w:bottom w:val="nil"/>
              <w:right w:val="nil"/>
            </w:tcBorders>
            <w:shd w:val="clear" w:color="auto" w:fill="D0CECE"/>
            <w:noWrap/>
            <w:vAlign w:val="center"/>
            <w:hideMark/>
          </w:tcPr>
          <w:p w14:paraId="1DC55C0E" w14:textId="77777777" w:rsidR="0023076E" w:rsidRPr="005044F0" w:rsidRDefault="0023076E" w:rsidP="00324A07">
            <w:pPr>
              <w:jc w:val="center"/>
              <w:rPr>
                <w:color w:val="000000"/>
                <w:sz w:val="16"/>
                <w:szCs w:val="16"/>
                <w:lang w:val="es-ES"/>
              </w:rPr>
            </w:pPr>
          </w:p>
        </w:tc>
        <w:tc>
          <w:tcPr>
            <w:tcW w:w="708" w:type="dxa"/>
            <w:tcBorders>
              <w:top w:val="nil"/>
              <w:left w:val="nil"/>
              <w:bottom w:val="nil"/>
              <w:right w:val="nil"/>
            </w:tcBorders>
            <w:shd w:val="clear" w:color="auto" w:fill="D0CECE"/>
            <w:noWrap/>
            <w:vAlign w:val="center"/>
            <w:hideMark/>
          </w:tcPr>
          <w:p w14:paraId="3769369D" w14:textId="77777777" w:rsidR="0023076E" w:rsidRPr="005044F0" w:rsidRDefault="0023076E" w:rsidP="00324A07">
            <w:pPr>
              <w:jc w:val="center"/>
              <w:rPr>
                <w:color w:val="000000"/>
                <w:sz w:val="16"/>
                <w:szCs w:val="16"/>
                <w:lang w:val="es-ES"/>
              </w:rPr>
            </w:pPr>
          </w:p>
        </w:tc>
        <w:tc>
          <w:tcPr>
            <w:tcW w:w="988" w:type="dxa"/>
            <w:tcBorders>
              <w:top w:val="nil"/>
              <w:left w:val="nil"/>
              <w:bottom w:val="nil"/>
              <w:right w:val="single" w:sz="4" w:space="0" w:color="auto"/>
            </w:tcBorders>
            <w:shd w:val="clear" w:color="auto" w:fill="F99D9F"/>
            <w:noWrap/>
            <w:vAlign w:val="center"/>
            <w:hideMark/>
          </w:tcPr>
          <w:p w14:paraId="5A610158" w14:textId="77777777" w:rsidR="0023076E" w:rsidRPr="005044F0" w:rsidRDefault="0023076E" w:rsidP="00324A07">
            <w:pPr>
              <w:jc w:val="center"/>
              <w:rPr>
                <w:color w:val="000000"/>
                <w:sz w:val="16"/>
                <w:szCs w:val="16"/>
                <w:lang w:val="es-ES"/>
              </w:rPr>
            </w:pPr>
            <w:r w:rsidRPr="005044F0">
              <w:rPr>
                <w:color w:val="000000"/>
                <w:sz w:val="16"/>
                <w:szCs w:val="16"/>
                <w:lang w:val="es-ES"/>
              </w:rPr>
              <w:t>-0.21</w:t>
            </w:r>
          </w:p>
        </w:tc>
      </w:tr>
      <w:tr w:rsidR="0023076E" w:rsidRPr="005044F0" w14:paraId="2A73D3C8" w14:textId="77777777" w:rsidTr="00324A07">
        <w:trPr>
          <w:trHeight w:val="320"/>
        </w:trPr>
        <w:tc>
          <w:tcPr>
            <w:tcW w:w="567" w:type="dxa"/>
            <w:vMerge/>
            <w:vAlign w:val="center"/>
            <w:hideMark/>
          </w:tcPr>
          <w:p w14:paraId="285BB124" w14:textId="77777777" w:rsidR="0023076E" w:rsidRPr="005044F0" w:rsidRDefault="0023076E" w:rsidP="00324A07">
            <w:pPr>
              <w:rPr>
                <w:color w:val="000000"/>
                <w:sz w:val="16"/>
                <w:szCs w:val="16"/>
                <w:lang w:val="es-ES"/>
              </w:rPr>
            </w:pPr>
          </w:p>
        </w:tc>
        <w:tc>
          <w:tcPr>
            <w:tcW w:w="1679" w:type="dxa"/>
            <w:tcBorders>
              <w:top w:val="nil"/>
              <w:left w:val="single" w:sz="4" w:space="0" w:color="auto"/>
              <w:bottom w:val="nil"/>
              <w:right w:val="single" w:sz="4" w:space="0" w:color="auto"/>
            </w:tcBorders>
            <w:shd w:val="clear" w:color="auto" w:fill="auto"/>
            <w:noWrap/>
            <w:vAlign w:val="bottom"/>
            <w:hideMark/>
          </w:tcPr>
          <w:p w14:paraId="60A78CAA" w14:textId="77777777" w:rsidR="0023076E" w:rsidRPr="005044F0" w:rsidRDefault="0023076E" w:rsidP="00324A07">
            <w:pPr>
              <w:rPr>
                <w:color w:val="000000"/>
                <w:sz w:val="16"/>
                <w:szCs w:val="16"/>
                <w:lang w:val="es-ES"/>
              </w:rPr>
            </w:pPr>
            <w:r w:rsidRPr="005044F0">
              <w:rPr>
                <w:color w:val="000000"/>
                <w:sz w:val="16"/>
                <w:szCs w:val="16"/>
                <w:lang w:val="es-ES"/>
              </w:rPr>
              <w:t>Propósito de la vida</w:t>
            </w:r>
          </w:p>
        </w:tc>
        <w:tc>
          <w:tcPr>
            <w:tcW w:w="857" w:type="dxa"/>
            <w:tcBorders>
              <w:top w:val="nil"/>
              <w:left w:val="single" w:sz="4" w:space="0" w:color="auto"/>
              <w:bottom w:val="nil"/>
              <w:right w:val="nil"/>
            </w:tcBorders>
            <w:shd w:val="clear" w:color="auto" w:fill="85A9D6"/>
            <w:noWrap/>
            <w:vAlign w:val="center"/>
            <w:hideMark/>
          </w:tcPr>
          <w:p w14:paraId="16CC46C1" w14:textId="77777777" w:rsidR="0023076E" w:rsidRPr="005044F0" w:rsidRDefault="0023076E" w:rsidP="00324A07">
            <w:pPr>
              <w:jc w:val="center"/>
              <w:rPr>
                <w:color w:val="000000"/>
                <w:sz w:val="16"/>
                <w:szCs w:val="16"/>
                <w:lang w:val="es-ES"/>
              </w:rPr>
            </w:pPr>
            <w:r w:rsidRPr="005044F0">
              <w:rPr>
                <w:color w:val="000000"/>
                <w:sz w:val="16"/>
                <w:szCs w:val="16"/>
                <w:lang w:val="es-ES"/>
              </w:rPr>
              <w:t>0.4</w:t>
            </w:r>
          </w:p>
        </w:tc>
        <w:tc>
          <w:tcPr>
            <w:tcW w:w="959" w:type="dxa"/>
            <w:tcBorders>
              <w:top w:val="nil"/>
              <w:left w:val="nil"/>
              <w:bottom w:val="nil"/>
              <w:right w:val="nil"/>
            </w:tcBorders>
            <w:shd w:val="clear" w:color="auto" w:fill="D0CECE"/>
            <w:noWrap/>
            <w:vAlign w:val="center"/>
            <w:hideMark/>
          </w:tcPr>
          <w:p w14:paraId="35C30A4B" w14:textId="77777777" w:rsidR="0023076E" w:rsidRPr="005044F0" w:rsidRDefault="0023076E" w:rsidP="00324A07">
            <w:pPr>
              <w:jc w:val="center"/>
              <w:rPr>
                <w:color w:val="000000"/>
                <w:sz w:val="16"/>
                <w:szCs w:val="16"/>
                <w:lang w:val="es-ES"/>
              </w:rPr>
            </w:pPr>
          </w:p>
        </w:tc>
        <w:tc>
          <w:tcPr>
            <w:tcW w:w="760" w:type="dxa"/>
            <w:tcBorders>
              <w:top w:val="nil"/>
              <w:left w:val="nil"/>
              <w:bottom w:val="nil"/>
              <w:right w:val="nil"/>
            </w:tcBorders>
            <w:shd w:val="clear" w:color="auto" w:fill="FCFCFF"/>
            <w:noWrap/>
            <w:vAlign w:val="center"/>
            <w:hideMark/>
          </w:tcPr>
          <w:p w14:paraId="166EB138" w14:textId="77777777" w:rsidR="0023076E" w:rsidRPr="005044F0" w:rsidRDefault="0023076E" w:rsidP="00324A07">
            <w:pPr>
              <w:jc w:val="center"/>
              <w:rPr>
                <w:color w:val="000000"/>
                <w:sz w:val="16"/>
                <w:szCs w:val="16"/>
                <w:lang w:val="es-ES"/>
              </w:rPr>
            </w:pPr>
            <w:r w:rsidRPr="005044F0">
              <w:rPr>
                <w:color w:val="000000"/>
                <w:sz w:val="16"/>
                <w:szCs w:val="16"/>
                <w:lang w:val="es-ES"/>
              </w:rPr>
              <w:t>0.15</w:t>
            </w:r>
          </w:p>
        </w:tc>
        <w:tc>
          <w:tcPr>
            <w:tcW w:w="663" w:type="dxa"/>
            <w:tcBorders>
              <w:top w:val="nil"/>
              <w:left w:val="nil"/>
              <w:bottom w:val="nil"/>
              <w:right w:val="single" w:sz="4" w:space="0" w:color="auto"/>
            </w:tcBorders>
            <w:shd w:val="clear" w:color="auto" w:fill="D0CECE"/>
            <w:noWrap/>
            <w:vAlign w:val="center"/>
            <w:hideMark/>
          </w:tcPr>
          <w:p w14:paraId="2F91803F" w14:textId="77777777" w:rsidR="0023076E" w:rsidRPr="005044F0" w:rsidRDefault="0023076E" w:rsidP="00324A07">
            <w:pPr>
              <w:jc w:val="center"/>
              <w:rPr>
                <w:color w:val="000000"/>
                <w:sz w:val="16"/>
                <w:szCs w:val="16"/>
                <w:lang w:val="es-ES"/>
              </w:rPr>
            </w:pPr>
          </w:p>
        </w:tc>
        <w:tc>
          <w:tcPr>
            <w:tcW w:w="758" w:type="dxa"/>
            <w:tcBorders>
              <w:top w:val="nil"/>
              <w:left w:val="single" w:sz="4" w:space="0" w:color="auto"/>
              <w:bottom w:val="nil"/>
              <w:right w:val="nil"/>
            </w:tcBorders>
            <w:shd w:val="clear" w:color="auto" w:fill="F99D9F"/>
            <w:noWrap/>
            <w:vAlign w:val="center"/>
            <w:hideMark/>
          </w:tcPr>
          <w:p w14:paraId="7BF1AEA0" w14:textId="77777777" w:rsidR="0023076E" w:rsidRPr="005044F0" w:rsidRDefault="0023076E" w:rsidP="00324A07">
            <w:pPr>
              <w:jc w:val="center"/>
              <w:rPr>
                <w:color w:val="000000"/>
                <w:sz w:val="16"/>
                <w:szCs w:val="16"/>
                <w:lang w:val="es-ES"/>
              </w:rPr>
            </w:pPr>
            <w:r w:rsidRPr="005044F0">
              <w:rPr>
                <w:color w:val="000000"/>
                <w:sz w:val="16"/>
                <w:szCs w:val="16"/>
                <w:lang w:val="es-ES"/>
              </w:rPr>
              <w:t>-0.21</w:t>
            </w:r>
          </w:p>
        </w:tc>
        <w:tc>
          <w:tcPr>
            <w:tcW w:w="982" w:type="dxa"/>
            <w:tcBorders>
              <w:top w:val="nil"/>
              <w:left w:val="nil"/>
              <w:bottom w:val="nil"/>
              <w:right w:val="nil"/>
            </w:tcBorders>
            <w:shd w:val="clear" w:color="auto" w:fill="D0CECE"/>
            <w:noWrap/>
            <w:vAlign w:val="center"/>
            <w:hideMark/>
          </w:tcPr>
          <w:p w14:paraId="01C523BE" w14:textId="77777777" w:rsidR="0023076E" w:rsidRPr="005044F0" w:rsidRDefault="0023076E" w:rsidP="00324A07">
            <w:pPr>
              <w:jc w:val="center"/>
              <w:rPr>
                <w:color w:val="000000"/>
                <w:sz w:val="16"/>
                <w:szCs w:val="16"/>
                <w:lang w:val="es-ES"/>
              </w:rPr>
            </w:pPr>
          </w:p>
        </w:tc>
        <w:tc>
          <w:tcPr>
            <w:tcW w:w="576" w:type="dxa"/>
            <w:tcBorders>
              <w:top w:val="nil"/>
              <w:left w:val="nil"/>
              <w:bottom w:val="nil"/>
              <w:right w:val="nil"/>
            </w:tcBorders>
            <w:shd w:val="clear" w:color="auto" w:fill="D0CECE"/>
            <w:noWrap/>
            <w:vAlign w:val="center"/>
            <w:hideMark/>
          </w:tcPr>
          <w:p w14:paraId="02F8EDFE" w14:textId="77777777" w:rsidR="0023076E" w:rsidRPr="005044F0" w:rsidRDefault="0023076E" w:rsidP="00324A07">
            <w:pPr>
              <w:jc w:val="center"/>
              <w:rPr>
                <w:color w:val="000000"/>
                <w:sz w:val="16"/>
                <w:szCs w:val="16"/>
                <w:lang w:val="es-ES"/>
              </w:rPr>
            </w:pPr>
          </w:p>
        </w:tc>
        <w:tc>
          <w:tcPr>
            <w:tcW w:w="708" w:type="dxa"/>
            <w:tcBorders>
              <w:top w:val="nil"/>
              <w:left w:val="nil"/>
              <w:bottom w:val="nil"/>
              <w:right w:val="nil"/>
            </w:tcBorders>
            <w:shd w:val="clear" w:color="auto" w:fill="D0CECE"/>
            <w:noWrap/>
            <w:vAlign w:val="center"/>
            <w:hideMark/>
          </w:tcPr>
          <w:p w14:paraId="22CEE512" w14:textId="77777777" w:rsidR="0023076E" w:rsidRPr="005044F0" w:rsidRDefault="0023076E" w:rsidP="00324A07">
            <w:pPr>
              <w:jc w:val="center"/>
              <w:rPr>
                <w:color w:val="000000"/>
                <w:sz w:val="16"/>
                <w:szCs w:val="16"/>
                <w:lang w:val="es-ES"/>
              </w:rPr>
            </w:pPr>
          </w:p>
        </w:tc>
        <w:tc>
          <w:tcPr>
            <w:tcW w:w="988" w:type="dxa"/>
            <w:tcBorders>
              <w:top w:val="nil"/>
              <w:left w:val="nil"/>
              <w:bottom w:val="nil"/>
              <w:right w:val="single" w:sz="4" w:space="0" w:color="auto"/>
            </w:tcBorders>
            <w:shd w:val="clear" w:color="auto" w:fill="F88B8D"/>
            <w:noWrap/>
            <w:vAlign w:val="center"/>
            <w:hideMark/>
          </w:tcPr>
          <w:p w14:paraId="7636AC10" w14:textId="77777777" w:rsidR="0023076E" w:rsidRPr="005044F0" w:rsidRDefault="0023076E" w:rsidP="00324A07">
            <w:pPr>
              <w:jc w:val="center"/>
              <w:rPr>
                <w:color w:val="000000"/>
                <w:sz w:val="16"/>
                <w:szCs w:val="16"/>
                <w:lang w:val="es-ES"/>
              </w:rPr>
            </w:pPr>
            <w:r w:rsidRPr="005044F0">
              <w:rPr>
                <w:color w:val="000000"/>
                <w:sz w:val="16"/>
                <w:szCs w:val="16"/>
                <w:lang w:val="es-ES"/>
              </w:rPr>
              <w:t>-0.28</w:t>
            </w:r>
          </w:p>
        </w:tc>
      </w:tr>
      <w:tr w:rsidR="0023076E" w:rsidRPr="005044F0" w14:paraId="39DAD851" w14:textId="77777777" w:rsidTr="00324A07">
        <w:trPr>
          <w:trHeight w:val="320"/>
        </w:trPr>
        <w:tc>
          <w:tcPr>
            <w:tcW w:w="567" w:type="dxa"/>
            <w:vMerge/>
            <w:vAlign w:val="center"/>
            <w:hideMark/>
          </w:tcPr>
          <w:p w14:paraId="38905DC6" w14:textId="77777777" w:rsidR="0023076E" w:rsidRPr="005044F0" w:rsidRDefault="0023076E" w:rsidP="00324A07">
            <w:pPr>
              <w:rPr>
                <w:color w:val="000000"/>
                <w:sz w:val="16"/>
                <w:szCs w:val="16"/>
                <w:lang w:val="es-ES"/>
              </w:rPr>
            </w:pPr>
          </w:p>
        </w:tc>
        <w:tc>
          <w:tcPr>
            <w:tcW w:w="1679" w:type="dxa"/>
            <w:tcBorders>
              <w:top w:val="nil"/>
              <w:left w:val="single" w:sz="4" w:space="0" w:color="auto"/>
              <w:bottom w:val="single" w:sz="4" w:space="0" w:color="auto"/>
              <w:right w:val="single" w:sz="4" w:space="0" w:color="auto"/>
            </w:tcBorders>
            <w:shd w:val="clear" w:color="auto" w:fill="auto"/>
            <w:noWrap/>
            <w:vAlign w:val="bottom"/>
            <w:hideMark/>
          </w:tcPr>
          <w:p w14:paraId="156A3EA9" w14:textId="77777777" w:rsidR="0023076E" w:rsidRPr="005044F0" w:rsidRDefault="0023076E" w:rsidP="00324A07">
            <w:pPr>
              <w:rPr>
                <w:color w:val="000000"/>
                <w:sz w:val="16"/>
                <w:szCs w:val="16"/>
                <w:lang w:val="es-ES"/>
              </w:rPr>
            </w:pPr>
            <w:r w:rsidRPr="005044F0">
              <w:rPr>
                <w:color w:val="000000"/>
                <w:sz w:val="16"/>
                <w:szCs w:val="16"/>
                <w:lang w:val="es-ES"/>
              </w:rPr>
              <w:t>Crecimiento personal</w:t>
            </w:r>
          </w:p>
        </w:tc>
        <w:tc>
          <w:tcPr>
            <w:tcW w:w="857" w:type="dxa"/>
            <w:tcBorders>
              <w:top w:val="nil"/>
              <w:left w:val="single" w:sz="4" w:space="0" w:color="auto"/>
              <w:bottom w:val="single" w:sz="4" w:space="0" w:color="auto"/>
              <w:right w:val="nil"/>
            </w:tcBorders>
            <w:shd w:val="clear" w:color="auto" w:fill="BFD1EA"/>
            <w:noWrap/>
            <w:vAlign w:val="center"/>
            <w:hideMark/>
          </w:tcPr>
          <w:p w14:paraId="27F2A90C" w14:textId="77777777" w:rsidR="0023076E" w:rsidRPr="005044F0" w:rsidRDefault="0023076E" w:rsidP="00324A07">
            <w:pPr>
              <w:jc w:val="center"/>
              <w:rPr>
                <w:color w:val="000000"/>
                <w:sz w:val="16"/>
                <w:szCs w:val="16"/>
                <w:lang w:val="es-ES"/>
              </w:rPr>
            </w:pPr>
            <w:r w:rsidRPr="005044F0">
              <w:rPr>
                <w:color w:val="000000"/>
                <w:sz w:val="16"/>
                <w:szCs w:val="16"/>
                <w:lang w:val="es-ES"/>
              </w:rPr>
              <w:t>0.28</w:t>
            </w:r>
          </w:p>
        </w:tc>
        <w:tc>
          <w:tcPr>
            <w:tcW w:w="959" w:type="dxa"/>
            <w:tcBorders>
              <w:top w:val="nil"/>
              <w:left w:val="nil"/>
              <w:bottom w:val="single" w:sz="4" w:space="0" w:color="auto"/>
              <w:right w:val="nil"/>
            </w:tcBorders>
            <w:shd w:val="clear" w:color="auto" w:fill="D0CECE"/>
            <w:noWrap/>
            <w:vAlign w:val="center"/>
            <w:hideMark/>
          </w:tcPr>
          <w:p w14:paraId="234BE80F" w14:textId="77777777" w:rsidR="0023076E" w:rsidRPr="005044F0" w:rsidRDefault="0023076E" w:rsidP="00324A07">
            <w:pPr>
              <w:jc w:val="center"/>
              <w:rPr>
                <w:color w:val="000000"/>
                <w:sz w:val="16"/>
                <w:szCs w:val="16"/>
                <w:lang w:val="es-ES"/>
              </w:rPr>
            </w:pPr>
          </w:p>
        </w:tc>
        <w:tc>
          <w:tcPr>
            <w:tcW w:w="760" w:type="dxa"/>
            <w:tcBorders>
              <w:top w:val="nil"/>
              <w:left w:val="nil"/>
              <w:bottom w:val="single" w:sz="4" w:space="0" w:color="auto"/>
              <w:right w:val="nil"/>
            </w:tcBorders>
            <w:shd w:val="clear" w:color="auto" w:fill="98B6DC"/>
            <w:noWrap/>
            <w:vAlign w:val="center"/>
            <w:hideMark/>
          </w:tcPr>
          <w:p w14:paraId="321251DB" w14:textId="77777777" w:rsidR="0023076E" w:rsidRPr="005044F0" w:rsidRDefault="0023076E" w:rsidP="00324A07">
            <w:pPr>
              <w:jc w:val="center"/>
              <w:rPr>
                <w:color w:val="000000"/>
                <w:sz w:val="16"/>
                <w:szCs w:val="16"/>
                <w:lang w:val="es-ES"/>
              </w:rPr>
            </w:pPr>
            <w:r w:rsidRPr="005044F0">
              <w:rPr>
                <w:color w:val="000000"/>
                <w:sz w:val="16"/>
                <w:szCs w:val="16"/>
                <w:lang w:val="es-ES"/>
              </w:rPr>
              <w:t>0.36</w:t>
            </w:r>
          </w:p>
        </w:tc>
        <w:tc>
          <w:tcPr>
            <w:tcW w:w="663" w:type="dxa"/>
            <w:tcBorders>
              <w:top w:val="nil"/>
              <w:left w:val="nil"/>
              <w:bottom w:val="single" w:sz="4" w:space="0" w:color="auto"/>
              <w:right w:val="single" w:sz="4" w:space="0" w:color="auto"/>
            </w:tcBorders>
            <w:shd w:val="clear" w:color="auto" w:fill="D0CECE"/>
            <w:noWrap/>
            <w:vAlign w:val="center"/>
            <w:hideMark/>
          </w:tcPr>
          <w:p w14:paraId="03DB0033" w14:textId="77777777" w:rsidR="0023076E" w:rsidRPr="005044F0" w:rsidRDefault="0023076E" w:rsidP="00324A07">
            <w:pPr>
              <w:jc w:val="center"/>
              <w:rPr>
                <w:color w:val="000000"/>
                <w:sz w:val="16"/>
                <w:szCs w:val="16"/>
                <w:lang w:val="es-ES"/>
              </w:rPr>
            </w:pPr>
          </w:p>
        </w:tc>
        <w:tc>
          <w:tcPr>
            <w:tcW w:w="758" w:type="dxa"/>
            <w:tcBorders>
              <w:top w:val="nil"/>
              <w:left w:val="nil"/>
              <w:bottom w:val="single" w:sz="4" w:space="0" w:color="auto"/>
              <w:right w:val="nil"/>
            </w:tcBorders>
            <w:shd w:val="clear" w:color="auto" w:fill="D0CECE"/>
            <w:noWrap/>
            <w:vAlign w:val="center"/>
            <w:hideMark/>
          </w:tcPr>
          <w:p w14:paraId="03A35C81" w14:textId="77777777" w:rsidR="0023076E" w:rsidRPr="005044F0" w:rsidRDefault="0023076E" w:rsidP="00324A07">
            <w:pPr>
              <w:jc w:val="center"/>
              <w:rPr>
                <w:color w:val="000000"/>
                <w:sz w:val="16"/>
                <w:szCs w:val="16"/>
                <w:lang w:val="es-ES"/>
              </w:rPr>
            </w:pPr>
          </w:p>
        </w:tc>
        <w:tc>
          <w:tcPr>
            <w:tcW w:w="982" w:type="dxa"/>
            <w:tcBorders>
              <w:top w:val="nil"/>
              <w:left w:val="nil"/>
              <w:bottom w:val="single" w:sz="4" w:space="0" w:color="auto"/>
              <w:right w:val="nil"/>
            </w:tcBorders>
            <w:shd w:val="clear" w:color="auto" w:fill="F99395"/>
            <w:noWrap/>
            <w:vAlign w:val="center"/>
            <w:hideMark/>
          </w:tcPr>
          <w:p w14:paraId="2D206847" w14:textId="77777777" w:rsidR="0023076E" w:rsidRPr="005044F0" w:rsidRDefault="0023076E" w:rsidP="00324A07">
            <w:pPr>
              <w:jc w:val="center"/>
              <w:rPr>
                <w:color w:val="000000"/>
                <w:sz w:val="16"/>
                <w:szCs w:val="16"/>
                <w:lang w:val="es-ES"/>
              </w:rPr>
            </w:pPr>
            <w:r w:rsidRPr="005044F0">
              <w:rPr>
                <w:color w:val="000000"/>
                <w:sz w:val="16"/>
                <w:szCs w:val="16"/>
                <w:lang w:val="es-ES"/>
              </w:rPr>
              <w:t>-0.25</w:t>
            </w:r>
          </w:p>
        </w:tc>
        <w:tc>
          <w:tcPr>
            <w:tcW w:w="576" w:type="dxa"/>
            <w:tcBorders>
              <w:top w:val="nil"/>
              <w:left w:val="nil"/>
              <w:bottom w:val="single" w:sz="4" w:space="0" w:color="auto"/>
              <w:right w:val="nil"/>
            </w:tcBorders>
            <w:shd w:val="clear" w:color="auto" w:fill="D0CECE"/>
            <w:noWrap/>
            <w:vAlign w:val="center"/>
            <w:hideMark/>
          </w:tcPr>
          <w:p w14:paraId="4F4D3419" w14:textId="77777777" w:rsidR="0023076E" w:rsidRPr="005044F0" w:rsidRDefault="0023076E" w:rsidP="00324A07">
            <w:pPr>
              <w:jc w:val="center"/>
              <w:rPr>
                <w:color w:val="000000"/>
                <w:sz w:val="16"/>
                <w:szCs w:val="16"/>
                <w:lang w:val="es-ES"/>
              </w:rPr>
            </w:pPr>
          </w:p>
        </w:tc>
        <w:tc>
          <w:tcPr>
            <w:tcW w:w="708" w:type="dxa"/>
            <w:tcBorders>
              <w:top w:val="nil"/>
              <w:left w:val="nil"/>
              <w:bottom w:val="single" w:sz="4" w:space="0" w:color="auto"/>
              <w:right w:val="nil"/>
            </w:tcBorders>
            <w:shd w:val="clear" w:color="auto" w:fill="D0CECE"/>
            <w:noWrap/>
            <w:vAlign w:val="center"/>
            <w:hideMark/>
          </w:tcPr>
          <w:p w14:paraId="5FD487C9" w14:textId="77777777" w:rsidR="0023076E" w:rsidRPr="005044F0" w:rsidRDefault="0023076E" w:rsidP="00324A07">
            <w:pPr>
              <w:jc w:val="center"/>
              <w:rPr>
                <w:color w:val="000000"/>
                <w:sz w:val="16"/>
                <w:szCs w:val="16"/>
                <w:lang w:val="es-ES"/>
              </w:rPr>
            </w:pPr>
          </w:p>
        </w:tc>
        <w:tc>
          <w:tcPr>
            <w:tcW w:w="988" w:type="dxa"/>
            <w:tcBorders>
              <w:top w:val="nil"/>
              <w:left w:val="nil"/>
              <w:bottom w:val="single" w:sz="4" w:space="0" w:color="auto"/>
              <w:right w:val="single" w:sz="4" w:space="0" w:color="auto"/>
            </w:tcBorders>
            <w:shd w:val="clear" w:color="auto" w:fill="D0CECE"/>
            <w:noWrap/>
            <w:vAlign w:val="center"/>
            <w:hideMark/>
          </w:tcPr>
          <w:p w14:paraId="776A08A7" w14:textId="77777777" w:rsidR="0023076E" w:rsidRPr="005044F0" w:rsidRDefault="0023076E" w:rsidP="00324A07">
            <w:pPr>
              <w:jc w:val="center"/>
              <w:rPr>
                <w:color w:val="000000"/>
                <w:sz w:val="16"/>
                <w:szCs w:val="16"/>
                <w:lang w:val="es-ES"/>
              </w:rPr>
            </w:pPr>
          </w:p>
        </w:tc>
      </w:tr>
      <w:tr w:rsidR="0023076E" w:rsidRPr="005044F0" w14:paraId="61087218" w14:textId="77777777" w:rsidTr="00324A07">
        <w:trPr>
          <w:trHeight w:val="320"/>
        </w:trPr>
        <w:tc>
          <w:tcPr>
            <w:tcW w:w="567" w:type="dxa"/>
            <w:tcBorders>
              <w:top w:val="nil"/>
              <w:left w:val="nil"/>
              <w:bottom w:val="nil"/>
              <w:right w:val="nil"/>
            </w:tcBorders>
            <w:shd w:val="clear" w:color="auto" w:fill="auto"/>
            <w:noWrap/>
            <w:vAlign w:val="bottom"/>
            <w:hideMark/>
          </w:tcPr>
          <w:p w14:paraId="1BA979C3" w14:textId="77777777" w:rsidR="0023076E" w:rsidRPr="005044F0" w:rsidRDefault="0023076E" w:rsidP="00324A07">
            <w:pPr>
              <w:jc w:val="center"/>
              <w:rPr>
                <w:color w:val="000000"/>
                <w:sz w:val="16"/>
                <w:szCs w:val="16"/>
                <w:lang w:val="es-ES"/>
              </w:rPr>
            </w:pPr>
          </w:p>
        </w:tc>
        <w:tc>
          <w:tcPr>
            <w:tcW w:w="1679" w:type="dxa"/>
            <w:tcBorders>
              <w:top w:val="nil"/>
              <w:left w:val="nil"/>
              <w:bottom w:val="nil"/>
              <w:right w:val="nil"/>
            </w:tcBorders>
            <w:shd w:val="clear" w:color="auto" w:fill="auto"/>
            <w:noWrap/>
            <w:vAlign w:val="bottom"/>
            <w:hideMark/>
          </w:tcPr>
          <w:p w14:paraId="4FB0FB9D" w14:textId="77777777" w:rsidR="0023076E" w:rsidRPr="005044F0" w:rsidRDefault="0023076E" w:rsidP="00324A07">
            <w:pPr>
              <w:rPr>
                <w:sz w:val="16"/>
                <w:szCs w:val="16"/>
                <w:lang w:val="es-ES"/>
              </w:rPr>
            </w:pPr>
          </w:p>
        </w:tc>
        <w:tc>
          <w:tcPr>
            <w:tcW w:w="7251" w:type="dxa"/>
            <w:gridSpan w:val="9"/>
            <w:tcBorders>
              <w:top w:val="single" w:sz="4" w:space="0" w:color="auto"/>
              <w:left w:val="nil"/>
              <w:bottom w:val="nil"/>
              <w:right w:val="nil"/>
            </w:tcBorders>
            <w:shd w:val="clear" w:color="auto" w:fill="auto"/>
            <w:vAlign w:val="center"/>
            <w:hideMark/>
          </w:tcPr>
          <w:p w14:paraId="53B1A4B4" w14:textId="77777777" w:rsidR="0023076E" w:rsidRPr="005044F0" w:rsidRDefault="0023076E" w:rsidP="00324A07">
            <w:pPr>
              <w:jc w:val="center"/>
              <w:rPr>
                <w:color w:val="000000"/>
                <w:sz w:val="16"/>
                <w:szCs w:val="16"/>
                <w:lang w:val="es-ES"/>
              </w:rPr>
            </w:pPr>
            <w:r w:rsidRPr="005044F0">
              <w:rPr>
                <w:color w:val="000000"/>
                <w:sz w:val="16"/>
                <w:szCs w:val="16"/>
                <w:lang w:val="es-ES"/>
              </w:rPr>
              <w:t>Betas de las Variables Independientes de Estrategias de Afrontamiento</w:t>
            </w:r>
          </w:p>
        </w:tc>
      </w:tr>
    </w:tbl>
    <w:p w14:paraId="1C0DE15B" w14:textId="77777777" w:rsidR="0023076E" w:rsidRPr="005044F0" w:rsidRDefault="0023076E" w:rsidP="0023076E">
      <w:pPr>
        <w:rPr>
          <w:i/>
          <w:iCs/>
          <w:sz w:val="20"/>
          <w:szCs w:val="20"/>
          <w:lang w:val="es-ES"/>
        </w:rPr>
      </w:pPr>
    </w:p>
    <w:p w14:paraId="5B8B2358" w14:textId="77777777" w:rsidR="0023076E" w:rsidRPr="005044F0" w:rsidRDefault="0023076E" w:rsidP="0023076E">
      <w:pPr>
        <w:rPr>
          <w:sz w:val="20"/>
          <w:szCs w:val="20"/>
          <w:lang w:val="es-ES"/>
        </w:rPr>
      </w:pPr>
      <w:r w:rsidRPr="005044F0">
        <w:rPr>
          <w:i/>
          <w:iCs/>
          <w:sz w:val="20"/>
          <w:szCs w:val="20"/>
          <w:lang w:val="es-ES"/>
        </w:rPr>
        <w:t>Nota:</w:t>
      </w:r>
      <w:r w:rsidRPr="005044F0">
        <w:rPr>
          <w:sz w:val="20"/>
          <w:szCs w:val="20"/>
          <w:lang w:val="es-ES"/>
        </w:rPr>
        <w:t xml:space="preserve"> Los tonos rojos indican puntuaciones negativas, los tonos azules indican puntuaciones positivas, la intensidad de los colores indican la magnitud, el color gris indica que el predictor no entró en el modelo.</w:t>
      </w:r>
    </w:p>
    <w:p w14:paraId="03D7C528" w14:textId="77777777" w:rsidR="0023076E" w:rsidRPr="005044F0" w:rsidRDefault="0023076E" w:rsidP="0023076E">
      <w:pPr>
        <w:rPr>
          <w:sz w:val="20"/>
          <w:szCs w:val="20"/>
          <w:lang w:val="es-ES"/>
        </w:rPr>
      </w:pPr>
      <w:r w:rsidRPr="005044F0">
        <w:rPr>
          <w:sz w:val="20"/>
          <w:szCs w:val="20"/>
          <w:lang w:val="es-ES"/>
        </w:rPr>
        <w:t>E-AOP = estrategia autosuficiente orientada al problema; E-AOE = estrategia autosuficiente orientada a la emoción; E-SA = estrategia social de apoyo; E-E = estrategia de evitación.</w:t>
      </w:r>
    </w:p>
    <w:p w14:paraId="6230D4E1" w14:textId="2C088482" w:rsidR="00324A07" w:rsidRPr="00175292" w:rsidRDefault="00324A07" w:rsidP="00554C1F">
      <w:pPr>
        <w:pStyle w:val="Ttulosinternos"/>
        <w:rPr>
          <w:lang w:val="es-ES"/>
        </w:rPr>
      </w:pPr>
      <w:r w:rsidRPr="00175292">
        <w:rPr>
          <w:lang w:val="es-ES"/>
        </w:rPr>
        <w:lastRenderedPageBreak/>
        <w:t>Discusión</w:t>
      </w:r>
    </w:p>
    <w:p w14:paraId="707001B4" w14:textId="77777777" w:rsidR="00324A07" w:rsidRPr="005044F0" w:rsidRDefault="00324A07" w:rsidP="00324A07">
      <w:pPr>
        <w:pBdr>
          <w:top w:val="nil"/>
          <w:left w:val="nil"/>
          <w:bottom w:val="nil"/>
          <w:right w:val="nil"/>
          <w:between w:val="nil"/>
        </w:pBdr>
        <w:spacing w:line="360" w:lineRule="auto"/>
        <w:ind w:firstLine="720"/>
        <w:rPr>
          <w:lang w:val="es-ES"/>
        </w:rPr>
      </w:pPr>
      <w:r w:rsidRPr="005044F0">
        <w:rPr>
          <w:lang w:val="es-ES"/>
        </w:rPr>
        <w:t xml:space="preserve">El propósito de esta investigación consistió en conocer el efecto de distintas estrategias de afrontamiento en el bienestar psicológico de estudiantes universitarios dominicanos durante la pandemia del COVID-19. </w:t>
      </w:r>
    </w:p>
    <w:p w14:paraId="13FE5A91" w14:textId="65AFB640" w:rsidR="00324A07" w:rsidRPr="005044F0" w:rsidRDefault="0073225E" w:rsidP="00324A07">
      <w:pPr>
        <w:pBdr>
          <w:top w:val="nil"/>
          <w:left w:val="nil"/>
          <w:bottom w:val="nil"/>
          <w:right w:val="nil"/>
          <w:between w:val="nil"/>
        </w:pBdr>
        <w:spacing w:line="360" w:lineRule="auto"/>
        <w:ind w:firstLine="720"/>
        <w:rPr>
          <w:lang w:val="es-ES"/>
        </w:rPr>
      </w:pPr>
      <w:r>
        <w:rPr>
          <w:lang w:val="es-ES"/>
        </w:rPr>
        <w:t xml:space="preserve">Según los resultados del análisis factorial de la </w:t>
      </w:r>
      <w:r w:rsidR="00616D6B">
        <w:rPr>
          <w:lang w:val="es-ES"/>
        </w:rPr>
        <w:t>macroestructura</w:t>
      </w:r>
      <w:r w:rsidR="00804F9D">
        <w:rPr>
          <w:lang w:val="es-ES"/>
        </w:rPr>
        <w:t xml:space="preserve"> de las estrategias de afrontamiento, estas se </w:t>
      </w:r>
      <w:r w:rsidR="00324A07" w:rsidRPr="005044F0">
        <w:rPr>
          <w:lang w:val="es-ES"/>
        </w:rPr>
        <w:t xml:space="preserve">categorizaron en positivas y negativas. Las estrategias positivas fueron: aceptación y crecimiento personal, afrontamiento activo del problema, búsqueda de apoyo social y religión. Las estrategias negativas fueron: consumo de alcohol o drogas, centrarse en las emociones y desahogarse, humor, negación y refrenar el afrontamiento. En el contexto de la pandemia del COVID-19, algunas de estas estrategias fueron relevantes, mientras que otras no. </w:t>
      </w:r>
    </w:p>
    <w:p w14:paraId="1FE5300A" w14:textId="3FFFEDE5" w:rsidR="00324A07" w:rsidRPr="00C7301E" w:rsidRDefault="00324A07" w:rsidP="00C7301E">
      <w:pPr>
        <w:pBdr>
          <w:top w:val="nil"/>
          <w:left w:val="nil"/>
          <w:bottom w:val="nil"/>
          <w:right w:val="nil"/>
          <w:between w:val="nil"/>
        </w:pBdr>
        <w:spacing w:line="360" w:lineRule="auto"/>
        <w:ind w:firstLine="720"/>
        <w:rPr>
          <w:lang w:val="es-DO"/>
        </w:rPr>
      </w:pPr>
      <w:r w:rsidRPr="005044F0">
        <w:rPr>
          <w:lang w:val="es-ES"/>
        </w:rPr>
        <w:t xml:space="preserve">En referencia a las estrategias de afrontamiento positivas, la aceptación y crecimiento personal influyeron positivamente en todas las dimensiones del bienestar psicológico. Lo que sugiere que </w:t>
      </w:r>
      <w:r w:rsidR="009D106B">
        <w:rPr>
          <w:lang w:val="es-ES"/>
        </w:rPr>
        <w:t>el</w:t>
      </w:r>
      <w:r w:rsidR="00664B7D">
        <w:rPr>
          <w:lang w:val="es-ES"/>
        </w:rPr>
        <w:t xml:space="preserve"> </w:t>
      </w:r>
      <w:r w:rsidR="00664B7D" w:rsidRPr="00664B7D">
        <w:rPr>
          <w:lang w:val="es-DO"/>
        </w:rPr>
        <w:t>acepta</w:t>
      </w:r>
      <w:r w:rsidR="009D106B">
        <w:rPr>
          <w:lang w:val="es-DO"/>
        </w:rPr>
        <w:t>r</w:t>
      </w:r>
      <w:r w:rsidR="00664B7D" w:rsidRPr="00664B7D">
        <w:rPr>
          <w:lang w:val="es-DO"/>
        </w:rPr>
        <w:t xml:space="preserve"> la realidad de una si</w:t>
      </w:r>
      <w:r w:rsidR="00170C06">
        <w:rPr>
          <w:lang w:val="es-DO"/>
        </w:rPr>
        <w:t>tuación estresante</w:t>
      </w:r>
      <w:r w:rsidR="003343CD">
        <w:rPr>
          <w:lang w:val="es-DO"/>
        </w:rPr>
        <w:t>,</w:t>
      </w:r>
      <w:r w:rsidR="009D106B">
        <w:rPr>
          <w:lang w:val="es-DO"/>
        </w:rPr>
        <w:t xml:space="preserve"> puede dar apertura </w:t>
      </w:r>
      <w:r w:rsidR="003601F2">
        <w:rPr>
          <w:lang w:val="es-DO"/>
        </w:rPr>
        <w:t>a que se considere</w:t>
      </w:r>
      <w:r w:rsidR="006B3F1E">
        <w:rPr>
          <w:lang w:val="es-DO"/>
        </w:rPr>
        <w:t xml:space="preserve"> </w:t>
      </w:r>
      <w:r w:rsidR="00170C06">
        <w:rPr>
          <w:lang w:val="es-DO"/>
        </w:rPr>
        <w:t>al estresor</w:t>
      </w:r>
      <w:r w:rsidR="006B3F1E">
        <w:rPr>
          <w:lang w:val="es-DO"/>
        </w:rPr>
        <w:t xml:space="preserve"> como</w:t>
      </w:r>
      <w:r w:rsidR="000616F3" w:rsidRPr="000616F3">
        <w:rPr>
          <w:lang w:val="es-DO"/>
        </w:rPr>
        <w:t xml:space="preserve"> </w:t>
      </w:r>
      <w:r w:rsidR="0014487F">
        <w:rPr>
          <w:lang w:val="es-DO"/>
        </w:rPr>
        <w:t xml:space="preserve">una </w:t>
      </w:r>
      <w:r w:rsidR="000616F3" w:rsidRPr="000616F3">
        <w:rPr>
          <w:lang w:val="es-DO"/>
        </w:rPr>
        <w:t>oportunidad de crecimiento personal.</w:t>
      </w:r>
      <w:r w:rsidR="00C7301E">
        <w:rPr>
          <w:lang w:val="es-DO"/>
        </w:rPr>
        <w:t xml:space="preserve"> </w:t>
      </w:r>
      <w:r w:rsidRPr="005044F0">
        <w:rPr>
          <w:lang w:val="es-ES"/>
        </w:rPr>
        <w:t xml:space="preserve">Lo mismo ocurrió con la estrategia de búsqueda de apoyo social, que influyó positivamente en la autoaceptación, propósito de la vida y crecimiento personal. </w:t>
      </w:r>
    </w:p>
    <w:p w14:paraId="3670AE6C" w14:textId="77777777" w:rsidR="00324A07" w:rsidRPr="005044F0" w:rsidRDefault="00324A07" w:rsidP="00324A07">
      <w:pPr>
        <w:pBdr>
          <w:top w:val="nil"/>
          <w:left w:val="nil"/>
          <w:bottom w:val="nil"/>
          <w:right w:val="nil"/>
          <w:between w:val="nil"/>
        </w:pBdr>
        <w:spacing w:line="360" w:lineRule="auto"/>
        <w:ind w:firstLine="720"/>
        <w:rPr>
          <w:lang w:val="es-ES"/>
        </w:rPr>
      </w:pPr>
      <w:r w:rsidRPr="005044F0">
        <w:rPr>
          <w:lang w:val="es-ES"/>
        </w:rPr>
        <w:t xml:space="preserve">En lo que respecta a las estrategias negativas, el consumo de alcohol o drogas influye de manera negativa con el bienestar psicológico, en especial, con la autoaceptación, relaciones positivas y propósito de la vida. El consumo de alcohol o drogas afecta de manera más fuerte a las relaciones positivas. Esto sugiere que, a mayor consumo, las relaciones personales son menos estrechas y de confianza, la persona tiende aislarse, a sentirse frustrado y no está dispuesto a hacer concesiones. Debido a las medidas de distanciamiento físico, utilizar esta estrategia de afrontamiento es un factor de riesgo considerable para el bienestar, no solo en quienes usan la estrategia, sino también para las personas de su entorno. Una actitud pasiva ante las situaciones estresantes también es un predictor de un menor bienestar psicológico, lo que significa que refrenar el afrontamiento puede provocar que la persona no se sienta satisfecha consigo misma, perciba que no tiene la capacidad de mejorar su entorno, no se de cuenta de las oportunidades que le rodean y perciba que su vida no tiene ni sentido, ni propósito. Estos resultados coinciden con los encontrados por Zacher y Rudolph (2020) y MacIntyre et al. (2020), cuyos resultados también categorizaron las estrategias de afrontamiento en positivas y negativas según su relación con la satisfacción de la vida. </w:t>
      </w:r>
    </w:p>
    <w:p w14:paraId="061CBF5A" w14:textId="752F7FB6" w:rsidR="00324A07" w:rsidRPr="005044F0" w:rsidRDefault="00324A07" w:rsidP="00385F6E">
      <w:pPr>
        <w:pBdr>
          <w:top w:val="nil"/>
          <w:left w:val="nil"/>
          <w:bottom w:val="nil"/>
          <w:right w:val="nil"/>
          <w:between w:val="nil"/>
        </w:pBdr>
        <w:spacing w:line="360" w:lineRule="auto"/>
        <w:ind w:firstLine="720"/>
        <w:rPr>
          <w:lang w:val="es-ES"/>
        </w:rPr>
      </w:pPr>
      <w:r w:rsidRPr="005044F0">
        <w:rPr>
          <w:lang w:val="es-ES"/>
        </w:rPr>
        <w:lastRenderedPageBreak/>
        <w:t xml:space="preserve">Este estudio encontró que en el contexto del COVID-19, se utilizan más estrategias que impactan negativamente el bienestar psicológico que estrategias positivas. Este patrón tiene implicaciones clínicas considerables. Las dos estrategias positivas que pueden amortiguar el efecto negativo de la pandemia en el bienestar psicológico son aceptación y búsqueda de apoyo social. La posibilidad de emplear estas dos estrategias es afectada por la pandemia del COVID-19. En República Dominicana específicamente, la desconfianza en las autoridades y en el personal de salud </w:t>
      </w:r>
      <w:r w:rsidR="006D0611">
        <w:rPr>
          <w:lang w:val="es-ES"/>
        </w:rPr>
        <w:t xml:space="preserve">([manuscrito anónimo], 2021) </w:t>
      </w:r>
      <w:r w:rsidR="00FB24D0">
        <w:rPr>
          <w:lang w:val="es-ES"/>
        </w:rPr>
        <w:t xml:space="preserve">puede </w:t>
      </w:r>
      <w:r w:rsidRPr="005044F0">
        <w:rPr>
          <w:lang w:val="es-ES"/>
        </w:rPr>
        <w:t>entorpece</w:t>
      </w:r>
      <w:r w:rsidR="00FB24D0">
        <w:rPr>
          <w:lang w:val="es-ES"/>
        </w:rPr>
        <w:t>r</w:t>
      </w:r>
      <w:r w:rsidRPr="005044F0">
        <w:rPr>
          <w:lang w:val="es-ES"/>
        </w:rPr>
        <w:t xml:space="preserve"> los procesos de aceptación del estresor. En segundo lugar, las medidas de distanciamiento físico obstaculizan la posibilidad de buscar apoyo social para recibir empatía y asistencia para enfrentar el estresor. Considerando, que las estrategias de afrontamiento que mayormente están siendo utilizadas en el contexto de pandemia predicen un bajo bienestar psicológico, y las que predicen bienestar no siempre se pueden emplear, la población queda sin estrategias de afrontamiento adecuadas a la situación, lo que aumenta el riesgo de desarrollar patologías clínicamente</w:t>
      </w:r>
      <w:r w:rsidRPr="005044F0" w:rsidDel="2F39FF80">
        <w:rPr>
          <w:lang w:val="es-ES"/>
        </w:rPr>
        <w:t xml:space="preserve"> </w:t>
      </w:r>
      <w:r w:rsidRPr="005044F0">
        <w:rPr>
          <w:lang w:val="es-ES"/>
        </w:rPr>
        <w:t xml:space="preserve">relevantes. </w:t>
      </w:r>
    </w:p>
    <w:p w14:paraId="17E599C4" w14:textId="0A9F7150" w:rsidR="00324A07" w:rsidRPr="005044F0" w:rsidRDefault="00324A07" w:rsidP="00324A07">
      <w:pPr>
        <w:spacing w:line="360" w:lineRule="auto"/>
        <w:ind w:firstLine="720"/>
        <w:rPr>
          <w:lang w:val="es-ES"/>
        </w:rPr>
      </w:pPr>
      <w:r w:rsidRPr="005044F0">
        <w:rPr>
          <w:lang w:val="es-ES"/>
        </w:rPr>
        <w:t xml:space="preserve">Este estudio tiene varias limitaciones que deben ser tomadas en cuenta para su interpretación. En primer lugar, ambos instrumentos de medición son de auto-reporte. Los instrumentos de auto-reporte pueden estar sesgados por la deseabilidad social, en la que los participantes contestan las preguntas de manera que cause mejor impresión. En segundo lugar, esta muestra de estudiantes universitarios está limitada a universidades privadas de Santo Domingo, y sus participantes son de posición socioeconómica media-alta y alta. </w:t>
      </w:r>
      <w:r w:rsidR="00876345">
        <w:rPr>
          <w:lang w:val="es-ES"/>
        </w:rPr>
        <w:t>En el futuro</w:t>
      </w:r>
      <w:r w:rsidRPr="005044F0">
        <w:rPr>
          <w:lang w:val="es-ES"/>
        </w:rPr>
        <w:t xml:space="preserve"> se recomienda contar con una muestra probabilística de los estudiantes del país, de forma que sea posible entender el rol de la posición socioeconómica en la relación entre estrategias de afrontamiento y bienestar psicológico. </w:t>
      </w:r>
      <w:r w:rsidR="00DB4830">
        <w:rPr>
          <w:lang w:val="es-ES"/>
        </w:rPr>
        <w:t>Es</w:t>
      </w:r>
      <w:r w:rsidRPr="005044F0">
        <w:rPr>
          <w:lang w:val="es-ES"/>
        </w:rPr>
        <w:t xml:space="preserve"> importante estudiar el rol de la personalidad en el efecto de las estrategias de afrontamiento sobre el bienestar psicológico. También, estudios futuros podrían explorar la flexibilidad psicológica en esta muestra, como mecanismo que permite decidir en qué momento y en qué contexto una estrategia cognitiva se emplea de manera efectiva </w:t>
      </w:r>
      <w:r w:rsidRPr="005044F0">
        <w:rPr>
          <w:lang w:val="es-ES"/>
        </w:rPr>
        <w:fldChar w:fldCharType="begin" w:fldLock="1"/>
      </w:r>
      <w:r w:rsidRPr="005044F0">
        <w:rPr>
          <w:lang w:val="es-ES"/>
        </w:rPr>
        <w:instrText>ADDIN CSL_CITATION {"citationItems":[{"id":"ITEM-1","itemData":{"DOI":"10.1016/j.jcbs.2020.07.010","abstract":"Dawson, D. L., &amp; Golijani-Moghaddam, N. (2020). COVID-19: Psychological flexibility, coping, mental health, and wellbeing in the UK during the pandemic. Journal of contextual behavioral science, 17, 126-134.","author":[{"dropping-particle":"","family":"Dawson","given":"David","non-dropping-particle":"","parse-names":false,"suffix":""},{"dropping-particle":"","family":"Golijani-Moghaddam","given":"Nima","non-dropping-particle":"","parse-names":false,"suffix":""}],"container-title":"Journal of Contextual Behavioral Science","id":"ITEM-1","issued":{"date-parts":[["2020"]]},"page":"126-134","title":"COVID-19: Psychological flexibility, coping, mental health, and wellbeing in the UK during the pandemic","type":"article-journal","volume":"17"},"uris":["http://www.mendeley.com/documents/?uuid=c6ace097-e478-4233-99b0-ffa724c6172c"]}],"mendeley":{"formattedCitation":"(Dawson &amp; Golijani-Moghaddam, 2020)","plainTextFormattedCitation":"(Dawson &amp; Golijani-Moghaddam, 2020)","previouslyFormattedCitation":"(Dawson &amp; Golijani-Moghaddam, 2020)"},"properties":{"noteIndex":0},"schema":"https://github.com/citation-style-language/schema/raw/master/csl-citation.json"}</w:instrText>
      </w:r>
      <w:r w:rsidRPr="005044F0">
        <w:rPr>
          <w:lang w:val="es-ES"/>
        </w:rPr>
        <w:fldChar w:fldCharType="separate"/>
      </w:r>
      <w:r w:rsidRPr="005044F0">
        <w:rPr>
          <w:noProof/>
          <w:lang w:val="es-ES"/>
        </w:rPr>
        <w:t>(Dawson &amp; Golijani-Moghaddam, 2020)</w:t>
      </w:r>
      <w:r w:rsidRPr="005044F0">
        <w:rPr>
          <w:lang w:val="es-ES"/>
        </w:rPr>
        <w:fldChar w:fldCharType="end"/>
      </w:r>
    </w:p>
    <w:p w14:paraId="5E48C546" w14:textId="1DAF5A9C" w:rsidR="00324A07" w:rsidRPr="005044F0" w:rsidRDefault="00324A07" w:rsidP="00324A07">
      <w:pPr>
        <w:spacing w:line="360" w:lineRule="auto"/>
        <w:ind w:firstLine="720"/>
        <w:rPr>
          <w:lang w:val="es-ES"/>
        </w:rPr>
      </w:pPr>
      <w:r w:rsidRPr="005044F0">
        <w:rPr>
          <w:lang w:val="es-ES"/>
        </w:rPr>
        <w:t xml:space="preserve">Pese a estas limitaciones, este estudio es relevante debido a </w:t>
      </w:r>
      <w:r w:rsidR="00BC0FEF">
        <w:rPr>
          <w:lang w:val="es-ES"/>
        </w:rPr>
        <w:t>las implicaciones clínicas de sus hallazgos</w:t>
      </w:r>
      <w:r w:rsidR="009C2855">
        <w:rPr>
          <w:lang w:val="es-ES"/>
        </w:rPr>
        <w:t xml:space="preserve">, lo que permite desarrollar </w:t>
      </w:r>
      <w:r w:rsidR="00676152">
        <w:rPr>
          <w:lang w:val="es-ES"/>
        </w:rPr>
        <w:t xml:space="preserve">planes de intervención que protejan la salud mental de </w:t>
      </w:r>
      <w:r w:rsidR="009D4C61">
        <w:rPr>
          <w:lang w:val="es-ES"/>
        </w:rPr>
        <w:t xml:space="preserve">las poblaciones afectadas por las consecuencias </w:t>
      </w:r>
      <w:r w:rsidR="00745D51">
        <w:rPr>
          <w:lang w:val="es-ES"/>
        </w:rPr>
        <w:t xml:space="preserve">sociales, </w:t>
      </w:r>
      <w:r w:rsidR="00483F77">
        <w:rPr>
          <w:lang w:val="es-ES"/>
        </w:rPr>
        <w:t xml:space="preserve">psicológicas y económicas </w:t>
      </w:r>
      <w:r w:rsidR="0008275A">
        <w:rPr>
          <w:lang w:val="es-ES"/>
        </w:rPr>
        <w:t>que trajo</w:t>
      </w:r>
      <w:r w:rsidR="00483F77">
        <w:rPr>
          <w:lang w:val="es-ES"/>
        </w:rPr>
        <w:t xml:space="preserve"> la pandemia </w:t>
      </w:r>
      <w:r w:rsidR="00616D6B">
        <w:rPr>
          <w:lang w:val="es-ES"/>
        </w:rPr>
        <w:t>del</w:t>
      </w:r>
      <w:r w:rsidR="00483F77">
        <w:rPr>
          <w:lang w:val="es-ES"/>
        </w:rPr>
        <w:t xml:space="preserve"> COVID-19.</w:t>
      </w:r>
    </w:p>
    <w:p w14:paraId="13FA8237" w14:textId="0509C0A9" w:rsidR="007E3B8D" w:rsidRPr="00D779C8" w:rsidRDefault="007E3B8D" w:rsidP="005813E0">
      <w:pPr>
        <w:pStyle w:val="Prrafocomn"/>
        <w:rPr>
          <w:lang w:val="es-ES"/>
        </w:rPr>
      </w:pPr>
      <w:r w:rsidRPr="00D779C8">
        <w:rPr>
          <w:lang w:val="es-ES"/>
        </w:rPr>
        <w:br w:type="page"/>
      </w:r>
    </w:p>
    <w:p w14:paraId="6CD8B4A8" w14:textId="101E5792" w:rsidR="006F7E7E" w:rsidRPr="005911B0" w:rsidRDefault="00324A07" w:rsidP="00554C1F">
      <w:pPr>
        <w:pStyle w:val="Ttulosinternos"/>
      </w:pPr>
      <w:r w:rsidRPr="005911B0">
        <w:lastRenderedPageBreak/>
        <w:t>Referencias</w:t>
      </w:r>
    </w:p>
    <w:p w14:paraId="25D30BBE" w14:textId="0229B4B9" w:rsidR="008A15F6" w:rsidRPr="008A15F6" w:rsidRDefault="00324A07" w:rsidP="008A15F6">
      <w:pPr>
        <w:widowControl w:val="0"/>
        <w:autoSpaceDE w:val="0"/>
        <w:autoSpaceDN w:val="0"/>
        <w:adjustRightInd w:val="0"/>
        <w:ind w:left="480" w:hanging="480"/>
        <w:rPr>
          <w:noProof/>
          <w:lang w:val="en-US"/>
        </w:rPr>
      </w:pPr>
      <w:r>
        <w:rPr>
          <w:lang w:val="es-ES"/>
        </w:rPr>
        <w:fldChar w:fldCharType="begin" w:fldLock="1"/>
      </w:r>
      <w:r w:rsidRPr="00616D6B">
        <w:rPr>
          <w:lang w:val="en-US"/>
        </w:rPr>
        <w:instrText xml:space="preserve">ADDIN Mendeley Bibliography CSL_BIBLIOGRAPHY </w:instrText>
      </w:r>
      <w:r>
        <w:rPr>
          <w:lang w:val="es-ES"/>
        </w:rPr>
        <w:fldChar w:fldCharType="separate"/>
      </w:r>
      <w:r w:rsidR="008A15F6" w:rsidRPr="008A15F6">
        <w:rPr>
          <w:noProof/>
          <w:lang w:val="en-US"/>
        </w:rPr>
        <w:t xml:space="preserve">Anglim, J., &amp; Horwood, S. (2021). Effect of the COVID-19 pandemic and Big Five Personality on subjective and psychological well-being. </w:t>
      </w:r>
      <w:r w:rsidR="008A15F6" w:rsidRPr="008A15F6">
        <w:rPr>
          <w:i/>
          <w:iCs/>
          <w:noProof/>
          <w:lang w:val="en-US"/>
        </w:rPr>
        <w:t>Social Psychological and Personality Science</w:t>
      </w:r>
      <w:r w:rsidR="008A15F6" w:rsidRPr="008A15F6">
        <w:rPr>
          <w:noProof/>
          <w:lang w:val="en-US"/>
        </w:rPr>
        <w:t>, 194855062098304. https://doi.org/10.1177/1948550620983047</w:t>
      </w:r>
    </w:p>
    <w:p w14:paraId="2C764071"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Blasco-Belled, A., Tejada-Gallardo, C., Torrelles-Nadal, C., &amp; Alsinet, C. (2020). The Costs of the COVID-19 on Subjective Well-Being: An Analysis of the Outbreak in Spain. </w:t>
      </w:r>
      <w:r w:rsidRPr="008A15F6">
        <w:rPr>
          <w:i/>
          <w:iCs/>
          <w:noProof/>
          <w:lang w:val="en-US"/>
        </w:rPr>
        <w:t>Sustainability</w:t>
      </w:r>
      <w:r w:rsidRPr="008A15F6">
        <w:rPr>
          <w:noProof/>
          <w:lang w:val="en-US"/>
        </w:rPr>
        <w:t xml:space="preserve">, </w:t>
      </w:r>
      <w:r w:rsidRPr="008A15F6">
        <w:rPr>
          <w:i/>
          <w:iCs/>
          <w:noProof/>
          <w:lang w:val="en-US"/>
        </w:rPr>
        <w:t>12</w:t>
      </w:r>
      <w:r w:rsidRPr="008A15F6">
        <w:rPr>
          <w:noProof/>
          <w:lang w:val="en-US"/>
        </w:rPr>
        <w:t>(15), 6243. https://doi.org/10.3390/su12156243</w:t>
      </w:r>
    </w:p>
    <w:p w14:paraId="4F930B06"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Brauner, J. M., Mindermann, S., Sharma, M., Johnston, D., Salvatier, J., Gavenčiak, T., Stephenson, A. B., Leech, G., Altman, G., Mikulik, V., Norman, A. J., Monrad, J. T., Besiroglu, T., Ge, H., Hartwick, M. A., Teh, Y. W., Chindelevitch, L., Gal, Y., &amp; Kulveit, J. (2020). Inferring the effectiveness of government interventions against COVID-19. </w:t>
      </w:r>
      <w:r w:rsidRPr="008A15F6">
        <w:rPr>
          <w:i/>
          <w:iCs/>
          <w:noProof/>
          <w:lang w:val="en-US"/>
        </w:rPr>
        <w:t>Science</w:t>
      </w:r>
      <w:r w:rsidRPr="008A15F6">
        <w:rPr>
          <w:noProof/>
          <w:lang w:val="en-US"/>
        </w:rPr>
        <w:t>, eabd9338. https://doi.org/10.1126/science.abd9338</w:t>
      </w:r>
    </w:p>
    <w:p w14:paraId="571AD0D0"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Cao, W., Fang, Z., Hou, G., Han, M., Xu, X., Dong, J., &amp; Zheng, J. (2020). The psychological impact of the COVID-19 epidemic on college students in China. </w:t>
      </w:r>
      <w:r w:rsidRPr="008A15F6">
        <w:rPr>
          <w:i/>
          <w:iCs/>
          <w:noProof/>
          <w:lang w:val="en-US"/>
        </w:rPr>
        <w:t>Psychiatry Research</w:t>
      </w:r>
      <w:r w:rsidRPr="008A15F6">
        <w:rPr>
          <w:noProof/>
          <w:lang w:val="en-US"/>
        </w:rPr>
        <w:t xml:space="preserve">, </w:t>
      </w:r>
      <w:r w:rsidRPr="008A15F6">
        <w:rPr>
          <w:i/>
          <w:iCs/>
          <w:noProof/>
          <w:lang w:val="en-US"/>
        </w:rPr>
        <w:t>287</w:t>
      </w:r>
      <w:r w:rsidRPr="008A15F6">
        <w:rPr>
          <w:noProof/>
          <w:lang w:val="en-US"/>
        </w:rPr>
        <w:t>, 112934. https://doi.org/10.1016/j.psychres.2020.112934</w:t>
      </w:r>
    </w:p>
    <w:p w14:paraId="3AC9A5D0"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Carver, C. S. (1997). You want to measure coping but your protocol’s too long: Consider the Brief COPE. </w:t>
      </w:r>
      <w:r w:rsidRPr="008A15F6">
        <w:rPr>
          <w:i/>
          <w:iCs/>
          <w:noProof/>
          <w:lang w:val="en-US"/>
        </w:rPr>
        <w:t>International Journal of Behavioral Medicine</w:t>
      </w:r>
      <w:r w:rsidRPr="008A15F6">
        <w:rPr>
          <w:noProof/>
          <w:lang w:val="en-US"/>
        </w:rPr>
        <w:t xml:space="preserve">, </w:t>
      </w:r>
      <w:r w:rsidRPr="008A15F6">
        <w:rPr>
          <w:i/>
          <w:iCs/>
          <w:noProof/>
          <w:lang w:val="en-US"/>
        </w:rPr>
        <w:t>4</w:t>
      </w:r>
      <w:r w:rsidRPr="008A15F6">
        <w:rPr>
          <w:noProof/>
          <w:lang w:val="en-US"/>
        </w:rPr>
        <w:t>(1), 92–100.</w:t>
      </w:r>
    </w:p>
    <w:p w14:paraId="64EAE5C4"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Carver, C. S., Scheier, M. F., &amp; Weintraub, K. J. (1989). Assessing coping strategies: A theoretically based approach. </w:t>
      </w:r>
      <w:r w:rsidRPr="008A15F6">
        <w:rPr>
          <w:i/>
          <w:iCs/>
          <w:noProof/>
          <w:lang w:val="en-US"/>
        </w:rPr>
        <w:t>Journal of Personality and Social Psychology</w:t>
      </w:r>
      <w:r w:rsidRPr="008A15F6">
        <w:rPr>
          <w:noProof/>
          <w:lang w:val="en-US"/>
        </w:rPr>
        <w:t xml:space="preserve">, </w:t>
      </w:r>
      <w:r w:rsidRPr="008A15F6">
        <w:rPr>
          <w:i/>
          <w:iCs/>
          <w:noProof/>
          <w:lang w:val="en-US"/>
        </w:rPr>
        <w:t>56</w:t>
      </w:r>
      <w:r w:rsidRPr="008A15F6">
        <w:rPr>
          <w:noProof/>
          <w:lang w:val="en-US"/>
        </w:rPr>
        <w:t>(2), 267–283. https://doi.org/10.1037/0022-3514.56.2.267</w:t>
      </w:r>
    </w:p>
    <w:p w14:paraId="227D7BCD"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Chen, B., Sun, J., &amp; Feng, Y. (2020). How have COVID-19 isolation policies affected young people’s mental health? – Evidence from Chinese college students. </w:t>
      </w:r>
      <w:r w:rsidRPr="008A15F6">
        <w:rPr>
          <w:i/>
          <w:iCs/>
          <w:noProof/>
          <w:lang w:val="en-US"/>
        </w:rPr>
        <w:t>Frontiers in Psychology</w:t>
      </w:r>
      <w:r w:rsidRPr="008A15F6">
        <w:rPr>
          <w:noProof/>
          <w:lang w:val="en-US"/>
        </w:rPr>
        <w:t xml:space="preserve">, </w:t>
      </w:r>
      <w:r w:rsidRPr="008A15F6">
        <w:rPr>
          <w:i/>
          <w:iCs/>
          <w:noProof/>
          <w:lang w:val="en-US"/>
        </w:rPr>
        <w:t>11</w:t>
      </w:r>
      <w:r w:rsidRPr="008A15F6">
        <w:rPr>
          <w:noProof/>
          <w:lang w:val="en-US"/>
        </w:rPr>
        <w:t>, 1529. https://doi.org/10.3389/fpsyg.2020.01529</w:t>
      </w:r>
    </w:p>
    <w:p w14:paraId="43033B05"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Daly, M., &amp; Robinson, E. (2020). Psychological distress and adaptation to the COVID-19 crisis in the United States. </w:t>
      </w:r>
      <w:r w:rsidRPr="008A15F6">
        <w:rPr>
          <w:i/>
          <w:iCs/>
          <w:noProof/>
          <w:lang w:val="en-US"/>
        </w:rPr>
        <w:t>Journal of Psychiatric Research</w:t>
      </w:r>
      <w:r w:rsidRPr="008A15F6">
        <w:rPr>
          <w:noProof/>
          <w:lang w:val="en-US"/>
        </w:rPr>
        <w:t>. https://doi.org/10.1016/j.jpsychires.2020.10.035</w:t>
      </w:r>
    </w:p>
    <w:p w14:paraId="6DFBF698"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Dawson, D., &amp; Golijani-Moghaddam, N. (2020). COVID-19: Psychological flexibility, coping, mental health, and wellbeing in the UK during the pandemic. </w:t>
      </w:r>
      <w:r w:rsidRPr="008A15F6">
        <w:rPr>
          <w:i/>
          <w:iCs/>
          <w:noProof/>
          <w:lang w:val="en-US"/>
        </w:rPr>
        <w:t>Journal of Contextual Behavioral Science</w:t>
      </w:r>
      <w:r w:rsidRPr="008A15F6">
        <w:rPr>
          <w:noProof/>
          <w:lang w:val="en-US"/>
        </w:rPr>
        <w:t xml:space="preserve">, </w:t>
      </w:r>
      <w:r w:rsidRPr="008A15F6">
        <w:rPr>
          <w:i/>
          <w:iCs/>
          <w:noProof/>
          <w:lang w:val="en-US"/>
        </w:rPr>
        <w:t>17</w:t>
      </w:r>
      <w:r w:rsidRPr="008A15F6">
        <w:rPr>
          <w:noProof/>
          <w:lang w:val="en-US"/>
        </w:rPr>
        <w:t>, 126–134. https://doi.org/10.1016/j.jcbs.2020.07.010</w:t>
      </w:r>
    </w:p>
    <w:p w14:paraId="763025DE" w14:textId="77777777" w:rsidR="008A15F6" w:rsidRPr="008A15F6" w:rsidRDefault="008A15F6" w:rsidP="008A15F6">
      <w:pPr>
        <w:widowControl w:val="0"/>
        <w:autoSpaceDE w:val="0"/>
        <w:autoSpaceDN w:val="0"/>
        <w:adjustRightInd w:val="0"/>
        <w:ind w:left="480" w:hanging="480"/>
        <w:rPr>
          <w:noProof/>
          <w:lang w:val="en-US"/>
        </w:rPr>
      </w:pPr>
      <w:r w:rsidRPr="005911B0">
        <w:rPr>
          <w:noProof/>
          <w:lang w:val="es-DO"/>
        </w:rPr>
        <w:t xml:space="preserve">Díaz, D., Rodríguez-Carvajal, R., Blanco, A., Moreno-Jiménez, B., Gallardo, I., Valle, C., &amp; Van Dierendonck, D. (2006). Adaptación española de las escalas de bienestar psicológico de Ryff. </w:t>
      </w:r>
      <w:r w:rsidRPr="008A15F6">
        <w:rPr>
          <w:i/>
          <w:iCs/>
          <w:noProof/>
          <w:lang w:val="en-US"/>
        </w:rPr>
        <w:t>Psicothema</w:t>
      </w:r>
      <w:r w:rsidRPr="008A15F6">
        <w:rPr>
          <w:noProof/>
          <w:lang w:val="en-US"/>
        </w:rPr>
        <w:t xml:space="preserve">, </w:t>
      </w:r>
      <w:r w:rsidRPr="008A15F6">
        <w:rPr>
          <w:i/>
          <w:iCs/>
          <w:noProof/>
          <w:lang w:val="en-US"/>
        </w:rPr>
        <w:t>18</w:t>
      </w:r>
      <w:r w:rsidRPr="008A15F6">
        <w:rPr>
          <w:noProof/>
          <w:lang w:val="en-US"/>
        </w:rPr>
        <w:t>(3), 572–577.</w:t>
      </w:r>
    </w:p>
    <w:p w14:paraId="3029B135"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Dong, E., Du, H., &amp; Gardner, L. (2020). An interactive web-based dashboard to track COVID-19 in real time. </w:t>
      </w:r>
      <w:r w:rsidRPr="008A15F6">
        <w:rPr>
          <w:i/>
          <w:iCs/>
          <w:noProof/>
          <w:lang w:val="en-US"/>
        </w:rPr>
        <w:t>The Lancet Infectious Diseases</w:t>
      </w:r>
      <w:r w:rsidRPr="008A15F6">
        <w:rPr>
          <w:noProof/>
          <w:lang w:val="en-US"/>
        </w:rPr>
        <w:t xml:space="preserve">, </w:t>
      </w:r>
      <w:r w:rsidRPr="008A15F6">
        <w:rPr>
          <w:i/>
          <w:iCs/>
          <w:noProof/>
          <w:lang w:val="en-US"/>
        </w:rPr>
        <w:t>20</w:t>
      </w:r>
      <w:r w:rsidRPr="008A15F6">
        <w:rPr>
          <w:noProof/>
          <w:lang w:val="en-US"/>
        </w:rPr>
        <w:t>(5), 533–534. https://doi.org/10.1016/S1473-3099(20)30120-1</w:t>
      </w:r>
    </w:p>
    <w:p w14:paraId="4A8005F6"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Foa, R. B., Gilbert, S., &amp; Fabian, M. O. (2020). </w:t>
      </w:r>
      <w:r w:rsidRPr="008A15F6">
        <w:rPr>
          <w:i/>
          <w:iCs/>
          <w:noProof/>
          <w:lang w:val="en-US"/>
        </w:rPr>
        <w:t>COVID-19 and subjective well-being: Separating the effects of lockdowns from the pandemic</w:t>
      </w:r>
      <w:r w:rsidRPr="008A15F6">
        <w:rPr>
          <w:noProof/>
          <w:lang w:val="en-US"/>
        </w:rPr>
        <w:t>. Available at SSRN: https://ssrn.com/abstract=36740. https://ssrn.com/abstract=3674080</w:t>
      </w:r>
    </w:p>
    <w:p w14:paraId="2C7181B0"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Folkman, S., &amp; Lazarus, R. S. (1980). An analysis of coping in a middle-aged community sample. </w:t>
      </w:r>
      <w:r w:rsidRPr="008A15F6">
        <w:rPr>
          <w:i/>
          <w:iCs/>
          <w:noProof/>
          <w:lang w:val="en-US"/>
        </w:rPr>
        <w:t>Journal of Health and Social Behavior</w:t>
      </w:r>
      <w:r w:rsidRPr="008A15F6">
        <w:rPr>
          <w:noProof/>
          <w:lang w:val="en-US"/>
        </w:rPr>
        <w:t xml:space="preserve">, </w:t>
      </w:r>
      <w:r w:rsidRPr="008A15F6">
        <w:rPr>
          <w:i/>
          <w:iCs/>
          <w:noProof/>
          <w:lang w:val="en-US"/>
        </w:rPr>
        <w:t>21</w:t>
      </w:r>
      <w:r w:rsidRPr="008A15F6">
        <w:rPr>
          <w:noProof/>
          <w:lang w:val="en-US"/>
        </w:rPr>
        <w:t>(3), 219. https://doi.org/10.2307/2136617</w:t>
      </w:r>
    </w:p>
    <w:p w14:paraId="1989162E" w14:textId="77777777" w:rsidR="008A15F6" w:rsidRPr="005911B0" w:rsidRDefault="008A15F6" w:rsidP="008A15F6">
      <w:pPr>
        <w:widowControl w:val="0"/>
        <w:autoSpaceDE w:val="0"/>
        <w:autoSpaceDN w:val="0"/>
        <w:adjustRightInd w:val="0"/>
        <w:ind w:left="480" w:hanging="480"/>
        <w:rPr>
          <w:noProof/>
          <w:lang w:val="es-DO"/>
        </w:rPr>
      </w:pPr>
      <w:r w:rsidRPr="008A15F6">
        <w:rPr>
          <w:noProof/>
          <w:lang w:val="en-US"/>
        </w:rPr>
        <w:t xml:space="preserve">Gianni, S. (2020). </w:t>
      </w:r>
      <w:r w:rsidRPr="005911B0">
        <w:rPr>
          <w:noProof/>
          <w:lang w:val="es-DO"/>
        </w:rPr>
        <w:t xml:space="preserve">COVID-19 y educación superior: De los efectos inmediatos al día después. </w:t>
      </w:r>
      <w:r w:rsidRPr="005911B0">
        <w:rPr>
          <w:i/>
          <w:iCs/>
          <w:noProof/>
          <w:lang w:val="es-DO"/>
        </w:rPr>
        <w:t>Revista Latinoamericana de Educación Comparada</w:t>
      </w:r>
      <w:r w:rsidRPr="005911B0">
        <w:rPr>
          <w:noProof/>
          <w:lang w:val="es-DO"/>
        </w:rPr>
        <w:t xml:space="preserve">, </w:t>
      </w:r>
      <w:r w:rsidRPr="005911B0">
        <w:rPr>
          <w:i/>
          <w:iCs/>
          <w:noProof/>
          <w:lang w:val="es-DO"/>
        </w:rPr>
        <w:t>11</w:t>
      </w:r>
      <w:r w:rsidRPr="005911B0">
        <w:rPr>
          <w:noProof/>
          <w:lang w:val="es-DO"/>
        </w:rPr>
        <w:t>(17), 1–57. http://www.iesalc.unesco.org/wp-content/uploads/2020/04/COVID-19-060420-ES-2.pdf</w:t>
      </w:r>
    </w:p>
    <w:p w14:paraId="3B24A300"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Gol, A. R., &amp; Cook, S. W. (2004). Exploring the underlying dimensions of coping: A concept mapping approach. </w:t>
      </w:r>
      <w:r w:rsidRPr="008A15F6">
        <w:rPr>
          <w:i/>
          <w:iCs/>
          <w:noProof/>
          <w:lang w:val="en-US"/>
        </w:rPr>
        <w:t>Journal of Social and Clinical Psychology</w:t>
      </w:r>
      <w:r w:rsidRPr="008A15F6">
        <w:rPr>
          <w:noProof/>
          <w:lang w:val="en-US"/>
        </w:rPr>
        <w:t xml:space="preserve">, </w:t>
      </w:r>
      <w:r w:rsidRPr="008A15F6">
        <w:rPr>
          <w:i/>
          <w:iCs/>
          <w:noProof/>
          <w:lang w:val="en-US"/>
        </w:rPr>
        <w:t>23</w:t>
      </w:r>
      <w:r w:rsidRPr="008A15F6">
        <w:rPr>
          <w:noProof/>
          <w:lang w:val="en-US"/>
        </w:rPr>
        <w:t xml:space="preserve">(2), 155–171. </w:t>
      </w:r>
      <w:r w:rsidRPr="008A15F6">
        <w:rPr>
          <w:noProof/>
          <w:lang w:val="en-US"/>
        </w:rPr>
        <w:lastRenderedPageBreak/>
        <w:t>https://doi.org/10.1521/jscp.23.2.155.31021</w:t>
      </w:r>
    </w:p>
    <w:p w14:paraId="078E0B00"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Husky, M. M., Kovess-Masfety, V., &amp; Swendsen, J. D. (2020). Stress and anxiety among university students in France during Covid-19 mandatory confinement. </w:t>
      </w:r>
      <w:r w:rsidRPr="008A15F6">
        <w:rPr>
          <w:i/>
          <w:iCs/>
          <w:noProof/>
          <w:lang w:val="en-US"/>
        </w:rPr>
        <w:t>Comprehensive Psychiatry</w:t>
      </w:r>
      <w:r w:rsidRPr="008A15F6">
        <w:rPr>
          <w:noProof/>
          <w:lang w:val="en-US"/>
        </w:rPr>
        <w:t xml:space="preserve">, </w:t>
      </w:r>
      <w:r w:rsidRPr="008A15F6">
        <w:rPr>
          <w:i/>
          <w:iCs/>
          <w:noProof/>
          <w:lang w:val="en-US"/>
        </w:rPr>
        <w:t>102</w:t>
      </w:r>
      <w:r w:rsidRPr="008A15F6">
        <w:rPr>
          <w:noProof/>
          <w:lang w:val="en-US"/>
        </w:rPr>
        <w:t>, 152191. https://doi.org/10.1016/j.comppsych.2020.152191</w:t>
      </w:r>
    </w:p>
    <w:p w14:paraId="6F48A3DD"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Hyland, P., Shevlin, M., McBride, O., Murphy, J., Karatzias, T., Bentall, R. P., Martinez, A., &amp; Vallières, F. (2020). Anxiety and depression in the Republic of Ireland during the COVID-19 pandemic. </w:t>
      </w:r>
      <w:r w:rsidRPr="008A15F6">
        <w:rPr>
          <w:i/>
          <w:iCs/>
          <w:noProof/>
          <w:lang w:val="en-US"/>
        </w:rPr>
        <w:t>Acta Psychiatrica Scandinavica</w:t>
      </w:r>
      <w:r w:rsidRPr="008A15F6">
        <w:rPr>
          <w:noProof/>
          <w:lang w:val="en-US"/>
        </w:rPr>
        <w:t xml:space="preserve">, </w:t>
      </w:r>
      <w:r w:rsidRPr="008A15F6">
        <w:rPr>
          <w:i/>
          <w:iCs/>
          <w:noProof/>
          <w:lang w:val="en-US"/>
        </w:rPr>
        <w:t>142</w:t>
      </w:r>
      <w:r w:rsidRPr="008A15F6">
        <w:rPr>
          <w:noProof/>
          <w:lang w:val="en-US"/>
        </w:rPr>
        <w:t>(3), 249–256. https://doi.org/10.1111/acps.13219</w:t>
      </w:r>
    </w:p>
    <w:p w14:paraId="50C33D36" w14:textId="77777777" w:rsidR="008A15F6" w:rsidRPr="005911B0" w:rsidRDefault="008A15F6" w:rsidP="008A15F6">
      <w:pPr>
        <w:widowControl w:val="0"/>
        <w:autoSpaceDE w:val="0"/>
        <w:autoSpaceDN w:val="0"/>
        <w:adjustRightInd w:val="0"/>
        <w:ind w:left="480" w:hanging="480"/>
        <w:rPr>
          <w:noProof/>
          <w:lang w:val="es-DO"/>
        </w:rPr>
      </w:pPr>
      <w:r w:rsidRPr="008A15F6">
        <w:rPr>
          <w:noProof/>
          <w:lang w:val="en-US"/>
        </w:rPr>
        <w:t xml:space="preserve">Islam, A., Barna, S. D., Raihan, H., Khan, N. A., &amp; Hossain, M. T. (2020). Depression and anxiety among university students during the COVID-19 pandemic in Bangladesh: A web-based cross-sectional survey. </w:t>
      </w:r>
      <w:r w:rsidRPr="005911B0">
        <w:rPr>
          <w:i/>
          <w:iCs/>
          <w:noProof/>
          <w:lang w:val="es-DO"/>
        </w:rPr>
        <w:t>PLoS ONE</w:t>
      </w:r>
      <w:r w:rsidRPr="005911B0">
        <w:rPr>
          <w:noProof/>
          <w:lang w:val="es-DO"/>
        </w:rPr>
        <w:t xml:space="preserve">, </w:t>
      </w:r>
      <w:r w:rsidRPr="005911B0">
        <w:rPr>
          <w:i/>
          <w:iCs/>
          <w:noProof/>
          <w:lang w:val="es-DO"/>
        </w:rPr>
        <w:t>15</w:t>
      </w:r>
      <w:r w:rsidRPr="005911B0">
        <w:rPr>
          <w:noProof/>
          <w:lang w:val="es-DO"/>
        </w:rPr>
        <w:t>(8), e0238162. https://doi.org/10.1371/journal.pone.0238162</w:t>
      </w:r>
    </w:p>
    <w:p w14:paraId="6D10180E" w14:textId="77777777" w:rsidR="008A15F6" w:rsidRPr="008A15F6" w:rsidRDefault="008A15F6" w:rsidP="008A15F6">
      <w:pPr>
        <w:widowControl w:val="0"/>
        <w:autoSpaceDE w:val="0"/>
        <w:autoSpaceDN w:val="0"/>
        <w:adjustRightInd w:val="0"/>
        <w:ind w:left="480" w:hanging="480"/>
        <w:rPr>
          <w:noProof/>
          <w:lang w:val="en-US"/>
        </w:rPr>
      </w:pPr>
      <w:r w:rsidRPr="005911B0">
        <w:rPr>
          <w:noProof/>
          <w:lang w:val="es-DO"/>
        </w:rPr>
        <w:t xml:space="preserve">Joshanloo, M. (2016). </w:t>
      </w:r>
      <w:r w:rsidRPr="008A15F6">
        <w:rPr>
          <w:noProof/>
          <w:lang w:val="en-US"/>
        </w:rPr>
        <w:t xml:space="preserve">Revisiting the empirical distinction between hedonic and eudaimonic aspects of well-being using exploratory structural equation modeling. </w:t>
      </w:r>
      <w:r w:rsidRPr="008A15F6">
        <w:rPr>
          <w:i/>
          <w:iCs/>
          <w:noProof/>
          <w:lang w:val="en-US"/>
        </w:rPr>
        <w:t>Journal of Happiness Studies</w:t>
      </w:r>
      <w:r w:rsidRPr="008A15F6">
        <w:rPr>
          <w:noProof/>
          <w:lang w:val="en-US"/>
        </w:rPr>
        <w:t xml:space="preserve">, </w:t>
      </w:r>
      <w:r w:rsidRPr="008A15F6">
        <w:rPr>
          <w:i/>
          <w:iCs/>
          <w:noProof/>
          <w:lang w:val="en-US"/>
        </w:rPr>
        <w:t>17</w:t>
      </w:r>
      <w:r w:rsidRPr="008A15F6">
        <w:rPr>
          <w:noProof/>
          <w:lang w:val="en-US"/>
        </w:rPr>
        <w:t>(5), 2023–2036. https://doi.org/10.1007/s10902-015-9683-z</w:t>
      </w:r>
    </w:p>
    <w:p w14:paraId="1D77D051"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Joshanloo, M. (2019). Investigating the relationships between subjective well-being and psychological well-being over two decades. </w:t>
      </w:r>
      <w:r w:rsidRPr="008A15F6">
        <w:rPr>
          <w:i/>
          <w:iCs/>
          <w:noProof/>
          <w:lang w:val="en-US"/>
        </w:rPr>
        <w:t>Emotion</w:t>
      </w:r>
      <w:r w:rsidRPr="008A15F6">
        <w:rPr>
          <w:noProof/>
          <w:lang w:val="en-US"/>
        </w:rPr>
        <w:t xml:space="preserve">, </w:t>
      </w:r>
      <w:r w:rsidRPr="008A15F6">
        <w:rPr>
          <w:i/>
          <w:iCs/>
          <w:noProof/>
          <w:lang w:val="en-US"/>
        </w:rPr>
        <w:t>19</w:t>
      </w:r>
      <w:r w:rsidRPr="008A15F6">
        <w:rPr>
          <w:noProof/>
          <w:lang w:val="en-US"/>
        </w:rPr>
        <w:t>(1), 183–187. https://doi.org/10.1037/emo0000414</w:t>
      </w:r>
    </w:p>
    <w:p w14:paraId="187F7763"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Lahav, Y. (2020). Psychological Distress Related to COVID-19 – The Contribution of Continuous Traumatic Stress. </w:t>
      </w:r>
      <w:r w:rsidRPr="008A15F6">
        <w:rPr>
          <w:i/>
          <w:iCs/>
          <w:noProof/>
          <w:lang w:val="en-US"/>
        </w:rPr>
        <w:t>Journal of Affective Disorders</w:t>
      </w:r>
      <w:r w:rsidRPr="008A15F6">
        <w:rPr>
          <w:noProof/>
          <w:lang w:val="en-US"/>
        </w:rPr>
        <w:t xml:space="preserve">, </w:t>
      </w:r>
      <w:r w:rsidRPr="008A15F6">
        <w:rPr>
          <w:i/>
          <w:iCs/>
          <w:noProof/>
          <w:lang w:val="en-US"/>
        </w:rPr>
        <w:t>277</w:t>
      </w:r>
      <w:r w:rsidRPr="008A15F6">
        <w:rPr>
          <w:noProof/>
          <w:lang w:val="en-US"/>
        </w:rPr>
        <w:t>, 129–137. https://doi.org/10.1016/j.jad.2020.07.141</w:t>
      </w:r>
    </w:p>
    <w:p w14:paraId="6D13E123"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Litman, J. A. (2006). The COPE inventory: Dimensionality and relationships with approach- and avoidance-motives and positive and negative traits. </w:t>
      </w:r>
      <w:r w:rsidRPr="008A15F6">
        <w:rPr>
          <w:i/>
          <w:iCs/>
          <w:noProof/>
          <w:lang w:val="en-US"/>
        </w:rPr>
        <w:t>Personality and Individual Differences</w:t>
      </w:r>
      <w:r w:rsidRPr="008A15F6">
        <w:rPr>
          <w:noProof/>
          <w:lang w:val="en-US"/>
        </w:rPr>
        <w:t xml:space="preserve">, </w:t>
      </w:r>
      <w:r w:rsidRPr="008A15F6">
        <w:rPr>
          <w:i/>
          <w:iCs/>
          <w:noProof/>
          <w:lang w:val="en-US"/>
        </w:rPr>
        <w:t>41</w:t>
      </w:r>
      <w:r w:rsidRPr="008A15F6">
        <w:rPr>
          <w:noProof/>
          <w:lang w:val="en-US"/>
        </w:rPr>
        <w:t>(2), 273–284. https://doi.org/10.1016/j.paid.2005.11.032</w:t>
      </w:r>
    </w:p>
    <w:p w14:paraId="2EB0E331"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MacIntyre, P. D., Gregersen, T., &amp; Mercer, S. (2020). Language teachers’ coping strategies during the COVID-19 conversion to online teaching: Correlations with stress, wellbeing and negative emotions. </w:t>
      </w:r>
      <w:r w:rsidRPr="008A15F6">
        <w:rPr>
          <w:i/>
          <w:iCs/>
          <w:noProof/>
          <w:lang w:val="en-US"/>
        </w:rPr>
        <w:t>System</w:t>
      </w:r>
      <w:r w:rsidRPr="008A15F6">
        <w:rPr>
          <w:noProof/>
          <w:lang w:val="en-US"/>
        </w:rPr>
        <w:t xml:space="preserve">, </w:t>
      </w:r>
      <w:r w:rsidRPr="008A15F6">
        <w:rPr>
          <w:i/>
          <w:iCs/>
          <w:noProof/>
          <w:lang w:val="en-US"/>
        </w:rPr>
        <w:t>94</w:t>
      </w:r>
      <w:r w:rsidRPr="008A15F6">
        <w:rPr>
          <w:noProof/>
          <w:lang w:val="en-US"/>
        </w:rPr>
        <w:t>, 102352. https://doi.org/10.1016/j.system.2020.102352</w:t>
      </w:r>
    </w:p>
    <w:p w14:paraId="5308A2CB" w14:textId="77777777" w:rsidR="008A15F6" w:rsidRPr="005911B0" w:rsidRDefault="008A15F6" w:rsidP="008A15F6">
      <w:pPr>
        <w:widowControl w:val="0"/>
        <w:autoSpaceDE w:val="0"/>
        <w:autoSpaceDN w:val="0"/>
        <w:adjustRightInd w:val="0"/>
        <w:ind w:left="480" w:hanging="480"/>
        <w:rPr>
          <w:noProof/>
          <w:lang w:val="es-DO"/>
        </w:rPr>
      </w:pPr>
      <w:r w:rsidRPr="008A15F6">
        <w:rPr>
          <w:noProof/>
          <w:lang w:val="en-US"/>
        </w:rPr>
        <w:t xml:space="preserve">Martínez-Ortega, Y., Gomà-i-Freixanet, M., &amp; Fornieles-Deu, A. (2018). </w:t>
      </w:r>
      <w:r w:rsidRPr="005911B0">
        <w:rPr>
          <w:noProof/>
          <w:lang w:val="es-DO"/>
        </w:rPr>
        <w:t xml:space="preserve">Versión española del COPE-48: Evaluación del afrontamiento en pacientes psiquiátricos ambulatorios. </w:t>
      </w:r>
      <w:r w:rsidRPr="005911B0">
        <w:rPr>
          <w:i/>
          <w:iCs/>
          <w:noProof/>
          <w:lang w:val="es-DO"/>
        </w:rPr>
        <w:t>Terapia Psicológica</w:t>
      </w:r>
      <w:r w:rsidRPr="005911B0">
        <w:rPr>
          <w:noProof/>
          <w:lang w:val="es-DO"/>
        </w:rPr>
        <w:t xml:space="preserve">, </w:t>
      </w:r>
      <w:r w:rsidRPr="005911B0">
        <w:rPr>
          <w:i/>
          <w:iCs/>
          <w:noProof/>
          <w:lang w:val="es-DO"/>
        </w:rPr>
        <w:t>36</w:t>
      </w:r>
      <w:r w:rsidRPr="005911B0">
        <w:rPr>
          <w:noProof/>
          <w:lang w:val="es-DO"/>
        </w:rPr>
        <w:t>(1), 9–14. https://scielo.conicyt.cl/scielo.php?script=sci_arttext&amp;pid=S0718-48082018000100013</w:t>
      </w:r>
    </w:p>
    <w:p w14:paraId="0D5A3757" w14:textId="7D5097ED" w:rsidR="008A15F6" w:rsidRPr="005911B0" w:rsidRDefault="008A15F6" w:rsidP="008A15F6">
      <w:pPr>
        <w:widowControl w:val="0"/>
        <w:autoSpaceDE w:val="0"/>
        <w:autoSpaceDN w:val="0"/>
        <w:adjustRightInd w:val="0"/>
        <w:ind w:left="480" w:hanging="480"/>
        <w:rPr>
          <w:noProof/>
          <w:lang w:val="es-DO"/>
        </w:rPr>
      </w:pPr>
      <w:r w:rsidRPr="005911B0">
        <w:rPr>
          <w:noProof/>
          <w:lang w:val="es-DO"/>
        </w:rPr>
        <w:t xml:space="preserve">Martínez-Ortega, Y., Gomà-i-Freixanet, M., &amp; Fornieles Deu, A. (2016). </w:t>
      </w:r>
      <w:r w:rsidRPr="008A15F6">
        <w:rPr>
          <w:noProof/>
          <w:lang w:val="en-US"/>
        </w:rPr>
        <w:t xml:space="preserve">The COPE-48: An adapted version of the COPE inventory for use in clinical settings. </w:t>
      </w:r>
      <w:r w:rsidRPr="005911B0">
        <w:rPr>
          <w:i/>
          <w:iCs/>
          <w:noProof/>
          <w:lang w:val="es-DO"/>
        </w:rPr>
        <w:t>Psychiatry Research</w:t>
      </w:r>
      <w:r w:rsidRPr="005911B0">
        <w:rPr>
          <w:noProof/>
          <w:lang w:val="es-DO"/>
        </w:rPr>
        <w:t xml:space="preserve">, </w:t>
      </w:r>
      <w:r w:rsidRPr="005911B0">
        <w:rPr>
          <w:i/>
          <w:iCs/>
          <w:noProof/>
          <w:lang w:val="es-DO"/>
        </w:rPr>
        <w:t>246</w:t>
      </w:r>
      <w:r w:rsidRPr="005911B0">
        <w:rPr>
          <w:noProof/>
          <w:lang w:val="es-DO"/>
        </w:rPr>
        <w:t>, 808–814. https://doi.org/10.1016/j.psychres.2016.10.031</w:t>
      </w:r>
    </w:p>
    <w:p w14:paraId="17E14C6C" w14:textId="0E9F7933" w:rsidR="006D0611" w:rsidRPr="005911B0" w:rsidRDefault="006D0611" w:rsidP="008A15F6">
      <w:pPr>
        <w:widowControl w:val="0"/>
        <w:autoSpaceDE w:val="0"/>
        <w:autoSpaceDN w:val="0"/>
        <w:adjustRightInd w:val="0"/>
        <w:ind w:left="480" w:hanging="480"/>
        <w:rPr>
          <w:noProof/>
          <w:lang w:val="es-DO"/>
        </w:rPr>
      </w:pPr>
      <w:r w:rsidRPr="005911B0">
        <w:rPr>
          <w:noProof/>
          <w:lang w:val="es-DO"/>
        </w:rPr>
        <w:t>[Manuscrito anónimo]</w:t>
      </w:r>
    </w:p>
    <w:p w14:paraId="670436FC" w14:textId="77777777" w:rsidR="008A15F6" w:rsidRPr="005911B0" w:rsidRDefault="008A15F6" w:rsidP="008A15F6">
      <w:pPr>
        <w:widowControl w:val="0"/>
        <w:autoSpaceDE w:val="0"/>
        <w:autoSpaceDN w:val="0"/>
        <w:adjustRightInd w:val="0"/>
        <w:ind w:left="480" w:hanging="480"/>
        <w:rPr>
          <w:noProof/>
          <w:lang w:val="es-DO"/>
        </w:rPr>
      </w:pPr>
      <w:r w:rsidRPr="005911B0">
        <w:rPr>
          <w:noProof/>
          <w:lang w:val="es-DO"/>
        </w:rPr>
        <w:t xml:space="preserve">Ministerio de Salud Pública de la Republica Dominicana. (2021). </w:t>
      </w:r>
      <w:r w:rsidRPr="005911B0">
        <w:rPr>
          <w:i/>
          <w:iCs/>
          <w:noProof/>
          <w:lang w:val="es-DO"/>
        </w:rPr>
        <w:t>Coronavirus - República Dominicana</w:t>
      </w:r>
      <w:r w:rsidRPr="005911B0">
        <w:rPr>
          <w:noProof/>
          <w:lang w:val="es-DO"/>
        </w:rPr>
        <w:t>. https://coronavirusrd.gob.do/</w:t>
      </w:r>
    </w:p>
    <w:p w14:paraId="27BE59CF" w14:textId="77777777" w:rsidR="008A15F6" w:rsidRPr="005911B0" w:rsidRDefault="008A15F6" w:rsidP="008A15F6">
      <w:pPr>
        <w:widowControl w:val="0"/>
        <w:autoSpaceDE w:val="0"/>
        <w:autoSpaceDN w:val="0"/>
        <w:adjustRightInd w:val="0"/>
        <w:ind w:left="480" w:hanging="480"/>
        <w:rPr>
          <w:noProof/>
          <w:lang w:val="es-DO"/>
        </w:rPr>
      </w:pPr>
      <w:r w:rsidRPr="005911B0">
        <w:rPr>
          <w:noProof/>
          <w:lang w:val="es-DO"/>
        </w:rPr>
        <w:t xml:space="preserve">Morote-Jayacc, P. V., Sandoval, K. D., Moreno-Molina, M., &amp; Taype-Rondan, Á. (2020). Estudios de salud mental en estudiantes de Medicina en el contexto de la COVID-19. </w:t>
      </w:r>
      <w:r w:rsidRPr="005911B0">
        <w:rPr>
          <w:i/>
          <w:iCs/>
          <w:noProof/>
          <w:lang w:val="es-DO"/>
        </w:rPr>
        <w:t>Revista Colombiana de Psiquiatría</w:t>
      </w:r>
      <w:r w:rsidRPr="005911B0">
        <w:rPr>
          <w:noProof/>
          <w:lang w:val="es-DO"/>
        </w:rPr>
        <w:t xml:space="preserve">, </w:t>
      </w:r>
      <w:r w:rsidRPr="005911B0">
        <w:rPr>
          <w:i/>
          <w:iCs/>
          <w:noProof/>
          <w:lang w:val="es-DO"/>
        </w:rPr>
        <w:t>49</w:t>
      </w:r>
      <w:r w:rsidRPr="005911B0">
        <w:rPr>
          <w:noProof/>
          <w:lang w:val="es-DO"/>
        </w:rPr>
        <w:t>(4), 223–224. https://doi.org/10.1016/j.rcp.2020.07.005</w:t>
      </w:r>
    </w:p>
    <w:p w14:paraId="4C882221" w14:textId="16F94896" w:rsidR="008A15F6" w:rsidRDefault="008A15F6" w:rsidP="008A15F6">
      <w:pPr>
        <w:widowControl w:val="0"/>
        <w:autoSpaceDE w:val="0"/>
        <w:autoSpaceDN w:val="0"/>
        <w:adjustRightInd w:val="0"/>
        <w:ind w:left="480" w:hanging="480"/>
        <w:rPr>
          <w:noProof/>
          <w:lang w:val="en-US"/>
        </w:rPr>
      </w:pPr>
      <w:r w:rsidRPr="005911B0">
        <w:rPr>
          <w:noProof/>
          <w:lang w:val="es-DO"/>
        </w:rPr>
        <w:t xml:space="preserve">Noor, F. M., &amp; Islam, M. M. (2020). </w:t>
      </w:r>
      <w:r w:rsidRPr="008A15F6">
        <w:rPr>
          <w:noProof/>
          <w:lang w:val="en-US"/>
        </w:rPr>
        <w:t xml:space="preserve">Prevalence and associated risk factors of mortality among COVID-19 patients: A Meta-analysis. </w:t>
      </w:r>
      <w:r w:rsidRPr="008A15F6">
        <w:rPr>
          <w:i/>
          <w:iCs/>
          <w:noProof/>
          <w:lang w:val="en-US"/>
        </w:rPr>
        <w:t>Journal of Community Health</w:t>
      </w:r>
      <w:r w:rsidRPr="008A15F6">
        <w:rPr>
          <w:noProof/>
          <w:lang w:val="en-US"/>
        </w:rPr>
        <w:t xml:space="preserve">, </w:t>
      </w:r>
      <w:r w:rsidRPr="008A15F6">
        <w:rPr>
          <w:i/>
          <w:iCs/>
          <w:noProof/>
          <w:lang w:val="en-US"/>
        </w:rPr>
        <w:t>45</w:t>
      </w:r>
      <w:r w:rsidRPr="008A15F6">
        <w:rPr>
          <w:noProof/>
          <w:lang w:val="en-US"/>
        </w:rPr>
        <w:t>(6), 1270–1282. https://doi.org/10.1007/s10900-020-00920-x</w:t>
      </w:r>
    </w:p>
    <w:p w14:paraId="746258AA" w14:textId="6724F546" w:rsidR="006D0611" w:rsidRPr="008A15F6" w:rsidRDefault="006D0611" w:rsidP="008A15F6">
      <w:pPr>
        <w:widowControl w:val="0"/>
        <w:autoSpaceDE w:val="0"/>
        <w:autoSpaceDN w:val="0"/>
        <w:adjustRightInd w:val="0"/>
        <w:ind w:left="480" w:hanging="480"/>
        <w:rPr>
          <w:noProof/>
          <w:lang w:val="en-US"/>
        </w:rPr>
      </w:pPr>
      <w:r>
        <w:rPr>
          <w:noProof/>
          <w:lang w:val="en-US"/>
        </w:rPr>
        <w:t>[Manuscrito anónimo]</w:t>
      </w:r>
      <w:r w:rsidR="00F1589F">
        <w:rPr>
          <w:noProof/>
          <w:lang w:val="en-US"/>
        </w:rPr>
        <w:t xml:space="preserve"> - manuscrito enviado</w:t>
      </w:r>
    </w:p>
    <w:p w14:paraId="0CE9EEDC" w14:textId="77777777" w:rsidR="008A15F6" w:rsidRPr="005911B0" w:rsidRDefault="008A15F6" w:rsidP="008A15F6">
      <w:pPr>
        <w:widowControl w:val="0"/>
        <w:autoSpaceDE w:val="0"/>
        <w:autoSpaceDN w:val="0"/>
        <w:adjustRightInd w:val="0"/>
        <w:ind w:left="480" w:hanging="480"/>
        <w:rPr>
          <w:noProof/>
          <w:lang w:val="es-DO"/>
        </w:rPr>
      </w:pPr>
      <w:r w:rsidRPr="008A15F6">
        <w:rPr>
          <w:noProof/>
          <w:lang w:val="en-US"/>
        </w:rPr>
        <w:t xml:space="preserve">Rathe, M. (2020). Dominican Republic: The response to the COVID-19 pandemic in 2020. </w:t>
      </w:r>
      <w:r w:rsidRPr="005911B0">
        <w:rPr>
          <w:i/>
          <w:iCs/>
          <w:noProof/>
          <w:lang w:val="es-DO"/>
        </w:rPr>
        <w:lastRenderedPageBreak/>
        <w:t>Gaceta Médica de Caracas</w:t>
      </w:r>
      <w:r w:rsidRPr="005911B0">
        <w:rPr>
          <w:noProof/>
          <w:lang w:val="es-DO"/>
        </w:rPr>
        <w:t xml:space="preserve">, </w:t>
      </w:r>
      <w:r w:rsidRPr="005911B0">
        <w:rPr>
          <w:i/>
          <w:iCs/>
          <w:noProof/>
          <w:lang w:val="es-DO"/>
        </w:rPr>
        <w:t>128</w:t>
      </w:r>
      <w:r w:rsidRPr="005911B0">
        <w:rPr>
          <w:noProof/>
          <w:lang w:val="es-DO"/>
        </w:rPr>
        <w:t>(2), 227–235. https://doi.org/10.47307/GMC.2020.128.s2.10</w:t>
      </w:r>
    </w:p>
    <w:p w14:paraId="057D2F57" w14:textId="77777777" w:rsidR="008A15F6" w:rsidRPr="008A15F6" w:rsidRDefault="008A15F6" w:rsidP="008A15F6">
      <w:pPr>
        <w:widowControl w:val="0"/>
        <w:autoSpaceDE w:val="0"/>
        <w:autoSpaceDN w:val="0"/>
        <w:adjustRightInd w:val="0"/>
        <w:ind w:left="480" w:hanging="480"/>
        <w:rPr>
          <w:noProof/>
          <w:lang w:val="en-US"/>
        </w:rPr>
      </w:pPr>
      <w:r w:rsidRPr="005911B0">
        <w:rPr>
          <w:noProof/>
          <w:lang w:val="es-DO"/>
        </w:rPr>
        <w:t xml:space="preserve">Rodríguez-Hidalgo, A. J., Pantaleón, Y., Dios, I., &amp; Falla, D. (2020). </w:t>
      </w:r>
      <w:r w:rsidRPr="008A15F6">
        <w:rPr>
          <w:noProof/>
          <w:lang w:val="en-US"/>
        </w:rPr>
        <w:t xml:space="preserve">Fear of COVID-19, stress, and anxiety in university undergraduate students: A predictive model for depression. </w:t>
      </w:r>
      <w:r w:rsidRPr="008A15F6">
        <w:rPr>
          <w:i/>
          <w:iCs/>
          <w:noProof/>
          <w:lang w:val="en-US"/>
        </w:rPr>
        <w:t>Frontiers in Psychology</w:t>
      </w:r>
      <w:r w:rsidRPr="008A15F6">
        <w:rPr>
          <w:noProof/>
          <w:lang w:val="en-US"/>
        </w:rPr>
        <w:t xml:space="preserve">, </w:t>
      </w:r>
      <w:r w:rsidRPr="008A15F6">
        <w:rPr>
          <w:i/>
          <w:iCs/>
          <w:noProof/>
          <w:lang w:val="en-US"/>
        </w:rPr>
        <w:t>11</w:t>
      </w:r>
      <w:r w:rsidRPr="008A15F6">
        <w:rPr>
          <w:noProof/>
          <w:lang w:val="en-US"/>
        </w:rPr>
        <w:t>, 591797. https://doi.org/10.3389/fpsyg.2020.591797</w:t>
      </w:r>
    </w:p>
    <w:p w14:paraId="2E8DBFAC"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Rogowska, A. M., Kuśnierz, C., &amp; Bokszczanin, A. (2020). Examining anxiety, life satisfaction, general health, stress and coping styles during COVID-19 pandemic in Polish sample of university students. </w:t>
      </w:r>
      <w:r w:rsidRPr="008A15F6">
        <w:rPr>
          <w:i/>
          <w:iCs/>
          <w:noProof/>
          <w:lang w:val="en-US"/>
        </w:rPr>
        <w:t>Psychology Research and Behavior Management</w:t>
      </w:r>
      <w:r w:rsidRPr="008A15F6">
        <w:rPr>
          <w:noProof/>
          <w:lang w:val="en-US"/>
        </w:rPr>
        <w:t xml:space="preserve">, </w:t>
      </w:r>
      <w:r w:rsidRPr="008A15F6">
        <w:rPr>
          <w:i/>
          <w:iCs/>
          <w:noProof/>
          <w:lang w:val="en-US"/>
        </w:rPr>
        <w:t>13</w:t>
      </w:r>
      <w:r w:rsidRPr="008A15F6">
        <w:rPr>
          <w:noProof/>
          <w:lang w:val="en-US"/>
        </w:rPr>
        <w:t>, 797–811. https://doi.org/10.2147/prbm.s266511</w:t>
      </w:r>
    </w:p>
    <w:p w14:paraId="0EFF03A0"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Roth, S., &amp; Cohen, L. J. (1986). Approach, avoidance, and coping with stress. </w:t>
      </w:r>
      <w:r w:rsidRPr="008A15F6">
        <w:rPr>
          <w:i/>
          <w:iCs/>
          <w:noProof/>
          <w:lang w:val="en-US"/>
        </w:rPr>
        <w:t>American Psychologist</w:t>
      </w:r>
      <w:r w:rsidRPr="008A15F6">
        <w:rPr>
          <w:noProof/>
          <w:lang w:val="en-US"/>
        </w:rPr>
        <w:t xml:space="preserve">, </w:t>
      </w:r>
      <w:r w:rsidRPr="008A15F6">
        <w:rPr>
          <w:i/>
          <w:iCs/>
          <w:noProof/>
          <w:lang w:val="en-US"/>
        </w:rPr>
        <w:t>41</w:t>
      </w:r>
      <w:r w:rsidRPr="008A15F6">
        <w:rPr>
          <w:noProof/>
          <w:lang w:val="en-US"/>
        </w:rPr>
        <w:t>(7), 813–819. https://doi.org/10.1037/0003-066X.41.7.813</w:t>
      </w:r>
    </w:p>
    <w:p w14:paraId="683AD84E"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Ryan, R. M., &amp; Deci, E. L. (2001). On happiness and human potentials: A review of research on hedonic and eudaimonic well-being. </w:t>
      </w:r>
      <w:r w:rsidRPr="008A15F6">
        <w:rPr>
          <w:i/>
          <w:iCs/>
          <w:noProof/>
          <w:lang w:val="en-US"/>
        </w:rPr>
        <w:t>Annual Review of Psychology</w:t>
      </w:r>
      <w:r w:rsidRPr="008A15F6">
        <w:rPr>
          <w:noProof/>
          <w:lang w:val="en-US"/>
        </w:rPr>
        <w:t xml:space="preserve">, </w:t>
      </w:r>
      <w:r w:rsidRPr="008A15F6">
        <w:rPr>
          <w:i/>
          <w:iCs/>
          <w:noProof/>
          <w:lang w:val="en-US"/>
        </w:rPr>
        <w:t>52</w:t>
      </w:r>
      <w:r w:rsidRPr="008A15F6">
        <w:rPr>
          <w:noProof/>
          <w:lang w:val="en-US"/>
        </w:rPr>
        <w:t>, 141–166. https://doi.org/10.1146/annurev.psych.52.1.141</w:t>
      </w:r>
    </w:p>
    <w:p w14:paraId="3489179B"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Ryff, C. D. (1989). Happiness is everything, or is it? Explorations on the meaning of psychological well-being. </w:t>
      </w:r>
      <w:r w:rsidRPr="008A15F6">
        <w:rPr>
          <w:i/>
          <w:iCs/>
          <w:noProof/>
          <w:lang w:val="en-US"/>
        </w:rPr>
        <w:t>Journal of Personality and Social Psychology</w:t>
      </w:r>
      <w:r w:rsidRPr="008A15F6">
        <w:rPr>
          <w:noProof/>
          <w:lang w:val="en-US"/>
        </w:rPr>
        <w:t xml:space="preserve">, </w:t>
      </w:r>
      <w:r w:rsidRPr="008A15F6">
        <w:rPr>
          <w:i/>
          <w:iCs/>
          <w:noProof/>
          <w:lang w:val="en-US"/>
        </w:rPr>
        <w:t>57</w:t>
      </w:r>
      <w:r w:rsidRPr="008A15F6">
        <w:rPr>
          <w:noProof/>
          <w:lang w:val="en-US"/>
        </w:rPr>
        <w:t>(6), 1069–1081. https://doi.org/10.1037/0022-3514.57.6.1069</w:t>
      </w:r>
    </w:p>
    <w:p w14:paraId="0A5B6509"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Ryff, C. D. (2014). Psychological well-being revisited: Advances in the science and practice of eudaimonia. </w:t>
      </w:r>
      <w:r w:rsidRPr="008A15F6">
        <w:rPr>
          <w:i/>
          <w:iCs/>
          <w:noProof/>
          <w:lang w:val="en-US"/>
        </w:rPr>
        <w:t>Psychotherapy and Psychosomatics</w:t>
      </w:r>
      <w:r w:rsidRPr="008A15F6">
        <w:rPr>
          <w:noProof/>
          <w:lang w:val="en-US"/>
        </w:rPr>
        <w:t xml:space="preserve">, </w:t>
      </w:r>
      <w:r w:rsidRPr="008A15F6">
        <w:rPr>
          <w:i/>
          <w:iCs/>
          <w:noProof/>
          <w:lang w:val="en-US"/>
        </w:rPr>
        <w:t>83</w:t>
      </w:r>
      <w:r w:rsidRPr="008A15F6">
        <w:rPr>
          <w:noProof/>
          <w:lang w:val="en-US"/>
        </w:rPr>
        <w:t>(1), 10–28. https://doi.org/10.1159/000353263</w:t>
      </w:r>
    </w:p>
    <w:p w14:paraId="6F3FC7EF"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Ryff, C. D., &amp; Singer, B. (1996). Psychological well-being: Meaning, measurement, and implications for psychotherapy research. </w:t>
      </w:r>
      <w:r w:rsidRPr="008A15F6">
        <w:rPr>
          <w:i/>
          <w:iCs/>
          <w:noProof/>
          <w:lang w:val="en-US"/>
        </w:rPr>
        <w:t>Psychotherapy and Psychosomatics</w:t>
      </w:r>
      <w:r w:rsidRPr="008A15F6">
        <w:rPr>
          <w:noProof/>
          <w:lang w:val="en-US"/>
        </w:rPr>
        <w:t xml:space="preserve">, </w:t>
      </w:r>
      <w:r w:rsidRPr="008A15F6">
        <w:rPr>
          <w:i/>
          <w:iCs/>
          <w:noProof/>
          <w:lang w:val="en-US"/>
        </w:rPr>
        <w:t>65</w:t>
      </w:r>
      <w:r w:rsidRPr="008A15F6">
        <w:rPr>
          <w:noProof/>
          <w:lang w:val="en-US"/>
        </w:rPr>
        <w:t>(1), 14–23. https://doi.org/10.1159/000289026</w:t>
      </w:r>
    </w:p>
    <w:p w14:paraId="7CE60878"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Salari, N., Hosseinian-Far, A., Jalali, R., Vaisi-Raygani, A., Rasoulpoor, S., Mohammadi, M., Rasoulpoor, S., &amp; Khaledi-Paveh, B. (2020). Prevalence of stress, anxiety, depression among the general population during the COVID-19 pandemic: A systematic review and meta-analysis. </w:t>
      </w:r>
      <w:r w:rsidRPr="008A15F6">
        <w:rPr>
          <w:i/>
          <w:iCs/>
          <w:noProof/>
          <w:lang w:val="en-US"/>
        </w:rPr>
        <w:t>Globalization and Health</w:t>
      </w:r>
      <w:r w:rsidRPr="008A15F6">
        <w:rPr>
          <w:noProof/>
          <w:lang w:val="en-US"/>
        </w:rPr>
        <w:t xml:space="preserve">, </w:t>
      </w:r>
      <w:r w:rsidRPr="008A15F6">
        <w:rPr>
          <w:i/>
          <w:iCs/>
          <w:noProof/>
          <w:lang w:val="en-US"/>
        </w:rPr>
        <w:t>16</w:t>
      </w:r>
      <w:r w:rsidRPr="008A15F6">
        <w:rPr>
          <w:noProof/>
          <w:lang w:val="en-US"/>
        </w:rPr>
        <w:t>, 57. https://doi.org/10.1186/s12992-020-00589-w</w:t>
      </w:r>
    </w:p>
    <w:p w14:paraId="1FDFCC1F"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Schiavi, M. C., Spina, V., &amp; Zullo, M. A. (2020). Love in the time of COVID-19: Sexual function and quality of life analysis during the social distancing measures in a group of Italian reproductive-age women. </w:t>
      </w:r>
      <w:r w:rsidRPr="008A15F6">
        <w:rPr>
          <w:i/>
          <w:iCs/>
          <w:noProof/>
          <w:lang w:val="en-US"/>
        </w:rPr>
        <w:t>The Journal of Sexual Medicine</w:t>
      </w:r>
      <w:r w:rsidRPr="008A15F6">
        <w:rPr>
          <w:noProof/>
          <w:lang w:val="en-US"/>
        </w:rPr>
        <w:t xml:space="preserve">, </w:t>
      </w:r>
      <w:r w:rsidRPr="008A15F6">
        <w:rPr>
          <w:i/>
          <w:iCs/>
          <w:noProof/>
          <w:lang w:val="en-US"/>
        </w:rPr>
        <w:t>17</w:t>
      </w:r>
      <w:r w:rsidRPr="008A15F6">
        <w:rPr>
          <w:noProof/>
          <w:lang w:val="en-US"/>
        </w:rPr>
        <w:t>, 1407e1413.</w:t>
      </w:r>
    </w:p>
    <w:p w14:paraId="67A683B9"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Stanisławski, K. (2019). The Coping Circumplex Model: An Integrative Model of the Structure of Coping With Stress. </w:t>
      </w:r>
      <w:r w:rsidRPr="008A15F6">
        <w:rPr>
          <w:i/>
          <w:iCs/>
          <w:noProof/>
          <w:lang w:val="en-US"/>
        </w:rPr>
        <w:t>Frontiers in Psychology</w:t>
      </w:r>
      <w:r w:rsidRPr="008A15F6">
        <w:rPr>
          <w:noProof/>
          <w:lang w:val="en-US"/>
        </w:rPr>
        <w:t xml:space="preserve">, </w:t>
      </w:r>
      <w:r w:rsidRPr="008A15F6">
        <w:rPr>
          <w:i/>
          <w:iCs/>
          <w:noProof/>
          <w:lang w:val="en-US"/>
        </w:rPr>
        <w:t>10</w:t>
      </w:r>
      <w:r w:rsidRPr="008A15F6">
        <w:rPr>
          <w:noProof/>
          <w:lang w:val="en-US"/>
        </w:rPr>
        <w:t>, 694. https://doi.org/10.3389/fpsyg.2019.00694</w:t>
      </w:r>
    </w:p>
    <w:p w14:paraId="7A182E77"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Tran, B. X., Nguyen, H. T., Le, H. T., Latkin, C. A., Pham, H. Q., Vu, L. G., Le, X. T. T., Nguyen, T. T., Pham, Q. T., Ta, N. T. K., Nguyen, Q. T., Ho, C. S. H., &amp; Ho, R. C. M. (2020). Impact of COVID-19 on economic well-being and quality of life of the Vietnamese during the national social distancing. </w:t>
      </w:r>
      <w:r w:rsidRPr="008A15F6">
        <w:rPr>
          <w:i/>
          <w:iCs/>
          <w:noProof/>
          <w:lang w:val="en-US"/>
        </w:rPr>
        <w:t>Frontiers in Psychology</w:t>
      </w:r>
      <w:r w:rsidRPr="008A15F6">
        <w:rPr>
          <w:noProof/>
          <w:lang w:val="en-US"/>
        </w:rPr>
        <w:t xml:space="preserve">, </w:t>
      </w:r>
      <w:r w:rsidRPr="008A15F6">
        <w:rPr>
          <w:i/>
          <w:iCs/>
          <w:noProof/>
          <w:lang w:val="en-US"/>
        </w:rPr>
        <w:t>11</w:t>
      </w:r>
      <w:r w:rsidRPr="008A15F6">
        <w:rPr>
          <w:noProof/>
          <w:lang w:val="en-US"/>
        </w:rPr>
        <w:t>, 565153. https://doi.org/10.3389/fpsyg.2020.565153</w:t>
      </w:r>
    </w:p>
    <w:p w14:paraId="0CBB7868" w14:textId="77777777" w:rsidR="008A15F6" w:rsidRPr="005911B0" w:rsidRDefault="008A15F6" w:rsidP="008A15F6">
      <w:pPr>
        <w:widowControl w:val="0"/>
        <w:autoSpaceDE w:val="0"/>
        <w:autoSpaceDN w:val="0"/>
        <w:adjustRightInd w:val="0"/>
        <w:ind w:left="480" w:hanging="480"/>
        <w:rPr>
          <w:noProof/>
          <w:lang w:val="es-DO"/>
        </w:rPr>
      </w:pPr>
      <w:r w:rsidRPr="008A15F6">
        <w:rPr>
          <w:noProof/>
          <w:lang w:val="en-US"/>
        </w:rPr>
        <w:t xml:space="preserve">Van Bavel, J. J., Baicker, K., Boggio, P. S., Capraro, V., Cichocka, A., Cikara, M., Crockett, M. J., Crum, A. J., Douglas, K. M., Druckman, J. N., Drury, J., Dube, O., Ellemers, N., Finkel, E. J., Fowler, J. H., Gelfand, M., Han, S., Haslam, S. A., Jetten, J., … Willer, R. (2020). Using social and behavioural science to support COVID-19 pandemic response. </w:t>
      </w:r>
      <w:r w:rsidRPr="005911B0">
        <w:rPr>
          <w:i/>
          <w:iCs/>
          <w:noProof/>
          <w:lang w:val="es-DO"/>
        </w:rPr>
        <w:t>Nature Human Behaviour</w:t>
      </w:r>
      <w:r w:rsidRPr="005911B0">
        <w:rPr>
          <w:noProof/>
          <w:lang w:val="es-DO"/>
        </w:rPr>
        <w:t xml:space="preserve">, </w:t>
      </w:r>
      <w:r w:rsidRPr="005911B0">
        <w:rPr>
          <w:i/>
          <w:iCs/>
          <w:noProof/>
          <w:lang w:val="es-DO"/>
        </w:rPr>
        <w:t>4</w:t>
      </w:r>
      <w:r w:rsidRPr="005911B0">
        <w:rPr>
          <w:noProof/>
          <w:lang w:val="es-DO"/>
        </w:rPr>
        <w:t>(5), 460–471. https://doi.org/10.1038/s41562-020-0884-z</w:t>
      </w:r>
    </w:p>
    <w:p w14:paraId="0F06D3EC" w14:textId="77777777" w:rsidR="008A15F6" w:rsidRPr="008A15F6" w:rsidRDefault="008A15F6" w:rsidP="008A15F6">
      <w:pPr>
        <w:widowControl w:val="0"/>
        <w:autoSpaceDE w:val="0"/>
        <w:autoSpaceDN w:val="0"/>
        <w:adjustRightInd w:val="0"/>
        <w:ind w:left="480" w:hanging="480"/>
        <w:rPr>
          <w:noProof/>
          <w:lang w:val="en-US"/>
        </w:rPr>
      </w:pPr>
      <w:r w:rsidRPr="005911B0">
        <w:rPr>
          <w:noProof/>
          <w:lang w:val="es-DO"/>
        </w:rPr>
        <w:t xml:space="preserve">van Dierendonck, D., Díaz, D., Rodríguez-Carvajal, R., Blanco, A., &amp; Moreno-Jiménez, B. (2008). </w:t>
      </w:r>
      <w:r w:rsidRPr="008A15F6">
        <w:rPr>
          <w:noProof/>
          <w:lang w:val="en-US"/>
        </w:rPr>
        <w:t xml:space="preserve">Ryff’s six-factor model of psychological well-being, a Spanish exploration. </w:t>
      </w:r>
      <w:r w:rsidRPr="008A15F6">
        <w:rPr>
          <w:i/>
          <w:iCs/>
          <w:noProof/>
          <w:lang w:val="en-US"/>
        </w:rPr>
        <w:t xml:space="preserve">Social </w:t>
      </w:r>
      <w:r w:rsidRPr="008A15F6">
        <w:rPr>
          <w:i/>
          <w:iCs/>
          <w:noProof/>
          <w:lang w:val="en-US"/>
        </w:rPr>
        <w:lastRenderedPageBreak/>
        <w:t>Indicators Research</w:t>
      </w:r>
      <w:r w:rsidRPr="008A15F6">
        <w:rPr>
          <w:noProof/>
          <w:lang w:val="en-US"/>
        </w:rPr>
        <w:t xml:space="preserve">, </w:t>
      </w:r>
      <w:r w:rsidRPr="008A15F6">
        <w:rPr>
          <w:i/>
          <w:iCs/>
          <w:noProof/>
          <w:lang w:val="en-US"/>
        </w:rPr>
        <w:t>87</w:t>
      </w:r>
      <w:r w:rsidRPr="008A15F6">
        <w:rPr>
          <w:noProof/>
          <w:lang w:val="en-US"/>
        </w:rPr>
        <w:t>(3), 473–479. https://doi.org/10.1007/s11205-007-9174-7</w:t>
      </w:r>
    </w:p>
    <w:p w14:paraId="13FCC9AC"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Wang, X., Hegde, S., Son, C., Keller, B., Smith, A., &amp; Sasangohar, F. (2020). Investigating Mental Health of US College Students During the COVID-19 Pandemic: Cross-Sectional Survey Study. </w:t>
      </w:r>
      <w:r w:rsidRPr="008A15F6">
        <w:rPr>
          <w:i/>
          <w:iCs/>
          <w:noProof/>
          <w:lang w:val="en-US"/>
        </w:rPr>
        <w:t>Journal of Medical Internet Research</w:t>
      </w:r>
      <w:r w:rsidRPr="008A15F6">
        <w:rPr>
          <w:noProof/>
          <w:lang w:val="en-US"/>
        </w:rPr>
        <w:t xml:space="preserve">, </w:t>
      </w:r>
      <w:r w:rsidRPr="008A15F6">
        <w:rPr>
          <w:i/>
          <w:iCs/>
          <w:noProof/>
          <w:lang w:val="en-US"/>
        </w:rPr>
        <w:t>22</w:t>
      </w:r>
      <w:r w:rsidRPr="008A15F6">
        <w:rPr>
          <w:noProof/>
          <w:lang w:val="en-US"/>
        </w:rPr>
        <w:t>(9), e22817. https://doi.org/10.2196/22817</w:t>
      </w:r>
    </w:p>
    <w:p w14:paraId="63D18327"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Williamson, E. J., Walker, A. J., Bhaskaran, K., Bacon, S., Bates, C., Morton, C. E., Curtis, H. J., Mehrkar, A., Evans, D., Inglesby, P., Cockburn, J., McDonald, H. I., MacKenna, B., Tomlinson, L., Douglas, I. J., Rentsch, C. T., Mathur, R., Wong, A. Y. S., Grieve, R., … Goldacre, B. (2020). Factors associated with COVID-19-related death using OpenSAFELY. </w:t>
      </w:r>
      <w:r w:rsidRPr="008A15F6">
        <w:rPr>
          <w:i/>
          <w:iCs/>
          <w:noProof/>
          <w:lang w:val="en-US"/>
        </w:rPr>
        <w:t>Nature</w:t>
      </w:r>
      <w:r w:rsidRPr="008A15F6">
        <w:rPr>
          <w:noProof/>
          <w:lang w:val="en-US"/>
        </w:rPr>
        <w:t xml:space="preserve">, </w:t>
      </w:r>
      <w:r w:rsidRPr="008A15F6">
        <w:rPr>
          <w:i/>
          <w:iCs/>
          <w:noProof/>
          <w:lang w:val="en-US"/>
        </w:rPr>
        <w:t>584</w:t>
      </w:r>
      <w:r w:rsidRPr="008A15F6">
        <w:rPr>
          <w:noProof/>
          <w:lang w:val="en-US"/>
        </w:rPr>
        <w:t>(7821), 430–436. https://doi.org/10.1038/s41586-020-2521-4</w:t>
      </w:r>
    </w:p>
    <w:p w14:paraId="77A16DCB"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Wood, D., Crapnell, T., Lau, L., Bennett, A., Lotstein, D., Ferris, M., &amp; Kuo, A. (2018). Emerging adulthood as a critical stage in the life course. In </w:t>
      </w:r>
      <w:r w:rsidRPr="008A15F6">
        <w:rPr>
          <w:i/>
          <w:iCs/>
          <w:noProof/>
          <w:lang w:val="en-US"/>
        </w:rPr>
        <w:t>Handbook of life course health development</w:t>
      </w:r>
      <w:r w:rsidRPr="008A15F6">
        <w:rPr>
          <w:noProof/>
          <w:lang w:val="en-US"/>
        </w:rPr>
        <w:t xml:space="preserve"> (pp. 123–143). Springer, Cham.</w:t>
      </w:r>
    </w:p>
    <w:p w14:paraId="06FE03E7"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World Health Organization. (2020). Considerations in adjusting public health and social measures in the context of COVID-19. In </w:t>
      </w:r>
      <w:r w:rsidRPr="008A15F6">
        <w:rPr>
          <w:i/>
          <w:iCs/>
          <w:noProof/>
          <w:lang w:val="en-US"/>
        </w:rPr>
        <w:t>World Health Organisation Interim Guidance</w:t>
      </w:r>
      <w:r w:rsidRPr="008A15F6">
        <w:rPr>
          <w:noProof/>
          <w:lang w:val="en-US"/>
        </w:rPr>
        <w:t xml:space="preserve"> (Issue November). https://www.who.int/publications-detail/risk-</w:t>
      </w:r>
    </w:p>
    <w:p w14:paraId="59E871D5" w14:textId="77777777" w:rsidR="008A15F6" w:rsidRPr="008A15F6" w:rsidRDefault="008A15F6" w:rsidP="008A15F6">
      <w:pPr>
        <w:widowControl w:val="0"/>
        <w:autoSpaceDE w:val="0"/>
        <w:autoSpaceDN w:val="0"/>
        <w:adjustRightInd w:val="0"/>
        <w:ind w:left="480" w:hanging="480"/>
        <w:rPr>
          <w:noProof/>
          <w:lang w:val="en-US"/>
        </w:rPr>
      </w:pPr>
      <w:r w:rsidRPr="008A15F6">
        <w:rPr>
          <w:noProof/>
          <w:lang w:val="en-US"/>
        </w:rPr>
        <w:t xml:space="preserve">Wu, F., Zhao, S., Yu, B., Chen, Y.-M., Wang, W., Song, Z.-G., Hu, Y., Tao, Z.-W., Tian, J.-H., Pei, Y.-Y., Yuan, M.-L., Zhang, Y.-L., Dai, F.-H., Liu, Y., Wang, Q.-M., Zheng, J.-J., Xu, L., Holmes, E. C., &amp; Zhang, Y.-Z. (2020). A new coronavirus associated with human respiratory disease in China. </w:t>
      </w:r>
      <w:r w:rsidRPr="008A15F6">
        <w:rPr>
          <w:i/>
          <w:iCs/>
          <w:noProof/>
          <w:lang w:val="en-US"/>
        </w:rPr>
        <w:t>Nature</w:t>
      </w:r>
      <w:r w:rsidRPr="008A15F6">
        <w:rPr>
          <w:noProof/>
          <w:lang w:val="en-US"/>
        </w:rPr>
        <w:t xml:space="preserve">, </w:t>
      </w:r>
      <w:r w:rsidRPr="008A15F6">
        <w:rPr>
          <w:i/>
          <w:iCs/>
          <w:noProof/>
          <w:lang w:val="en-US"/>
        </w:rPr>
        <w:t>579</w:t>
      </w:r>
      <w:r w:rsidRPr="008A15F6">
        <w:rPr>
          <w:noProof/>
          <w:lang w:val="en-US"/>
        </w:rPr>
        <w:t>, 265–269. https://doi.org/10.1038/s41586-020-2008-3</w:t>
      </w:r>
    </w:p>
    <w:p w14:paraId="4563EC11" w14:textId="77777777" w:rsidR="008A15F6" w:rsidRPr="008A15F6" w:rsidRDefault="008A15F6" w:rsidP="008A15F6">
      <w:pPr>
        <w:widowControl w:val="0"/>
        <w:autoSpaceDE w:val="0"/>
        <w:autoSpaceDN w:val="0"/>
        <w:adjustRightInd w:val="0"/>
        <w:ind w:left="480" w:hanging="480"/>
        <w:rPr>
          <w:noProof/>
        </w:rPr>
      </w:pPr>
      <w:r w:rsidRPr="008A15F6">
        <w:rPr>
          <w:noProof/>
          <w:lang w:val="en-US"/>
        </w:rPr>
        <w:t xml:space="preserve">Zacher, H., &amp; Rudolph, C. W. (2021). Individual differences and changes in subjective wellbeing during the early stages of the COVID-19 pandemic. </w:t>
      </w:r>
      <w:r w:rsidRPr="008A15F6">
        <w:rPr>
          <w:i/>
          <w:iCs/>
          <w:noProof/>
          <w:lang w:val="en-US"/>
        </w:rPr>
        <w:t>American Psychologist</w:t>
      </w:r>
      <w:r w:rsidRPr="008A15F6">
        <w:rPr>
          <w:noProof/>
          <w:lang w:val="en-US"/>
        </w:rPr>
        <w:t xml:space="preserve">, </w:t>
      </w:r>
      <w:r w:rsidRPr="008A15F6">
        <w:rPr>
          <w:i/>
          <w:iCs/>
          <w:noProof/>
          <w:lang w:val="en-US"/>
        </w:rPr>
        <w:t>76</w:t>
      </w:r>
      <w:r w:rsidRPr="008A15F6">
        <w:rPr>
          <w:noProof/>
          <w:lang w:val="en-US"/>
        </w:rPr>
        <w:t>(1), 50–62. https://doi.org/10.1037/amp0000702</w:t>
      </w:r>
    </w:p>
    <w:p w14:paraId="5CA55FC8" w14:textId="25643366" w:rsidR="00CE7D65" w:rsidRPr="00D779C8" w:rsidRDefault="00324A07" w:rsidP="008A15F6">
      <w:pPr>
        <w:widowControl w:val="0"/>
        <w:autoSpaceDE w:val="0"/>
        <w:autoSpaceDN w:val="0"/>
        <w:adjustRightInd w:val="0"/>
        <w:ind w:left="480" w:hanging="480"/>
        <w:rPr>
          <w:lang w:val="es-ES"/>
        </w:rPr>
      </w:pPr>
      <w:r>
        <w:rPr>
          <w:lang w:val="es-ES"/>
        </w:rPr>
        <w:fldChar w:fldCharType="end"/>
      </w:r>
    </w:p>
    <w:p w14:paraId="2B09FC6A" w14:textId="567745E5" w:rsidR="00594317" w:rsidRPr="00D779C8" w:rsidRDefault="00594317" w:rsidP="00616D6B">
      <w:pPr>
        <w:shd w:val="clear" w:color="auto" w:fill="FFFFFF"/>
        <w:spacing w:line="360" w:lineRule="auto"/>
        <w:jc w:val="right"/>
        <w:rPr>
          <w:i/>
          <w:iCs/>
          <w:sz w:val="20"/>
          <w:szCs w:val="20"/>
          <w:lang w:val="es-ES"/>
        </w:rPr>
      </w:pPr>
      <w:r w:rsidRPr="00D779C8">
        <w:rPr>
          <w:i/>
          <w:iCs/>
          <w:sz w:val="20"/>
          <w:szCs w:val="20"/>
          <w:lang w:val="es-ES"/>
        </w:rPr>
        <w:t xml:space="preserve">Received: </w:t>
      </w:r>
    </w:p>
    <w:p w14:paraId="0C84C4CC" w14:textId="38C145D9" w:rsidR="00594317" w:rsidRPr="00D779C8" w:rsidRDefault="00594317" w:rsidP="00616D6B">
      <w:pPr>
        <w:shd w:val="clear" w:color="auto" w:fill="FFFFFF"/>
        <w:spacing w:line="360" w:lineRule="auto"/>
        <w:jc w:val="right"/>
        <w:rPr>
          <w:i/>
          <w:iCs/>
          <w:sz w:val="20"/>
          <w:szCs w:val="20"/>
          <w:lang w:val="es-ES"/>
        </w:rPr>
      </w:pPr>
      <w:r w:rsidRPr="00D779C8">
        <w:rPr>
          <w:i/>
          <w:iCs/>
          <w:sz w:val="20"/>
          <w:szCs w:val="20"/>
          <w:lang w:val="es-ES"/>
        </w:rPr>
        <w:t>Accepted:</w:t>
      </w:r>
      <w:r w:rsidR="007C3C14" w:rsidRPr="00D779C8">
        <w:rPr>
          <w:rFonts w:ascii="Segoe UI" w:hAnsi="Segoe UI" w:cs="Segoe UI"/>
          <w:sz w:val="21"/>
          <w:szCs w:val="21"/>
          <w:shd w:val="clear" w:color="auto" w:fill="FFFFFF"/>
          <w:lang w:val="es-ES"/>
        </w:rPr>
        <w:t xml:space="preserve"> </w:t>
      </w:r>
    </w:p>
    <w:p w14:paraId="2E2DA350" w14:textId="4A3B71D2" w:rsidR="002B644E" w:rsidRPr="00324A07" w:rsidRDefault="002B644E" w:rsidP="00616D6B">
      <w:pPr>
        <w:spacing w:line="360" w:lineRule="auto"/>
        <w:rPr>
          <w:i/>
          <w:sz w:val="28"/>
          <w:szCs w:val="28"/>
          <w:lang w:val="es-ES"/>
        </w:rPr>
      </w:pPr>
    </w:p>
    <w:sectPr w:rsidR="002B644E" w:rsidRPr="00324A07" w:rsidSect="0059034C">
      <w:headerReference w:type="even" r:id="rId14"/>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EF61F" w14:textId="77777777" w:rsidR="00826B91" w:rsidRDefault="00826B91" w:rsidP="00C413D4">
      <w:r>
        <w:separator/>
      </w:r>
    </w:p>
  </w:endnote>
  <w:endnote w:type="continuationSeparator" w:id="0">
    <w:p w14:paraId="119B5944" w14:textId="77777777" w:rsidR="00826B91" w:rsidRDefault="00826B91" w:rsidP="00C413D4">
      <w:r>
        <w:continuationSeparator/>
      </w:r>
    </w:p>
  </w:endnote>
  <w:endnote w:type="continuationNotice" w:id="1">
    <w:p w14:paraId="449C77DB" w14:textId="77777777" w:rsidR="00826B91" w:rsidRDefault="00826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
    <w:panose1 w:val="00000500000000020000"/>
    <w:charset w:val="00"/>
    <w:family w:val="auto"/>
    <w:pitch w:val="variable"/>
    <w:sig w:usb0="E0002EFF" w:usb1="D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8B6B1B" w:rsidRDefault="008B6B1B"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8B6B1B" w:rsidRDefault="008B6B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8B6B1B" w:rsidRDefault="008B6B1B"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8B6B1B" w:rsidRDefault="008B6B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728C7" w14:textId="77777777" w:rsidR="00826B91" w:rsidRDefault="00826B91" w:rsidP="00C413D4">
      <w:r>
        <w:separator/>
      </w:r>
    </w:p>
  </w:footnote>
  <w:footnote w:type="continuationSeparator" w:id="0">
    <w:p w14:paraId="6AB4453A" w14:textId="77777777" w:rsidR="00826B91" w:rsidRDefault="00826B91" w:rsidP="00C413D4">
      <w:r>
        <w:continuationSeparator/>
      </w:r>
    </w:p>
  </w:footnote>
  <w:footnote w:type="continuationNotice" w:id="1">
    <w:p w14:paraId="01E81E0E" w14:textId="77777777" w:rsidR="00826B91" w:rsidRDefault="00826B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59720C49" w:rsidR="008B6B1B" w:rsidRPr="00B02133" w:rsidRDefault="008B6B1B" w:rsidP="0059034C">
    <w:pPr>
      <w:pStyle w:val="Encabezado"/>
      <w:jc w:val="center"/>
      <w:rPr>
        <w:rFonts w:ascii="Times" w:hAnsi="Times" w:cs="Times New Roman (Body CS)"/>
        <w:iCs/>
        <w:smallCaps/>
        <w:sz w:val="20"/>
        <w:szCs w:val="20"/>
        <w:lang w:val="es-AR"/>
      </w:rPr>
    </w:pPr>
    <w:r>
      <w:rPr>
        <w:rFonts w:ascii="Times" w:hAnsi="Times" w:cs="Times New Roman (Body CS)"/>
        <w:iCs/>
        <w:smallCaps/>
        <w:sz w:val="20"/>
        <w:szCs w:val="20"/>
        <w:lang w:val="es-ES"/>
      </w:rPr>
      <w:t>AFRONTAMIENTO Y BIENESTAR PSICOLÓGICO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8B6B1B" w:rsidRDefault="008B6B1B"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222FC2C2">
      <w:rPr>
        <w:rFonts w:ascii="Times" w:hAnsi="Times"/>
        <w:b/>
        <w:bCs/>
        <w:i/>
        <w:iCs/>
        <w:sz w:val="18"/>
        <w:szCs w:val="18"/>
        <w:lang w:val="es-ES"/>
      </w:rPr>
      <w:t>Revista Interamericana de Psicología/Interamerican Journal of Psychology</w:t>
    </w:r>
  </w:p>
  <w:p w14:paraId="4669E1FB" w14:textId="63BBF008" w:rsidR="008B6B1B" w:rsidRDefault="008B6B1B" w:rsidP="00977250">
    <w:pPr>
      <w:pStyle w:val="Encabezado"/>
      <w:jc w:val="right"/>
    </w:pPr>
    <w:r w:rsidRPr="00977250">
      <w:rPr>
        <w:rFonts w:ascii="Times" w:hAnsi="Times"/>
        <w:i/>
        <w:sz w:val="18"/>
        <w:szCs w:val="18"/>
        <w:lang w:val="es-ES"/>
      </w:rPr>
      <w:t>Manuscript submission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removePersonalInformation/>
  <w:removeDateAndTim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10C48"/>
    <w:rsid w:val="0002193E"/>
    <w:rsid w:val="00032EB4"/>
    <w:rsid w:val="000365CA"/>
    <w:rsid w:val="000449AC"/>
    <w:rsid w:val="000616F3"/>
    <w:rsid w:val="000642E3"/>
    <w:rsid w:val="00076F0A"/>
    <w:rsid w:val="0008275A"/>
    <w:rsid w:val="00087EC6"/>
    <w:rsid w:val="000A4FD3"/>
    <w:rsid w:val="000F18DB"/>
    <w:rsid w:val="000F625C"/>
    <w:rsid w:val="00103F12"/>
    <w:rsid w:val="001253E7"/>
    <w:rsid w:val="00127870"/>
    <w:rsid w:val="00131D28"/>
    <w:rsid w:val="00133F41"/>
    <w:rsid w:val="0014487F"/>
    <w:rsid w:val="001516ED"/>
    <w:rsid w:val="00153DC5"/>
    <w:rsid w:val="0015691C"/>
    <w:rsid w:val="00170C06"/>
    <w:rsid w:val="00175292"/>
    <w:rsid w:val="00182DD5"/>
    <w:rsid w:val="001C5860"/>
    <w:rsid w:val="001D28C6"/>
    <w:rsid w:val="001F7509"/>
    <w:rsid w:val="00200876"/>
    <w:rsid w:val="002063E6"/>
    <w:rsid w:val="00206694"/>
    <w:rsid w:val="00215961"/>
    <w:rsid w:val="002306B8"/>
    <w:rsid w:val="0023076E"/>
    <w:rsid w:val="00234E5C"/>
    <w:rsid w:val="00246D04"/>
    <w:rsid w:val="002624E0"/>
    <w:rsid w:val="00271502"/>
    <w:rsid w:val="00285FD3"/>
    <w:rsid w:val="00294547"/>
    <w:rsid w:val="00297AFB"/>
    <w:rsid w:val="002B2297"/>
    <w:rsid w:val="002B644E"/>
    <w:rsid w:val="002C009C"/>
    <w:rsid w:val="002C1EB1"/>
    <w:rsid w:val="002C3218"/>
    <w:rsid w:val="002C3A8D"/>
    <w:rsid w:val="002C7C6D"/>
    <w:rsid w:val="002C7DF0"/>
    <w:rsid w:val="002D1053"/>
    <w:rsid w:val="002E0320"/>
    <w:rsid w:val="002E754A"/>
    <w:rsid w:val="002F070D"/>
    <w:rsid w:val="002F257B"/>
    <w:rsid w:val="002F38C8"/>
    <w:rsid w:val="00302C5C"/>
    <w:rsid w:val="00324A07"/>
    <w:rsid w:val="003343CD"/>
    <w:rsid w:val="003601F2"/>
    <w:rsid w:val="00385F6E"/>
    <w:rsid w:val="003909A7"/>
    <w:rsid w:val="00390E2A"/>
    <w:rsid w:val="00394732"/>
    <w:rsid w:val="003B5761"/>
    <w:rsid w:val="003C0262"/>
    <w:rsid w:val="003C4AA4"/>
    <w:rsid w:val="003D5A33"/>
    <w:rsid w:val="003E18EB"/>
    <w:rsid w:val="003E4B06"/>
    <w:rsid w:val="0042142D"/>
    <w:rsid w:val="00430C97"/>
    <w:rsid w:val="00447E89"/>
    <w:rsid w:val="004523FC"/>
    <w:rsid w:val="00475FC0"/>
    <w:rsid w:val="00480BAA"/>
    <w:rsid w:val="00483D6B"/>
    <w:rsid w:val="00483F77"/>
    <w:rsid w:val="0048651A"/>
    <w:rsid w:val="00491E9A"/>
    <w:rsid w:val="004B1F9D"/>
    <w:rsid w:val="004B4630"/>
    <w:rsid w:val="004C0823"/>
    <w:rsid w:val="004C1FD8"/>
    <w:rsid w:val="004C2A6E"/>
    <w:rsid w:val="004D5719"/>
    <w:rsid w:val="004D5BD5"/>
    <w:rsid w:val="00507B29"/>
    <w:rsid w:val="00542090"/>
    <w:rsid w:val="00554C1F"/>
    <w:rsid w:val="00575541"/>
    <w:rsid w:val="00576894"/>
    <w:rsid w:val="005813E0"/>
    <w:rsid w:val="0059034C"/>
    <w:rsid w:val="005911B0"/>
    <w:rsid w:val="0059276B"/>
    <w:rsid w:val="00594317"/>
    <w:rsid w:val="005B5614"/>
    <w:rsid w:val="005B75C5"/>
    <w:rsid w:val="005B7764"/>
    <w:rsid w:val="005C7724"/>
    <w:rsid w:val="005D37DB"/>
    <w:rsid w:val="0061199D"/>
    <w:rsid w:val="00616D6B"/>
    <w:rsid w:val="006172F1"/>
    <w:rsid w:val="00622DB1"/>
    <w:rsid w:val="00664B7D"/>
    <w:rsid w:val="00676152"/>
    <w:rsid w:val="006830A2"/>
    <w:rsid w:val="006937D3"/>
    <w:rsid w:val="006940CB"/>
    <w:rsid w:val="0069511C"/>
    <w:rsid w:val="006A1BA2"/>
    <w:rsid w:val="006B0812"/>
    <w:rsid w:val="006B088F"/>
    <w:rsid w:val="006B3F1E"/>
    <w:rsid w:val="006C21BC"/>
    <w:rsid w:val="006D0611"/>
    <w:rsid w:val="006F6924"/>
    <w:rsid w:val="006F7E7E"/>
    <w:rsid w:val="00700F77"/>
    <w:rsid w:val="00704ECD"/>
    <w:rsid w:val="00711253"/>
    <w:rsid w:val="00724F5C"/>
    <w:rsid w:val="00725170"/>
    <w:rsid w:val="0073225E"/>
    <w:rsid w:val="0074214E"/>
    <w:rsid w:val="00742E4A"/>
    <w:rsid w:val="00745D51"/>
    <w:rsid w:val="00770AE4"/>
    <w:rsid w:val="007724A5"/>
    <w:rsid w:val="00780838"/>
    <w:rsid w:val="007843A0"/>
    <w:rsid w:val="0078702D"/>
    <w:rsid w:val="00795D57"/>
    <w:rsid w:val="0079793F"/>
    <w:rsid w:val="007A7ACF"/>
    <w:rsid w:val="007A7C7C"/>
    <w:rsid w:val="007A7CDC"/>
    <w:rsid w:val="007C3C14"/>
    <w:rsid w:val="007D0A4D"/>
    <w:rsid w:val="007E34D6"/>
    <w:rsid w:val="007E3B8D"/>
    <w:rsid w:val="007F7C5F"/>
    <w:rsid w:val="00804F9D"/>
    <w:rsid w:val="008114AC"/>
    <w:rsid w:val="008151AB"/>
    <w:rsid w:val="00816268"/>
    <w:rsid w:val="00824D3A"/>
    <w:rsid w:val="00826B91"/>
    <w:rsid w:val="0083781E"/>
    <w:rsid w:val="00847FE6"/>
    <w:rsid w:val="00856112"/>
    <w:rsid w:val="00863414"/>
    <w:rsid w:val="0086668F"/>
    <w:rsid w:val="00872EFD"/>
    <w:rsid w:val="00876345"/>
    <w:rsid w:val="00880120"/>
    <w:rsid w:val="008A15F6"/>
    <w:rsid w:val="008B0F10"/>
    <w:rsid w:val="008B6B1B"/>
    <w:rsid w:val="008C409A"/>
    <w:rsid w:val="008C775E"/>
    <w:rsid w:val="008D509E"/>
    <w:rsid w:val="008D7D44"/>
    <w:rsid w:val="008F7064"/>
    <w:rsid w:val="009032D5"/>
    <w:rsid w:val="00903DEB"/>
    <w:rsid w:val="00911249"/>
    <w:rsid w:val="0094722C"/>
    <w:rsid w:val="00950C54"/>
    <w:rsid w:val="00974382"/>
    <w:rsid w:val="00977250"/>
    <w:rsid w:val="009850BE"/>
    <w:rsid w:val="00993223"/>
    <w:rsid w:val="00993241"/>
    <w:rsid w:val="009A583F"/>
    <w:rsid w:val="009A6D78"/>
    <w:rsid w:val="009B3EF3"/>
    <w:rsid w:val="009C2855"/>
    <w:rsid w:val="009D106B"/>
    <w:rsid w:val="009D2551"/>
    <w:rsid w:val="009D4C61"/>
    <w:rsid w:val="009E3401"/>
    <w:rsid w:val="009E37BF"/>
    <w:rsid w:val="009E5BC3"/>
    <w:rsid w:val="00A062C9"/>
    <w:rsid w:val="00A0757C"/>
    <w:rsid w:val="00A158C3"/>
    <w:rsid w:val="00A2147B"/>
    <w:rsid w:val="00A30790"/>
    <w:rsid w:val="00A457D0"/>
    <w:rsid w:val="00A516C7"/>
    <w:rsid w:val="00A5359C"/>
    <w:rsid w:val="00A54B87"/>
    <w:rsid w:val="00A62218"/>
    <w:rsid w:val="00A721E0"/>
    <w:rsid w:val="00A741BB"/>
    <w:rsid w:val="00A871FB"/>
    <w:rsid w:val="00A924CA"/>
    <w:rsid w:val="00A93146"/>
    <w:rsid w:val="00A95470"/>
    <w:rsid w:val="00A96141"/>
    <w:rsid w:val="00AC75CB"/>
    <w:rsid w:val="00AD2100"/>
    <w:rsid w:val="00AD3238"/>
    <w:rsid w:val="00AE48D4"/>
    <w:rsid w:val="00AF575C"/>
    <w:rsid w:val="00B02133"/>
    <w:rsid w:val="00B06283"/>
    <w:rsid w:val="00B1142B"/>
    <w:rsid w:val="00B12E91"/>
    <w:rsid w:val="00B13EC9"/>
    <w:rsid w:val="00B318BE"/>
    <w:rsid w:val="00B3212F"/>
    <w:rsid w:val="00B35B61"/>
    <w:rsid w:val="00B4658B"/>
    <w:rsid w:val="00B507EC"/>
    <w:rsid w:val="00B511FB"/>
    <w:rsid w:val="00B60E75"/>
    <w:rsid w:val="00B6522A"/>
    <w:rsid w:val="00B74D71"/>
    <w:rsid w:val="00B83A6E"/>
    <w:rsid w:val="00B845A1"/>
    <w:rsid w:val="00B85EC6"/>
    <w:rsid w:val="00B9678D"/>
    <w:rsid w:val="00BC0FEF"/>
    <w:rsid w:val="00BC2AFB"/>
    <w:rsid w:val="00BD26F5"/>
    <w:rsid w:val="00BF303E"/>
    <w:rsid w:val="00BF59E7"/>
    <w:rsid w:val="00C413D4"/>
    <w:rsid w:val="00C42F93"/>
    <w:rsid w:val="00C43335"/>
    <w:rsid w:val="00C438C1"/>
    <w:rsid w:val="00C444E9"/>
    <w:rsid w:val="00C64ECF"/>
    <w:rsid w:val="00C7301E"/>
    <w:rsid w:val="00C84812"/>
    <w:rsid w:val="00CA3BFF"/>
    <w:rsid w:val="00CA3C92"/>
    <w:rsid w:val="00CB631E"/>
    <w:rsid w:val="00CC2A55"/>
    <w:rsid w:val="00CD1EDF"/>
    <w:rsid w:val="00CE1837"/>
    <w:rsid w:val="00CE6344"/>
    <w:rsid w:val="00CE7D65"/>
    <w:rsid w:val="00CF4E1F"/>
    <w:rsid w:val="00CF5D21"/>
    <w:rsid w:val="00D36102"/>
    <w:rsid w:val="00D609BB"/>
    <w:rsid w:val="00D62417"/>
    <w:rsid w:val="00D779C8"/>
    <w:rsid w:val="00D94A3F"/>
    <w:rsid w:val="00DB4830"/>
    <w:rsid w:val="00DB4A71"/>
    <w:rsid w:val="00DB6400"/>
    <w:rsid w:val="00DC20AF"/>
    <w:rsid w:val="00DC3714"/>
    <w:rsid w:val="00DD0CD4"/>
    <w:rsid w:val="00DE1119"/>
    <w:rsid w:val="00DE5ACC"/>
    <w:rsid w:val="00DF211D"/>
    <w:rsid w:val="00DF3374"/>
    <w:rsid w:val="00E00CFF"/>
    <w:rsid w:val="00E12D18"/>
    <w:rsid w:val="00E25900"/>
    <w:rsid w:val="00E26883"/>
    <w:rsid w:val="00E3671F"/>
    <w:rsid w:val="00E416F6"/>
    <w:rsid w:val="00E449A9"/>
    <w:rsid w:val="00E51452"/>
    <w:rsid w:val="00E55124"/>
    <w:rsid w:val="00E63022"/>
    <w:rsid w:val="00E97D42"/>
    <w:rsid w:val="00EA6646"/>
    <w:rsid w:val="00EB213C"/>
    <w:rsid w:val="00ED2663"/>
    <w:rsid w:val="00F0420B"/>
    <w:rsid w:val="00F11C6D"/>
    <w:rsid w:val="00F1589F"/>
    <w:rsid w:val="00F21272"/>
    <w:rsid w:val="00FA1BBD"/>
    <w:rsid w:val="00FB0419"/>
    <w:rsid w:val="00FB24D0"/>
    <w:rsid w:val="00FC5C57"/>
    <w:rsid w:val="00FD2D27"/>
    <w:rsid w:val="00FE4EC9"/>
    <w:rsid w:val="00FF2DD0"/>
    <w:rsid w:val="0B2248F5"/>
    <w:rsid w:val="222FC2C2"/>
    <w:rsid w:val="2A9567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1">
    <w:name w:val="heading 1"/>
    <w:basedOn w:val="Normal"/>
    <w:next w:val="Normal"/>
    <w:link w:val="Ttulo1Car"/>
    <w:uiPriority w:val="9"/>
    <w:qFormat/>
    <w:rsid w:val="007843A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554C1F"/>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554C1F"/>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D779C8"/>
    <w:pPr>
      <w:spacing w:line="360" w:lineRule="auto"/>
      <w:jc w:val="center"/>
      <w:outlineLvl w:val="0"/>
    </w:pPr>
    <w:rPr>
      <w:b/>
      <w:bCs/>
      <w:lang w:val="es-ES"/>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D779C8"/>
    <w:rPr>
      <w:rFonts w:ascii="Times New Roman" w:eastAsia="Times New Roman" w:hAnsi="Times New Roman" w:cs="Times New Roman"/>
      <w:b/>
      <w:bCs/>
      <w:lang w:val="es-ES"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styleId="HTMLconformatoprevio">
    <w:name w:val="HTML Preformatted"/>
    <w:basedOn w:val="Normal"/>
    <w:link w:val="HTMLconformatoprevioCar"/>
    <w:uiPriority w:val="99"/>
    <w:semiHidden/>
    <w:unhideWhenUsed/>
    <w:rsid w:val="00D77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conformatoprevioCar">
    <w:name w:val="HTML con formato previo Car"/>
    <w:basedOn w:val="Fuentedeprrafopredeter"/>
    <w:link w:val="HTMLconformatoprevio"/>
    <w:uiPriority w:val="99"/>
    <w:semiHidden/>
    <w:rsid w:val="00D779C8"/>
    <w:rPr>
      <w:rFonts w:ascii="Courier New" w:eastAsia="Times New Roman" w:hAnsi="Courier New" w:cs="Courier New"/>
      <w:sz w:val="20"/>
      <w:szCs w:val="20"/>
    </w:rPr>
  </w:style>
  <w:style w:type="character" w:customStyle="1" w:styleId="Ttulo1Car">
    <w:name w:val="Título 1 Car"/>
    <w:basedOn w:val="Fuentedeprrafopredeter"/>
    <w:link w:val="Ttulo1"/>
    <w:uiPriority w:val="9"/>
    <w:rsid w:val="007843A0"/>
    <w:rPr>
      <w:rFonts w:asciiTheme="majorHAnsi" w:eastAsiaTheme="majorEastAsia" w:hAnsiTheme="majorHAnsi" w:cstheme="majorBidi"/>
      <w:color w:val="2F5496" w:themeColor="accent1" w:themeShade="BF"/>
      <w:sz w:val="32"/>
      <w:szCs w:val="32"/>
      <w:lang w:val="es-AR" w:eastAsia="es-ES_tradnl"/>
    </w:rPr>
  </w:style>
  <w:style w:type="character" w:customStyle="1" w:styleId="font91">
    <w:name w:val="font91"/>
    <w:basedOn w:val="Fuentedeprrafopredeter"/>
    <w:rsid w:val="0023076E"/>
    <w:rPr>
      <w:rFonts w:ascii="Times" w:hAnsi="Times" w:hint="default"/>
      <w:b w:val="0"/>
      <w:bCs w:val="0"/>
      <w:i/>
      <w:iCs/>
      <w:color w:val="000000"/>
      <w:sz w:val="20"/>
      <w:szCs w:val="20"/>
      <w:u w:val="none"/>
      <w:effect w:val="none"/>
    </w:rPr>
  </w:style>
  <w:style w:type="character" w:customStyle="1" w:styleId="font81">
    <w:name w:val="font81"/>
    <w:basedOn w:val="Fuentedeprrafopredeter"/>
    <w:rsid w:val="0023076E"/>
    <w:rPr>
      <w:rFonts w:ascii="Times" w:hAnsi="Times" w:hint="default"/>
      <w:b w:val="0"/>
      <w:bCs w:val="0"/>
      <w:i w:val="0"/>
      <w:iCs w:val="0"/>
      <w:color w:val="000000"/>
      <w:sz w:val="20"/>
      <w:szCs w:val="20"/>
      <w:u w:val="none"/>
      <w:effect w:val="none"/>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AR" w:eastAsia="es-ES_tradnl"/>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280308581">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190795710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sChild>
    </w:div>
    <w:div w:id="113404125">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99320359">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35807346">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560632757">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620916981">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46098286">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90245105">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1712463305">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4257533">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 w:id="21086471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sych.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C36EBBDE92E147B27F92504551F194" ma:contentTypeVersion="4" ma:contentTypeDescription="Crear nuevo documento." ma:contentTypeScope="" ma:versionID="33a7b514aa86b8826dba6a1350b9fa7c">
  <xsd:schema xmlns:xsd="http://www.w3.org/2001/XMLSchema" xmlns:xs="http://www.w3.org/2001/XMLSchema" xmlns:p="http://schemas.microsoft.com/office/2006/metadata/properties" xmlns:ns2="7a29bf4e-a788-4eaf-95fd-a1c1c2c2b3e0" targetNamespace="http://schemas.microsoft.com/office/2006/metadata/properties" ma:root="true" ma:fieldsID="c84a7c6329c8f17b771faba55535a1e3" ns2:_="">
    <xsd:import namespace="7a29bf4e-a788-4eaf-95fd-a1c1c2c2b3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9bf4e-a788-4eaf-95fd-a1c1c2c2b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398E73-FCD7-4C2D-9A7A-689C086C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9bf4e-a788-4eaf-95fd-a1c1c2c2b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customXml/itemProps3.xml><?xml version="1.0" encoding="utf-8"?>
<ds:datastoreItem xmlns:ds="http://schemas.openxmlformats.org/officeDocument/2006/customXml" ds:itemID="{F46F6C54-3E48-4891-8638-C223D2CABCDA}">
  <ds:schemaRefs>
    <ds:schemaRef ds:uri="http://schemas.microsoft.com/sharepoint/v3/contenttype/forms"/>
  </ds:schemaRefs>
</ds:datastoreItem>
</file>

<file path=customXml/itemProps4.xml><?xml version="1.0" encoding="utf-8"?>
<ds:datastoreItem xmlns:ds="http://schemas.openxmlformats.org/officeDocument/2006/customXml" ds:itemID="{53013B6C-FF62-4FAF-84AC-BA936D4D77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6838</Words>
  <Characters>40353</Characters>
  <Application>Microsoft Office Word</Application>
  <DocSecurity>0</DocSecurity>
  <Lines>1253</Lines>
  <Paragraphs>532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cp:lastPrinted>2020-04-16T16:22:00Z</cp:lastPrinted>
  <dcterms:created xsi:type="dcterms:W3CDTF">2021-02-09T16:39:00Z</dcterms:created>
  <dcterms:modified xsi:type="dcterms:W3CDTF">2021-02-09T20:28:00Z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0d19fa4d-4ac4-307f-ac4f-74c4b00a2cc8</vt:lpwstr>
  </property>
  <property fmtid="{D5CDD505-2E9C-101B-9397-08002B2CF9AE}" pid="24" name="Mendeley Citation Style_1">
    <vt:lpwstr>http://www.zotero.org/styles/apa</vt:lpwstr>
  </property>
  <property fmtid="{D5CDD505-2E9C-101B-9397-08002B2CF9AE}" pid="25" name="ContentTypeId">
    <vt:lpwstr>0x010100A6C36EBBDE92E147B27F92504551F194</vt:lpwstr>
  </property>
</Properties>
</file>