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0680D" w14:textId="5E95286A" w:rsidR="00AE717F" w:rsidRPr="00AE717F" w:rsidRDefault="00AE717F" w:rsidP="00AE717F">
      <w:pPr>
        <w:pStyle w:val="Titulodeartculo"/>
        <w:rPr>
          <w:bCs/>
          <w:lang w:val="es-ES"/>
        </w:rPr>
      </w:pPr>
      <w:bookmarkStart w:id="0" w:name="_Hlk64133921"/>
      <w:r w:rsidRPr="00AE717F">
        <w:rPr>
          <w:bCs/>
          <w:lang w:val="es-ES"/>
        </w:rPr>
        <w:t>Validez estructural e invarianza del </w:t>
      </w:r>
      <w:r w:rsidRPr="00AE717F">
        <w:rPr>
          <w:bCs/>
          <w:i/>
          <w:iCs/>
          <w:lang w:val="es-ES"/>
        </w:rPr>
        <w:t>Reactive/Proactive Aggression Questionaire</w:t>
      </w:r>
      <w:r w:rsidRPr="00AE717F">
        <w:rPr>
          <w:bCs/>
          <w:lang w:val="es-ES"/>
        </w:rPr>
        <w:t> </w:t>
      </w:r>
      <w:r w:rsidR="00A96D7A">
        <w:rPr>
          <w:bCs/>
          <w:lang w:val="es-ES"/>
        </w:rPr>
        <w:t xml:space="preserve">(RPQ) </w:t>
      </w:r>
      <w:r w:rsidRPr="00AE717F">
        <w:rPr>
          <w:bCs/>
          <w:lang w:val="es-ES"/>
        </w:rPr>
        <w:t xml:space="preserve">en adolescentes infractores y no infractores </w:t>
      </w:r>
      <w:r w:rsidR="00A96D7A">
        <w:rPr>
          <w:bCs/>
          <w:lang w:val="es-ES"/>
        </w:rPr>
        <w:t>de Lima Metropolitana</w:t>
      </w:r>
    </w:p>
    <w:bookmarkEnd w:id="0"/>
    <w:p w14:paraId="7119B6A5" w14:textId="77777777" w:rsidR="00AE717F" w:rsidRDefault="00AE717F" w:rsidP="008D54E0">
      <w:pPr>
        <w:pStyle w:val="Titulodeartculo"/>
        <w:rPr>
          <w:lang w:val="en"/>
        </w:rPr>
      </w:pPr>
    </w:p>
    <w:p w14:paraId="6C942DCA" w14:textId="0A5EC78A" w:rsidR="00B845A1" w:rsidRPr="00107993" w:rsidRDefault="008D54E0" w:rsidP="008D54E0">
      <w:pPr>
        <w:pStyle w:val="Titulodeartculo"/>
        <w:rPr>
          <w:i/>
          <w:sz w:val="28"/>
          <w:szCs w:val="28"/>
          <w:lang w:val="en-US"/>
        </w:rPr>
      </w:pPr>
      <w:r w:rsidRPr="008D54E0">
        <w:rPr>
          <w:lang w:val="en"/>
        </w:rPr>
        <w:t>Structural validity and invariance of the Reactive / Proactive Aggression Questionnaire (RPQ) in offenders and non-offenders adolescents in Metropolitan Lima</w:t>
      </w: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BF1C075" w14:textId="7C182522" w:rsidR="00C413D4" w:rsidRPr="0027261B" w:rsidRDefault="008D54E0" w:rsidP="005B5614">
      <w:pPr>
        <w:jc w:val="both"/>
        <w:rPr>
          <w:sz w:val="20"/>
          <w:szCs w:val="20"/>
          <w:lang w:val="es-AR"/>
        </w:rPr>
      </w:pPr>
      <w:r w:rsidRPr="008D54E0">
        <w:rPr>
          <w:sz w:val="20"/>
          <w:szCs w:val="20"/>
          <w:lang w:val="en"/>
        </w:rPr>
        <w:t>The aim of this paper is analyzing the structural validity and invariance of the reactive / proactive aggression questionnaire (RPQ) in offenders and non-offenders adolescents. To this end, 344 male adolescents from Metropolitan Lima were intentionally selected, whose ages are between 15 and 17 years (</w:t>
      </w:r>
      <w:r w:rsidRPr="008D54E0">
        <w:rPr>
          <w:i/>
          <w:iCs/>
          <w:sz w:val="20"/>
          <w:szCs w:val="20"/>
          <w:lang w:val="en"/>
        </w:rPr>
        <w:t>M</w:t>
      </w:r>
      <w:r w:rsidRPr="008D54E0">
        <w:rPr>
          <w:sz w:val="20"/>
          <w:szCs w:val="20"/>
          <w:lang w:val="en"/>
        </w:rPr>
        <w:t xml:space="preserve"> </w:t>
      </w:r>
      <w:r w:rsidRPr="008D54E0">
        <w:rPr>
          <w:sz w:val="20"/>
          <w:szCs w:val="20"/>
          <w:vertAlign w:val="subscript"/>
          <w:lang w:val="en"/>
        </w:rPr>
        <w:t>age</w:t>
      </w:r>
      <w:r w:rsidRPr="008D54E0">
        <w:rPr>
          <w:sz w:val="20"/>
          <w:szCs w:val="20"/>
          <w:lang w:val="en"/>
        </w:rPr>
        <w:t xml:space="preserve"> = 16.055, </w:t>
      </w:r>
      <w:r w:rsidRPr="008D54E0">
        <w:rPr>
          <w:i/>
          <w:iCs/>
          <w:sz w:val="20"/>
          <w:szCs w:val="20"/>
          <w:lang w:val="en"/>
        </w:rPr>
        <w:t>SD</w:t>
      </w:r>
      <w:r w:rsidRPr="008D54E0">
        <w:rPr>
          <w:sz w:val="20"/>
          <w:szCs w:val="20"/>
          <w:lang w:val="en"/>
        </w:rPr>
        <w:t xml:space="preserve"> </w:t>
      </w:r>
      <w:r w:rsidRPr="008D54E0">
        <w:rPr>
          <w:sz w:val="20"/>
          <w:szCs w:val="20"/>
          <w:vertAlign w:val="subscript"/>
          <w:lang w:val="en"/>
        </w:rPr>
        <w:t>age</w:t>
      </w:r>
      <w:r w:rsidRPr="008D54E0">
        <w:rPr>
          <w:sz w:val="20"/>
          <w:szCs w:val="20"/>
          <w:lang w:val="en"/>
        </w:rPr>
        <w:t xml:space="preserve"> = 0.674), of which 51.16% were offenders. The results show that the two-dimensional model of the RPQ presents adequate fit indices (SB-χ2 = 461.463 </w:t>
      </w:r>
      <w:r w:rsidRPr="008D54E0">
        <w:rPr>
          <w:sz w:val="20"/>
          <w:szCs w:val="20"/>
          <w:vertAlign w:val="subscript"/>
          <w:lang w:val="en"/>
        </w:rPr>
        <w:t>(229)</w:t>
      </w:r>
      <w:r w:rsidRPr="008D54E0">
        <w:rPr>
          <w:sz w:val="20"/>
          <w:szCs w:val="20"/>
          <w:lang w:val="en"/>
        </w:rPr>
        <w:t>, CFI = .914, RMSEA = .054 [.047-.062]). In addition, the configurational, metric, scalar and strict invariance was established in both groups. Adequate omega coefficients are reported for Reactive Aggression (ω = .797) and Proactive Aggression (ω = .837). It is concluded that the RPQ is a two-dimensional, parsimonious, and interpretable measure that measures without bias reactive and proactive aggression in institutionalized and non-institutionalized adolescents</w:t>
      </w:r>
      <w:r w:rsidR="00153DC5" w:rsidRPr="0027261B">
        <w:rPr>
          <w:sz w:val="20"/>
          <w:szCs w:val="20"/>
          <w:lang w:val="es-AR"/>
        </w:rPr>
        <w:t>.</w:t>
      </w:r>
    </w:p>
    <w:p w14:paraId="547103FF" w14:textId="77777777" w:rsidR="00C413D4" w:rsidRPr="0027261B" w:rsidRDefault="00C413D4" w:rsidP="00C413D4">
      <w:pPr>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6A0A38E8" w:rsidR="00153DC5" w:rsidRDefault="008D54E0" w:rsidP="007A7C7C">
      <w:pPr>
        <w:jc w:val="both"/>
        <w:rPr>
          <w:bCs/>
          <w:sz w:val="20"/>
          <w:szCs w:val="20"/>
          <w:lang w:val="en"/>
        </w:rPr>
      </w:pPr>
      <w:r w:rsidRPr="008D54E0">
        <w:rPr>
          <w:bCs/>
          <w:sz w:val="20"/>
          <w:szCs w:val="20"/>
          <w:lang w:val="en"/>
        </w:rPr>
        <w:t>Validity; Reliability; Proactive aggression; Reactive aggression; Violence</w:t>
      </w:r>
    </w:p>
    <w:p w14:paraId="25360B1A" w14:textId="77777777" w:rsidR="008D54E0" w:rsidRPr="00E25900" w:rsidRDefault="008D54E0"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153B31FB" w14:textId="77777777" w:rsidR="008D54E0" w:rsidRPr="008D54E0" w:rsidRDefault="008D54E0" w:rsidP="008D54E0">
      <w:pPr>
        <w:jc w:val="both"/>
        <w:rPr>
          <w:sz w:val="20"/>
          <w:szCs w:val="20"/>
          <w:lang w:val="es-ES"/>
        </w:rPr>
      </w:pPr>
      <w:r w:rsidRPr="008D54E0">
        <w:rPr>
          <w:sz w:val="20"/>
          <w:szCs w:val="20"/>
          <w:lang w:val="es-ES"/>
        </w:rPr>
        <w:t xml:space="preserve">El propósito de este estudio es analizar la validez estructural y la invarianza del </w:t>
      </w:r>
      <w:r w:rsidRPr="008D54E0">
        <w:rPr>
          <w:i/>
          <w:iCs/>
          <w:sz w:val="20"/>
          <w:szCs w:val="20"/>
          <w:lang w:val="es-ES"/>
        </w:rPr>
        <w:t>Reactive/</w:t>
      </w:r>
      <w:proofErr w:type="spellStart"/>
      <w:r w:rsidRPr="008D54E0">
        <w:rPr>
          <w:i/>
          <w:iCs/>
          <w:sz w:val="20"/>
          <w:szCs w:val="20"/>
          <w:lang w:val="es-ES"/>
        </w:rPr>
        <w:t>Proactive</w:t>
      </w:r>
      <w:proofErr w:type="spellEnd"/>
      <w:r w:rsidRPr="008D54E0">
        <w:rPr>
          <w:i/>
          <w:iCs/>
          <w:sz w:val="20"/>
          <w:szCs w:val="20"/>
          <w:lang w:val="es-ES"/>
        </w:rPr>
        <w:t xml:space="preserve"> </w:t>
      </w:r>
      <w:proofErr w:type="spellStart"/>
      <w:r w:rsidRPr="008D54E0">
        <w:rPr>
          <w:i/>
          <w:iCs/>
          <w:sz w:val="20"/>
          <w:szCs w:val="20"/>
          <w:lang w:val="es-ES"/>
        </w:rPr>
        <w:t>Aggression</w:t>
      </w:r>
      <w:proofErr w:type="spellEnd"/>
      <w:r w:rsidRPr="008D54E0">
        <w:rPr>
          <w:i/>
          <w:iCs/>
          <w:sz w:val="20"/>
          <w:szCs w:val="20"/>
          <w:lang w:val="es-ES"/>
        </w:rPr>
        <w:t xml:space="preserve"> </w:t>
      </w:r>
      <w:proofErr w:type="spellStart"/>
      <w:r w:rsidRPr="008D54E0">
        <w:rPr>
          <w:i/>
          <w:iCs/>
          <w:sz w:val="20"/>
          <w:szCs w:val="20"/>
          <w:lang w:val="es-ES"/>
        </w:rPr>
        <w:t>Questionaire</w:t>
      </w:r>
      <w:proofErr w:type="spellEnd"/>
      <w:r w:rsidRPr="008D54E0">
        <w:rPr>
          <w:i/>
          <w:iCs/>
          <w:sz w:val="20"/>
          <w:szCs w:val="20"/>
          <w:lang w:val="es-ES"/>
        </w:rPr>
        <w:t xml:space="preserve"> </w:t>
      </w:r>
      <w:r w:rsidRPr="008D54E0">
        <w:rPr>
          <w:sz w:val="20"/>
          <w:szCs w:val="20"/>
          <w:lang w:val="es-ES"/>
        </w:rPr>
        <w:t>(RPQ) en adolescentes infractores y no infractores. Para ello se seleccionaron intencionalmente 344 adolescentes varones de Lima Metropolitana, cuyas edades están comprendidas entre los 15 y 17 años (</w:t>
      </w:r>
      <w:r w:rsidRPr="008D54E0">
        <w:rPr>
          <w:i/>
          <w:iCs/>
          <w:sz w:val="20"/>
          <w:szCs w:val="20"/>
          <w:lang w:val="es-ES"/>
        </w:rPr>
        <w:t>M</w:t>
      </w:r>
      <w:r w:rsidRPr="008D54E0">
        <w:rPr>
          <w:sz w:val="20"/>
          <w:szCs w:val="20"/>
          <w:lang w:val="es-ES"/>
        </w:rPr>
        <w:t xml:space="preserve"> </w:t>
      </w:r>
      <w:r w:rsidRPr="008D54E0">
        <w:rPr>
          <w:sz w:val="20"/>
          <w:szCs w:val="20"/>
          <w:vertAlign w:val="subscript"/>
          <w:lang w:val="es-ES"/>
        </w:rPr>
        <w:t>edad</w:t>
      </w:r>
      <w:r w:rsidRPr="008D54E0">
        <w:rPr>
          <w:sz w:val="20"/>
          <w:szCs w:val="20"/>
          <w:lang w:val="es-ES"/>
        </w:rPr>
        <w:t xml:space="preserve"> = 16.055, </w:t>
      </w:r>
      <w:r w:rsidRPr="008D54E0">
        <w:rPr>
          <w:i/>
          <w:iCs/>
          <w:sz w:val="20"/>
          <w:szCs w:val="20"/>
          <w:lang w:val="es-ES"/>
        </w:rPr>
        <w:t xml:space="preserve">DE </w:t>
      </w:r>
      <w:r w:rsidRPr="008D54E0">
        <w:rPr>
          <w:sz w:val="20"/>
          <w:szCs w:val="20"/>
          <w:vertAlign w:val="subscript"/>
          <w:lang w:val="es-ES"/>
        </w:rPr>
        <w:t>edad</w:t>
      </w:r>
      <w:r w:rsidRPr="008D54E0">
        <w:rPr>
          <w:sz w:val="20"/>
          <w:szCs w:val="20"/>
          <w:lang w:val="es-ES"/>
        </w:rPr>
        <w:t xml:space="preserve"> =0.674), de los cuales el 51.16% eran infractores. Los resultados muestran que el modelo bidimensional del RPQ presenta índices de ajuste adecuados (</w:t>
      </w:r>
      <w:r w:rsidRPr="008D54E0">
        <w:rPr>
          <w:bCs/>
          <w:sz w:val="20"/>
          <w:szCs w:val="20"/>
          <w:lang w:val="es-PE"/>
        </w:rPr>
        <w:t>SB-χ</w:t>
      </w:r>
      <w:r w:rsidRPr="008D54E0">
        <w:rPr>
          <w:bCs/>
          <w:sz w:val="20"/>
          <w:szCs w:val="20"/>
          <w:vertAlign w:val="superscript"/>
          <w:lang w:val="es-PE"/>
        </w:rPr>
        <w:t>2</w:t>
      </w:r>
      <w:r w:rsidRPr="008D54E0">
        <w:rPr>
          <w:bCs/>
          <w:sz w:val="20"/>
          <w:szCs w:val="20"/>
          <w:lang w:val="es-PE"/>
        </w:rPr>
        <w:t xml:space="preserve"> = 461.463</w:t>
      </w:r>
      <w:r w:rsidRPr="008D54E0">
        <w:rPr>
          <w:bCs/>
          <w:sz w:val="20"/>
          <w:szCs w:val="20"/>
          <w:vertAlign w:val="subscript"/>
          <w:lang w:val="es-PE"/>
        </w:rPr>
        <w:t>(229)</w:t>
      </w:r>
      <w:r w:rsidRPr="008D54E0">
        <w:rPr>
          <w:bCs/>
          <w:sz w:val="20"/>
          <w:szCs w:val="20"/>
          <w:lang w:val="es-PE"/>
        </w:rPr>
        <w:t xml:space="preserve">, CFI= .914, RMSEA= .054[.047-.062]). Adicionalmente, se estableció la invarianza configuracional, métrica, escalar y estricta en ambos grupos. Se </w:t>
      </w:r>
      <w:r w:rsidRPr="008D54E0">
        <w:rPr>
          <w:sz w:val="20"/>
          <w:szCs w:val="20"/>
          <w:lang w:val="es-ES"/>
        </w:rPr>
        <w:t>reportan coeficientes omegas adecuados para la Agresión Reactiva (ω = .797) y Agresión Proactiva (ω =</w:t>
      </w:r>
      <w:r w:rsidRPr="008D54E0">
        <w:rPr>
          <w:i/>
          <w:iCs/>
          <w:sz w:val="20"/>
          <w:szCs w:val="20"/>
          <w:lang w:val="es-ES"/>
        </w:rPr>
        <w:t xml:space="preserve"> </w:t>
      </w:r>
      <w:r w:rsidRPr="008D54E0">
        <w:rPr>
          <w:sz w:val="20"/>
          <w:szCs w:val="20"/>
          <w:lang w:val="es-ES"/>
        </w:rPr>
        <w:t>.837). Se concluye que el RPQ es una medida bidimensional, parsimoniosa e interpretable que mide sin sesgos la agresión reactiva y proactiva en adolescentes infractores y no infractores.</w:t>
      </w: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7189B82D" w14:textId="0DBD87E5" w:rsidR="00E55124" w:rsidRPr="00E25900" w:rsidRDefault="008D54E0" w:rsidP="007A7C7C">
      <w:pPr>
        <w:jc w:val="both"/>
        <w:rPr>
          <w:bCs/>
          <w:sz w:val="20"/>
          <w:szCs w:val="20"/>
          <w:lang w:val="es-AR"/>
        </w:rPr>
      </w:pPr>
      <w:r w:rsidRPr="008D54E0">
        <w:rPr>
          <w:bCs/>
          <w:sz w:val="20"/>
          <w:szCs w:val="20"/>
          <w:lang w:val="es-ES"/>
        </w:rPr>
        <w:t>Validez; Fiabilidad; Agresión proactiva; Agresión reactiva; Violencia</w:t>
      </w:r>
      <w:r w:rsidRPr="008D54E0">
        <w:rPr>
          <w:bCs/>
          <w:sz w:val="20"/>
          <w:szCs w:val="20"/>
          <w:lang w:val="pt-BR"/>
        </w:rPr>
        <w:t xml:space="preserve"> </w:t>
      </w:r>
      <w:r w:rsidR="00E55124"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78117F33" w14:textId="3F88A547" w:rsidR="008D54E0" w:rsidRPr="008D54E0" w:rsidRDefault="0059034C" w:rsidP="008D54E0">
      <w:pPr>
        <w:pStyle w:val="Ttuloprincipiodeartculo"/>
        <w:rPr>
          <w:b/>
          <w:bCs/>
          <w:lang w:val="es-ES"/>
        </w:rPr>
      </w:pPr>
      <w:r w:rsidRPr="00E25900">
        <w:rPr>
          <w:lang w:val="es-AR"/>
        </w:rPr>
        <w:br w:type="page"/>
      </w:r>
      <w:r w:rsidR="008D54E0" w:rsidRPr="008D54E0">
        <w:rPr>
          <w:b/>
          <w:bCs/>
          <w:lang w:val="es-ES"/>
        </w:rPr>
        <w:lastRenderedPageBreak/>
        <w:t xml:space="preserve">Validez estructural e invarianza del </w:t>
      </w:r>
      <w:r w:rsidR="008D54E0" w:rsidRPr="008D54E0">
        <w:rPr>
          <w:b/>
          <w:bCs/>
          <w:i/>
          <w:iCs/>
          <w:lang w:val="es-ES"/>
        </w:rPr>
        <w:t>Reactive/</w:t>
      </w:r>
      <w:proofErr w:type="spellStart"/>
      <w:r w:rsidR="008D54E0" w:rsidRPr="008D54E0">
        <w:rPr>
          <w:b/>
          <w:bCs/>
          <w:i/>
          <w:iCs/>
          <w:lang w:val="es-ES"/>
        </w:rPr>
        <w:t>Proactive</w:t>
      </w:r>
      <w:proofErr w:type="spellEnd"/>
      <w:r w:rsidR="008D54E0" w:rsidRPr="008D54E0">
        <w:rPr>
          <w:b/>
          <w:bCs/>
          <w:i/>
          <w:iCs/>
          <w:lang w:val="es-ES"/>
        </w:rPr>
        <w:t xml:space="preserve"> </w:t>
      </w:r>
      <w:proofErr w:type="spellStart"/>
      <w:r w:rsidR="008D54E0" w:rsidRPr="008D54E0">
        <w:rPr>
          <w:b/>
          <w:bCs/>
          <w:i/>
          <w:iCs/>
          <w:lang w:val="es-ES"/>
        </w:rPr>
        <w:t>Aggression</w:t>
      </w:r>
      <w:proofErr w:type="spellEnd"/>
      <w:r w:rsidR="008D54E0" w:rsidRPr="008D54E0">
        <w:rPr>
          <w:b/>
          <w:bCs/>
          <w:i/>
          <w:iCs/>
          <w:lang w:val="es-ES"/>
        </w:rPr>
        <w:t xml:space="preserve"> </w:t>
      </w:r>
      <w:proofErr w:type="spellStart"/>
      <w:r w:rsidR="008D54E0" w:rsidRPr="008D54E0">
        <w:rPr>
          <w:b/>
          <w:bCs/>
          <w:i/>
          <w:iCs/>
          <w:lang w:val="es-ES"/>
        </w:rPr>
        <w:t>Questionaire</w:t>
      </w:r>
      <w:proofErr w:type="spellEnd"/>
      <w:r w:rsidR="008D54E0" w:rsidRPr="008D54E0">
        <w:rPr>
          <w:b/>
          <w:bCs/>
          <w:lang w:val="es-ES"/>
        </w:rPr>
        <w:t xml:space="preserve"> (RPQ) en adolescentes infractores y no infractores de Lima Metropolitana</w:t>
      </w:r>
    </w:p>
    <w:p w14:paraId="3F538DA7" w14:textId="5249C7E1" w:rsidR="00153DC5" w:rsidRPr="00E25900" w:rsidRDefault="00153DC5" w:rsidP="007A7CDC">
      <w:pPr>
        <w:pStyle w:val="Ttuloprincipiodeartculo"/>
        <w:rPr>
          <w:lang w:val="es-AR"/>
        </w:rPr>
      </w:pPr>
    </w:p>
    <w:p w14:paraId="4FA726CB" w14:textId="2726F646" w:rsidR="006A1BA2" w:rsidRPr="0042142D" w:rsidRDefault="00153DC5" w:rsidP="005B3539">
      <w:pPr>
        <w:pStyle w:val="Ttulosinternos"/>
        <w:rPr>
          <w:bCs/>
        </w:rPr>
      </w:pPr>
      <w:proofErr w:type="spellStart"/>
      <w:r w:rsidRPr="00107993">
        <w:t>Introduc</w:t>
      </w:r>
      <w:r w:rsidR="00107993" w:rsidRPr="00107993">
        <w:t>ción</w:t>
      </w:r>
      <w:proofErr w:type="spellEnd"/>
    </w:p>
    <w:p w14:paraId="4A109ACD" w14:textId="77777777" w:rsidR="00383E12" w:rsidRPr="00383E12" w:rsidRDefault="00383E12" w:rsidP="00383E12">
      <w:pPr>
        <w:pStyle w:val="Prrafocomn"/>
        <w:rPr>
          <w:lang w:val="es-ES"/>
        </w:rPr>
      </w:pPr>
      <w:r w:rsidRPr="00383E12">
        <w:rPr>
          <w:lang w:val="es-ES"/>
        </w:rPr>
        <w:t>El 2019 se registraron 4542 casos de violencia escolar en Lima Metropolitana. Estos casos incluyen violencia física, psicológica y/o sexual. Aproximadamente, el 60% se dio entre los escolares de nivel secundaria (</w:t>
      </w:r>
      <w:proofErr w:type="spellStart"/>
      <w:r w:rsidRPr="00383E12">
        <w:rPr>
          <w:lang w:val="es-ES"/>
        </w:rPr>
        <w:t>SíseVe</w:t>
      </w:r>
      <w:proofErr w:type="spellEnd"/>
      <w:r w:rsidRPr="00383E12">
        <w:rPr>
          <w:lang w:val="es-ES"/>
        </w:rPr>
        <w:t xml:space="preserve">, 2019). Según la última Encuesta Nacional sobre Relaciones Sociales (Instituto Nacional de Estadística e Informática, 2015) se halló que el 74% de adolescentes entre 12 a 17 años alguna vez en su vida fueron víctimas de violencia psicológica y/o física por parte de sus pares dentro de su institución educativa. </w:t>
      </w:r>
    </w:p>
    <w:p w14:paraId="7A0F89EE" w14:textId="64B3C9FF" w:rsidR="00383E12" w:rsidRPr="00383E12" w:rsidRDefault="00383E12" w:rsidP="00383E12">
      <w:pPr>
        <w:pStyle w:val="Prrafocomn"/>
        <w:rPr>
          <w:lang w:val="es-ES"/>
        </w:rPr>
      </w:pPr>
      <w:r w:rsidRPr="00383E12">
        <w:rPr>
          <w:lang w:val="es-ES"/>
        </w:rPr>
        <w:t>La literatura especializada coincide en que los adolescentes de sexo masculino son más propensos a manifestar conductas agresivas (</w:t>
      </w:r>
      <w:proofErr w:type="spellStart"/>
      <w:r w:rsidR="00FB3DE6" w:rsidRPr="00A61EA8">
        <w:rPr>
          <w:bCs/>
        </w:rPr>
        <w:t>Bernardes</w:t>
      </w:r>
      <w:proofErr w:type="spellEnd"/>
      <w:r w:rsidR="00FB3DE6" w:rsidRPr="00A61EA8">
        <w:rPr>
          <w:bCs/>
        </w:rPr>
        <w:t xml:space="preserve"> de </w:t>
      </w:r>
      <w:proofErr w:type="spellStart"/>
      <w:r w:rsidR="00FB3DE6" w:rsidRPr="00A61EA8">
        <w:rPr>
          <w:bCs/>
        </w:rPr>
        <w:t>Moraes</w:t>
      </w:r>
      <w:proofErr w:type="spellEnd"/>
      <w:r w:rsidRPr="00383E12">
        <w:rPr>
          <w:lang w:val="es-ES"/>
        </w:rPr>
        <w:t xml:space="preserve">, 2013). Lo cual también fue señalado por Torregrosa et al. (2010) quienes identificaron esta propensión en adolescentes españoles, chinos y mexicanos. En Perú, la predominancia de las conductas agresivas en adolescentes varones es similar (Rojas et al., 2020; </w:t>
      </w:r>
      <w:proofErr w:type="spellStart"/>
      <w:r w:rsidRPr="00383E12">
        <w:rPr>
          <w:lang w:val="es-ES"/>
        </w:rPr>
        <w:t>Romani</w:t>
      </w:r>
      <w:proofErr w:type="spellEnd"/>
      <w:r w:rsidRPr="00383E12">
        <w:rPr>
          <w:lang w:val="es-ES"/>
        </w:rPr>
        <w:t xml:space="preserve"> et al., 2011). En este sentido, el estudio de la conducta agresiva es importante, debido a que su establecimiento en edades tempranas puede estructurar pautas de interacción negativas que generen consecuencias negativas (Andolfi &amp; </w:t>
      </w:r>
      <w:proofErr w:type="spellStart"/>
      <w:r w:rsidRPr="00383E12">
        <w:rPr>
          <w:lang w:val="es-ES"/>
        </w:rPr>
        <w:t>Mascellani</w:t>
      </w:r>
      <w:proofErr w:type="spellEnd"/>
      <w:r w:rsidRPr="00383E12">
        <w:rPr>
          <w:lang w:val="es-ES"/>
        </w:rPr>
        <w:t>, 2012; De la Cruz, 2010; Linares, 2015), las cuales pueden llegar a cronificarse (Saldaña, 2001; Vega-Cauich &amp; Zumárraga-García, 2019). Así, es necesario conocer como los adolescentes expresan sus conductas agresivas porque esta normalmente esta trae consigo problemas emocionales crónicos (Linares, 2015).</w:t>
      </w:r>
    </w:p>
    <w:p w14:paraId="412B5909" w14:textId="1D9BE405" w:rsidR="00383E12" w:rsidRPr="00383E12" w:rsidRDefault="00383E12" w:rsidP="00383E12">
      <w:pPr>
        <w:pStyle w:val="Prrafocomn"/>
        <w:rPr>
          <w:lang w:val="es-ES"/>
        </w:rPr>
      </w:pPr>
      <w:r w:rsidRPr="00383E12">
        <w:rPr>
          <w:lang w:val="es-ES"/>
        </w:rPr>
        <w:t xml:space="preserve">Si bien existen diversas definiciones de violencia, en la presente se entenderá como toda acción que tiene la intención de producir daño a la persona (Allen &amp; Anderson, 2017), además como una forma extrema de agresión que busca generar un daño físico grave o la muerte de otro (Anderson &amp; </w:t>
      </w:r>
      <w:proofErr w:type="spellStart"/>
      <w:r w:rsidRPr="00383E12">
        <w:rPr>
          <w:lang w:val="es-ES"/>
        </w:rPr>
        <w:t>Bushman</w:t>
      </w:r>
      <w:proofErr w:type="spellEnd"/>
      <w:r w:rsidRPr="00383E12">
        <w:rPr>
          <w:lang w:val="es-ES"/>
        </w:rPr>
        <w:t xml:space="preserve">, 2002; </w:t>
      </w:r>
      <w:proofErr w:type="spellStart"/>
      <w:r w:rsidRPr="00383E12">
        <w:rPr>
          <w:lang w:val="es-ES"/>
        </w:rPr>
        <w:t>Busmann</w:t>
      </w:r>
      <w:proofErr w:type="spellEnd"/>
      <w:r w:rsidRPr="00383E12">
        <w:rPr>
          <w:lang w:val="es-ES"/>
        </w:rPr>
        <w:t xml:space="preserve"> &amp; </w:t>
      </w:r>
      <w:proofErr w:type="spellStart"/>
      <w:r w:rsidRPr="00383E12">
        <w:rPr>
          <w:lang w:val="es-ES"/>
        </w:rPr>
        <w:t>Huesmann</w:t>
      </w:r>
      <w:proofErr w:type="spellEnd"/>
      <w:r w:rsidRPr="00383E12">
        <w:rPr>
          <w:lang w:val="es-ES"/>
        </w:rPr>
        <w:t xml:space="preserve">, 2010; </w:t>
      </w:r>
      <w:proofErr w:type="spellStart"/>
      <w:r w:rsidRPr="00383E12">
        <w:rPr>
          <w:lang w:val="es-ES"/>
        </w:rPr>
        <w:t>Huesmann</w:t>
      </w:r>
      <w:proofErr w:type="spellEnd"/>
      <w:r w:rsidRPr="00383E12">
        <w:rPr>
          <w:lang w:val="es-ES"/>
        </w:rPr>
        <w:t xml:space="preserve"> &amp; Taylor, 2006; Allen &amp; Anderson, 2017). Se entiende, que la violencia es un fenómeno multicausal el cual tiene raíces biológicas, psicológicas y sociales (De Corral &amp; Echeburúa, 1998). Para objeto de la presente, se utilizará la distinción entre agresión proactiva y reactiva (Dodge </w:t>
      </w:r>
      <w:r w:rsidR="00B167A2">
        <w:rPr>
          <w:lang w:val="es-ES"/>
        </w:rPr>
        <w:t>&amp;</w:t>
      </w:r>
      <w:r w:rsidRPr="00383E12">
        <w:rPr>
          <w:lang w:val="es-ES"/>
        </w:rPr>
        <w:t xml:space="preserve"> </w:t>
      </w:r>
      <w:proofErr w:type="spellStart"/>
      <w:r w:rsidRPr="00383E12">
        <w:rPr>
          <w:lang w:val="es-ES"/>
        </w:rPr>
        <w:t>Coie</w:t>
      </w:r>
      <w:proofErr w:type="spellEnd"/>
      <w:r w:rsidRPr="00383E12">
        <w:rPr>
          <w:lang w:val="es-ES"/>
        </w:rPr>
        <w:t xml:space="preserve">, 1987). </w:t>
      </w:r>
    </w:p>
    <w:p w14:paraId="37038590" w14:textId="77777777" w:rsidR="00383E12" w:rsidRPr="00383E12" w:rsidRDefault="00383E12" w:rsidP="00383E12">
      <w:pPr>
        <w:pStyle w:val="Prrafocomn"/>
        <w:rPr>
          <w:lang w:val="es-ES"/>
        </w:rPr>
      </w:pPr>
      <w:r w:rsidRPr="00383E12">
        <w:rPr>
          <w:lang w:val="es-ES"/>
        </w:rPr>
        <w:t xml:space="preserve">La agresión reactiva o impulsiva son conductas que se expresan como reacción a una provocación o amenaza percibida (real o imaginada) en diferentes situaciones (Andreu et al., 2006). Es entendido por el usuario con propósito defensivo, asimismo está relacionada con la </w:t>
      </w:r>
      <w:r w:rsidRPr="00383E12">
        <w:rPr>
          <w:lang w:val="es-ES"/>
        </w:rPr>
        <w:lastRenderedPageBreak/>
        <w:t>hostilidad (Roncero et al., 2016). Este tipo de agresión puede presentar diversas características del espectro psicopatológico esquizotípico y límite, distorsión de realidad, inestabilidad emocional y anormalidades en el procesamiento de la información social (</w:t>
      </w:r>
      <w:proofErr w:type="spellStart"/>
      <w:r w:rsidRPr="00383E12">
        <w:rPr>
          <w:lang w:val="es-ES"/>
        </w:rPr>
        <w:t>Raine</w:t>
      </w:r>
      <w:proofErr w:type="spellEnd"/>
      <w:r w:rsidRPr="00383E12">
        <w:rPr>
          <w:lang w:val="es-ES"/>
        </w:rPr>
        <w:t xml:space="preserve"> et al., 2006). </w:t>
      </w:r>
    </w:p>
    <w:p w14:paraId="1D27B03E" w14:textId="77777777" w:rsidR="00383E12" w:rsidRPr="00383E12" w:rsidRDefault="00383E12" w:rsidP="00383E12">
      <w:pPr>
        <w:pStyle w:val="Prrafocomn"/>
        <w:rPr>
          <w:lang w:val="es-ES"/>
        </w:rPr>
      </w:pPr>
      <w:r w:rsidRPr="00383E12">
        <w:rPr>
          <w:lang w:val="es-ES"/>
        </w:rPr>
        <w:t xml:space="preserve">Por su parte, la agresión proactiva presenta un conjunto de conductas intencionadas y motivadas que tienen como fin causar daño a otra persona, ello evidencia una evaluación positiva de la agresión, en términos de ganancias, intereses, dominio, estatus y/o autoestima (Dodge &amp; </w:t>
      </w:r>
      <w:proofErr w:type="spellStart"/>
      <w:r w:rsidRPr="00383E12">
        <w:rPr>
          <w:lang w:val="es-ES"/>
        </w:rPr>
        <w:t>Coie</w:t>
      </w:r>
      <w:proofErr w:type="spellEnd"/>
      <w:r w:rsidRPr="00383E12">
        <w:rPr>
          <w:lang w:val="es-ES"/>
        </w:rPr>
        <w:t xml:space="preserve">, 1987; Ramírez &amp; Andreu, 2006), lo cual se condice con lo afirmado por Euler et al. (2017), quienes hallaron que adolescentes con niveles altos de agresión, son instrumentales, organizados y motivados por la anticipación de la recompensa, presentan niveles bajos en empatía cognitiva afectiva. </w:t>
      </w:r>
    </w:p>
    <w:p w14:paraId="16A10694" w14:textId="3C8B0C8E" w:rsidR="00383E12" w:rsidRPr="00383E12" w:rsidRDefault="00383E12" w:rsidP="00383E12">
      <w:pPr>
        <w:pStyle w:val="Prrafocomn"/>
        <w:rPr>
          <w:lang w:val="es-ES"/>
        </w:rPr>
      </w:pPr>
      <w:r w:rsidRPr="00383E12">
        <w:rPr>
          <w:lang w:val="es-ES"/>
        </w:rPr>
        <w:t xml:space="preserve">La agresión proactiva es premeditada (Dodge &amp; </w:t>
      </w:r>
      <w:proofErr w:type="spellStart"/>
      <w:r w:rsidRPr="00383E12">
        <w:rPr>
          <w:lang w:val="es-ES"/>
        </w:rPr>
        <w:t>Coie</w:t>
      </w:r>
      <w:proofErr w:type="spellEnd"/>
      <w:r w:rsidRPr="00383E12">
        <w:rPr>
          <w:lang w:val="es-ES"/>
        </w:rPr>
        <w:t>, 1987), a menudo quienes la ejecutan son impulsivos, ansiosos y presentan una falta de profundidad emocional (</w:t>
      </w:r>
      <w:proofErr w:type="spellStart"/>
      <w:r w:rsidRPr="00383E12">
        <w:rPr>
          <w:lang w:val="es-ES"/>
        </w:rPr>
        <w:t>Raine</w:t>
      </w:r>
      <w:proofErr w:type="spellEnd"/>
      <w:r w:rsidRPr="00383E12">
        <w:rPr>
          <w:lang w:val="es-ES"/>
        </w:rPr>
        <w:t xml:space="preserve"> et al., 2006), deshumanizando así a sus víctimas (Andreu &amp; Peña, 201</w:t>
      </w:r>
      <w:r w:rsidR="00FB3DE6">
        <w:rPr>
          <w:lang w:val="es-ES"/>
        </w:rPr>
        <w:t>3</w:t>
      </w:r>
      <w:r w:rsidRPr="00383E12">
        <w:rPr>
          <w:lang w:val="es-ES"/>
        </w:rPr>
        <w:t xml:space="preserve">). Por lo general, estas conductas se ven asociadas al trastorno disocial, lo cual va en línea con lo afirmado por </w:t>
      </w:r>
      <w:proofErr w:type="spellStart"/>
      <w:r w:rsidRPr="00383E12">
        <w:rPr>
          <w:lang w:val="es-ES"/>
        </w:rPr>
        <w:t>Lobbestael</w:t>
      </w:r>
      <w:proofErr w:type="spellEnd"/>
      <w:r w:rsidRPr="00383E12">
        <w:rPr>
          <w:lang w:val="es-ES"/>
        </w:rPr>
        <w:t xml:space="preserve"> et al. (2015), quienes señalan que las personas con el perfil de agresores proactivos se correlacionan positivamente con rasgos del trastorno de personalidad antisocial, lo cual es afirmado también por Andreu y Peña (2014) quienes encontraron que la agresión proactiva se relaciona significativamente con la conducta antisocial, mientras que la agresión reactiva se relaciona significativamente con la impulsividad.</w:t>
      </w:r>
    </w:p>
    <w:p w14:paraId="3A861D41" w14:textId="77777777" w:rsidR="00383E12" w:rsidRPr="00383E12" w:rsidRDefault="00383E12" w:rsidP="00383E12">
      <w:pPr>
        <w:pStyle w:val="Prrafocomn"/>
        <w:rPr>
          <w:lang w:val="es-ES"/>
        </w:rPr>
      </w:pPr>
      <w:bookmarkStart w:id="1" w:name="_Hlk65048543"/>
      <w:r w:rsidRPr="00383E12">
        <w:rPr>
          <w:lang w:val="es-ES"/>
        </w:rPr>
        <w:t>Diversos estudios señalan como la conducta agresiva puede afectar el desarrollo de la autoestima, el autoconcepto (Torregrosa et al., 2011) y favorecer la conducta antisocial en adolescentes (Garaigordobil et al., 2005). Asimismo, Torregrosa et al. (2012) señalaron que la conducta agresiva afecta significativamente las metas académicas de los escolares de nivel secundario. Así también, constituye un factor de riesgo para el desarrollo de la violencia familiar y de pareja (Sarto &amp; Esteban, 2010). Por su parte, Penado et al. (2014) encontraron que la agresión proactiva se relaciona significativamente con la conducta antisocial, mientras que la agresión reactiva se relaciona significativamente con la impulsividad.</w:t>
      </w:r>
      <w:bookmarkEnd w:id="1"/>
    </w:p>
    <w:p w14:paraId="461D1703" w14:textId="77777777" w:rsidR="00383E12" w:rsidRPr="00383E12" w:rsidRDefault="00383E12" w:rsidP="00383E12">
      <w:pPr>
        <w:pStyle w:val="Prrafocomn"/>
        <w:rPr>
          <w:lang w:val="es-ES"/>
        </w:rPr>
      </w:pPr>
      <w:r w:rsidRPr="00383E12">
        <w:rPr>
          <w:lang w:val="es-ES"/>
        </w:rPr>
        <w:t xml:space="preserve">Tal como se muestra, el modelo teórico de Dodge (1991) es ampliamente aceptado por la comunidad académica para explicar la agresión en adolescentes. A partir de sus postulados </w:t>
      </w:r>
      <w:proofErr w:type="spellStart"/>
      <w:r w:rsidRPr="00383E12">
        <w:rPr>
          <w:lang w:val="es-ES"/>
        </w:rPr>
        <w:t>Raine</w:t>
      </w:r>
      <w:proofErr w:type="spellEnd"/>
      <w:r w:rsidRPr="00383E12">
        <w:rPr>
          <w:lang w:val="es-ES"/>
        </w:rPr>
        <w:t xml:space="preserve"> et al. (2006) diseñaron el </w:t>
      </w:r>
      <w:r w:rsidRPr="00383E12">
        <w:rPr>
          <w:i/>
          <w:iCs/>
          <w:lang w:val="es-ES"/>
        </w:rPr>
        <w:t>Reactive/</w:t>
      </w:r>
      <w:proofErr w:type="spellStart"/>
      <w:r w:rsidRPr="00383E12">
        <w:rPr>
          <w:i/>
          <w:iCs/>
          <w:lang w:val="es-ES"/>
        </w:rPr>
        <w:t>Proactive</w:t>
      </w:r>
      <w:proofErr w:type="spellEnd"/>
      <w:r w:rsidRPr="00383E12">
        <w:rPr>
          <w:i/>
          <w:iCs/>
          <w:lang w:val="es-ES"/>
        </w:rPr>
        <w:t xml:space="preserve"> </w:t>
      </w:r>
      <w:proofErr w:type="spellStart"/>
      <w:r w:rsidRPr="00383E12">
        <w:rPr>
          <w:i/>
          <w:iCs/>
          <w:lang w:val="es-ES"/>
        </w:rPr>
        <w:t>Aggression</w:t>
      </w:r>
      <w:proofErr w:type="spellEnd"/>
      <w:r w:rsidRPr="00383E12">
        <w:rPr>
          <w:i/>
          <w:iCs/>
          <w:lang w:val="es-ES"/>
        </w:rPr>
        <w:t xml:space="preserve"> </w:t>
      </w:r>
      <w:proofErr w:type="spellStart"/>
      <w:r w:rsidRPr="00383E12">
        <w:rPr>
          <w:i/>
          <w:iCs/>
          <w:lang w:val="es-ES"/>
        </w:rPr>
        <w:t>Questionaire</w:t>
      </w:r>
      <w:proofErr w:type="spellEnd"/>
      <w:r w:rsidRPr="00383E12">
        <w:rPr>
          <w:i/>
          <w:iCs/>
          <w:lang w:val="es-ES"/>
        </w:rPr>
        <w:t xml:space="preserve"> </w:t>
      </w:r>
      <w:r w:rsidRPr="00383E12">
        <w:rPr>
          <w:lang w:val="es-ES"/>
        </w:rPr>
        <w:t>(RPQ)</w:t>
      </w:r>
      <w:r w:rsidRPr="00383E12">
        <w:rPr>
          <w:i/>
          <w:iCs/>
          <w:lang w:val="es-ES"/>
        </w:rPr>
        <w:t xml:space="preserve">, </w:t>
      </w:r>
      <w:r w:rsidRPr="00383E12">
        <w:rPr>
          <w:lang w:val="es-ES"/>
        </w:rPr>
        <w:t xml:space="preserve">sobre una muestra de 334 adolescentes estadounidenses, donde el Análisis Factorial Confirmatorio (AFC) corroboró </w:t>
      </w:r>
      <w:r w:rsidRPr="00383E12">
        <w:rPr>
          <w:lang w:val="es-ES"/>
        </w:rPr>
        <w:lastRenderedPageBreak/>
        <w:t>que la RPQ es una medida bidimensional (</w:t>
      </w:r>
      <w:proofErr w:type="spellStart"/>
      <w:r w:rsidRPr="00383E12">
        <w:rPr>
          <w:i/>
          <w:iCs/>
          <w:lang w:val="es-ES"/>
        </w:rPr>
        <w:t>proactive</w:t>
      </w:r>
      <w:proofErr w:type="spellEnd"/>
      <w:r w:rsidRPr="00383E12">
        <w:rPr>
          <w:i/>
          <w:iCs/>
          <w:lang w:val="es-ES"/>
        </w:rPr>
        <w:t xml:space="preserve">-reactive </w:t>
      </w:r>
      <w:proofErr w:type="spellStart"/>
      <w:r w:rsidRPr="00383E12">
        <w:rPr>
          <w:i/>
          <w:iCs/>
          <w:lang w:val="es-ES"/>
        </w:rPr>
        <w:t>Model</w:t>
      </w:r>
      <w:proofErr w:type="spellEnd"/>
      <w:r w:rsidRPr="00383E12">
        <w:rPr>
          <w:lang w:val="es-ES"/>
        </w:rPr>
        <w:t xml:space="preserve">) capaz de discriminar la agresión reactiva y proactiva en muestras de adolescentes. Las cargas factoriales para </w:t>
      </w:r>
      <w:r w:rsidRPr="00383E12">
        <w:rPr>
          <w:i/>
          <w:iCs/>
          <w:lang w:val="es-ES"/>
        </w:rPr>
        <w:t>Reactive Factor</w:t>
      </w:r>
      <w:r w:rsidRPr="00383E12">
        <w:rPr>
          <w:lang w:val="es-ES"/>
        </w:rPr>
        <w:t xml:space="preserve"> fluctuaron entre .48 y .65; mientras para </w:t>
      </w:r>
      <w:proofErr w:type="spellStart"/>
      <w:r w:rsidRPr="00383E12">
        <w:rPr>
          <w:i/>
          <w:iCs/>
          <w:lang w:val="es-ES"/>
        </w:rPr>
        <w:t>Proactive</w:t>
      </w:r>
      <w:proofErr w:type="spellEnd"/>
      <w:r w:rsidRPr="00383E12">
        <w:rPr>
          <w:i/>
          <w:iCs/>
          <w:lang w:val="es-ES"/>
        </w:rPr>
        <w:t xml:space="preserve"> Factor</w:t>
      </w:r>
      <w:r w:rsidRPr="00383E12">
        <w:rPr>
          <w:lang w:val="es-ES"/>
        </w:rPr>
        <w:t xml:space="preserve"> estas variaron entre .52 y .64, con índices de ajuste adecuados (χ2(</w:t>
      </w:r>
      <w:proofErr w:type="spellStart"/>
      <w:r w:rsidRPr="00383E12">
        <w:rPr>
          <w:lang w:val="es-ES"/>
        </w:rPr>
        <w:t>gl</w:t>
      </w:r>
      <w:proofErr w:type="spellEnd"/>
      <w:r w:rsidRPr="00383E12">
        <w:rPr>
          <w:lang w:val="es-ES"/>
        </w:rPr>
        <w:t>) = 334 (229); CFI=.91; RMSEA = .037). Asimismo, determinaron la fiabilidad de la medida mediante el coeficiente alfa el cual oscila entre .84 (</w:t>
      </w:r>
      <w:r w:rsidRPr="00383E12">
        <w:rPr>
          <w:i/>
          <w:iCs/>
          <w:lang w:val="es-ES"/>
        </w:rPr>
        <w:t>Reactive Factor</w:t>
      </w:r>
      <w:r w:rsidRPr="00383E12">
        <w:rPr>
          <w:lang w:val="es-ES"/>
        </w:rPr>
        <w:t>) y .90 (</w:t>
      </w:r>
      <w:proofErr w:type="spellStart"/>
      <w:r w:rsidRPr="00383E12">
        <w:rPr>
          <w:i/>
          <w:iCs/>
          <w:lang w:val="es-ES"/>
        </w:rPr>
        <w:t>Proactive</w:t>
      </w:r>
      <w:proofErr w:type="spellEnd"/>
      <w:r w:rsidRPr="00383E12">
        <w:rPr>
          <w:i/>
          <w:iCs/>
          <w:lang w:val="es-ES"/>
        </w:rPr>
        <w:t xml:space="preserve"> Factor</w:t>
      </w:r>
      <w:r w:rsidRPr="00383E12">
        <w:rPr>
          <w:lang w:val="es-ES"/>
        </w:rPr>
        <w:t>).</w:t>
      </w:r>
    </w:p>
    <w:p w14:paraId="6508A41B" w14:textId="495EF24E" w:rsidR="00383E12" w:rsidRPr="00383E12" w:rsidRDefault="00383E12" w:rsidP="00383E12">
      <w:pPr>
        <w:pStyle w:val="Prrafocomn"/>
        <w:rPr>
          <w:lang w:val="es-ES"/>
        </w:rPr>
      </w:pPr>
      <w:r w:rsidRPr="00383E12">
        <w:rPr>
          <w:lang w:val="es-ES"/>
        </w:rPr>
        <w:t>Posteriormente, este instrumento fue adaptado al español por Andreu et al. (2009) sobre una muestra 732 adolescentes españoles</w:t>
      </w:r>
      <w:r w:rsidR="006F2AA8">
        <w:rPr>
          <w:lang w:val="es-ES"/>
        </w:rPr>
        <w:t xml:space="preserve"> entre varones y mujeres</w:t>
      </w:r>
      <w:r w:rsidRPr="00383E12">
        <w:rPr>
          <w:lang w:val="es-ES"/>
        </w:rPr>
        <w:t xml:space="preserve">. La validación se realizó a través de una AFC con el método de mínimos cuadrados no ponderados, demostrando que el modelo bifactorial presentaba índices de ajuste adecuados (GFI = .98; NFI = .96; RMR= .02), donde las cargas factoriales para el factor de agresión reactiva se encontraron alrededor de .49 y .70; mientras que para el factor agresión proactiva estas fluctuaron entre .50 y .72. </w:t>
      </w:r>
      <w:r w:rsidR="006F2AA8">
        <w:rPr>
          <w:lang w:val="es-ES"/>
        </w:rPr>
        <w:t>Asimismo,</w:t>
      </w:r>
      <w:r w:rsidRPr="00383E12">
        <w:rPr>
          <w:lang w:val="es-ES"/>
        </w:rPr>
        <w:t xml:space="preserve"> se encontró que los varones presenta</w:t>
      </w:r>
      <w:r w:rsidR="006F2AA8">
        <w:rPr>
          <w:lang w:val="es-ES"/>
        </w:rPr>
        <w:t>ban</w:t>
      </w:r>
      <w:r w:rsidRPr="00383E12">
        <w:rPr>
          <w:lang w:val="es-ES"/>
        </w:rPr>
        <w:t xml:space="preserve"> mayores niveles de agresión proactiva que las mujeres.  </w:t>
      </w:r>
    </w:p>
    <w:p w14:paraId="178C8DBB" w14:textId="777C6F6B" w:rsidR="00383E12" w:rsidRPr="00383E12" w:rsidRDefault="00383E12" w:rsidP="00383E12">
      <w:pPr>
        <w:pStyle w:val="Prrafocomn"/>
        <w:rPr>
          <w:lang w:val="es-ES"/>
        </w:rPr>
      </w:pPr>
      <w:r w:rsidRPr="00383E12">
        <w:rPr>
          <w:lang w:val="es-ES"/>
        </w:rPr>
        <w:t xml:space="preserve">El RPQ también ha sido analizado en otros </w:t>
      </w:r>
      <w:r w:rsidR="006F2AA8">
        <w:rPr>
          <w:lang w:val="es-ES"/>
        </w:rPr>
        <w:t>países</w:t>
      </w:r>
      <w:r w:rsidRPr="00383E12">
        <w:rPr>
          <w:lang w:val="es-ES"/>
        </w:rPr>
        <w:t xml:space="preserve"> demostrando una adecuada prestancia para medir </w:t>
      </w:r>
      <w:r w:rsidR="006F2AA8">
        <w:rPr>
          <w:lang w:val="es-ES"/>
        </w:rPr>
        <w:t>la agresión</w:t>
      </w:r>
      <w:r w:rsidRPr="00383E12">
        <w:rPr>
          <w:lang w:val="es-ES"/>
        </w:rPr>
        <w:t xml:space="preserve"> en adolescentes portugueses internados en centros de rehabilitación (</w:t>
      </w:r>
      <w:proofErr w:type="spellStart"/>
      <w:r w:rsidRPr="00383E12">
        <w:rPr>
          <w:lang w:val="es-ES"/>
        </w:rPr>
        <w:t>Pechorro</w:t>
      </w:r>
      <w:proofErr w:type="spellEnd"/>
      <w:r w:rsidRPr="00383E12">
        <w:rPr>
          <w:lang w:val="es-ES"/>
        </w:rPr>
        <w:t xml:space="preserve"> et al., 2015). Así también, </w:t>
      </w:r>
      <w:proofErr w:type="spellStart"/>
      <w:r w:rsidRPr="00383E12">
        <w:rPr>
          <w:lang w:val="es-ES"/>
        </w:rPr>
        <w:t>Cenkseven-Önder</w:t>
      </w:r>
      <w:proofErr w:type="spellEnd"/>
      <w:r w:rsidRPr="00383E12">
        <w:rPr>
          <w:lang w:val="es-ES"/>
        </w:rPr>
        <w:t xml:space="preserve"> et al. (2016) adaptaron el instrumento en adolescentes turcos, constatando </w:t>
      </w:r>
      <w:r w:rsidR="006F2AA8">
        <w:rPr>
          <w:lang w:val="es-ES"/>
        </w:rPr>
        <w:t>la</w:t>
      </w:r>
      <w:r w:rsidRPr="00383E12">
        <w:rPr>
          <w:lang w:val="es-ES"/>
        </w:rPr>
        <w:t xml:space="preserve"> validez y fiabilidad</w:t>
      </w:r>
      <w:r w:rsidR="006F2AA8">
        <w:rPr>
          <w:lang w:val="es-ES"/>
        </w:rPr>
        <w:t xml:space="preserve"> del modelo bidimensional</w:t>
      </w:r>
      <w:r w:rsidRPr="00383E12">
        <w:rPr>
          <w:lang w:val="es-ES"/>
        </w:rPr>
        <w:t xml:space="preserve">. </w:t>
      </w:r>
      <w:r w:rsidR="006F2AA8">
        <w:rPr>
          <w:lang w:val="es-ES"/>
        </w:rPr>
        <w:t xml:space="preserve">Por su parte, </w:t>
      </w:r>
      <w:r w:rsidRPr="00383E12">
        <w:rPr>
          <w:lang w:val="es-ES"/>
        </w:rPr>
        <w:t>Penado et al. (2014)</w:t>
      </w:r>
      <w:r w:rsidR="006F2AA8">
        <w:rPr>
          <w:lang w:val="es-ES"/>
        </w:rPr>
        <w:t xml:space="preserve"> validaron el instrumento en</w:t>
      </w:r>
      <w:r w:rsidRPr="00383E12">
        <w:rPr>
          <w:lang w:val="es-ES"/>
        </w:rPr>
        <w:t xml:space="preserve"> escolares españoles</w:t>
      </w:r>
      <w:r w:rsidR="006F2AA8">
        <w:rPr>
          <w:lang w:val="es-ES"/>
        </w:rPr>
        <w:t xml:space="preserve"> de nivel secundaria, encontrando resultados similares</w:t>
      </w:r>
      <w:r w:rsidRPr="00383E12">
        <w:rPr>
          <w:lang w:val="es-ES"/>
        </w:rPr>
        <w:t>.</w:t>
      </w:r>
    </w:p>
    <w:p w14:paraId="06260452" w14:textId="1653D595" w:rsidR="00383E12" w:rsidRPr="00383E12" w:rsidRDefault="006F2AA8" w:rsidP="00383E12">
      <w:pPr>
        <w:pStyle w:val="Prrafocomn"/>
        <w:rPr>
          <w:lang w:val="es-ES"/>
        </w:rPr>
      </w:pPr>
      <w:r>
        <w:rPr>
          <w:lang w:val="es-ES"/>
        </w:rPr>
        <w:t>En Perú, u</w:t>
      </w:r>
      <w:r w:rsidR="00383E12" w:rsidRPr="00383E12">
        <w:rPr>
          <w:lang w:val="es-ES"/>
        </w:rPr>
        <w:t xml:space="preserve">n estudio reciente realizado por Rojas et al. (2020) llevado a cabo sobre una muestra de 2830 </w:t>
      </w:r>
      <w:r>
        <w:rPr>
          <w:lang w:val="es-ES"/>
        </w:rPr>
        <w:t>escolares de nivel secundario</w:t>
      </w:r>
      <w:r w:rsidR="00383E12" w:rsidRPr="00383E12">
        <w:rPr>
          <w:lang w:val="es-ES"/>
        </w:rPr>
        <w:t xml:space="preserve"> de la ciudad de Arequipa da cuenta de la validez y fiabilidad del RPQ. Los resultados confirman el modelo bidimensional</w:t>
      </w:r>
      <w:r>
        <w:rPr>
          <w:lang w:val="es-ES"/>
        </w:rPr>
        <w:t>,</w:t>
      </w:r>
      <w:r w:rsidR="00383E12" w:rsidRPr="00383E12">
        <w:rPr>
          <w:lang w:val="es-ES"/>
        </w:rPr>
        <w:t xml:space="preserve"> el cual se obtuvo por el método de Mínimos Cuadrados Ponderados Robustos (DWLS) </w:t>
      </w:r>
      <w:r>
        <w:rPr>
          <w:lang w:val="es-ES"/>
        </w:rPr>
        <w:t>alcanzando</w:t>
      </w:r>
      <w:r w:rsidR="00383E12" w:rsidRPr="00383E12">
        <w:rPr>
          <w:lang w:val="es-ES"/>
        </w:rPr>
        <w:t xml:space="preserve"> cargas factoriales que fluctúan entre .5</w:t>
      </w:r>
      <w:r>
        <w:rPr>
          <w:lang w:val="es-ES"/>
        </w:rPr>
        <w:t>2</w:t>
      </w:r>
      <w:r w:rsidR="00383E12" w:rsidRPr="00383E12">
        <w:rPr>
          <w:lang w:val="es-ES"/>
        </w:rPr>
        <w:t xml:space="preserve"> a .7</w:t>
      </w:r>
      <w:r>
        <w:rPr>
          <w:lang w:val="es-ES"/>
        </w:rPr>
        <w:t>7</w:t>
      </w:r>
      <w:r w:rsidR="00383E12" w:rsidRPr="00383E12">
        <w:rPr>
          <w:lang w:val="es-ES"/>
        </w:rPr>
        <w:t xml:space="preserve"> (Reactiva) y .49 y .81 (Proactiva), los índices de ajuste fueron mayormente adecuados para validar el modelo original (CFI y TLI mayores de .9</w:t>
      </w:r>
      <w:r>
        <w:rPr>
          <w:lang w:val="es-ES"/>
        </w:rPr>
        <w:t>0</w:t>
      </w:r>
      <w:r w:rsidR="00383E12" w:rsidRPr="00383E12">
        <w:rPr>
          <w:lang w:val="es-ES"/>
        </w:rPr>
        <w:t xml:space="preserve"> y RMSEA y SRMR menores de .08)</w:t>
      </w:r>
    </w:p>
    <w:p w14:paraId="7B8078E7" w14:textId="1ECC2A53" w:rsidR="00383E12" w:rsidRPr="00383E12" w:rsidRDefault="006F2AA8" w:rsidP="00383E12">
      <w:pPr>
        <w:pStyle w:val="Prrafocomn"/>
        <w:rPr>
          <w:lang w:val="es-ES"/>
        </w:rPr>
      </w:pPr>
      <w:r>
        <w:rPr>
          <w:lang w:val="es-ES"/>
        </w:rPr>
        <w:t xml:space="preserve">El estudio expuesto </w:t>
      </w:r>
      <w:r w:rsidR="00383E12" w:rsidRPr="00383E12">
        <w:rPr>
          <w:lang w:val="es-ES"/>
        </w:rPr>
        <w:t xml:space="preserve">ha explorado las evidencias de validez y fiabilidad del RPQ en </w:t>
      </w:r>
      <w:r>
        <w:rPr>
          <w:lang w:val="es-ES"/>
        </w:rPr>
        <w:t>escolares de nivel secundario de ambos sexos</w:t>
      </w:r>
      <w:r w:rsidR="00383E12" w:rsidRPr="00383E12">
        <w:rPr>
          <w:lang w:val="es-ES"/>
        </w:rPr>
        <w:t xml:space="preserve"> (Rojas et al., 2020)</w:t>
      </w:r>
      <w:r>
        <w:rPr>
          <w:lang w:val="es-ES"/>
        </w:rPr>
        <w:t>, los cuales nunca estuvieron internados en un centro de rehabilitación juvenil</w:t>
      </w:r>
      <w:r w:rsidR="00383E12" w:rsidRPr="00383E12">
        <w:rPr>
          <w:lang w:val="es-ES"/>
        </w:rPr>
        <w:t xml:space="preserve">. </w:t>
      </w:r>
      <w:r>
        <w:rPr>
          <w:lang w:val="es-ES"/>
        </w:rPr>
        <w:t>Es por ello, que se hace necesario</w:t>
      </w:r>
      <w:r w:rsidR="00383E12" w:rsidRPr="00383E12">
        <w:rPr>
          <w:lang w:val="es-ES"/>
        </w:rPr>
        <w:t xml:space="preserve"> </w:t>
      </w:r>
      <w:r>
        <w:rPr>
          <w:lang w:val="es-ES"/>
        </w:rPr>
        <w:t>conocer la prestancia del instrumento para medir el constructo en adolescentes infractores varones</w:t>
      </w:r>
      <w:r w:rsidR="00383E12" w:rsidRPr="00383E12">
        <w:rPr>
          <w:lang w:val="es-ES"/>
        </w:rPr>
        <w:t xml:space="preserve">, lo cual es sumamente </w:t>
      </w:r>
      <w:r>
        <w:rPr>
          <w:lang w:val="es-ES"/>
        </w:rPr>
        <w:t>importante</w:t>
      </w:r>
      <w:r w:rsidR="00383E12" w:rsidRPr="00383E12">
        <w:rPr>
          <w:lang w:val="es-ES"/>
        </w:rPr>
        <w:t xml:space="preserve"> dado que de acuerdo con</w:t>
      </w:r>
      <w:r>
        <w:rPr>
          <w:lang w:val="es-ES"/>
        </w:rPr>
        <w:t xml:space="preserve"> el</w:t>
      </w:r>
      <w:r w:rsidR="00383E12" w:rsidRPr="00383E12">
        <w:rPr>
          <w:lang w:val="es-ES"/>
        </w:rPr>
        <w:t xml:space="preserve"> Censo Nacional de Población en los Centros </w:t>
      </w:r>
      <w:r w:rsidR="00383E12" w:rsidRPr="00383E12">
        <w:rPr>
          <w:lang w:val="es-ES"/>
        </w:rPr>
        <w:lastRenderedPageBreak/>
        <w:t>Juveniles de Diagnóstico y Rehabilitación (INEI, 2016), estos constituyen la población con mayor índice de internamiento (62.7%).</w:t>
      </w:r>
    </w:p>
    <w:p w14:paraId="0AAB4230" w14:textId="7317DCDE" w:rsidR="00383E12" w:rsidRPr="00383E12" w:rsidRDefault="00383E12" w:rsidP="00383E12">
      <w:pPr>
        <w:pStyle w:val="Prrafocomn"/>
        <w:rPr>
          <w:lang w:val="es-ES"/>
        </w:rPr>
      </w:pPr>
      <w:bookmarkStart w:id="2" w:name="_Hlk65047882"/>
      <w:r w:rsidRPr="00383E12">
        <w:rPr>
          <w:lang w:val="es-ES"/>
        </w:rPr>
        <w:t xml:space="preserve">En línea con lo anterior, según el Observatorio Nacional de Política Criminal (2017) estos adolescentes </w:t>
      </w:r>
      <w:r w:rsidR="006F2AA8">
        <w:rPr>
          <w:lang w:val="es-ES"/>
        </w:rPr>
        <w:t>infractores</w:t>
      </w:r>
      <w:r w:rsidRPr="00383E12">
        <w:rPr>
          <w:lang w:val="es-ES"/>
        </w:rPr>
        <w:t xml:space="preserve"> presentan problemas de ansiedad, depresión y adicción a sustancias. Asimismo, sus entornos familiares son desorganizados, han crecido en abandono funcional y en situaciones de riesgo. Dada la problemática que todo ello implica es que se hace necesario realizar estudios que permitan caracterizar, comparar, modelar y predecir estas conductas</w:t>
      </w:r>
      <w:bookmarkEnd w:id="2"/>
      <w:r w:rsidRPr="00383E12">
        <w:rPr>
          <w:lang w:val="es-ES"/>
        </w:rPr>
        <w:t xml:space="preserve"> a través de instrumentos </w:t>
      </w:r>
      <w:r w:rsidR="006F2AA8">
        <w:rPr>
          <w:lang w:val="es-ES"/>
        </w:rPr>
        <w:t>que cuenten con cualidades deseadas mínimas para la medición (Thorndike &amp; Hagen, 2012)</w:t>
      </w:r>
      <w:r w:rsidRPr="00383E12">
        <w:rPr>
          <w:lang w:val="es-ES"/>
        </w:rPr>
        <w:t>.</w:t>
      </w:r>
    </w:p>
    <w:p w14:paraId="6716E01C" w14:textId="26BD8A17" w:rsidR="00383E12" w:rsidRPr="00383E12" w:rsidRDefault="00383E12" w:rsidP="00383E12">
      <w:pPr>
        <w:pStyle w:val="Prrafocomn"/>
        <w:rPr>
          <w:lang w:val="es-ES"/>
        </w:rPr>
      </w:pPr>
      <w:r w:rsidRPr="00383E12">
        <w:rPr>
          <w:lang w:val="es-ES"/>
        </w:rPr>
        <w:t xml:space="preserve">En tal sentido el objetivo del presente estudio es, analizar la validez estructural e invarianza del </w:t>
      </w:r>
      <w:r w:rsidRPr="00383E12">
        <w:rPr>
          <w:i/>
          <w:iCs/>
          <w:lang w:val="es-ES"/>
        </w:rPr>
        <w:t>Reactive/</w:t>
      </w:r>
      <w:proofErr w:type="spellStart"/>
      <w:r w:rsidRPr="00383E12">
        <w:rPr>
          <w:i/>
          <w:iCs/>
          <w:lang w:val="es-ES"/>
        </w:rPr>
        <w:t>Proactive</w:t>
      </w:r>
      <w:proofErr w:type="spellEnd"/>
      <w:r w:rsidRPr="00383E12">
        <w:rPr>
          <w:i/>
          <w:iCs/>
          <w:lang w:val="es-ES"/>
        </w:rPr>
        <w:t xml:space="preserve"> </w:t>
      </w:r>
      <w:proofErr w:type="spellStart"/>
      <w:r w:rsidRPr="00383E12">
        <w:rPr>
          <w:i/>
          <w:iCs/>
          <w:lang w:val="es-ES"/>
        </w:rPr>
        <w:t>Questionarie</w:t>
      </w:r>
      <w:proofErr w:type="spellEnd"/>
      <w:r w:rsidRPr="00383E12">
        <w:rPr>
          <w:lang w:val="es-ES"/>
        </w:rPr>
        <w:t xml:space="preserve"> (RPQ) en adolescentes</w:t>
      </w:r>
      <w:r>
        <w:rPr>
          <w:lang w:val="es-ES"/>
        </w:rPr>
        <w:t xml:space="preserve"> limeños</w:t>
      </w:r>
      <w:r w:rsidRPr="00383E12">
        <w:rPr>
          <w:lang w:val="es-ES"/>
        </w:rPr>
        <w:t>. Al respecto el establecimiento de la invarianza factorial resulta necesaria pues es una propiedad de los instrumentos de medida que permite realizar comparaciones entre grupos que presentan una condición que podría generar un sesgo en la medición (Byrne, 2008).</w:t>
      </w:r>
      <w:r>
        <w:rPr>
          <w:lang w:val="es-ES"/>
        </w:rPr>
        <w:t xml:space="preserve"> En tal sentido, establecer esta propiedad es necesaria pues permitirá realizar estudios entre grupos de adolescentes infractores y no infractores, con la seguridad que las diferencias encontradas no provengan de sesgos en la medida (</w:t>
      </w:r>
      <w:proofErr w:type="spellStart"/>
      <w:r>
        <w:rPr>
          <w:lang w:val="es-ES"/>
        </w:rPr>
        <w:t>Coenders</w:t>
      </w:r>
      <w:proofErr w:type="spellEnd"/>
      <w:r>
        <w:rPr>
          <w:lang w:val="es-ES"/>
        </w:rPr>
        <w:t xml:space="preserve"> et al., 2005). Con ello será posible profundizar en los factores que inciden en el desarrollo o mantenimiento de la conducta agresiva en los adolescentes.</w:t>
      </w:r>
    </w:p>
    <w:p w14:paraId="2254AC27" w14:textId="42674A65" w:rsidR="006F7E7E" w:rsidRPr="00107993" w:rsidRDefault="001516ED" w:rsidP="005B3539">
      <w:pPr>
        <w:pStyle w:val="Ttulosinternos"/>
      </w:pPr>
      <w:r w:rsidRPr="00107993">
        <w:t>M</w:t>
      </w:r>
      <w:r w:rsidR="00107993" w:rsidRPr="00107993">
        <w:t>étodo</w:t>
      </w:r>
    </w:p>
    <w:p w14:paraId="2F19162A" w14:textId="324531C5" w:rsidR="006F7E7E" w:rsidRPr="005B24FF" w:rsidRDefault="005B24FF" w:rsidP="007E3B8D">
      <w:pPr>
        <w:pStyle w:val="SubtituloInterno"/>
        <w:rPr>
          <w:rFonts w:eastAsia="Calibri"/>
          <w:lang w:val="es-AR"/>
        </w:rPr>
      </w:pPr>
      <w:r w:rsidRPr="005B24FF">
        <w:rPr>
          <w:rFonts w:eastAsia="Calibri"/>
          <w:lang w:val="es-ES_tradnl"/>
        </w:rPr>
        <w:t>Participa</w:t>
      </w:r>
      <w:r>
        <w:rPr>
          <w:rFonts w:eastAsia="Calibri"/>
          <w:lang w:val="es-ES_tradnl"/>
        </w:rPr>
        <w:t>ntes</w:t>
      </w:r>
    </w:p>
    <w:p w14:paraId="2ECD28CA" w14:textId="45CA6A28" w:rsidR="006F7E7E" w:rsidRDefault="00383E12" w:rsidP="00383E12">
      <w:pPr>
        <w:pStyle w:val="Prrafocomn"/>
        <w:ind w:firstLine="0"/>
        <w:rPr>
          <w:lang w:val="es-AR" w:eastAsia="en-US"/>
        </w:rPr>
      </w:pPr>
      <w:r w:rsidRPr="00383E12">
        <w:rPr>
          <w:lang w:val="es-PE"/>
        </w:rPr>
        <w:t>Se seleccionaron intencionalmente 344 adolescentes varones de Lima Metropolitana, cuyas edades están comprendidas entre los 15 y 17 años (</w:t>
      </w:r>
      <w:r w:rsidRPr="00383E12">
        <w:rPr>
          <w:i/>
          <w:iCs/>
          <w:lang w:val="es-PE"/>
        </w:rPr>
        <w:t>M</w:t>
      </w:r>
      <w:r w:rsidRPr="00383E12">
        <w:rPr>
          <w:lang w:val="es-PE"/>
        </w:rPr>
        <w:t xml:space="preserve"> </w:t>
      </w:r>
      <w:r w:rsidRPr="00383E12">
        <w:rPr>
          <w:vertAlign w:val="subscript"/>
          <w:lang w:val="es-PE"/>
        </w:rPr>
        <w:t>edad</w:t>
      </w:r>
      <w:r w:rsidRPr="00383E12">
        <w:rPr>
          <w:lang w:val="es-PE"/>
        </w:rPr>
        <w:t xml:space="preserve"> = 16.055, </w:t>
      </w:r>
      <w:r w:rsidRPr="00383E12">
        <w:rPr>
          <w:i/>
          <w:iCs/>
          <w:lang w:val="es-PE"/>
        </w:rPr>
        <w:t xml:space="preserve">DE </w:t>
      </w:r>
      <w:r w:rsidRPr="00383E12">
        <w:rPr>
          <w:vertAlign w:val="subscript"/>
          <w:lang w:val="es-PE"/>
        </w:rPr>
        <w:t>edad</w:t>
      </w:r>
      <w:r w:rsidRPr="00383E12">
        <w:rPr>
          <w:lang w:val="es-PE"/>
        </w:rPr>
        <w:t xml:space="preserve"> =0.674), de los cuales el 51.16% se encontraban internados en un centro de rehabilitación para menores (</w:t>
      </w:r>
      <w:r w:rsidRPr="00383E12">
        <w:rPr>
          <w:i/>
          <w:iCs/>
          <w:lang w:val="es-PE"/>
        </w:rPr>
        <w:t>M</w:t>
      </w:r>
      <w:r w:rsidRPr="00383E12">
        <w:rPr>
          <w:lang w:val="es-PE"/>
        </w:rPr>
        <w:t xml:space="preserve"> = 16.136, </w:t>
      </w:r>
      <w:r w:rsidRPr="00383E12">
        <w:rPr>
          <w:i/>
          <w:iCs/>
          <w:lang w:val="es-PE"/>
        </w:rPr>
        <w:t>DE</w:t>
      </w:r>
      <w:r w:rsidRPr="00383E12">
        <w:rPr>
          <w:lang w:val="es-PE"/>
        </w:rPr>
        <w:t xml:space="preserve"> = 0.766) y 48.84% provienen de una institución educativa de nivel secundario (</w:t>
      </w:r>
      <w:r w:rsidRPr="00383E12">
        <w:rPr>
          <w:i/>
          <w:iCs/>
          <w:lang w:val="es-PE"/>
        </w:rPr>
        <w:t>M</w:t>
      </w:r>
      <w:r w:rsidRPr="00383E12">
        <w:rPr>
          <w:lang w:val="es-PE"/>
        </w:rPr>
        <w:t xml:space="preserve"> = 15.970, </w:t>
      </w:r>
      <w:r w:rsidRPr="00383E12">
        <w:rPr>
          <w:i/>
          <w:iCs/>
          <w:lang w:val="es-PE"/>
        </w:rPr>
        <w:t>DE</w:t>
      </w:r>
      <w:r w:rsidRPr="00383E12">
        <w:rPr>
          <w:lang w:val="es-PE"/>
        </w:rPr>
        <w:t xml:space="preserve"> = 0.552)., lo cuales </w:t>
      </w:r>
      <w:r w:rsidRPr="00383E12">
        <w:rPr>
          <w:bCs/>
          <w:lang w:val="es-PE"/>
        </w:rPr>
        <w:t>fueron elegidos debido a su accesibilidad y nivel sociocultural el mismo que resulta similar al del grupo de infractores</w:t>
      </w:r>
      <w:r w:rsidR="005B24FF" w:rsidRPr="005B24FF">
        <w:rPr>
          <w:lang w:val="es-AR" w:eastAsia="en-US"/>
        </w:rPr>
        <w:t>.</w:t>
      </w:r>
    </w:p>
    <w:p w14:paraId="01575295" w14:textId="0E07CDA3" w:rsidR="00FB3DE6" w:rsidRDefault="00FB3DE6" w:rsidP="00383E12">
      <w:pPr>
        <w:pStyle w:val="Prrafocomn"/>
        <w:ind w:firstLine="0"/>
        <w:rPr>
          <w:lang w:val="es-AR" w:eastAsia="en-US"/>
        </w:rPr>
      </w:pPr>
    </w:p>
    <w:p w14:paraId="5C689FD6" w14:textId="5CAB58DD" w:rsidR="00FB3DE6" w:rsidRDefault="00FB3DE6" w:rsidP="00383E12">
      <w:pPr>
        <w:pStyle w:val="Prrafocomn"/>
        <w:ind w:firstLine="0"/>
        <w:rPr>
          <w:lang w:val="es-AR" w:eastAsia="en-US"/>
        </w:rPr>
      </w:pPr>
    </w:p>
    <w:p w14:paraId="347D0927" w14:textId="77777777" w:rsidR="00FB3DE6" w:rsidRDefault="00FB3DE6" w:rsidP="00383E12">
      <w:pPr>
        <w:pStyle w:val="Prrafocomn"/>
        <w:ind w:firstLine="0"/>
        <w:rPr>
          <w:lang w:val="es-AR" w:eastAsia="en-US"/>
        </w:rPr>
      </w:pPr>
    </w:p>
    <w:p w14:paraId="0FA29A56" w14:textId="7473937B" w:rsidR="006F7E7E" w:rsidRPr="005B24FF" w:rsidRDefault="005B24FF" w:rsidP="00FB3DE6">
      <w:pPr>
        <w:pStyle w:val="SubtituloInterno"/>
        <w:spacing w:before="0" w:beforeAutospacing="0" w:after="0" w:afterAutospacing="0"/>
        <w:rPr>
          <w:lang w:val="es-AR"/>
        </w:rPr>
      </w:pPr>
      <w:r w:rsidRPr="005B24FF">
        <w:rPr>
          <w:lang w:val="es-AR"/>
        </w:rPr>
        <w:lastRenderedPageBreak/>
        <w:t>Diseño</w:t>
      </w:r>
    </w:p>
    <w:p w14:paraId="7B36C86E" w14:textId="6EB6C32B" w:rsidR="006F7E7E" w:rsidRPr="00383E12" w:rsidRDefault="00383E12" w:rsidP="00FB3DE6">
      <w:pPr>
        <w:pStyle w:val="Prrafocomn"/>
        <w:rPr>
          <w:iCs/>
          <w:lang w:val="es-PE"/>
        </w:rPr>
      </w:pPr>
      <w:r w:rsidRPr="00383E12">
        <w:rPr>
          <w:lang w:val="es-PE"/>
        </w:rPr>
        <w:t>Se trata de un estudio instrumental (Ato, López &amp; Benavente, 2013), pues se analiza</w:t>
      </w:r>
      <w:r>
        <w:rPr>
          <w:lang w:val="es-PE"/>
        </w:rPr>
        <w:t>ro</w:t>
      </w:r>
      <w:r w:rsidRPr="00383E12">
        <w:rPr>
          <w:lang w:val="es-PE"/>
        </w:rPr>
        <w:t>n las evidencias de validez y fiabilidad de un instrumento de medida psicológico</w:t>
      </w:r>
      <w:r w:rsidR="005B24FF" w:rsidRPr="00383E12">
        <w:rPr>
          <w:iCs/>
          <w:lang w:val="es-PE"/>
        </w:rPr>
        <w:t>.</w:t>
      </w:r>
      <w:r>
        <w:rPr>
          <w:iCs/>
          <w:lang w:val="es-PE"/>
        </w:rPr>
        <w:t xml:space="preserve"> Asimismo, debido a los procedimientos estadísticos utilizados</w:t>
      </w:r>
      <w:r w:rsidR="002576A2">
        <w:rPr>
          <w:iCs/>
          <w:lang w:val="es-PE"/>
        </w:rPr>
        <w:t xml:space="preserve">, </w:t>
      </w:r>
      <w:r>
        <w:rPr>
          <w:iCs/>
          <w:lang w:val="es-PE"/>
        </w:rPr>
        <w:t>es un estudio multivariado (Veliz, 2017)</w:t>
      </w:r>
      <w:r w:rsidR="002576A2">
        <w:rPr>
          <w:iCs/>
          <w:lang w:val="es-PE"/>
        </w:rPr>
        <w:t xml:space="preserve"> pues se incluyen múltiples variables ordinales para corroborar una estructura factorial</w:t>
      </w:r>
      <w:r w:rsidR="00B167A2">
        <w:rPr>
          <w:iCs/>
          <w:lang w:val="es-PE"/>
        </w:rPr>
        <w:t xml:space="preserve"> subyacente a</w:t>
      </w:r>
      <w:r w:rsidR="002576A2">
        <w:rPr>
          <w:iCs/>
          <w:lang w:val="es-PE"/>
        </w:rPr>
        <w:t xml:space="preserve"> la teoría de la cual deriva el RPQ</w:t>
      </w:r>
      <w:r>
        <w:rPr>
          <w:iCs/>
          <w:lang w:val="es-PE"/>
        </w:rPr>
        <w:t>.</w:t>
      </w:r>
    </w:p>
    <w:p w14:paraId="42256443" w14:textId="58F839EC" w:rsidR="005B24FF" w:rsidRDefault="005B24FF" w:rsidP="002576A2">
      <w:pPr>
        <w:pStyle w:val="SubtituloInterno"/>
      </w:pPr>
      <w:r>
        <w:t>Materiales</w:t>
      </w:r>
    </w:p>
    <w:p w14:paraId="79D87F15" w14:textId="77777777" w:rsidR="002576A2" w:rsidRPr="00674528" w:rsidRDefault="002576A2" w:rsidP="002576A2">
      <w:pPr>
        <w:spacing w:line="360" w:lineRule="auto"/>
        <w:rPr>
          <w:b/>
          <w:bCs/>
        </w:rPr>
      </w:pPr>
      <w:r w:rsidRPr="00674528">
        <w:rPr>
          <w:b/>
          <w:bCs/>
        </w:rPr>
        <w:t>Cuestionario de Agresión Reactivo-Proactivo (CAR-P)</w:t>
      </w:r>
    </w:p>
    <w:p w14:paraId="01903714" w14:textId="720DF522" w:rsidR="002576A2" w:rsidRDefault="002576A2" w:rsidP="005B3539">
      <w:pPr>
        <w:pStyle w:val="SubtituloInterno"/>
        <w:spacing w:before="0" w:beforeAutospacing="0" w:after="0" w:afterAutospacing="0"/>
        <w:ind w:firstLine="720"/>
        <w:rPr>
          <w:b w:val="0"/>
          <w:i w:val="0"/>
          <w:iCs/>
          <w:lang w:val="es-PE"/>
        </w:rPr>
      </w:pPr>
      <w:r w:rsidRPr="002576A2">
        <w:rPr>
          <w:b w:val="0"/>
          <w:i w:val="0"/>
          <w:iCs/>
          <w:lang w:val="es-PE"/>
        </w:rPr>
        <w:t xml:space="preserve">Para medir la agresión reactiva y proactiva se utilizó el CARP diseñado por </w:t>
      </w:r>
      <w:proofErr w:type="spellStart"/>
      <w:r w:rsidRPr="002576A2">
        <w:rPr>
          <w:b w:val="0"/>
          <w:i w:val="0"/>
          <w:iCs/>
          <w:lang w:val="es-PE"/>
        </w:rPr>
        <w:t>Raine</w:t>
      </w:r>
      <w:proofErr w:type="spellEnd"/>
      <w:r w:rsidRPr="002576A2">
        <w:rPr>
          <w:b w:val="0"/>
          <w:i w:val="0"/>
          <w:iCs/>
          <w:lang w:val="es-PE"/>
        </w:rPr>
        <w:t xml:space="preserve"> et al. (2006) la cual consta de 23 ítems distribuidos en dos dimensiones Agresión Reactiva y Agresión Proactiva, con opciones de respuesta tipo Likert: (1) nunca (2) a veces y (3) a menudo. En la presente investigación se empleó la adaptación de Rojas et al. (2020). Respecto a su evidencia de validez esta se determinó mediante un análisis factorial confirmatorio con el método de mínimos cuadrados diagonalmente ponderados (DWLS), encontrándose cargas factoriales estandarizadas para ambos factores oscilan entre .308 a .767. Los índices de ajuste resultaron satisfactorios con valores RMSEA=.07, SRMR=.07, CFI=.96, TLI=.96. Con respecto a la confiabilidad, esta fue hallada mediante el método de consistencia interna, reportándose coeficientes Omega por encima de .70 para ambos factores. </w:t>
      </w:r>
    </w:p>
    <w:p w14:paraId="1C82033A" w14:textId="77777777" w:rsidR="002576A2" w:rsidRPr="002576A2" w:rsidRDefault="002576A2" w:rsidP="002576A2">
      <w:pPr>
        <w:pStyle w:val="SubtituloInterno"/>
        <w:rPr>
          <w:b w:val="0"/>
          <w:i w:val="0"/>
          <w:iCs/>
          <w:lang w:val="es-PE"/>
        </w:rPr>
      </w:pPr>
    </w:p>
    <w:p w14:paraId="7F1F03A6" w14:textId="42C294DF" w:rsidR="005B24FF" w:rsidRDefault="005B24FF" w:rsidP="007E3B8D">
      <w:pPr>
        <w:pStyle w:val="SubtituloInterno"/>
        <w:rPr>
          <w:lang w:val="es-AR"/>
        </w:rPr>
      </w:pPr>
      <w:r w:rsidRPr="005B24FF">
        <w:rPr>
          <w:lang w:val="es-AR"/>
        </w:rPr>
        <w:t>Procedimientos</w:t>
      </w:r>
    </w:p>
    <w:p w14:paraId="01045A22" w14:textId="158F19F8" w:rsidR="002576A2" w:rsidRDefault="002576A2" w:rsidP="005B3539">
      <w:pPr>
        <w:pStyle w:val="SubtituloInterno"/>
        <w:ind w:firstLine="720"/>
        <w:rPr>
          <w:b w:val="0"/>
          <w:i w:val="0"/>
          <w:iCs/>
          <w:lang w:val="es-PE"/>
        </w:rPr>
      </w:pPr>
      <w:r w:rsidRPr="002576A2">
        <w:rPr>
          <w:b w:val="0"/>
          <w:i w:val="0"/>
          <w:iCs/>
          <w:lang w:val="es-PE"/>
        </w:rPr>
        <w:t xml:space="preserve">Inicialmente se solicitaron los permisos respectivos a las instituciones en las cuales se realizó la investigación. Una vez recibida la autorización para la ejecución del estudio, se </w:t>
      </w:r>
      <w:bookmarkStart w:id="3" w:name="_Hlk42441035"/>
      <w:r w:rsidRPr="002576A2">
        <w:rPr>
          <w:b w:val="0"/>
          <w:i w:val="0"/>
          <w:iCs/>
          <w:lang w:val="es-PE"/>
        </w:rPr>
        <w:t xml:space="preserve">llevaron a cabo las evaluaciones en las instalaciones de una institución educativa del distrito de San Martin de Porres, simultáneamente se iniciaron las evaluaciones en el centro de rehabilitación ubicado en el distrito de San Miguel, ambas instituciones ubicadas en Lima Metropolitana, las mediciones se llevaron a cabo entre los meses de abril y noviembre del 2019. </w:t>
      </w:r>
      <w:bookmarkEnd w:id="3"/>
    </w:p>
    <w:p w14:paraId="4F623C66" w14:textId="77777777" w:rsidR="002576A2" w:rsidRPr="002576A2" w:rsidRDefault="002576A2" w:rsidP="002576A2">
      <w:pPr>
        <w:pStyle w:val="SubtituloInterno"/>
        <w:rPr>
          <w:b w:val="0"/>
          <w:i w:val="0"/>
          <w:iCs/>
          <w:lang w:val="es-PE"/>
        </w:rPr>
      </w:pPr>
    </w:p>
    <w:p w14:paraId="0F4ED851" w14:textId="4BC03188" w:rsidR="007C3C14" w:rsidRPr="005B24FF" w:rsidRDefault="005B24FF" w:rsidP="007C3C14">
      <w:pPr>
        <w:pStyle w:val="SubtituloInterno"/>
        <w:rPr>
          <w:lang w:val="es-AR"/>
        </w:rPr>
      </w:pPr>
      <w:r>
        <w:rPr>
          <w:lang w:val="es-AR"/>
        </w:rPr>
        <w:t>Análisis de los datos</w:t>
      </w:r>
    </w:p>
    <w:p w14:paraId="37DC40CF" w14:textId="77777777" w:rsidR="00FB3DE6" w:rsidRDefault="002576A2" w:rsidP="002576A2">
      <w:pPr>
        <w:pStyle w:val="SubtituloInterno"/>
        <w:ind w:firstLine="720"/>
        <w:rPr>
          <w:b w:val="0"/>
          <w:i w:val="0"/>
          <w:iCs/>
          <w:lang w:val="es-PE"/>
        </w:rPr>
      </w:pPr>
      <w:r w:rsidRPr="002576A2">
        <w:rPr>
          <w:b w:val="0"/>
          <w:i w:val="0"/>
          <w:iCs/>
          <w:lang w:val="es-PE"/>
        </w:rPr>
        <w:t xml:space="preserve">En la primera parte se analizaron las medidas descriptivas de los ítems y sus características distribucionales siendo evaluada la normalidad a través de los coeficientes de asimetría y curtosis </w:t>
      </w:r>
      <w:r w:rsidRPr="002576A2">
        <w:rPr>
          <w:b w:val="0"/>
          <w:i w:val="0"/>
          <w:iCs/>
          <w:lang w:val="es-PE"/>
        </w:rPr>
        <w:lastRenderedPageBreak/>
        <w:t xml:space="preserve">se tomó criterio los valores dentro del rango de ± 1.5 como indicadores de normalidad univariada (Pérez &amp; Medrano, 2010). Luego, para identificar las evidencias de validez estructural, se realizó un Análisis Factorial Confirmatorio (AFC) con el método </w:t>
      </w:r>
      <w:proofErr w:type="spellStart"/>
      <w:r w:rsidRPr="002576A2">
        <w:rPr>
          <w:b w:val="0"/>
          <w:i w:val="0"/>
          <w:iCs/>
          <w:lang w:val="es-PE"/>
        </w:rPr>
        <w:t>Weighted</w:t>
      </w:r>
      <w:proofErr w:type="spellEnd"/>
      <w:r w:rsidRPr="002576A2">
        <w:rPr>
          <w:b w:val="0"/>
          <w:i w:val="0"/>
          <w:iCs/>
          <w:lang w:val="es-PE"/>
        </w:rPr>
        <w:t xml:space="preserve"> </w:t>
      </w:r>
      <w:proofErr w:type="spellStart"/>
      <w:r w:rsidRPr="002576A2">
        <w:rPr>
          <w:b w:val="0"/>
          <w:i w:val="0"/>
          <w:iCs/>
          <w:lang w:val="es-PE"/>
        </w:rPr>
        <w:t>Least</w:t>
      </w:r>
      <w:proofErr w:type="spellEnd"/>
      <w:r w:rsidRPr="002576A2">
        <w:rPr>
          <w:b w:val="0"/>
          <w:i w:val="0"/>
          <w:iCs/>
          <w:lang w:val="es-PE"/>
        </w:rPr>
        <w:t xml:space="preserve"> Square Mean and </w:t>
      </w:r>
      <w:proofErr w:type="spellStart"/>
      <w:r w:rsidRPr="002576A2">
        <w:rPr>
          <w:b w:val="0"/>
          <w:i w:val="0"/>
          <w:iCs/>
          <w:lang w:val="es-PE"/>
        </w:rPr>
        <w:t>Variance</w:t>
      </w:r>
      <w:proofErr w:type="spellEnd"/>
      <w:r w:rsidRPr="002576A2">
        <w:rPr>
          <w:b w:val="0"/>
          <w:i w:val="0"/>
          <w:iCs/>
          <w:lang w:val="es-PE"/>
        </w:rPr>
        <w:t xml:space="preserve"> </w:t>
      </w:r>
      <w:proofErr w:type="spellStart"/>
      <w:r w:rsidRPr="002576A2">
        <w:rPr>
          <w:b w:val="0"/>
          <w:i w:val="0"/>
          <w:iCs/>
          <w:lang w:val="es-PE"/>
        </w:rPr>
        <w:t>Adjusted</w:t>
      </w:r>
      <w:proofErr w:type="spellEnd"/>
      <w:r w:rsidRPr="002576A2">
        <w:rPr>
          <w:b w:val="0"/>
          <w:i w:val="0"/>
          <w:iCs/>
          <w:lang w:val="es-PE"/>
        </w:rPr>
        <w:t xml:space="preserve"> (WLSMV), debido a la naturaleza categórica de las variables de estudio (Domínguez-Lara, 2014; </w:t>
      </w:r>
      <w:proofErr w:type="spellStart"/>
      <w:r w:rsidRPr="002576A2">
        <w:rPr>
          <w:b w:val="0"/>
          <w:i w:val="0"/>
          <w:iCs/>
          <w:lang w:val="es-PE"/>
        </w:rPr>
        <w:t>Verdam</w:t>
      </w:r>
      <w:proofErr w:type="spellEnd"/>
      <w:r w:rsidRPr="002576A2">
        <w:rPr>
          <w:b w:val="0"/>
          <w:i w:val="0"/>
          <w:iCs/>
          <w:lang w:val="es-PE"/>
        </w:rPr>
        <w:t xml:space="preserve"> Oort, &amp; </w:t>
      </w:r>
      <w:proofErr w:type="spellStart"/>
      <w:r w:rsidRPr="002576A2">
        <w:rPr>
          <w:b w:val="0"/>
          <w:i w:val="0"/>
          <w:iCs/>
          <w:lang w:val="es-PE"/>
        </w:rPr>
        <w:t>Sprangers</w:t>
      </w:r>
      <w:proofErr w:type="spellEnd"/>
      <w:r w:rsidRPr="002576A2">
        <w:rPr>
          <w:b w:val="0"/>
          <w:i w:val="0"/>
          <w:iCs/>
          <w:lang w:val="es-PE"/>
        </w:rPr>
        <w:t xml:space="preserve">, 2016), además de ser un estimador más confiable en muestras pequeñas (Li, 2014), se consideraron pesos factoriales aceptables a partir de .40 (Williams, </w:t>
      </w:r>
      <w:proofErr w:type="spellStart"/>
      <w:r w:rsidRPr="002576A2">
        <w:rPr>
          <w:b w:val="0"/>
          <w:i w:val="0"/>
          <w:iCs/>
          <w:lang w:val="es-PE"/>
        </w:rPr>
        <w:t>Onsman</w:t>
      </w:r>
      <w:proofErr w:type="spellEnd"/>
      <w:r w:rsidRPr="002576A2">
        <w:rPr>
          <w:b w:val="0"/>
          <w:i w:val="0"/>
          <w:iCs/>
          <w:lang w:val="es-PE"/>
        </w:rPr>
        <w:t>, &amp; Brown, 2010). Además, se evaluaron los índices de ajuste del modelo, entre ellos: la razón chi cuadrado entre los grados de libertad (</w:t>
      </w:r>
      <w:r w:rsidRPr="002576A2">
        <w:rPr>
          <w:b w:val="0"/>
          <w:i w:val="0"/>
          <w:iCs/>
          <w:lang w:val="es-ES"/>
        </w:rPr>
        <w:t>χ</w:t>
      </w:r>
      <w:r w:rsidRPr="002576A2">
        <w:rPr>
          <w:b w:val="0"/>
          <w:i w:val="0"/>
          <w:iCs/>
          <w:vertAlign w:val="superscript"/>
          <w:lang w:val="es-PE"/>
        </w:rPr>
        <w:t>2</w:t>
      </w:r>
      <w:r w:rsidRPr="002576A2">
        <w:rPr>
          <w:b w:val="0"/>
          <w:i w:val="0"/>
          <w:iCs/>
          <w:lang w:val="es-PE"/>
        </w:rPr>
        <w:t>/</w:t>
      </w:r>
      <w:proofErr w:type="spellStart"/>
      <w:r w:rsidRPr="002576A2">
        <w:rPr>
          <w:b w:val="0"/>
          <w:i w:val="0"/>
          <w:iCs/>
          <w:lang w:val="es-PE"/>
        </w:rPr>
        <w:t>gl</w:t>
      </w:r>
      <w:proofErr w:type="spellEnd"/>
      <w:r w:rsidRPr="002576A2">
        <w:rPr>
          <w:b w:val="0"/>
          <w:i w:val="0"/>
          <w:iCs/>
          <w:lang w:val="es-PE"/>
        </w:rPr>
        <w:t xml:space="preserve">) con valores esperados menores a 3, </w:t>
      </w:r>
      <w:proofErr w:type="spellStart"/>
      <w:r w:rsidRPr="002576A2">
        <w:rPr>
          <w:b w:val="0"/>
          <w:i w:val="0"/>
          <w:iCs/>
          <w:lang w:val="es-PE"/>
        </w:rPr>
        <w:t>Root</w:t>
      </w:r>
      <w:proofErr w:type="spellEnd"/>
      <w:r w:rsidRPr="002576A2">
        <w:rPr>
          <w:b w:val="0"/>
          <w:i w:val="0"/>
          <w:iCs/>
          <w:lang w:val="es-PE"/>
        </w:rPr>
        <w:t xml:space="preserve"> Mean Square Error of </w:t>
      </w:r>
      <w:proofErr w:type="spellStart"/>
      <w:r w:rsidRPr="002576A2">
        <w:rPr>
          <w:b w:val="0"/>
          <w:i w:val="0"/>
          <w:iCs/>
          <w:lang w:val="es-PE"/>
        </w:rPr>
        <w:t>Approximation</w:t>
      </w:r>
      <w:proofErr w:type="spellEnd"/>
      <w:r w:rsidRPr="002576A2">
        <w:rPr>
          <w:b w:val="0"/>
          <w:i w:val="0"/>
          <w:iCs/>
          <w:lang w:val="es-PE"/>
        </w:rPr>
        <w:t xml:space="preserve"> (RMSEA) y </w:t>
      </w:r>
      <w:proofErr w:type="spellStart"/>
      <w:r w:rsidRPr="002576A2">
        <w:rPr>
          <w:b w:val="0"/>
          <w:i w:val="0"/>
          <w:iCs/>
          <w:lang w:val="es-PE"/>
        </w:rPr>
        <w:t>Standarized</w:t>
      </w:r>
      <w:proofErr w:type="spellEnd"/>
      <w:r w:rsidRPr="002576A2">
        <w:rPr>
          <w:b w:val="0"/>
          <w:i w:val="0"/>
          <w:iCs/>
          <w:lang w:val="es-PE"/>
        </w:rPr>
        <w:t xml:space="preserve"> </w:t>
      </w:r>
      <w:proofErr w:type="spellStart"/>
      <w:r w:rsidRPr="002576A2">
        <w:rPr>
          <w:b w:val="0"/>
          <w:i w:val="0"/>
          <w:iCs/>
          <w:lang w:val="es-PE"/>
        </w:rPr>
        <w:t>Root</w:t>
      </w:r>
      <w:proofErr w:type="spellEnd"/>
      <w:r w:rsidRPr="002576A2">
        <w:rPr>
          <w:b w:val="0"/>
          <w:i w:val="0"/>
          <w:iCs/>
          <w:lang w:val="es-PE"/>
        </w:rPr>
        <w:t xml:space="preserve"> Mean Square Residual (SRMR) en ambos casos se esperaron valores por debajo a .08 sugeridos por </w:t>
      </w:r>
      <w:proofErr w:type="spellStart"/>
      <w:r w:rsidRPr="002576A2">
        <w:rPr>
          <w:b w:val="0"/>
          <w:i w:val="0"/>
          <w:iCs/>
          <w:lang w:val="es-PE"/>
        </w:rPr>
        <w:t>Bentler</w:t>
      </w:r>
      <w:proofErr w:type="spellEnd"/>
      <w:r w:rsidRPr="002576A2">
        <w:rPr>
          <w:b w:val="0"/>
          <w:i w:val="0"/>
          <w:iCs/>
          <w:lang w:val="es-PE"/>
        </w:rPr>
        <w:t xml:space="preserve"> y Bonnet (1980). Se incluyó el </w:t>
      </w:r>
      <w:proofErr w:type="spellStart"/>
      <w:r w:rsidRPr="002576A2">
        <w:rPr>
          <w:b w:val="0"/>
          <w:i w:val="0"/>
          <w:iCs/>
          <w:lang w:val="es-PE"/>
        </w:rPr>
        <w:t>Comparative</w:t>
      </w:r>
      <w:proofErr w:type="spellEnd"/>
      <w:r w:rsidRPr="002576A2">
        <w:rPr>
          <w:b w:val="0"/>
          <w:i w:val="0"/>
          <w:iCs/>
          <w:lang w:val="es-PE"/>
        </w:rPr>
        <w:t xml:space="preserve"> </w:t>
      </w:r>
      <w:proofErr w:type="spellStart"/>
      <w:r w:rsidRPr="002576A2">
        <w:rPr>
          <w:b w:val="0"/>
          <w:i w:val="0"/>
          <w:iCs/>
          <w:lang w:val="es-PE"/>
        </w:rPr>
        <w:t>Fit</w:t>
      </w:r>
      <w:proofErr w:type="spellEnd"/>
      <w:r w:rsidRPr="002576A2">
        <w:rPr>
          <w:b w:val="0"/>
          <w:i w:val="0"/>
          <w:iCs/>
          <w:lang w:val="es-PE"/>
        </w:rPr>
        <w:t xml:space="preserve"> </w:t>
      </w:r>
      <w:proofErr w:type="spellStart"/>
      <w:r w:rsidRPr="002576A2">
        <w:rPr>
          <w:b w:val="0"/>
          <w:i w:val="0"/>
          <w:iCs/>
          <w:lang w:val="es-PE"/>
        </w:rPr>
        <w:t>Index</w:t>
      </w:r>
      <w:proofErr w:type="spellEnd"/>
      <w:r w:rsidRPr="002576A2">
        <w:rPr>
          <w:b w:val="0"/>
          <w:i w:val="0"/>
          <w:iCs/>
          <w:lang w:val="es-PE"/>
        </w:rPr>
        <w:t xml:space="preserve"> (CFI) de </w:t>
      </w:r>
      <w:proofErr w:type="spellStart"/>
      <w:r w:rsidRPr="002576A2">
        <w:rPr>
          <w:b w:val="0"/>
          <w:i w:val="0"/>
          <w:iCs/>
          <w:lang w:val="es-PE"/>
        </w:rPr>
        <w:t>Jöreskog</w:t>
      </w:r>
      <w:proofErr w:type="spellEnd"/>
      <w:r w:rsidRPr="002576A2">
        <w:rPr>
          <w:b w:val="0"/>
          <w:i w:val="0"/>
          <w:iCs/>
          <w:lang w:val="es-PE"/>
        </w:rPr>
        <w:t xml:space="preserve"> y </w:t>
      </w:r>
      <w:proofErr w:type="spellStart"/>
      <w:r w:rsidRPr="002576A2">
        <w:rPr>
          <w:b w:val="0"/>
          <w:i w:val="0"/>
          <w:iCs/>
          <w:lang w:val="es-PE"/>
        </w:rPr>
        <w:t>Sörbom</w:t>
      </w:r>
      <w:proofErr w:type="spellEnd"/>
      <w:r w:rsidRPr="002576A2">
        <w:rPr>
          <w:b w:val="0"/>
          <w:i w:val="0"/>
          <w:iCs/>
          <w:lang w:val="es-PE"/>
        </w:rPr>
        <w:t xml:space="preserve"> (1986) y Índice de Tucker-Lewis (TLI) ambos con valores esperados por encima de .90 (Kline, 2016; </w:t>
      </w:r>
      <w:proofErr w:type="spellStart"/>
      <w:r w:rsidRPr="002576A2">
        <w:rPr>
          <w:b w:val="0"/>
          <w:i w:val="0"/>
          <w:iCs/>
          <w:lang w:val="es-PE"/>
        </w:rPr>
        <w:t>Hair</w:t>
      </w:r>
      <w:proofErr w:type="spellEnd"/>
      <w:r w:rsidRPr="002576A2">
        <w:rPr>
          <w:b w:val="0"/>
          <w:i w:val="0"/>
          <w:iCs/>
          <w:lang w:val="es-PE"/>
        </w:rPr>
        <w:t xml:space="preserve"> et al., 2010). Adicionalmente, a partir de las cargas factoriales, se calculó la varianza promedio extraída (</w:t>
      </w:r>
      <w:proofErr w:type="spellStart"/>
      <w:r w:rsidRPr="002576A2">
        <w:rPr>
          <w:b w:val="0"/>
          <w:i w:val="0"/>
          <w:iCs/>
          <w:lang w:val="es-PE"/>
        </w:rPr>
        <w:t>Average</w:t>
      </w:r>
      <w:proofErr w:type="spellEnd"/>
      <w:r w:rsidRPr="002576A2">
        <w:rPr>
          <w:b w:val="0"/>
          <w:i w:val="0"/>
          <w:iCs/>
          <w:lang w:val="es-PE"/>
        </w:rPr>
        <w:t xml:space="preserve"> </w:t>
      </w:r>
      <w:proofErr w:type="spellStart"/>
      <w:r w:rsidRPr="002576A2">
        <w:rPr>
          <w:b w:val="0"/>
          <w:i w:val="0"/>
          <w:iCs/>
          <w:lang w:val="es-PE"/>
        </w:rPr>
        <w:t>Variance</w:t>
      </w:r>
      <w:proofErr w:type="spellEnd"/>
      <w:r w:rsidRPr="002576A2">
        <w:rPr>
          <w:b w:val="0"/>
          <w:i w:val="0"/>
          <w:iCs/>
          <w:lang w:val="es-PE"/>
        </w:rPr>
        <w:t xml:space="preserve"> </w:t>
      </w:r>
      <w:proofErr w:type="spellStart"/>
      <w:r w:rsidRPr="002576A2">
        <w:rPr>
          <w:b w:val="0"/>
          <w:i w:val="0"/>
          <w:iCs/>
          <w:lang w:val="es-PE"/>
        </w:rPr>
        <w:t>Extracted</w:t>
      </w:r>
      <w:proofErr w:type="spellEnd"/>
      <w:r w:rsidRPr="002576A2">
        <w:rPr>
          <w:b w:val="0"/>
          <w:i w:val="0"/>
          <w:iCs/>
          <w:lang w:val="es-PE"/>
        </w:rPr>
        <w:t xml:space="preserve"> [AVE]) considerando valores alrededor del .50 como satisfactorios, con ello se verificaron las evidencias de validez interna convergente (</w:t>
      </w:r>
      <w:proofErr w:type="spellStart"/>
      <w:r w:rsidRPr="002576A2">
        <w:rPr>
          <w:b w:val="0"/>
          <w:i w:val="0"/>
          <w:iCs/>
          <w:lang w:val="es-PE"/>
        </w:rPr>
        <w:t>Fornell</w:t>
      </w:r>
      <w:proofErr w:type="spellEnd"/>
      <w:r w:rsidRPr="002576A2">
        <w:rPr>
          <w:b w:val="0"/>
          <w:i w:val="0"/>
          <w:iCs/>
          <w:lang w:val="es-PE"/>
        </w:rPr>
        <w:t xml:space="preserve"> &amp; </w:t>
      </w:r>
      <w:proofErr w:type="spellStart"/>
      <w:r w:rsidRPr="002576A2">
        <w:rPr>
          <w:b w:val="0"/>
          <w:i w:val="0"/>
          <w:iCs/>
          <w:lang w:val="es-PE"/>
        </w:rPr>
        <w:t>Larcker</w:t>
      </w:r>
      <w:proofErr w:type="spellEnd"/>
      <w:r w:rsidRPr="002576A2">
        <w:rPr>
          <w:b w:val="0"/>
          <w:i w:val="0"/>
          <w:iCs/>
          <w:lang w:val="es-PE"/>
        </w:rPr>
        <w:t xml:space="preserve">, 1981). </w:t>
      </w:r>
    </w:p>
    <w:p w14:paraId="1318FADA" w14:textId="035D92FA" w:rsidR="002576A2" w:rsidRPr="002576A2" w:rsidRDefault="002576A2" w:rsidP="002576A2">
      <w:pPr>
        <w:pStyle w:val="SubtituloInterno"/>
        <w:ind w:firstLine="720"/>
        <w:rPr>
          <w:b w:val="0"/>
          <w:i w:val="0"/>
          <w:iCs/>
          <w:lang w:val="es-PE"/>
        </w:rPr>
      </w:pPr>
      <w:r w:rsidRPr="002576A2">
        <w:rPr>
          <w:b w:val="0"/>
          <w:i w:val="0"/>
          <w:iCs/>
          <w:lang w:val="es-PE"/>
        </w:rPr>
        <w:t xml:space="preserve">Para establecer la invarianza de la medida en diferentes grupos, se utilizó el criterio de Wu y </w:t>
      </w:r>
      <w:proofErr w:type="spellStart"/>
      <w:r w:rsidRPr="002576A2">
        <w:rPr>
          <w:b w:val="0"/>
          <w:i w:val="0"/>
          <w:iCs/>
          <w:lang w:val="es-PE"/>
        </w:rPr>
        <w:t>Estrabrook</w:t>
      </w:r>
      <w:proofErr w:type="spellEnd"/>
      <w:r w:rsidRPr="002576A2">
        <w:rPr>
          <w:b w:val="0"/>
          <w:i w:val="0"/>
          <w:iCs/>
          <w:lang w:val="es-PE"/>
        </w:rPr>
        <w:t xml:space="preserve"> (2016) quienes consideran un nivel estándar y una parametrización </w:t>
      </w:r>
      <w:proofErr w:type="spellStart"/>
      <w:r w:rsidRPr="002576A2">
        <w:rPr>
          <w:b w:val="0"/>
          <w:i w:val="0"/>
          <w:iCs/>
          <w:lang w:val="es-PE"/>
        </w:rPr>
        <w:t>tetha</w:t>
      </w:r>
      <w:proofErr w:type="spellEnd"/>
      <w:r w:rsidRPr="002576A2">
        <w:rPr>
          <w:b w:val="0"/>
          <w:i w:val="0"/>
          <w:iCs/>
          <w:lang w:val="es-PE"/>
        </w:rPr>
        <w:t xml:space="preserve">. Asimismo, realizan una variación a la invarianza configuracional, fijando los </w:t>
      </w:r>
      <w:proofErr w:type="spellStart"/>
      <w:r w:rsidRPr="002576A2">
        <w:rPr>
          <w:b w:val="0"/>
          <w:i w:val="0"/>
          <w:iCs/>
          <w:lang w:val="es-PE"/>
        </w:rPr>
        <w:t>threholds</w:t>
      </w:r>
      <w:proofErr w:type="spellEnd"/>
      <w:r w:rsidRPr="002576A2">
        <w:rPr>
          <w:b w:val="0"/>
          <w:i w:val="0"/>
          <w:iCs/>
          <w:lang w:val="es-PE"/>
        </w:rPr>
        <w:t xml:space="preserve"> (umbrales)</w:t>
      </w:r>
      <w:r w:rsidRPr="002576A2">
        <w:rPr>
          <w:b w:val="0"/>
          <w:i w:val="0"/>
          <w:iCs/>
          <w:lang w:val="es-ES"/>
        </w:rPr>
        <w:t xml:space="preserve">, para la invarianza métrica se fijaron los umbrales y las cargas factoriales, en el caso de la invarianza escalar se fijaron los umbrales, las cargas factoriales y los interceptos. Finalmente, para determinar la invarianza estricta se restringieron los umbrales, cargas factoriales, interceptos y residuos. La invarianza de la medida se evaluó a través de los cambios menores a .01 en los índices CFI (Byrne, 2008), también se consideraron cambios en el RMSEA (ΔRMSEA) ≤ 0,015, y en el SRMR (ΔSRMR) ≤ 0,030 asumiendo estos criterios como medidas adecuadas para aceptar la invarianza (Chen, 2007). </w:t>
      </w:r>
      <w:r w:rsidRPr="002576A2">
        <w:rPr>
          <w:b w:val="0"/>
          <w:i w:val="0"/>
          <w:iCs/>
          <w:lang w:val="es-PE"/>
        </w:rPr>
        <w:t xml:space="preserve">La confiabilidad se evaluó en su consistencia interna con el coeficiente Omega Categórico (ω </w:t>
      </w:r>
      <w:proofErr w:type="spellStart"/>
      <w:r w:rsidRPr="002576A2">
        <w:rPr>
          <w:b w:val="0"/>
          <w:i w:val="0"/>
          <w:iCs/>
          <w:vertAlign w:val="subscript"/>
          <w:lang w:val="es-PE"/>
        </w:rPr>
        <w:t>categoórico</w:t>
      </w:r>
      <w:proofErr w:type="spellEnd"/>
      <w:r w:rsidRPr="002576A2">
        <w:rPr>
          <w:b w:val="0"/>
          <w:i w:val="0"/>
          <w:iCs/>
          <w:lang w:val="es-PE"/>
        </w:rPr>
        <w:t xml:space="preserve">) </w:t>
      </w:r>
      <w:r w:rsidRPr="002576A2">
        <w:rPr>
          <w:b w:val="0"/>
          <w:i w:val="0"/>
          <w:iCs/>
          <w:lang w:val="es-ES"/>
        </w:rPr>
        <w:t xml:space="preserve">obtenido a través del BCA Bootstrap junto a sus Intervalos de Confianza (IC) al 95% (Ventura, 2018). </w:t>
      </w:r>
      <w:r w:rsidRPr="002576A2">
        <w:rPr>
          <w:b w:val="0"/>
          <w:i w:val="0"/>
          <w:iCs/>
          <w:lang w:val="es-PE"/>
        </w:rPr>
        <w:t>La Confiabilidad Compuesta se calculó a partir de la sumatoria cuadrática de las cargas factoriales entre los errores de medida la cual considera los cambios en las cargas factoriales producto de la inclusión de errores correlacionados entre los ítems (</w:t>
      </w:r>
      <w:proofErr w:type="spellStart"/>
      <w:r w:rsidRPr="002576A2">
        <w:rPr>
          <w:b w:val="0"/>
          <w:i w:val="0"/>
          <w:iCs/>
          <w:lang w:val="es-PE"/>
        </w:rPr>
        <w:t>Hair</w:t>
      </w:r>
      <w:proofErr w:type="spellEnd"/>
      <w:r w:rsidRPr="002576A2">
        <w:rPr>
          <w:b w:val="0"/>
          <w:i w:val="0"/>
          <w:iCs/>
          <w:lang w:val="es-PE"/>
        </w:rPr>
        <w:t xml:space="preserve"> et al., 2010).</w:t>
      </w:r>
    </w:p>
    <w:p w14:paraId="57CD7E15" w14:textId="77777777" w:rsidR="002576A2" w:rsidRDefault="002576A2" w:rsidP="005B24FF">
      <w:pPr>
        <w:pStyle w:val="SubtituloInterno"/>
        <w:rPr>
          <w:b w:val="0"/>
          <w:i w:val="0"/>
          <w:iCs/>
          <w:lang w:val="es-ES_tradnl"/>
        </w:rPr>
      </w:pPr>
    </w:p>
    <w:p w14:paraId="4E1AE28B" w14:textId="7F7F758C" w:rsidR="005B24FF" w:rsidRPr="005B3539" w:rsidRDefault="005B24FF" w:rsidP="00FB3DE6">
      <w:pPr>
        <w:pStyle w:val="SubtituloInterno"/>
        <w:spacing w:before="0" w:beforeAutospacing="0" w:after="0" w:afterAutospacing="0"/>
        <w:rPr>
          <w:bCs/>
          <w:lang w:val="es-ES_tradnl"/>
        </w:rPr>
      </w:pPr>
      <w:r w:rsidRPr="005B3539">
        <w:rPr>
          <w:bCs/>
          <w:lang w:val="es-ES_tradnl"/>
        </w:rPr>
        <w:lastRenderedPageBreak/>
        <w:t>Consideraciones éticas</w:t>
      </w:r>
    </w:p>
    <w:p w14:paraId="06B3EA8D" w14:textId="4CB8E5C2" w:rsidR="002576A2" w:rsidRPr="005B3539" w:rsidRDefault="002576A2" w:rsidP="00FB3DE6">
      <w:pPr>
        <w:pStyle w:val="Ttulosinternos"/>
        <w:spacing w:before="0" w:beforeAutospacing="0" w:after="0" w:afterAutospacing="0"/>
        <w:rPr>
          <w:b w:val="0"/>
          <w:bCs/>
        </w:rPr>
      </w:pPr>
      <w:proofErr w:type="spellStart"/>
      <w:r w:rsidRPr="005B3539">
        <w:rPr>
          <w:b w:val="0"/>
          <w:bCs/>
        </w:rPr>
        <w:t>Previo</w:t>
      </w:r>
      <w:proofErr w:type="spellEnd"/>
      <w:r w:rsidRPr="005B3539">
        <w:rPr>
          <w:b w:val="0"/>
          <w:bCs/>
        </w:rPr>
        <w:t xml:space="preserve"> a la </w:t>
      </w:r>
      <w:proofErr w:type="spellStart"/>
      <w:r w:rsidRPr="005B3539">
        <w:rPr>
          <w:b w:val="0"/>
          <w:bCs/>
        </w:rPr>
        <w:t>administración</w:t>
      </w:r>
      <w:proofErr w:type="spellEnd"/>
      <w:r w:rsidRPr="005B3539">
        <w:rPr>
          <w:b w:val="0"/>
          <w:bCs/>
        </w:rPr>
        <w:t xml:space="preserve"> del RPQ, los participantes firmaron el consentimiento informado, en este documento se dio a conocer el carácter voluntario del estudio, la liberad de su participación, la ausencia de daño físico y psicológico, el anonimato y la confidencialidad de la información recabada. En tal sentido, se siguieron las recomendaciones de la American Educational Research Association (AERA), American Psychological Association (APA) y el National Council on Measurement in Education (NCME) (AERA, APA &amp; NCME 2018). Finalmente, se informó a los participantes el propósito de la evaluación y se indicó que podían solicitar sus resultados de forma individual, con total confidencialidad</w:t>
      </w:r>
      <w:r w:rsidR="005B3539" w:rsidRPr="005B3539">
        <w:rPr>
          <w:b w:val="0"/>
          <w:bCs/>
        </w:rPr>
        <w:t>.</w:t>
      </w:r>
    </w:p>
    <w:p w14:paraId="61754C2A" w14:textId="04F11712" w:rsidR="006F7E7E" w:rsidRPr="005B3539" w:rsidRDefault="005B5614" w:rsidP="005B3539">
      <w:pPr>
        <w:pStyle w:val="Ttulosinternos"/>
      </w:pPr>
      <w:r w:rsidRPr="005B3539">
        <w:t>Result</w:t>
      </w:r>
      <w:r w:rsidR="005B24FF" w:rsidRPr="005B3539">
        <w:t>ados</w:t>
      </w:r>
    </w:p>
    <w:p w14:paraId="54697146" w14:textId="77777777" w:rsidR="005B3539" w:rsidRPr="00674528" w:rsidRDefault="005B3539" w:rsidP="005B3539">
      <w:pPr>
        <w:spacing w:line="480" w:lineRule="auto"/>
        <w:rPr>
          <w:b/>
          <w:bCs/>
        </w:rPr>
      </w:pPr>
      <w:r w:rsidRPr="00674528">
        <w:rPr>
          <w:b/>
          <w:bCs/>
        </w:rPr>
        <w:t>Análisis descriptivo</w:t>
      </w:r>
    </w:p>
    <w:p w14:paraId="6C2B7B58" w14:textId="77777777" w:rsidR="005B3539" w:rsidRDefault="005B3539" w:rsidP="00B167A2">
      <w:pPr>
        <w:spacing w:line="360" w:lineRule="auto"/>
        <w:ind w:firstLine="720"/>
        <w:jc w:val="both"/>
        <w:rPr>
          <w:bCs/>
          <w:lang w:val="es-PE"/>
        </w:rPr>
      </w:pPr>
      <w:r w:rsidRPr="00674528">
        <w:rPr>
          <w:bCs/>
          <w:lang w:val="es-PE"/>
        </w:rPr>
        <w:t xml:space="preserve">En la Tabla 1, se presenta el análisis descriptivo de los ítems que componen el </w:t>
      </w:r>
      <w:r w:rsidRPr="00674528">
        <w:t>CAR-P</w:t>
      </w:r>
      <w:r w:rsidRPr="00674528">
        <w:rPr>
          <w:bCs/>
          <w:lang w:val="es-PE"/>
        </w:rPr>
        <w:t>, las medidas reportadas dan cuenta de la media (</w:t>
      </w:r>
      <w:r w:rsidRPr="00674528">
        <w:rPr>
          <w:bCs/>
          <w:i/>
          <w:lang w:val="es-PE"/>
        </w:rPr>
        <w:t>M</w:t>
      </w:r>
      <w:r w:rsidRPr="00674528">
        <w:rPr>
          <w:bCs/>
          <w:lang w:val="es-PE"/>
        </w:rPr>
        <w:t>), desviación estándar (</w:t>
      </w:r>
      <w:r w:rsidRPr="00674528">
        <w:rPr>
          <w:bCs/>
          <w:i/>
          <w:lang w:val="es-PE"/>
        </w:rPr>
        <w:t>DE</w:t>
      </w:r>
      <w:r w:rsidRPr="00674528">
        <w:rPr>
          <w:bCs/>
          <w:lang w:val="es-PE"/>
        </w:rPr>
        <w:t>), coeficiente de asimetría (</w:t>
      </w:r>
      <w:r w:rsidRPr="00674528">
        <w:rPr>
          <w:bCs/>
          <w:i/>
          <w:iCs/>
          <w:lang w:val="es-PE" w:eastAsia="es-PE"/>
        </w:rPr>
        <w:t>g</w:t>
      </w:r>
      <w:r w:rsidRPr="00674528">
        <w:rPr>
          <w:bCs/>
          <w:i/>
          <w:iCs/>
          <w:vertAlign w:val="subscript"/>
          <w:lang w:val="es-PE" w:eastAsia="es-PE"/>
        </w:rPr>
        <w:t>1</w:t>
      </w:r>
      <w:r w:rsidRPr="00674528">
        <w:rPr>
          <w:bCs/>
          <w:lang w:val="es-PE"/>
        </w:rPr>
        <w:t>) y curtosis (</w:t>
      </w:r>
      <w:r w:rsidRPr="00674528">
        <w:rPr>
          <w:bCs/>
          <w:i/>
          <w:iCs/>
          <w:lang w:val="es-PE" w:eastAsia="es-PE"/>
        </w:rPr>
        <w:t>g</w:t>
      </w:r>
      <w:r w:rsidRPr="00674528">
        <w:rPr>
          <w:bCs/>
          <w:i/>
          <w:iCs/>
          <w:vertAlign w:val="subscript"/>
          <w:lang w:val="es-PE" w:eastAsia="es-PE"/>
        </w:rPr>
        <w:t>2</w:t>
      </w:r>
      <w:r w:rsidRPr="00674528">
        <w:rPr>
          <w:bCs/>
          <w:lang w:val="es-PE"/>
        </w:rPr>
        <w:t>), estos valores se calcularon a partir de las puntuaciones obtenidas en cada uno de los ítems que conforman el instrumento. Evidenciando que los ítems 1 (</w:t>
      </w:r>
      <w:r w:rsidRPr="00674528">
        <w:rPr>
          <w:bCs/>
          <w:i/>
          <w:iCs/>
          <w:lang w:val="es-PE"/>
        </w:rPr>
        <w:t xml:space="preserve">M </w:t>
      </w:r>
      <w:r w:rsidRPr="00674528">
        <w:rPr>
          <w:bCs/>
          <w:lang w:val="es-PE"/>
        </w:rPr>
        <w:t>= 1.983) y 19 (</w:t>
      </w:r>
      <w:r w:rsidRPr="00674528">
        <w:rPr>
          <w:bCs/>
          <w:i/>
          <w:iCs/>
          <w:lang w:val="es-PE"/>
        </w:rPr>
        <w:t>M</w:t>
      </w:r>
      <w:r w:rsidRPr="00674528">
        <w:rPr>
          <w:bCs/>
          <w:lang w:val="es-PE"/>
        </w:rPr>
        <w:t xml:space="preserve"> = 1.901) presentan las medias aritméticas más altas, mientras que la media más baja está presente en los ítems 18 (</w:t>
      </w:r>
      <w:r w:rsidRPr="00674528">
        <w:rPr>
          <w:bCs/>
          <w:i/>
          <w:iCs/>
          <w:lang w:val="es-PE"/>
        </w:rPr>
        <w:t>M</w:t>
      </w:r>
      <w:r w:rsidRPr="00674528">
        <w:rPr>
          <w:bCs/>
          <w:lang w:val="es-PE"/>
        </w:rPr>
        <w:t xml:space="preserve"> = 1.206) y 21 (</w:t>
      </w:r>
      <w:r w:rsidRPr="00674528">
        <w:rPr>
          <w:bCs/>
          <w:i/>
          <w:iCs/>
          <w:lang w:val="es-PE"/>
        </w:rPr>
        <w:t>M</w:t>
      </w:r>
      <w:r w:rsidRPr="00674528">
        <w:rPr>
          <w:bCs/>
          <w:lang w:val="es-PE"/>
        </w:rPr>
        <w:t xml:space="preserve"> = 1.209). En cuanto a la variabilidad, se aprecia que los ítems 14 (</w:t>
      </w:r>
      <w:r w:rsidRPr="00674528">
        <w:rPr>
          <w:bCs/>
          <w:i/>
          <w:iCs/>
          <w:lang w:val="es-PE"/>
        </w:rPr>
        <w:t>DE</w:t>
      </w:r>
      <w:r w:rsidRPr="00674528">
        <w:rPr>
          <w:bCs/>
          <w:lang w:val="es-PE"/>
        </w:rPr>
        <w:t xml:space="preserve"> = 0.690) y 19 (</w:t>
      </w:r>
      <w:r w:rsidRPr="00674528">
        <w:rPr>
          <w:bCs/>
          <w:i/>
          <w:iCs/>
          <w:lang w:val="es-PE"/>
        </w:rPr>
        <w:t>DE</w:t>
      </w:r>
      <w:r w:rsidRPr="00674528">
        <w:rPr>
          <w:bCs/>
          <w:lang w:val="es-PE"/>
        </w:rPr>
        <w:t xml:space="preserve"> =0.658) son los que presentan mayor dispersión. La asimetría y curtosis arrojan valores por encima de ± 1.5, lo que indica que la distribución de los ítems no se aproxima a una distribución univariante normal (Pérez &amp; Medrano, 2010).    </w:t>
      </w:r>
    </w:p>
    <w:p w14:paraId="169A8421" w14:textId="77777777" w:rsidR="005B3539" w:rsidRPr="00674528" w:rsidRDefault="005B3539" w:rsidP="005B3539">
      <w:pPr>
        <w:spacing w:line="480" w:lineRule="auto"/>
        <w:jc w:val="both"/>
        <w:rPr>
          <w:bCs/>
          <w:lang w:val="es-PE"/>
        </w:rPr>
      </w:pPr>
    </w:p>
    <w:p w14:paraId="48CF8191" w14:textId="77777777" w:rsidR="005B3539" w:rsidRDefault="005B3539" w:rsidP="005B3539">
      <w:r w:rsidRPr="00674528">
        <w:t xml:space="preserve">Tabla 1. </w:t>
      </w:r>
    </w:p>
    <w:p w14:paraId="5BAA70FD" w14:textId="77777777" w:rsidR="005B3539" w:rsidRPr="00674528" w:rsidRDefault="005B3539" w:rsidP="005B3539">
      <w:r w:rsidRPr="00674528">
        <w:rPr>
          <w:i/>
          <w:iCs/>
        </w:rPr>
        <w:t>Estadísticos descriptivos</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338"/>
        <w:gridCol w:w="1337"/>
        <w:gridCol w:w="1337"/>
        <w:gridCol w:w="1337"/>
        <w:gridCol w:w="1337"/>
        <w:gridCol w:w="1337"/>
        <w:gridCol w:w="1337"/>
      </w:tblGrid>
      <w:tr w:rsidR="005B3539" w:rsidRPr="00674528" w14:paraId="2C5D3FDB" w14:textId="77777777" w:rsidTr="005B3539">
        <w:trPr>
          <w:trHeight w:val="300"/>
        </w:trPr>
        <w:tc>
          <w:tcPr>
            <w:tcW w:w="714" w:type="pct"/>
            <w:tcBorders>
              <w:top w:val="single" w:sz="4" w:space="0" w:color="auto"/>
              <w:bottom w:val="single" w:sz="4" w:space="0" w:color="auto"/>
            </w:tcBorders>
            <w:shd w:val="clear" w:color="auto" w:fill="auto"/>
            <w:vAlign w:val="center"/>
            <w:hideMark/>
          </w:tcPr>
          <w:p w14:paraId="34BD8788" w14:textId="77777777" w:rsidR="005B3539" w:rsidRPr="006C388E" w:rsidRDefault="005B3539" w:rsidP="005B3539">
            <w:pPr>
              <w:rPr>
                <w:sz w:val="20"/>
                <w:szCs w:val="20"/>
                <w:lang w:eastAsia="es-ES"/>
              </w:rPr>
            </w:pPr>
          </w:p>
        </w:tc>
        <w:tc>
          <w:tcPr>
            <w:tcW w:w="714" w:type="pct"/>
            <w:tcBorders>
              <w:top w:val="single" w:sz="4" w:space="0" w:color="auto"/>
              <w:bottom w:val="single" w:sz="4" w:space="0" w:color="auto"/>
            </w:tcBorders>
            <w:shd w:val="clear" w:color="auto" w:fill="auto"/>
            <w:vAlign w:val="center"/>
            <w:hideMark/>
          </w:tcPr>
          <w:p w14:paraId="66053C47" w14:textId="77777777" w:rsidR="005B3539" w:rsidRPr="006C388E" w:rsidRDefault="005B3539" w:rsidP="005B3539">
            <w:pPr>
              <w:jc w:val="center"/>
              <w:rPr>
                <w:i/>
                <w:iCs/>
                <w:color w:val="000000"/>
                <w:sz w:val="20"/>
                <w:szCs w:val="20"/>
                <w:lang w:eastAsia="es-ES"/>
              </w:rPr>
            </w:pPr>
            <w:r w:rsidRPr="006C388E">
              <w:rPr>
                <w:i/>
                <w:iCs/>
                <w:color w:val="000000"/>
                <w:sz w:val="20"/>
                <w:szCs w:val="20"/>
                <w:lang w:eastAsia="es-ES"/>
              </w:rPr>
              <w:t xml:space="preserve">Min </w:t>
            </w:r>
          </w:p>
        </w:tc>
        <w:tc>
          <w:tcPr>
            <w:tcW w:w="714" w:type="pct"/>
            <w:tcBorders>
              <w:top w:val="single" w:sz="4" w:space="0" w:color="auto"/>
              <w:bottom w:val="single" w:sz="4" w:space="0" w:color="auto"/>
            </w:tcBorders>
            <w:shd w:val="clear" w:color="auto" w:fill="auto"/>
            <w:vAlign w:val="center"/>
            <w:hideMark/>
          </w:tcPr>
          <w:p w14:paraId="71E661C2" w14:textId="77777777" w:rsidR="005B3539" w:rsidRPr="006C388E" w:rsidRDefault="005B3539" w:rsidP="005B3539">
            <w:pPr>
              <w:jc w:val="center"/>
              <w:rPr>
                <w:i/>
                <w:iCs/>
                <w:color w:val="000000"/>
                <w:sz w:val="20"/>
                <w:szCs w:val="20"/>
                <w:lang w:eastAsia="es-ES"/>
              </w:rPr>
            </w:pPr>
            <w:r w:rsidRPr="006C388E">
              <w:rPr>
                <w:i/>
                <w:iCs/>
                <w:color w:val="000000"/>
                <w:sz w:val="20"/>
                <w:szCs w:val="20"/>
                <w:lang w:eastAsia="es-ES"/>
              </w:rPr>
              <w:t>Max</w:t>
            </w:r>
          </w:p>
        </w:tc>
        <w:tc>
          <w:tcPr>
            <w:tcW w:w="714" w:type="pct"/>
            <w:tcBorders>
              <w:top w:val="single" w:sz="4" w:space="0" w:color="auto"/>
              <w:bottom w:val="single" w:sz="4" w:space="0" w:color="auto"/>
            </w:tcBorders>
            <w:shd w:val="clear" w:color="auto" w:fill="auto"/>
            <w:vAlign w:val="center"/>
            <w:hideMark/>
          </w:tcPr>
          <w:p w14:paraId="2E4133E2" w14:textId="77777777" w:rsidR="005B3539" w:rsidRPr="006C388E" w:rsidRDefault="005B3539" w:rsidP="005B3539">
            <w:pPr>
              <w:jc w:val="center"/>
              <w:rPr>
                <w:i/>
                <w:iCs/>
                <w:color w:val="000000"/>
                <w:sz w:val="20"/>
                <w:szCs w:val="20"/>
                <w:lang w:eastAsia="es-ES"/>
              </w:rPr>
            </w:pPr>
            <w:r w:rsidRPr="006C388E">
              <w:rPr>
                <w:i/>
                <w:iCs/>
                <w:color w:val="000000"/>
                <w:sz w:val="20"/>
                <w:szCs w:val="20"/>
                <w:lang w:eastAsia="es-ES"/>
              </w:rPr>
              <w:t>M</w:t>
            </w:r>
          </w:p>
        </w:tc>
        <w:tc>
          <w:tcPr>
            <w:tcW w:w="714" w:type="pct"/>
            <w:tcBorders>
              <w:top w:val="single" w:sz="4" w:space="0" w:color="auto"/>
              <w:bottom w:val="single" w:sz="4" w:space="0" w:color="auto"/>
            </w:tcBorders>
            <w:shd w:val="clear" w:color="auto" w:fill="auto"/>
            <w:vAlign w:val="center"/>
            <w:hideMark/>
          </w:tcPr>
          <w:p w14:paraId="167027DE" w14:textId="77777777" w:rsidR="005B3539" w:rsidRPr="006C388E" w:rsidRDefault="005B3539" w:rsidP="005B3539">
            <w:pPr>
              <w:jc w:val="center"/>
              <w:rPr>
                <w:i/>
                <w:iCs/>
                <w:color w:val="000000"/>
                <w:sz w:val="20"/>
                <w:szCs w:val="20"/>
                <w:lang w:eastAsia="es-ES"/>
              </w:rPr>
            </w:pPr>
            <w:r w:rsidRPr="006C388E">
              <w:rPr>
                <w:i/>
                <w:iCs/>
                <w:color w:val="000000"/>
                <w:sz w:val="20"/>
                <w:szCs w:val="20"/>
                <w:lang w:eastAsia="es-ES"/>
              </w:rPr>
              <w:t>DE</w:t>
            </w:r>
          </w:p>
        </w:tc>
        <w:tc>
          <w:tcPr>
            <w:tcW w:w="714" w:type="pct"/>
            <w:tcBorders>
              <w:top w:val="single" w:sz="4" w:space="0" w:color="auto"/>
              <w:bottom w:val="single" w:sz="4" w:space="0" w:color="auto"/>
            </w:tcBorders>
            <w:shd w:val="clear" w:color="auto" w:fill="auto"/>
            <w:vAlign w:val="center"/>
            <w:hideMark/>
          </w:tcPr>
          <w:p w14:paraId="67B61D0E" w14:textId="77777777" w:rsidR="005B3539" w:rsidRPr="006C388E" w:rsidRDefault="005B3539" w:rsidP="005B3539">
            <w:pPr>
              <w:jc w:val="center"/>
              <w:rPr>
                <w:color w:val="000000"/>
                <w:sz w:val="20"/>
                <w:szCs w:val="20"/>
                <w:lang w:eastAsia="es-ES"/>
              </w:rPr>
            </w:pPr>
            <w:r w:rsidRPr="006C388E">
              <w:rPr>
                <w:i/>
                <w:iCs/>
                <w:color w:val="000000"/>
                <w:sz w:val="20"/>
                <w:szCs w:val="20"/>
                <w:lang w:eastAsia="es-ES"/>
              </w:rPr>
              <w:t xml:space="preserve">g </w:t>
            </w:r>
            <w:r w:rsidRPr="006C388E">
              <w:rPr>
                <w:color w:val="000000"/>
                <w:sz w:val="20"/>
                <w:szCs w:val="20"/>
                <w:vertAlign w:val="subscript"/>
                <w:lang w:eastAsia="es-ES"/>
              </w:rPr>
              <w:t>1</w:t>
            </w:r>
          </w:p>
        </w:tc>
        <w:tc>
          <w:tcPr>
            <w:tcW w:w="714" w:type="pct"/>
            <w:tcBorders>
              <w:top w:val="single" w:sz="4" w:space="0" w:color="auto"/>
              <w:bottom w:val="single" w:sz="4" w:space="0" w:color="auto"/>
            </w:tcBorders>
            <w:shd w:val="clear" w:color="auto" w:fill="auto"/>
            <w:vAlign w:val="center"/>
            <w:hideMark/>
          </w:tcPr>
          <w:p w14:paraId="50857EC6" w14:textId="77777777" w:rsidR="005B3539" w:rsidRPr="006C388E" w:rsidRDefault="005B3539" w:rsidP="005B3539">
            <w:pPr>
              <w:jc w:val="center"/>
              <w:rPr>
                <w:color w:val="000000"/>
                <w:sz w:val="20"/>
                <w:szCs w:val="20"/>
                <w:lang w:eastAsia="es-ES"/>
              </w:rPr>
            </w:pPr>
            <w:r w:rsidRPr="006C388E">
              <w:rPr>
                <w:i/>
                <w:iCs/>
                <w:color w:val="000000"/>
                <w:sz w:val="20"/>
                <w:szCs w:val="20"/>
                <w:lang w:eastAsia="es-ES"/>
              </w:rPr>
              <w:t xml:space="preserve">g </w:t>
            </w:r>
            <w:r w:rsidRPr="006C388E">
              <w:rPr>
                <w:color w:val="000000"/>
                <w:sz w:val="20"/>
                <w:szCs w:val="20"/>
                <w:vertAlign w:val="subscript"/>
                <w:lang w:eastAsia="es-ES"/>
              </w:rPr>
              <w:t>2</w:t>
            </w:r>
          </w:p>
        </w:tc>
      </w:tr>
      <w:tr w:rsidR="005B3539" w:rsidRPr="00674528" w14:paraId="2410CC56" w14:textId="77777777" w:rsidTr="005B3539">
        <w:trPr>
          <w:trHeight w:val="300"/>
        </w:trPr>
        <w:tc>
          <w:tcPr>
            <w:tcW w:w="714" w:type="pct"/>
            <w:tcBorders>
              <w:top w:val="single" w:sz="4" w:space="0" w:color="auto"/>
            </w:tcBorders>
            <w:shd w:val="clear" w:color="auto" w:fill="auto"/>
            <w:vAlign w:val="center"/>
            <w:hideMark/>
          </w:tcPr>
          <w:p w14:paraId="10678AC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P1</w:t>
            </w:r>
          </w:p>
        </w:tc>
        <w:tc>
          <w:tcPr>
            <w:tcW w:w="714" w:type="pct"/>
            <w:tcBorders>
              <w:top w:val="single" w:sz="4" w:space="0" w:color="auto"/>
            </w:tcBorders>
            <w:shd w:val="clear" w:color="auto" w:fill="auto"/>
            <w:vAlign w:val="center"/>
            <w:hideMark/>
          </w:tcPr>
          <w:p w14:paraId="6F44B6E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tcBorders>
              <w:top w:val="single" w:sz="4" w:space="0" w:color="auto"/>
            </w:tcBorders>
            <w:shd w:val="clear" w:color="auto" w:fill="auto"/>
            <w:vAlign w:val="center"/>
            <w:hideMark/>
          </w:tcPr>
          <w:p w14:paraId="3A2ACE3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tcBorders>
              <w:top w:val="single" w:sz="4" w:space="0" w:color="auto"/>
            </w:tcBorders>
            <w:shd w:val="clear" w:color="auto" w:fill="auto"/>
            <w:vAlign w:val="center"/>
            <w:hideMark/>
          </w:tcPr>
          <w:p w14:paraId="1735A9F0"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1.983</w:t>
            </w:r>
          </w:p>
        </w:tc>
        <w:tc>
          <w:tcPr>
            <w:tcW w:w="714" w:type="pct"/>
            <w:tcBorders>
              <w:top w:val="single" w:sz="4" w:space="0" w:color="auto"/>
            </w:tcBorders>
            <w:shd w:val="clear" w:color="auto" w:fill="auto"/>
            <w:vAlign w:val="center"/>
            <w:hideMark/>
          </w:tcPr>
          <w:p w14:paraId="00C5182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0.523</w:t>
            </w:r>
          </w:p>
        </w:tc>
        <w:tc>
          <w:tcPr>
            <w:tcW w:w="714" w:type="pct"/>
            <w:tcBorders>
              <w:top w:val="single" w:sz="4" w:space="0" w:color="auto"/>
            </w:tcBorders>
            <w:shd w:val="clear" w:color="auto" w:fill="auto"/>
            <w:vAlign w:val="center"/>
            <w:hideMark/>
          </w:tcPr>
          <w:p w14:paraId="243B8FD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-0.022</w:t>
            </w:r>
          </w:p>
        </w:tc>
        <w:tc>
          <w:tcPr>
            <w:tcW w:w="714" w:type="pct"/>
            <w:tcBorders>
              <w:top w:val="single" w:sz="4" w:space="0" w:color="auto"/>
            </w:tcBorders>
            <w:shd w:val="clear" w:color="auto" w:fill="auto"/>
            <w:vAlign w:val="center"/>
            <w:hideMark/>
          </w:tcPr>
          <w:p w14:paraId="1C091900"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0.685</w:t>
            </w:r>
          </w:p>
        </w:tc>
      </w:tr>
      <w:tr w:rsidR="005B3539" w:rsidRPr="00674528" w14:paraId="6DB6CEDE" w14:textId="77777777" w:rsidTr="005B3539">
        <w:trPr>
          <w:trHeight w:val="300"/>
        </w:trPr>
        <w:tc>
          <w:tcPr>
            <w:tcW w:w="714" w:type="pct"/>
            <w:shd w:val="clear" w:color="auto" w:fill="auto"/>
            <w:vAlign w:val="center"/>
            <w:hideMark/>
          </w:tcPr>
          <w:p w14:paraId="337BCB5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P2</w:t>
            </w:r>
          </w:p>
        </w:tc>
        <w:tc>
          <w:tcPr>
            <w:tcW w:w="714" w:type="pct"/>
            <w:shd w:val="clear" w:color="auto" w:fill="auto"/>
            <w:vAlign w:val="center"/>
            <w:hideMark/>
          </w:tcPr>
          <w:p w14:paraId="2F34540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0588986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644C63C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1.459</w:t>
            </w:r>
          </w:p>
        </w:tc>
        <w:tc>
          <w:tcPr>
            <w:tcW w:w="714" w:type="pct"/>
            <w:shd w:val="clear" w:color="auto" w:fill="auto"/>
            <w:vAlign w:val="center"/>
            <w:hideMark/>
          </w:tcPr>
          <w:p w14:paraId="619D9BA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0.605</w:t>
            </w:r>
          </w:p>
        </w:tc>
        <w:tc>
          <w:tcPr>
            <w:tcW w:w="714" w:type="pct"/>
            <w:shd w:val="clear" w:color="auto" w:fill="auto"/>
            <w:vAlign w:val="center"/>
            <w:hideMark/>
          </w:tcPr>
          <w:p w14:paraId="7668641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0.953</w:t>
            </w:r>
          </w:p>
        </w:tc>
        <w:tc>
          <w:tcPr>
            <w:tcW w:w="714" w:type="pct"/>
            <w:shd w:val="clear" w:color="auto" w:fill="auto"/>
            <w:vAlign w:val="center"/>
            <w:hideMark/>
          </w:tcPr>
          <w:p w14:paraId="1DD41F0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-0.099</w:t>
            </w:r>
          </w:p>
        </w:tc>
      </w:tr>
      <w:tr w:rsidR="005B3539" w:rsidRPr="00674528" w14:paraId="3A059F97" w14:textId="77777777" w:rsidTr="005B3539">
        <w:trPr>
          <w:trHeight w:val="300"/>
        </w:trPr>
        <w:tc>
          <w:tcPr>
            <w:tcW w:w="714" w:type="pct"/>
            <w:shd w:val="clear" w:color="auto" w:fill="auto"/>
            <w:vAlign w:val="center"/>
            <w:hideMark/>
          </w:tcPr>
          <w:p w14:paraId="192B0280"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P3</w:t>
            </w:r>
          </w:p>
        </w:tc>
        <w:tc>
          <w:tcPr>
            <w:tcW w:w="714" w:type="pct"/>
            <w:shd w:val="clear" w:color="auto" w:fill="auto"/>
            <w:vAlign w:val="center"/>
            <w:hideMark/>
          </w:tcPr>
          <w:p w14:paraId="220BB90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36C6E55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075813B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1.904</w:t>
            </w:r>
          </w:p>
        </w:tc>
        <w:tc>
          <w:tcPr>
            <w:tcW w:w="714" w:type="pct"/>
            <w:shd w:val="clear" w:color="auto" w:fill="auto"/>
            <w:vAlign w:val="center"/>
            <w:hideMark/>
          </w:tcPr>
          <w:p w14:paraId="58FA262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0.591</w:t>
            </w:r>
          </w:p>
        </w:tc>
        <w:tc>
          <w:tcPr>
            <w:tcW w:w="714" w:type="pct"/>
            <w:shd w:val="clear" w:color="auto" w:fill="auto"/>
            <w:vAlign w:val="center"/>
            <w:hideMark/>
          </w:tcPr>
          <w:p w14:paraId="0F96A6F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0.025</w:t>
            </w:r>
          </w:p>
        </w:tc>
        <w:tc>
          <w:tcPr>
            <w:tcW w:w="714" w:type="pct"/>
            <w:shd w:val="clear" w:color="auto" w:fill="auto"/>
            <w:vAlign w:val="center"/>
            <w:hideMark/>
          </w:tcPr>
          <w:p w14:paraId="21905B27"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-0.182</w:t>
            </w:r>
          </w:p>
        </w:tc>
      </w:tr>
      <w:tr w:rsidR="005B3539" w:rsidRPr="00674528" w14:paraId="2C5C7D00" w14:textId="77777777" w:rsidTr="005B3539">
        <w:trPr>
          <w:trHeight w:val="300"/>
        </w:trPr>
        <w:tc>
          <w:tcPr>
            <w:tcW w:w="714" w:type="pct"/>
            <w:shd w:val="clear" w:color="auto" w:fill="auto"/>
            <w:vAlign w:val="center"/>
            <w:hideMark/>
          </w:tcPr>
          <w:p w14:paraId="04C8351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P4</w:t>
            </w:r>
          </w:p>
        </w:tc>
        <w:tc>
          <w:tcPr>
            <w:tcW w:w="714" w:type="pct"/>
            <w:shd w:val="clear" w:color="auto" w:fill="auto"/>
            <w:vAlign w:val="center"/>
            <w:hideMark/>
          </w:tcPr>
          <w:p w14:paraId="0FA9163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64C5D63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14B778C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1.721</w:t>
            </w:r>
          </w:p>
        </w:tc>
        <w:tc>
          <w:tcPr>
            <w:tcW w:w="714" w:type="pct"/>
            <w:shd w:val="clear" w:color="auto" w:fill="auto"/>
            <w:vAlign w:val="center"/>
            <w:hideMark/>
          </w:tcPr>
          <w:p w14:paraId="5DA08B9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0.655</w:t>
            </w:r>
          </w:p>
        </w:tc>
        <w:tc>
          <w:tcPr>
            <w:tcW w:w="714" w:type="pct"/>
            <w:shd w:val="clear" w:color="auto" w:fill="auto"/>
            <w:vAlign w:val="center"/>
            <w:hideMark/>
          </w:tcPr>
          <w:p w14:paraId="7317BC8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0.362</w:t>
            </w:r>
          </w:p>
        </w:tc>
        <w:tc>
          <w:tcPr>
            <w:tcW w:w="714" w:type="pct"/>
            <w:shd w:val="clear" w:color="auto" w:fill="auto"/>
            <w:vAlign w:val="center"/>
            <w:hideMark/>
          </w:tcPr>
          <w:p w14:paraId="70A95CD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-0.741</w:t>
            </w:r>
          </w:p>
        </w:tc>
      </w:tr>
      <w:tr w:rsidR="005B3539" w:rsidRPr="00674528" w14:paraId="6C16F429" w14:textId="77777777" w:rsidTr="005B3539">
        <w:trPr>
          <w:trHeight w:val="300"/>
        </w:trPr>
        <w:tc>
          <w:tcPr>
            <w:tcW w:w="714" w:type="pct"/>
            <w:shd w:val="clear" w:color="auto" w:fill="auto"/>
            <w:vAlign w:val="center"/>
            <w:hideMark/>
          </w:tcPr>
          <w:p w14:paraId="7334466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P5</w:t>
            </w:r>
          </w:p>
        </w:tc>
        <w:tc>
          <w:tcPr>
            <w:tcW w:w="714" w:type="pct"/>
            <w:shd w:val="clear" w:color="auto" w:fill="auto"/>
            <w:vAlign w:val="center"/>
            <w:hideMark/>
          </w:tcPr>
          <w:p w14:paraId="377EFD9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1DD29D9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33F44B4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1.843</w:t>
            </w:r>
          </w:p>
        </w:tc>
        <w:tc>
          <w:tcPr>
            <w:tcW w:w="714" w:type="pct"/>
            <w:shd w:val="clear" w:color="auto" w:fill="auto"/>
            <w:vAlign w:val="center"/>
            <w:hideMark/>
          </w:tcPr>
          <w:p w14:paraId="3DF896B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0.651</w:t>
            </w:r>
          </w:p>
        </w:tc>
        <w:tc>
          <w:tcPr>
            <w:tcW w:w="714" w:type="pct"/>
            <w:shd w:val="clear" w:color="auto" w:fill="auto"/>
            <w:vAlign w:val="center"/>
            <w:hideMark/>
          </w:tcPr>
          <w:p w14:paraId="04BAE5F7"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0.168</w:t>
            </w:r>
          </w:p>
        </w:tc>
        <w:tc>
          <w:tcPr>
            <w:tcW w:w="714" w:type="pct"/>
            <w:shd w:val="clear" w:color="auto" w:fill="auto"/>
            <w:vAlign w:val="center"/>
            <w:hideMark/>
          </w:tcPr>
          <w:p w14:paraId="1114F56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-0.682</w:t>
            </w:r>
          </w:p>
        </w:tc>
      </w:tr>
      <w:tr w:rsidR="005B3539" w:rsidRPr="00674528" w14:paraId="006B8263" w14:textId="77777777" w:rsidTr="005B3539">
        <w:trPr>
          <w:trHeight w:val="300"/>
        </w:trPr>
        <w:tc>
          <w:tcPr>
            <w:tcW w:w="714" w:type="pct"/>
            <w:shd w:val="clear" w:color="auto" w:fill="auto"/>
            <w:vAlign w:val="center"/>
            <w:hideMark/>
          </w:tcPr>
          <w:p w14:paraId="47A1CC3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P6</w:t>
            </w:r>
          </w:p>
        </w:tc>
        <w:tc>
          <w:tcPr>
            <w:tcW w:w="714" w:type="pct"/>
            <w:shd w:val="clear" w:color="auto" w:fill="auto"/>
            <w:vAlign w:val="center"/>
            <w:hideMark/>
          </w:tcPr>
          <w:p w14:paraId="2525506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238A25C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05D84380"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1.453</w:t>
            </w:r>
          </w:p>
        </w:tc>
        <w:tc>
          <w:tcPr>
            <w:tcW w:w="714" w:type="pct"/>
            <w:shd w:val="clear" w:color="auto" w:fill="auto"/>
            <w:vAlign w:val="center"/>
            <w:hideMark/>
          </w:tcPr>
          <w:p w14:paraId="54A230C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0.633</w:t>
            </w:r>
          </w:p>
        </w:tc>
        <w:tc>
          <w:tcPr>
            <w:tcW w:w="714" w:type="pct"/>
            <w:shd w:val="clear" w:color="auto" w:fill="auto"/>
            <w:vAlign w:val="center"/>
            <w:hideMark/>
          </w:tcPr>
          <w:p w14:paraId="6D374E9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1.080</w:t>
            </w:r>
          </w:p>
        </w:tc>
        <w:tc>
          <w:tcPr>
            <w:tcW w:w="714" w:type="pct"/>
            <w:shd w:val="clear" w:color="auto" w:fill="auto"/>
            <w:vAlign w:val="center"/>
            <w:hideMark/>
          </w:tcPr>
          <w:p w14:paraId="7DCEC51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0.069</w:t>
            </w:r>
          </w:p>
        </w:tc>
      </w:tr>
      <w:tr w:rsidR="005B3539" w:rsidRPr="00674528" w14:paraId="6142C782" w14:textId="77777777" w:rsidTr="005B3539">
        <w:trPr>
          <w:trHeight w:val="300"/>
        </w:trPr>
        <w:tc>
          <w:tcPr>
            <w:tcW w:w="714" w:type="pct"/>
            <w:shd w:val="clear" w:color="auto" w:fill="auto"/>
            <w:vAlign w:val="center"/>
            <w:hideMark/>
          </w:tcPr>
          <w:p w14:paraId="3775B5A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P7</w:t>
            </w:r>
          </w:p>
        </w:tc>
        <w:tc>
          <w:tcPr>
            <w:tcW w:w="714" w:type="pct"/>
            <w:shd w:val="clear" w:color="auto" w:fill="auto"/>
            <w:vAlign w:val="center"/>
            <w:hideMark/>
          </w:tcPr>
          <w:p w14:paraId="39C6AF8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16485D2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712B7BB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1.657</w:t>
            </w:r>
          </w:p>
        </w:tc>
        <w:tc>
          <w:tcPr>
            <w:tcW w:w="714" w:type="pct"/>
            <w:shd w:val="clear" w:color="auto" w:fill="auto"/>
            <w:vAlign w:val="center"/>
            <w:hideMark/>
          </w:tcPr>
          <w:p w14:paraId="2C35D25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0.580</w:t>
            </w:r>
          </w:p>
        </w:tc>
        <w:tc>
          <w:tcPr>
            <w:tcW w:w="714" w:type="pct"/>
            <w:shd w:val="clear" w:color="auto" w:fill="auto"/>
            <w:vAlign w:val="center"/>
            <w:hideMark/>
          </w:tcPr>
          <w:p w14:paraId="27D2B8D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0.222</w:t>
            </w:r>
          </w:p>
        </w:tc>
        <w:tc>
          <w:tcPr>
            <w:tcW w:w="714" w:type="pct"/>
            <w:shd w:val="clear" w:color="auto" w:fill="auto"/>
            <w:vAlign w:val="center"/>
            <w:hideMark/>
          </w:tcPr>
          <w:p w14:paraId="5A0A895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-0.674</w:t>
            </w:r>
          </w:p>
        </w:tc>
      </w:tr>
      <w:tr w:rsidR="005B3539" w:rsidRPr="00674528" w14:paraId="5BFB2709" w14:textId="77777777" w:rsidTr="005B3539">
        <w:trPr>
          <w:trHeight w:val="300"/>
        </w:trPr>
        <w:tc>
          <w:tcPr>
            <w:tcW w:w="714" w:type="pct"/>
            <w:shd w:val="clear" w:color="auto" w:fill="auto"/>
            <w:vAlign w:val="center"/>
            <w:hideMark/>
          </w:tcPr>
          <w:p w14:paraId="59ECB35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P8</w:t>
            </w:r>
          </w:p>
        </w:tc>
        <w:tc>
          <w:tcPr>
            <w:tcW w:w="714" w:type="pct"/>
            <w:shd w:val="clear" w:color="auto" w:fill="auto"/>
            <w:vAlign w:val="center"/>
            <w:hideMark/>
          </w:tcPr>
          <w:p w14:paraId="68A83C9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192A1520"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7E79280A"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1.529</w:t>
            </w:r>
          </w:p>
        </w:tc>
        <w:tc>
          <w:tcPr>
            <w:tcW w:w="714" w:type="pct"/>
            <w:shd w:val="clear" w:color="auto" w:fill="auto"/>
            <w:vAlign w:val="center"/>
            <w:hideMark/>
          </w:tcPr>
          <w:p w14:paraId="0902096A"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0.634</w:t>
            </w:r>
          </w:p>
        </w:tc>
        <w:tc>
          <w:tcPr>
            <w:tcW w:w="714" w:type="pct"/>
            <w:shd w:val="clear" w:color="auto" w:fill="auto"/>
            <w:vAlign w:val="center"/>
            <w:hideMark/>
          </w:tcPr>
          <w:p w14:paraId="2E2FCBB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0.789</w:t>
            </w:r>
          </w:p>
        </w:tc>
        <w:tc>
          <w:tcPr>
            <w:tcW w:w="714" w:type="pct"/>
            <w:shd w:val="clear" w:color="auto" w:fill="auto"/>
            <w:vAlign w:val="center"/>
            <w:hideMark/>
          </w:tcPr>
          <w:p w14:paraId="7AA6619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-0.397</w:t>
            </w:r>
          </w:p>
        </w:tc>
      </w:tr>
      <w:tr w:rsidR="005B3539" w:rsidRPr="00674528" w14:paraId="72E60FDD" w14:textId="77777777" w:rsidTr="005B3539">
        <w:trPr>
          <w:trHeight w:val="300"/>
        </w:trPr>
        <w:tc>
          <w:tcPr>
            <w:tcW w:w="714" w:type="pct"/>
            <w:shd w:val="clear" w:color="auto" w:fill="auto"/>
            <w:vAlign w:val="center"/>
            <w:hideMark/>
          </w:tcPr>
          <w:p w14:paraId="4D15793B" w14:textId="77777777" w:rsidR="005B3539" w:rsidRPr="006C388E" w:rsidRDefault="005B3539" w:rsidP="005B3539">
            <w:pPr>
              <w:jc w:val="center"/>
              <w:rPr>
                <w:color w:val="000000"/>
                <w:sz w:val="20"/>
                <w:szCs w:val="20"/>
                <w:lang w:eastAsia="es-ES"/>
              </w:rPr>
            </w:pPr>
            <w:r w:rsidRPr="006C388E">
              <w:rPr>
                <w:color w:val="000000"/>
                <w:sz w:val="20"/>
                <w:szCs w:val="20"/>
                <w:lang w:eastAsia="es-ES"/>
              </w:rPr>
              <w:lastRenderedPageBreak/>
              <w:t>P9</w:t>
            </w:r>
          </w:p>
        </w:tc>
        <w:tc>
          <w:tcPr>
            <w:tcW w:w="714" w:type="pct"/>
            <w:shd w:val="clear" w:color="auto" w:fill="auto"/>
            <w:vAlign w:val="center"/>
            <w:hideMark/>
          </w:tcPr>
          <w:p w14:paraId="4BD8BB07"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548BD947"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141B5B8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1.381</w:t>
            </w:r>
          </w:p>
        </w:tc>
        <w:tc>
          <w:tcPr>
            <w:tcW w:w="714" w:type="pct"/>
            <w:shd w:val="clear" w:color="auto" w:fill="auto"/>
            <w:vAlign w:val="center"/>
            <w:hideMark/>
          </w:tcPr>
          <w:p w14:paraId="7893F32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0.594</w:t>
            </w:r>
          </w:p>
        </w:tc>
        <w:tc>
          <w:tcPr>
            <w:tcW w:w="714" w:type="pct"/>
            <w:shd w:val="clear" w:color="auto" w:fill="auto"/>
            <w:vAlign w:val="center"/>
            <w:hideMark/>
          </w:tcPr>
          <w:p w14:paraId="5EE3410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1.309</w:t>
            </w:r>
          </w:p>
        </w:tc>
        <w:tc>
          <w:tcPr>
            <w:tcW w:w="714" w:type="pct"/>
            <w:shd w:val="clear" w:color="auto" w:fill="auto"/>
            <w:vAlign w:val="center"/>
            <w:hideMark/>
          </w:tcPr>
          <w:p w14:paraId="4F43B0E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0.680</w:t>
            </w:r>
          </w:p>
        </w:tc>
      </w:tr>
      <w:tr w:rsidR="005B3539" w:rsidRPr="00674528" w14:paraId="4AC78762" w14:textId="77777777" w:rsidTr="005B3539">
        <w:trPr>
          <w:trHeight w:val="300"/>
        </w:trPr>
        <w:tc>
          <w:tcPr>
            <w:tcW w:w="714" w:type="pct"/>
            <w:shd w:val="clear" w:color="auto" w:fill="auto"/>
            <w:vAlign w:val="center"/>
            <w:hideMark/>
          </w:tcPr>
          <w:p w14:paraId="7EFB86D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P10</w:t>
            </w:r>
          </w:p>
        </w:tc>
        <w:tc>
          <w:tcPr>
            <w:tcW w:w="714" w:type="pct"/>
            <w:shd w:val="clear" w:color="auto" w:fill="auto"/>
            <w:vAlign w:val="center"/>
            <w:hideMark/>
          </w:tcPr>
          <w:p w14:paraId="12710C8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15FA347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3ABC880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1.308</w:t>
            </w:r>
          </w:p>
        </w:tc>
        <w:tc>
          <w:tcPr>
            <w:tcW w:w="714" w:type="pct"/>
            <w:shd w:val="clear" w:color="auto" w:fill="auto"/>
            <w:vAlign w:val="center"/>
            <w:hideMark/>
          </w:tcPr>
          <w:p w14:paraId="6DBAA47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0.570</w:t>
            </w:r>
          </w:p>
        </w:tc>
        <w:tc>
          <w:tcPr>
            <w:tcW w:w="714" w:type="pct"/>
            <w:shd w:val="clear" w:color="auto" w:fill="auto"/>
            <w:vAlign w:val="center"/>
            <w:hideMark/>
          </w:tcPr>
          <w:p w14:paraId="2C437C9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1.697</w:t>
            </w:r>
          </w:p>
        </w:tc>
        <w:tc>
          <w:tcPr>
            <w:tcW w:w="714" w:type="pct"/>
            <w:shd w:val="clear" w:color="auto" w:fill="auto"/>
            <w:vAlign w:val="center"/>
            <w:hideMark/>
          </w:tcPr>
          <w:p w14:paraId="340F51F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1.861</w:t>
            </w:r>
          </w:p>
        </w:tc>
      </w:tr>
      <w:tr w:rsidR="005B3539" w:rsidRPr="00674528" w14:paraId="26607AE7" w14:textId="77777777" w:rsidTr="005B3539">
        <w:trPr>
          <w:trHeight w:val="300"/>
        </w:trPr>
        <w:tc>
          <w:tcPr>
            <w:tcW w:w="714" w:type="pct"/>
            <w:shd w:val="clear" w:color="auto" w:fill="auto"/>
            <w:vAlign w:val="center"/>
            <w:hideMark/>
          </w:tcPr>
          <w:p w14:paraId="63A1859A"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P11</w:t>
            </w:r>
          </w:p>
        </w:tc>
        <w:tc>
          <w:tcPr>
            <w:tcW w:w="714" w:type="pct"/>
            <w:shd w:val="clear" w:color="auto" w:fill="auto"/>
            <w:vAlign w:val="center"/>
            <w:hideMark/>
          </w:tcPr>
          <w:p w14:paraId="468F5E5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0522A040"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1C6A61A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1.593</w:t>
            </w:r>
          </w:p>
        </w:tc>
        <w:tc>
          <w:tcPr>
            <w:tcW w:w="714" w:type="pct"/>
            <w:shd w:val="clear" w:color="auto" w:fill="auto"/>
            <w:vAlign w:val="center"/>
            <w:hideMark/>
          </w:tcPr>
          <w:p w14:paraId="383162E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0.613</w:t>
            </w:r>
          </w:p>
        </w:tc>
        <w:tc>
          <w:tcPr>
            <w:tcW w:w="714" w:type="pct"/>
            <w:shd w:val="clear" w:color="auto" w:fill="auto"/>
            <w:vAlign w:val="center"/>
            <w:hideMark/>
          </w:tcPr>
          <w:p w14:paraId="59AB9E2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0.518</w:t>
            </w:r>
          </w:p>
        </w:tc>
        <w:tc>
          <w:tcPr>
            <w:tcW w:w="714" w:type="pct"/>
            <w:shd w:val="clear" w:color="auto" w:fill="auto"/>
            <w:vAlign w:val="center"/>
            <w:hideMark/>
          </w:tcPr>
          <w:p w14:paraId="27DEB8B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-0.623</w:t>
            </w:r>
          </w:p>
        </w:tc>
      </w:tr>
      <w:tr w:rsidR="005B3539" w:rsidRPr="00674528" w14:paraId="6BC440EE" w14:textId="77777777" w:rsidTr="005B3539">
        <w:trPr>
          <w:trHeight w:val="300"/>
        </w:trPr>
        <w:tc>
          <w:tcPr>
            <w:tcW w:w="714" w:type="pct"/>
            <w:shd w:val="clear" w:color="auto" w:fill="auto"/>
            <w:vAlign w:val="center"/>
            <w:hideMark/>
          </w:tcPr>
          <w:p w14:paraId="5E57BB8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P12</w:t>
            </w:r>
          </w:p>
        </w:tc>
        <w:tc>
          <w:tcPr>
            <w:tcW w:w="714" w:type="pct"/>
            <w:shd w:val="clear" w:color="auto" w:fill="auto"/>
            <w:vAlign w:val="center"/>
            <w:hideMark/>
          </w:tcPr>
          <w:p w14:paraId="66C1C1B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323198F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33C635D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1.323</w:t>
            </w:r>
          </w:p>
        </w:tc>
        <w:tc>
          <w:tcPr>
            <w:tcW w:w="714" w:type="pct"/>
            <w:shd w:val="clear" w:color="auto" w:fill="auto"/>
            <w:vAlign w:val="center"/>
            <w:hideMark/>
          </w:tcPr>
          <w:p w14:paraId="560D3BF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0.564</w:t>
            </w:r>
          </w:p>
        </w:tc>
        <w:tc>
          <w:tcPr>
            <w:tcW w:w="714" w:type="pct"/>
            <w:shd w:val="clear" w:color="auto" w:fill="auto"/>
            <w:vAlign w:val="center"/>
            <w:hideMark/>
          </w:tcPr>
          <w:p w14:paraId="54C28D6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1.563</w:t>
            </w:r>
          </w:p>
        </w:tc>
        <w:tc>
          <w:tcPr>
            <w:tcW w:w="714" w:type="pct"/>
            <w:shd w:val="clear" w:color="auto" w:fill="auto"/>
            <w:vAlign w:val="center"/>
            <w:hideMark/>
          </w:tcPr>
          <w:p w14:paraId="46B6BED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1.467</w:t>
            </w:r>
          </w:p>
        </w:tc>
      </w:tr>
      <w:tr w:rsidR="005B3539" w:rsidRPr="00674528" w14:paraId="5347C72F" w14:textId="77777777" w:rsidTr="005B3539">
        <w:trPr>
          <w:trHeight w:val="300"/>
        </w:trPr>
        <w:tc>
          <w:tcPr>
            <w:tcW w:w="714" w:type="pct"/>
            <w:shd w:val="clear" w:color="auto" w:fill="auto"/>
            <w:vAlign w:val="center"/>
            <w:hideMark/>
          </w:tcPr>
          <w:p w14:paraId="62FBC9D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P13</w:t>
            </w:r>
          </w:p>
        </w:tc>
        <w:tc>
          <w:tcPr>
            <w:tcW w:w="714" w:type="pct"/>
            <w:shd w:val="clear" w:color="auto" w:fill="auto"/>
            <w:vAlign w:val="center"/>
            <w:hideMark/>
          </w:tcPr>
          <w:p w14:paraId="707B462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443F021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4040D200"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1.837</w:t>
            </w:r>
          </w:p>
        </w:tc>
        <w:tc>
          <w:tcPr>
            <w:tcW w:w="714" w:type="pct"/>
            <w:shd w:val="clear" w:color="auto" w:fill="auto"/>
            <w:vAlign w:val="center"/>
            <w:hideMark/>
          </w:tcPr>
          <w:p w14:paraId="11C51E1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0.622</w:t>
            </w:r>
          </w:p>
        </w:tc>
        <w:tc>
          <w:tcPr>
            <w:tcW w:w="714" w:type="pct"/>
            <w:shd w:val="clear" w:color="auto" w:fill="auto"/>
            <w:vAlign w:val="center"/>
            <w:hideMark/>
          </w:tcPr>
          <w:p w14:paraId="521F6AB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0.126</w:t>
            </w:r>
          </w:p>
        </w:tc>
        <w:tc>
          <w:tcPr>
            <w:tcW w:w="714" w:type="pct"/>
            <w:shd w:val="clear" w:color="auto" w:fill="auto"/>
            <w:vAlign w:val="center"/>
            <w:hideMark/>
          </w:tcPr>
          <w:p w14:paraId="1A4E921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-0.508</w:t>
            </w:r>
          </w:p>
        </w:tc>
      </w:tr>
      <w:tr w:rsidR="005B3539" w:rsidRPr="00674528" w14:paraId="33F53752" w14:textId="77777777" w:rsidTr="005B3539">
        <w:trPr>
          <w:trHeight w:val="300"/>
        </w:trPr>
        <w:tc>
          <w:tcPr>
            <w:tcW w:w="714" w:type="pct"/>
            <w:shd w:val="clear" w:color="auto" w:fill="auto"/>
            <w:vAlign w:val="center"/>
            <w:hideMark/>
          </w:tcPr>
          <w:p w14:paraId="03B14AD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P14</w:t>
            </w:r>
          </w:p>
        </w:tc>
        <w:tc>
          <w:tcPr>
            <w:tcW w:w="714" w:type="pct"/>
            <w:shd w:val="clear" w:color="auto" w:fill="auto"/>
            <w:vAlign w:val="center"/>
            <w:hideMark/>
          </w:tcPr>
          <w:p w14:paraId="438FE740"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02A76C5A"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6BF473F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1.808</w:t>
            </w:r>
          </w:p>
        </w:tc>
        <w:tc>
          <w:tcPr>
            <w:tcW w:w="714" w:type="pct"/>
            <w:shd w:val="clear" w:color="auto" w:fill="auto"/>
            <w:vAlign w:val="center"/>
            <w:hideMark/>
          </w:tcPr>
          <w:p w14:paraId="1C11983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0.690</w:t>
            </w:r>
          </w:p>
        </w:tc>
        <w:tc>
          <w:tcPr>
            <w:tcW w:w="714" w:type="pct"/>
            <w:shd w:val="clear" w:color="auto" w:fill="auto"/>
            <w:vAlign w:val="center"/>
            <w:hideMark/>
          </w:tcPr>
          <w:p w14:paraId="6A091320"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0.272</w:t>
            </w:r>
          </w:p>
        </w:tc>
        <w:tc>
          <w:tcPr>
            <w:tcW w:w="714" w:type="pct"/>
            <w:shd w:val="clear" w:color="auto" w:fill="auto"/>
            <w:vAlign w:val="center"/>
            <w:hideMark/>
          </w:tcPr>
          <w:p w14:paraId="792FA5B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-0.896</w:t>
            </w:r>
          </w:p>
        </w:tc>
      </w:tr>
      <w:tr w:rsidR="005B3539" w:rsidRPr="00674528" w14:paraId="64CAB5AD" w14:textId="77777777" w:rsidTr="005B3539">
        <w:trPr>
          <w:trHeight w:val="300"/>
        </w:trPr>
        <w:tc>
          <w:tcPr>
            <w:tcW w:w="714" w:type="pct"/>
            <w:shd w:val="clear" w:color="auto" w:fill="auto"/>
            <w:vAlign w:val="center"/>
            <w:hideMark/>
          </w:tcPr>
          <w:p w14:paraId="6158168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P15</w:t>
            </w:r>
          </w:p>
        </w:tc>
        <w:tc>
          <w:tcPr>
            <w:tcW w:w="714" w:type="pct"/>
            <w:shd w:val="clear" w:color="auto" w:fill="auto"/>
            <w:vAlign w:val="center"/>
            <w:hideMark/>
          </w:tcPr>
          <w:p w14:paraId="0B65662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4C0BCA1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7B54C6D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1.308</w:t>
            </w:r>
          </w:p>
        </w:tc>
        <w:tc>
          <w:tcPr>
            <w:tcW w:w="714" w:type="pct"/>
            <w:shd w:val="clear" w:color="auto" w:fill="auto"/>
            <w:vAlign w:val="center"/>
            <w:hideMark/>
          </w:tcPr>
          <w:p w14:paraId="7E5D3B4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0.570</w:t>
            </w:r>
          </w:p>
        </w:tc>
        <w:tc>
          <w:tcPr>
            <w:tcW w:w="714" w:type="pct"/>
            <w:shd w:val="clear" w:color="auto" w:fill="auto"/>
            <w:vAlign w:val="center"/>
            <w:hideMark/>
          </w:tcPr>
          <w:p w14:paraId="59B8523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1.697</w:t>
            </w:r>
          </w:p>
        </w:tc>
        <w:tc>
          <w:tcPr>
            <w:tcW w:w="714" w:type="pct"/>
            <w:shd w:val="clear" w:color="auto" w:fill="auto"/>
            <w:vAlign w:val="center"/>
            <w:hideMark/>
          </w:tcPr>
          <w:p w14:paraId="0F37A53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1.861</w:t>
            </w:r>
          </w:p>
        </w:tc>
      </w:tr>
      <w:tr w:rsidR="005B3539" w:rsidRPr="00674528" w14:paraId="5B51007D" w14:textId="77777777" w:rsidTr="005B3539">
        <w:trPr>
          <w:trHeight w:val="300"/>
        </w:trPr>
        <w:tc>
          <w:tcPr>
            <w:tcW w:w="714" w:type="pct"/>
            <w:shd w:val="clear" w:color="auto" w:fill="auto"/>
            <w:vAlign w:val="center"/>
            <w:hideMark/>
          </w:tcPr>
          <w:p w14:paraId="4FA8A79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P16</w:t>
            </w:r>
          </w:p>
        </w:tc>
        <w:tc>
          <w:tcPr>
            <w:tcW w:w="714" w:type="pct"/>
            <w:shd w:val="clear" w:color="auto" w:fill="auto"/>
            <w:vAlign w:val="center"/>
            <w:hideMark/>
          </w:tcPr>
          <w:p w14:paraId="1432C58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7AD03B7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2186D86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1.308</w:t>
            </w:r>
          </w:p>
        </w:tc>
        <w:tc>
          <w:tcPr>
            <w:tcW w:w="714" w:type="pct"/>
            <w:shd w:val="clear" w:color="auto" w:fill="auto"/>
            <w:vAlign w:val="center"/>
            <w:hideMark/>
          </w:tcPr>
          <w:p w14:paraId="4D2948BA"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0.570</w:t>
            </w:r>
          </w:p>
        </w:tc>
        <w:tc>
          <w:tcPr>
            <w:tcW w:w="714" w:type="pct"/>
            <w:shd w:val="clear" w:color="auto" w:fill="auto"/>
            <w:vAlign w:val="center"/>
            <w:hideMark/>
          </w:tcPr>
          <w:p w14:paraId="43D7E8D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1.697</w:t>
            </w:r>
          </w:p>
        </w:tc>
        <w:tc>
          <w:tcPr>
            <w:tcW w:w="714" w:type="pct"/>
            <w:shd w:val="clear" w:color="auto" w:fill="auto"/>
            <w:vAlign w:val="center"/>
            <w:hideMark/>
          </w:tcPr>
          <w:p w14:paraId="4D0BDE0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1.861</w:t>
            </w:r>
          </w:p>
        </w:tc>
      </w:tr>
      <w:tr w:rsidR="005B3539" w:rsidRPr="00674528" w14:paraId="2958D583" w14:textId="77777777" w:rsidTr="005B3539">
        <w:trPr>
          <w:trHeight w:val="300"/>
        </w:trPr>
        <w:tc>
          <w:tcPr>
            <w:tcW w:w="714" w:type="pct"/>
            <w:shd w:val="clear" w:color="auto" w:fill="auto"/>
            <w:vAlign w:val="center"/>
            <w:hideMark/>
          </w:tcPr>
          <w:p w14:paraId="4D8CAEB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P17</w:t>
            </w:r>
          </w:p>
        </w:tc>
        <w:tc>
          <w:tcPr>
            <w:tcW w:w="714" w:type="pct"/>
            <w:shd w:val="clear" w:color="auto" w:fill="auto"/>
            <w:vAlign w:val="center"/>
            <w:hideMark/>
          </w:tcPr>
          <w:p w14:paraId="2917DDF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13AA9EF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13A0AAC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1.311</w:t>
            </w:r>
          </w:p>
        </w:tc>
        <w:tc>
          <w:tcPr>
            <w:tcW w:w="714" w:type="pct"/>
            <w:shd w:val="clear" w:color="auto" w:fill="auto"/>
            <w:vAlign w:val="center"/>
            <w:hideMark/>
          </w:tcPr>
          <w:p w14:paraId="15C4F16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0.523</w:t>
            </w:r>
          </w:p>
        </w:tc>
        <w:tc>
          <w:tcPr>
            <w:tcW w:w="714" w:type="pct"/>
            <w:shd w:val="clear" w:color="auto" w:fill="auto"/>
            <w:vAlign w:val="center"/>
            <w:hideMark/>
          </w:tcPr>
          <w:p w14:paraId="3F6DFD7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1.421</w:t>
            </w:r>
          </w:p>
        </w:tc>
        <w:tc>
          <w:tcPr>
            <w:tcW w:w="714" w:type="pct"/>
            <w:shd w:val="clear" w:color="auto" w:fill="auto"/>
            <w:vAlign w:val="center"/>
            <w:hideMark/>
          </w:tcPr>
          <w:p w14:paraId="79A0D00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1.078</w:t>
            </w:r>
          </w:p>
        </w:tc>
      </w:tr>
      <w:tr w:rsidR="005B3539" w:rsidRPr="00674528" w14:paraId="0C70F1E2" w14:textId="77777777" w:rsidTr="005B3539">
        <w:trPr>
          <w:trHeight w:val="300"/>
        </w:trPr>
        <w:tc>
          <w:tcPr>
            <w:tcW w:w="714" w:type="pct"/>
            <w:shd w:val="clear" w:color="auto" w:fill="auto"/>
            <w:vAlign w:val="center"/>
            <w:hideMark/>
          </w:tcPr>
          <w:p w14:paraId="5003D4E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P18</w:t>
            </w:r>
          </w:p>
        </w:tc>
        <w:tc>
          <w:tcPr>
            <w:tcW w:w="714" w:type="pct"/>
            <w:shd w:val="clear" w:color="auto" w:fill="auto"/>
            <w:vAlign w:val="center"/>
            <w:hideMark/>
          </w:tcPr>
          <w:p w14:paraId="3E0CC69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0B2A782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7751257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1.206</w:t>
            </w:r>
          </w:p>
        </w:tc>
        <w:tc>
          <w:tcPr>
            <w:tcW w:w="714" w:type="pct"/>
            <w:shd w:val="clear" w:color="auto" w:fill="auto"/>
            <w:vAlign w:val="center"/>
            <w:hideMark/>
          </w:tcPr>
          <w:p w14:paraId="7F17659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0.472</w:t>
            </w:r>
          </w:p>
        </w:tc>
        <w:tc>
          <w:tcPr>
            <w:tcW w:w="714" w:type="pct"/>
            <w:shd w:val="clear" w:color="auto" w:fill="auto"/>
            <w:vAlign w:val="center"/>
            <w:hideMark/>
          </w:tcPr>
          <w:p w14:paraId="3FA1AC4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2.254</w:t>
            </w:r>
          </w:p>
        </w:tc>
        <w:tc>
          <w:tcPr>
            <w:tcW w:w="714" w:type="pct"/>
            <w:shd w:val="clear" w:color="auto" w:fill="auto"/>
            <w:vAlign w:val="center"/>
            <w:hideMark/>
          </w:tcPr>
          <w:p w14:paraId="385ABF7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4.413</w:t>
            </w:r>
          </w:p>
        </w:tc>
      </w:tr>
      <w:tr w:rsidR="005B3539" w:rsidRPr="00674528" w14:paraId="09F497DD" w14:textId="77777777" w:rsidTr="005B3539">
        <w:trPr>
          <w:trHeight w:val="300"/>
        </w:trPr>
        <w:tc>
          <w:tcPr>
            <w:tcW w:w="714" w:type="pct"/>
            <w:shd w:val="clear" w:color="auto" w:fill="auto"/>
            <w:vAlign w:val="center"/>
            <w:hideMark/>
          </w:tcPr>
          <w:p w14:paraId="63FC2BEA"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P19</w:t>
            </w:r>
          </w:p>
        </w:tc>
        <w:tc>
          <w:tcPr>
            <w:tcW w:w="714" w:type="pct"/>
            <w:shd w:val="clear" w:color="auto" w:fill="auto"/>
            <w:vAlign w:val="center"/>
            <w:hideMark/>
          </w:tcPr>
          <w:p w14:paraId="5C2D8E6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5ABD739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3109389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1.901</w:t>
            </w:r>
          </w:p>
        </w:tc>
        <w:tc>
          <w:tcPr>
            <w:tcW w:w="714" w:type="pct"/>
            <w:shd w:val="clear" w:color="auto" w:fill="auto"/>
            <w:vAlign w:val="center"/>
            <w:hideMark/>
          </w:tcPr>
          <w:p w14:paraId="49CC913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0.658</w:t>
            </w:r>
          </w:p>
        </w:tc>
        <w:tc>
          <w:tcPr>
            <w:tcW w:w="714" w:type="pct"/>
            <w:shd w:val="clear" w:color="auto" w:fill="auto"/>
            <w:vAlign w:val="center"/>
            <w:hideMark/>
          </w:tcPr>
          <w:p w14:paraId="47EB795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0.107</w:t>
            </w:r>
          </w:p>
        </w:tc>
        <w:tc>
          <w:tcPr>
            <w:tcW w:w="714" w:type="pct"/>
            <w:shd w:val="clear" w:color="auto" w:fill="auto"/>
            <w:vAlign w:val="center"/>
            <w:hideMark/>
          </w:tcPr>
          <w:p w14:paraId="2F9BE03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-0.698</w:t>
            </w:r>
          </w:p>
        </w:tc>
      </w:tr>
      <w:tr w:rsidR="005B3539" w:rsidRPr="00674528" w14:paraId="6FDF3DC8" w14:textId="77777777" w:rsidTr="005B3539">
        <w:trPr>
          <w:trHeight w:val="300"/>
        </w:trPr>
        <w:tc>
          <w:tcPr>
            <w:tcW w:w="714" w:type="pct"/>
            <w:shd w:val="clear" w:color="auto" w:fill="auto"/>
            <w:vAlign w:val="center"/>
            <w:hideMark/>
          </w:tcPr>
          <w:p w14:paraId="0772A78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P20</w:t>
            </w:r>
          </w:p>
        </w:tc>
        <w:tc>
          <w:tcPr>
            <w:tcW w:w="714" w:type="pct"/>
            <w:shd w:val="clear" w:color="auto" w:fill="auto"/>
            <w:vAlign w:val="center"/>
            <w:hideMark/>
          </w:tcPr>
          <w:p w14:paraId="54914F90"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65A634A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343E0537"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1.323</w:t>
            </w:r>
          </w:p>
        </w:tc>
        <w:tc>
          <w:tcPr>
            <w:tcW w:w="714" w:type="pct"/>
            <w:shd w:val="clear" w:color="auto" w:fill="auto"/>
            <w:vAlign w:val="center"/>
            <w:hideMark/>
          </w:tcPr>
          <w:p w14:paraId="4A5AEB1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0.527</w:t>
            </w:r>
          </w:p>
        </w:tc>
        <w:tc>
          <w:tcPr>
            <w:tcW w:w="714" w:type="pct"/>
            <w:shd w:val="clear" w:color="auto" w:fill="auto"/>
            <w:vAlign w:val="center"/>
            <w:hideMark/>
          </w:tcPr>
          <w:p w14:paraId="1CF8CE1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1.350</w:t>
            </w:r>
          </w:p>
        </w:tc>
        <w:tc>
          <w:tcPr>
            <w:tcW w:w="714" w:type="pct"/>
            <w:shd w:val="clear" w:color="auto" w:fill="auto"/>
            <w:vAlign w:val="center"/>
            <w:hideMark/>
          </w:tcPr>
          <w:p w14:paraId="1006CC7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0.863</w:t>
            </w:r>
          </w:p>
        </w:tc>
      </w:tr>
      <w:tr w:rsidR="005B3539" w:rsidRPr="00674528" w14:paraId="3528F3E4" w14:textId="77777777" w:rsidTr="005B3539">
        <w:trPr>
          <w:trHeight w:val="300"/>
        </w:trPr>
        <w:tc>
          <w:tcPr>
            <w:tcW w:w="714" w:type="pct"/>
            <w:shd w:val="clear" w:color="auto" w:fill="auto"/>
            <w:vAlign w:val="center"/>
            <w:hideMark/>
          </w:tcPr>
          <w:p w14:paraId="62521D3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P21</w:t>
            </w:r>
          </w:p>
        </w:tc>
        <w:tc>
          <w:tcPr>
            <w:tcW w:w="714" w:type="pct"/>
            <w:shd w:val="clear" w:color="auto" w:fill="auto"/>
            <w:vAlign w:val="center"/>
            <w:hideMark/>
          </w:tcPr>
          <w:p w14:paraId="03378EB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0569C94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465AC23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1.209</w:t>
            </w:r>
          </w:p>
        </w:tc>
        <w:tc>
          <w:tcPr>
            <w:tcW w:w="714" w:type="pct"/>
            <w:shd w:val="clear" w:color="auto" w:fill="auto"/>
            <w:vAlign w:val="center"/>
            <w:hideMark/>
          </w:tcPr>
          <w:p w14:paraId="22D9B5A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0.498</w:t>
            </w:r>
          </w:p>
        </w:tc>
        <w:tc>
          <w:tcPr>
            <w:tcW w:w="714" w:type="pct"/>
            <w:shd w:val="clear" w:color="auto" w:fill="auto"/>
            <w:vAlign w:val="center"/>
            <w:hideMark/>
          </w:tcPr>
          <w:p w14:paraId="15199D2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2.369</w:t>
            </w:r>
          </w:p>
        </w:tc>
        <w:tc>
          <w:tcPr>
            <w:tcW w:w="714" w:type="pct"/>
            <w:shd w:val="clear" w:color="auto" w:fill="auto"/>
            <w:vAlign w:val="center"/>
            <w:hideMark/>
          </w:tcPr>
          <w:p w14:paraId="12ADEB4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4.798</w:t>
            </w:r>
          </w:p>
        </w:tc>
      </w:tr>
      <w:tr w:rsidR="005B3539" w:rsidRPr="00674528" w14:paraId="07AB1EF7" w14:textId="77777777" w:rsidTr="005B3539">
        <w:trPr>
          <w:trHeight w:val="300"/>
        </w:trPr>
        <w:tc>
          <w:tcPr>
            <w:tcW w:w="714" w:type="pct"/>
            <w:shd w:val="clear" w:color="auto" w:fill="auto"/>
            <w:vAlign w:val="center"/>
            <w:hideMark/>
          </w:tcPr>
          <w:p w14:paraId="7F21428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P22</w:t>
            </w:r>
          </w:p>
        </w:tc>
        <w:tc>
          <w:tcPr>
            <w:tcW w:w="714" w:type="pct"/>
            <w:shd w:val="clear" w:color="auto" w:fill="auto"/>
            <w:vAlign w:val="center"/>
            <w:hideMark/>
          </w:tcPr>
          <w:p w14:paraId="3A02009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79DCBE7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2484153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1.297</w:t>
            </w:r>
          </w:p>
        </w:tc>
        <w:tc>
          <w:tcPr>
            <w:tcW w:w="714" w:type="pct"/>
            <w:shd w:val="clear" w:color="auto" w:fill="auto"/>
            <w:vAlign w:val="center"/>
            <w:hideMark/>
          </w:tcPr>
          <w:p w14:paraId="7A2E3F6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0.550</w:t>
            </w:r>
          </w:p>
        </w:tc>
        <w:tc>
          <w:tcPr>
            <w:tcW w:w="714" w:type="pct"/>
            <w:shd w:val="clear" w:color="auto" w:fill="auto"/>
            <w:vAlign w:val="center"/>
            <w:hideMark/>
          </w:tcPr>
          <w:p w14:paraId="5B44737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1.705</w:t>
            </w:r>
          </w:p>
        </w:tc>
        <w:tc>
          <w:tcPr>
            <w:tcW w:w="714" w:type="pct"/>
            <w:shd w:val="clear" w:color="auto" w:fill="auto"/>
            <w:vAlign w:val="center"/>
            <w:hideMark/>
          </w:tcPr>
          <w:p w14:paraId="6C0E9D0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1.963</w:t>
            </w:r>
          </w:p>
        </w:tc>
      </w:tr>
      <w:tr w:rsidR="005B3539" w:rsidRPr="00674528" w14:paraId="046BC66B" w14:textId="77777777" w:rsidTr="005B3539">
        <w:trPr>
          <w:trHeight w:val="300"/>
        </w:trPr>
        <w:tc>
          <w:tcPr>
            <w:tcW w:w="714" w:type="pct"/>
            <w:shd w:val="clear" w:color="auto" w:fill="auto"/>
            <w:vAlign w:val="center"/>
            <w:hideMark/>
          </w:tcPr>
          <w:p w14:paraId="4ACFA24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P23</w:t>
            </w:r>
          </w:p>
        </w:tc>
        <w:tc>
          <w:tcPr>
            <w:tcW w:w="714" w:type="pct"/>
            <w:shd w:val="clear" w:color="auto" w:fill="auto"/>
            <w:vAlign w:val="center"/>
            <w:hideMark/>
          </w:tcPr>
          <w:p w14:paraId="1A92432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1.000</w:t>
            </w:r>
          </w:p>
        </w:tc>
        <w:tc>
          <w:tcPr>
            <w:tcW w:w="714" w:type="pct"/>
            <w:shd w:val="clear" w:color="auto" w:fill="auto"/>
            <w:vAlign w:val="center"/>
            <w:hideMark/>
          </w:tcPr>
          <w:p w14:paraId="78263D0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3.000</w:t>
            </w:r>
          </w:p>
        </w:tc>
        <w:tc>
          <w:tcPr>
            <w:tcW w:w="714" w:type="pct"/>
            <w:shd w:val="clear" w:color="auto" w:fill="auto"/>
            <w:vAlign w:val="center"/>
            <w:hideMark/>
          </w:tcPr>
          <w:p w14:paraId="6E01036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1.186</w:t>
            </w:r>
          </w:p>
        </w:tc>
        <w:tc>
          <w:tcPr>
            <w:tcW w:w="714" w:type="pct"/>
            <w:shd w:val="clear" w:color="auto" w:fill="auto"/>
            <w:vAlign w:val="center"/>
            <w:hideMark/>
          </w:tcPr>
          <w:p w14:paraId="37ED2F0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0.439</w:t>
            </w:r>
          </w:p>
        </w:tc>
        <w:tc>
          <w:tcPr>
            <w:tcW w:w="714" w:type="pct"/>
            <w:shd w:val="clear" w:color="auto" w:fill="auto"/>
            <w:vAlign w:val="center"/>
            <w:hideMark/>
          </w:tcPr>
          <w:p w14:paraId="213330C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2.319</w:t>
            </w:r>
          </w:p>
        </w:tc>
        <w:tc>
          <w:tcPr>
            <w:tcW w:w="714" w:type="pct"/>
            <w:shd w:val="clear" w:color="auto" w:fill="auto"/>
            <w:vAlign w:val="center"/>
            <w:hideMark/>
          </w:tcPr>
          <w:p w14:paraId="43E35CC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4.811</w:t>
            </w:r>
          </w:p>
        </w:tc>
      </w:tr>
    </w:tbl>
    <w:p w14:paraId="35A7B536" w14:textId="77777777" w:rsidR="005B3539" w:rsidRPr="00E04B25" w:rsidRDefault="005B3539" w:rsidP="005B3539">
      <w:pPr>
        <w:rPr>
          <w:sz w:val="20"/>
          <w:szCs w:val="20"/>
        </w:rPr>
      </w:pPr>
      <w:r w:rsidRPr="00E04B25">
        <w:rPr>
          <w:sz w:val="20"/>
          <w:szCs w:val="20"/>
        </w:rPr>
        <w:t xml:space="preserve">Nota. </w:t>
      </w:r>
      <w:r w:rsidRPr="00E04B25">
        <w:rPr>
          <w:i/>
          <w:iCs/>
          <w:sz w:val="20"/>
          <w:szCs w:val="20"/>
        </w:rPr>
        <w:t>g</w:t>
      </w:r>
      <w:r w:rsidRPr="00E04B25">
        <w:rPr>
          <w:i/>
          <w:iCs/>
          <w:sz w:val="20"/>
          <w:szCs w:val="20"/>
          <w:vertAlign w:val="subscript"/>
        </w:rPr>
        <w:t>1</w:t>
      </w:r>
      <w:r w:rsidRPr="00E04B25">
        <w:rPr>
          <w:sz w:val="20"/>
          <w:szCs w:val="20"/>
        </w:rPr>
        <w:t xml:space="preserve">: Coeficiente de asimetría; </w:t>
      </w:r>
      <w:r w:rsidRPr="00E04B25">
        <w:rPr>
          <w:i/>
          <w:iCs/>
          <w:sz w:val="20"/>
          <w:szCs w:val="20"/>
        </w:rPr>
        <w:t>g</w:t>
      </w:r>
      <w:r w:rsidRPr="00E04B25">
        <w:rPr>
          <w:i/>
          <w:iCs/>
          <w:sz w:val="20"/>
          <w:szCs w:val="20"/>
          <w:vertAlign w:val="subscript"/>
        </w:rPr>
        <w:t>2</w:t>
      </w:r>
      <w:r w:rsidRPr="00E04B25">
        <w:rPr>
          <w:sz w:val="20"/>
          <w:szCs w:val="20"/>
        </w:rPr>
        <w:t>: Coeficiente de curtosis</w:t>
      </w:r>
      <w:r>
        <w:rPr>
          <w:sz w:val="20"/>
          <w:szCs w:val="20"/>
        </w:rPr>
        <w:t>.</w:t>
      </w:r>
      <w:r w:rsidRPr="00E04B25">
        <w:rPr>
          <w:sz w:val="20"/>
          <w:szCs w:val="20"/>
        </w:rPr>
        <w:t xml:space="preserve"> </w:t>
      </w:r>
    </w:p>
    <w:p w14:paraId="7DDFB740" w14:textId="77777777" w:rsidR="005B3539" w:rsidRPr="00394C74" w:rsidRDefault="005B3539" w:rsidP="005B3539">
      <w:pPr>
        <w:spacing w:line="480" w:lineRule="auto"/>
        <w:ind w:left="567" w:hanging="567"/>
        <w:rPr>
          <w:bCs/>
          <w:lang w:val="es-PE"/>
        </w:rPr>
      </w:pPr>
    </w:p>
    <w:p w14:paraId="5E48DF76" w14:textId="77777777" w:rsidR="005B3539" w:rsidRPr="001D3384" w:rsidRDefault="005B3539" w:rsidP="005B3539">
      <w:pPr>
        <w:spacing w:line="480" w:lineRule="auto"/>
        <w:jc w:val="both"/>
        <w:rPr>
          <w:b/>
          <w:bCs/>
        </w:rPr>
      </w:pPr>
      <w:r w:rsidRPr="00674528">
        <w:rPr>
          <w:b/>
          <w:bCs/>
        </w:rPr>
        <w:t xml:space="preserve">Evidencias de validez basada en la estructura interna </w:t>
      </w:r>
    </w:p>
    <w:p w14:paraId="2CB19479" w14:textId="77777777" w:rsidR="005B3539" w:rsidRDefault="005B3539" w:rsidP="005B3539">
      <w:pPr>
        <w:spacing w:line="480" w:lineRule="auto"/>
        <w:ind w:firstLine="720"/>
        <w:jc w:val="both"/>
        <w:rPr>
          <w:bCs/>
          <w:lang w:val="es-PE"/>
        </w:rPr>
      </w:pPr>
      <w:r w:rsidRPr="001D3384">
        <w:rPr>
          <w:bCs/>
          <w:lang w:val="es-PE"/>
        </w:rPr>
        <w:t xml:space="preserve">En la Tabla 2, respecto a la estructura interna del instrumento, se aprecia que la mayoría de los reactivos alcanzan cargas factoriales satisfactorias (&gt;.40) tal como sugiere la literatura (Williams, </w:t>
      </w:r>
      <w:proofErr w:type="spellStart"/>
      <w:r w:rsidRPr="001D3384">
        <w:rPr>
          <w:bCs/>
          <w:lang w:val="es-PE"/>
        </w:rPr>
        <w:t>Onsman</w:t>
      </w:r>
      <w:proofErr w:type="spellEnd"/>
      <w:r w:rsidRPr="001D3384">
        <w:rPr>
          <w:bCs/>
          <w:lang w:val="es-PE"/>
        </w:rPr>
        <w:t>, &amp; Brown, 2010), con excepción del ítem 18, el cual obtiene una carga factorial igual a .329 y que se ubica en la dimensión Agresión Proactiva (AP). Los valores de los residuos fluctúan entre .413 y .812 para la dimensión Agresión Reactiva (AR), mientras que estos oscilan entre .329 y .892 para la d</w:t>
      </w:r>
      <w:r w:rsidRPr="00540CB6">
        <w:rPr>
          <w:bCs/>
          <w:lang w:val="es-PE"/>
        </w:rPr>
        <w:t>imensión AP. El</w:t>
      </w:r>
      <w:r w:rsidRPr="00540CB6">
        <w:t xml:space="preserve"> promedio de la suma de las cargas factoriales al cuadrado (AVE) para el caso de AR se obtiene un AVE igual a .37</w:t>
      </w:r>
      <w:r w:rsidRPr="00540CB6">
        <w:rPr>
          <w:bCs/>
          <w:lang w:val="es-PE"/>
        </w:rPr>
        <w:t>; en tanto, que para AP el AVE es igual a .410</w:t>
      </w:r>
      <w:r>
        <w:rPr>
          <w:bCs/>
          <w:lang w:val="es-PE"/>
        </w:rPr>
        <w:t>,</w:t>
      </w:r>
      <w:r w:rsidRPr="00540CB6">
        <w:t xml:space="preserve"> </w:t>
      </w:r>
      <w:r w:rsidRPr="00540CB6">
        <w:rPr>
          <w:bCs/>
          <w:lang w:val="es-PE"/>
        </w:rPr>
        <w:t xml:space="preserve">cuyo valor se encuentra ligeramente por debajo de lo sugerido (AVE &gt; .50), por lo que no se puede precisar que la estructura </w:t>
      </w:r>
      <w:r>
        <w:rPr>
          <w:bCs/>
          <w:lang w:val="es-PE"/>
        </w:rPr>
        <w:t xml:space="preserve">bidimensional </w:t>
      </w:r>
      <w:r w:rsidRPr="00540CB6">
        <w:rPr>
          <w:bCs/>
          <w:lang w:val="es-PE"/>
        </w:rPr>
        <w:t>original present</w:t>
      </w:r>
      <w:r>
        <w:rPr>
          <w:bCs/>
          <w:lang w:val="es-PE"/>
        </w:rPr>
        <w:t>e</w:t>
      </w:r>
      <w:r w:rsidRPr="00540CB6">
        <w:rPr>
          <w:bCs/>
          <w:lang w:val="es-PE"/>
        </w:rPr>
        <w:t xml:space="preserve"> validez interna convergente (</w:t>
      </w:r>
      <w:proofErr w:type="spellStart"/>
      <w:r w:rsidRPr="00540CB6">
        <w:rPr>
          <w:bCs/>
          <w:lang w:val="es-PE"/>
        </w:rPr>
        <w:t>Fornell</w:t>
      </w:r>
      <w:proofErr w:type="spellEnd"/>
      <w:r w:rsidRPr="00540CB6">
        <w:rPr>
          <w:bCs/>
          <w:lang w:val="es-PE"/>
        </w:rPr>
        <w:t xml:space="preserve"> &amp; </w:t>
      </w:r>
      <w:proofErr w:type="spellStart"/>
      <w:r w:rsidRPr="00540CB6">
        <w:rPr>
          <w:bCs/>
          <w:lang w:val="es-PE"/>
        </w:rPr>
        <w:t>Larcker</w:t>
      </w:r>
      <w:proofErr w:type="spellEnd"/>
      <w:r w:rsidRPr="00540CB6">
        <w:rPr>
          <w:bCs/>
          <w:lang w:val="es-PE"/>
        </w:rPr>
        <w:t>, 1981; Navarro-Loli, Domínguez-Lara, &amp; Medrano, 2019). A partir de las cargas factoriales se calculó el coeficiente de Fiabilidad Compuesta (FC) para AR (FC</w:t>
      </w:r>
      <w:r>
        <w:rPr>
          <w:bCs/>
          <w:lang w:val="es-PE"/>
        </w:rPr>
        <w:t xml:space="preserve"> </w:t>
      </w:r>
      <w:r w:rsidRPr="00540CB6">
        <w:rPr>
          <w:bCs/>
          <w:lang w:val="es-PE"/>
        </w:rPr>
        <w:t xml:space="preserve">= </w:t>
      </w:r>
      <w:r>
        <w:rPr>
          <w:bCs/>
          <w:lang w:val="es-PE"/>
        </w:rPr>
        <w:t xml:space="preserve">.864) </w:t>
      </w:r>
      <w:r w:rsidRPr="00540CB6">
        <w:rPr>
          <w:bCs/>
          <w:lang w:val="es-PE"/>
        </w:rPr>
        <w:t>y AP (FC</w:t>
      </w:r>
      <w:r>
        <w:rPr>
          <w:bCs/>
          <w:lang w:val="es-PE"/>
        </w:rPr>
        <w:t xml:space="preserve"> </w:t>
      </w:r>
      <w:r w:rsidRPr="00540CB6">
        <w:rPr>
          <w:bCs/>
          <w:lang w:val="es-PE"/>
        </w:rPr>
        <w:t xml:space="preserve">= </w:t>
      </w:r>
      <w:r>
        <w:rPr>
          <w:bCs/>
          <w:lang w:val="es-PE"/>
        </w:rPr>
        <w:t>.750)</w:t>
      </w:r>
      <w:r w:rsidRPr="00540CB6">
        <w:rPr>
          <w:bCs/>
          <w:lang w:val="es-PE"/>
        </w:rPr>
        <w:t xml:space="preserve"> </w:t>
      </w:r>
      <w:r>
        <w:rPr>
          <w:bCs/>
          <w:lang w:val="es-PE"/>
        </w:rPr>
        <w:t xml:space="preserve">en ambos casos corresponden a valores adecuados </w:t>
      </w:r>
      <w:r w:rsidRPr="00540CB6">
        <w:rPr>
          <w:bCs/>
          <w:lang w:val="es-PE"/>
        </w:rPr>
        <w:t>(</w:t>
      </w:r>
      <w:proofErr w:type="spellStart"/>
      <w:r w:rsidRPr="00540CB6">
        <w:rPr>
          <w:bCs/>
          <w:lang w:val="es-PE"/>
        </w:rPr>
        <w:t>Hair</w:t>
      </w:r>
      <w:proofErr w:type="spellEnd"/>
      <w:r w:rsidRPr="00540CB6">
        <w:rPr>
          <w:bCs/>
          <w:lang w:val="es-PE"/>
        </w:rPr>
        <w:t xml:space="preserve"> et al</w:t>
      </w:r>
      <w:r w:rsidRPr="00DD2E9D">
        <w:rPr>
          <w:bCs/>
          <w:lang w:val="es-PE"/>
        </w:rPr>
        <w:t>., 2010). En lo que respecta a los índices de ajuste del modelo robusto, reporta un SB-χ</w:t>
      </w:r>
      <w:r w:rsidRPr="00DD2E9D">
        <w:rPr>
          <w:bCs/>
          <w:vertAlign w:val="superscript"/>
          <w:lang w:val="es-PE"/>
        </w:rPr>
        <w:t>2</w:t>
      </w:r>
      <w:r w:rsidRPr="00DD2E9D">
        <w:rPr>
          <w:bCs/>
          <w:lang w:val="es-PE"/>
        </w:rPr>
        <w:t xml:space="preserve"> = 461.463 </w:t>
      </w:r>
      <w:r>
        <w:rPr>
          <w:bCs/>
          <w:lang w:val="es-PE"/>
        </w:rPr>
        <w:t>(</w:t>
      </w:r>
      <w:proofErr w:type="spellStart"/>
      <w:r w:rsidRPr="00E04B25">
        <w:rPr>
          <w:bCs/>
          <w:i/>
          <w:iCs/>
          <w:lang w:val="es-PE"/>
        </w:rPr>
        <w:t>g.l</w:t>
      </w:r>
      <w:proofErr w:type="spellEnd"/>
      <w:r w:rsidRPr="00E04B25">
        <w:rPr>
          <w:bCs/>
          <w:i/>
          <w:iCs/>
          <w:lang w:val="es-PE"/>
        </w:rPr>
        <w:t>.</w:t>
      </w:r>
      <w:r w:rsidRPr="00DD2E9D">
        <w:rPr>
          <w:bCs/>
          <w:lang w:val="es-PE"/>
        </w:rPr>
        <w:t xml:space="preserve"> =</w:t>
      </w:r>
      <w:r>
        <w:rPr>
          <w:bCs/>
          <w:lang w:val="es-PE"/>
        </w:rPr>
        <w:t xml:space="preserve"> </w:t>
      </w:r>
      <w:r w:rsidRPr="00DD2E9D">
        <w:rPr>
          <w:bCs/>
          <w:lang w:val="es-PE"/>
        </w:rPr>
        <w:lastRenderedPageBreak/>
        <w:t>229</w:t>
      </w:r>
      <w:r>
        <w:rPr>
          <w:bCs/>
          <w:lang w:val="es-PE"/>
        </w:rPr>
        <w:t xml:space="preserve">; </w:t>
      </w:r>
      <w:r w:rsidRPr="00E04B25">
        <w:rPr>
          <w:bCs/>
          <w:i/>
          <w:iCs/>
          <w:lang w:val="es-PE"/>
        </w:rPr>
        <w:t>p</w:t>
      </w:r>
      <w:r>
        <w:rPr>
          <w:bCs/>
          <w:lang w:val="es-PE"/>
        </w:rPr>
        <w:t xml:space="preserve"> </w:t>
      </w:r>
      <w:r w:rsidRPr="00DD2E9D">
        <w:rPr>
          <w:bCs/>
          <w:lang w:val="es-PE"/>
        </w:rPr>
        <w:t>&lt;.000)</w:t>
      </w:r>
      <w:r>
        <w:rPr>
          <w:bCs/>
          <w:lang w:val="es-PE"/>
        </w:rPr>
        <w:t>,</w:t>
      </w:r>
      <w:r w:rsidRPr="00DD2E9D">
        <w:rPr>
          <w:bCs/>
          <w:lang w:val="es-PE"/>
        </w:rPr>
        <w:t xml:space="preserve"> con índices de ajuste comparativo aceptables </w:t>
      </w:r>
      <w:bookmarkStart w:id="4" w:name="_Hlk32566141"/>
      <w:r w:rsidRPr="00DD2E9D">
        <w:rPr>
          <w:bCs/>
          <w:lang w:val="es-PE"/>
        </w:rPr>
        <w:t>(CFI = .914</w:t>
      </w:r>
      <w:r w:rsidRPr="00C05F3F">
        <w:rPr>
          <w:bCs/>
          <w:lang w:val="es-PE"/>
        </w:rPr>
        <w:t>, TLI = .905), el RMSEA</w:t>
      </w:r>
      <w:bookmarkEnd w:id="4"/>
      <w:r w:rsidRPr="00C05F3F">
        <w:rPr>
          <w:bCs/>
          <w:lang w:val="es-PE"/>
        </w:rPr>
        <w:t xml:space="preserve"> es igual a .054 [.047-.062] correspondientes a un ajuste adecuado (</w:t>
      </w:r>
      <w:bookmarkStart w:id="5" w:name="_Hlk33047097"/>
      <w:r w:rsidRPr="00C05F3F">
        <w:rPr>
          <w:bCs/>
          <w:lang w:val="es-PE"/>
        </w:rPr>
        <w:t>Ruiz, Pardo &amp; San Martín, 2010</w:t>
      </w:r>
      <w:bookmarkStart w:id="6" w:name="_Hlk33047144"/>
      <w:bookmarkEnd w:id="5"/>
      <w:r w:rsidRPr="00C05F3F">
        <w:rPr>
          <w:bCs/>
          <w:lang w:val="es-PE"/>
        </w:rPr>
        <w:t>), al</w:t>
      </w:r>
      <w:r w:rsidRPr="00DD2E9D">
        <w:rPr>
          <w:bCs/>
          <w:lang w:val="es-PE"/>
        </w:rPr>
        <w:t xml:space="preserve"> igual que el SRMR = .079 (</w:t>
      </w:r>
      <w:proofErr w:type="spellStart"/>
      <w:r w:rsidRPr="00DD2E9D">
        <w:rPr>
          <w:bCs/>
          <w:lang w:val="es-PE"/>
        </w:rPr>
        <w:t>Hair</w:t>
      </w:r>
      <w:proofErr w:type="spellEnd"/>
      <w:r w:rsidRPr="00DD2E9D">
        <w:rPr>
          <w:bCs/>
          <w:lang w:val="es-PE"/>
        </w:rPr>
        <w:t xml:space="preserve"> et al., 2010</w:t>
      </w:r>
      <w:bookmarkEnd w:id="6"/>
      <w:r w:rsidRPr="00DD2E9D">
        <w:rPr>
          <w:bCs/>
          <w:lang w:val="es-PE"/>
        </w:rPr>
        <w:t>).</w:t>
      </w:r>
    </w:p>
    <w:p w14:paraId="0CA021D5" w14:textId="77777777" w:rsidR="005B3539" w:rsidRDefault="005B3539" w:rsidP="005B3539">
      <w:r w:rsidRPr="00674528">
        <w:t xml:space="preserve">Tabla 2. </w:t>
      </w:r>
    </w:p>
    <w:p w14:paraId="763E97E1" w14:textId="77777777" w:rsidR="005B3539" w:rsidRPr="00674528" w:rsidRDefault="005B3539" w:rsidP="005B3539">
      <w:pPr>
        <w:rPr>
          <w:i/>
          <w:iCs/>
        </w:rPr>
      </w:pPr>
      <w:r w:rsidRPr="00674528">
        <w:rPr>
          <w:i/>
          <w:iCs/>
        </w:rPr>
        <w:t xml:space="preserve">Estructura factorial del </w:t>
      </w:r>
      <w:r>
        <w:rPr>
          <w:i/>
          <w:iCs/>
        </w:rPr>
        <w:t>RPQ</w:t>
      </w:r>
    </w:p>
    <w:tbl>
      <w:tblPr>
        <w:tblW w:w="4953" w:type="pct"/>
        <w:tblCellMar>
          <w:left w:w="70" w:type="dxa"/>
          <w:right w:w="70" w:type="dxa"/>
        </w:tblCellMar>
        <w:tblLook w:val="04A0" w:firstRow="1" w:lastRow="0" w:firstColumn="1" w:lastColumn="0" w:noHBand="0" w:noVBand="1"/>
      </w:tblPr>
      <w:tblGrid>
        <w:gridCol w:w="1855"/>
        <w:gridCol w:w="1855"/>
        <w:gridCol w:w="1854"/>
        <w:gridCol w:w="1854"/>
        <w:gridCol w:w="1854"/>
      </w:tblGrid>
      <w:tr w:rsidR="005B3539" w:rsidRPr="006C388E" w14:paraId="1EAE3FD1" w14:textId="77777777" w:rsidTr="005B3539">
        <w:trPr>
          <w:trHeight w:val="222"/>
        </w:trPr>
        <w:tc>
          <w:tcPr>
            <w:tcW w:w="1000" w:type="pct"/>
            <w:tcBorders>
              <w:top w:val="single" w:sz="4" w:space="0" w:color="auto"/>
              <w:left w:val="nil"/>
              <w:bottom w:val="single" w:sz="4" w:space="0" w:color="auto"/>
              <w:right w:val="nil"/>
            </w:tcBorders>
            <w:shd w:val="clear" w:color="auto" w:fill="auto"/>
            <w:vAlign w:val="center"/>
            <w:hideMark/>
          </w:tcPr>
          <w:p w14:paraId="5A559915" w14:textId="77777777" w:rsidR="005B3539" w:rsidRPr="006C388E" w:rsidRDefault="005B3539" w:rsidP="005B3539">
            <w:pPr>
              <w:rPr>
                <w:color w:val="000000"/>
                <w:sz w:val="20"/>
                <w:szCs w:val="20"/>
                <w:lang w:eastAsia="es-ES"/>
              </w:rPr>
            </w:pPr>
            <w:r w:rsidRPr="006C388E">
              <w:rPr>
                <w:color w:val="000000"/>
                <w:sz w:val="20"/>
                <w:szCs w:val="20"/>
                <w:lang w:val="es-PE" w:eastAsia="es-ES"/>
              </w:rPr>
              <w:t>Ítems </w:t>
            </w:r>
          </w:p>
        </w:tc>
        <w:tc>
          <w:tcPr>
            <w:tcW w:w="1000" w:type="pct"/>
            <w:tcBorders>
              <w:top w:val="single" w:sz="4" w:space="0" w:color="auto"/>
              <w:left w:val="nil"/>
              <w:bottom w:val="single" w:sz="4" w:space="0" w:color="auto"/>
              <w:right w:val="nil"/>
            </w:tcBorders>
            <w:shd w:val="clear" w:color="auto" w:fill="auto"/>
            <w:vAlign w:val="center"/>
            <w:hideMark/>
          </w:tcPr>
          <w:p w14:paraId="20DEAEB2" w14:textId="77777777" w:rsidR="005B3539" w:rsidRPr="006C388E" w:rsidRDefault="005B3539" w:rsidP="005B3539">
            <w:pPr>
              <w:jc w:val="center"/>
              <w:rPr>
                <w:color w:val="000000"/>
                <w:sz w:val="20"/>
                <w:szCs w:val="20"/>
                <w:lang w:eastAsia="es-ES"/>
              </w:rPr>
            </w:pPr>
            <w:r w:rsidRPr="006C388E">
              <w:rPr>
                <w:color w:val="000000"/>
                <w:sz w:val="20"/>
                <w:szCs w:val="20"/>
                <w:lang w:val="es-PE" w:eastAsia="es-ES"/>
              </w:rPr>
              <w:t>AR</w:t>
            </w:r>
          </w:p>
        </w:tc>
        <w:tc>
          <w:tcPr>
            <w:tcW w:w="1000" w:type="pct"/>
            <w:tcBorders>
              <w:top w:val="single" w:sz="4" w:space="0" w:color="auto"/>
              <w:left w:val="nil"/>
              <w:bottom w:val="single" w:sz="4" w:space="0" w:color="auto"/>
              <w:right w:val="nil"/>
            </w:tcBorders>
            <w:shd w:val="clear" w:color="auto" w:fill="auto"/>
            <w:vAlign w:val="center"/>
            <w:hideMark/>
          </w:tcPr>
          <w:p w14:paraId="19E0A40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AP</w:t>
            </w:r>
          </w:p>
        </w:tc>
        <w:tc>
          <w:tcPr>
            <w:tcW w:w="1000" w:type="pct"/>
            <w:tcBorders>
              <w:top w:val="single" w:sz="4" w:space="0" w:color="auto"/>
              <w:left w:val="nil"/>
              <w:bottom w:val="single" w:sz="4" w:space="0" w:color="auto"/>
              <w:right w:val="nil"/>
            </w:tcBorders>
            <w:shd w:val="clear" w:color="auto" w:fill="auto"/>
            <w:noWrap/>
            <w:vAlign w:val="center"/>
            <w:hideMark/>
          </w:tcPr>
          <w:p w14:paraId="5A007CD3" w14:textId="77777777" w:rsidR="005B3539" w:rsidRPr="006C388E" w:rsidRDefault="005B3539" w:rsidP="005B3539">
            <w:pPr>
              <w:jc w:val="center"/>
              <w:rPr>
                <w:i/>
                <w:iCs/>
                <w:color w:val="000000"/>
                <w:sz w:val="20"/>
                <w:szCs w:val="20"/>
                <w:lang w:eastAsia="es-ES"/>
              </w:rPr>
            </w:pPr>
            <w:r w:rsidRPr="006C388E">
              <w:rPr>
                <w:i/>
                <w:iCs/>
                <w:color w:val="000000"/>
                <w:sz w:val="20"/>
                <w:szCs w:val="20"/>
                <w:lang w:eastAsia="es-ES"/>
              </w:rPr>
              <w:t>ʎ</w:t>
            </w:r>
            <w:r w:rsidRPr="006C388E">
              <w:rPr>
                <w:i/>
                <w:iCs/>
                <w:color w:val="000000"/>
                <w:sz w:val="20"/>
                <w:szCs w:val="20"/>
                <w:vertAlign w:val="superscript"/>
                <w:lang w:eastAsia="es-ES"/>
              </w:rPr>
              <w:t>2</w:t>
            </w:r>
          </w:p>
        </w:tc>
        <w:tc>
          <w:tcPr>
            <w:tcW w:w="1000" w:type="pct"/>
            <w:tcBorders>
              <w:top w:val="single" w:sz="4" w:space="0" w:color="auto"/>
              <w:left w:val="nil"/>
              <w:bottom w:val="single" w:sz="4" w:space="0" w:color="auto"/>
              <w:right w:val="nil"/>
            </w:tcBorders>
            <w:shd w:val="clear" w:color="auto" w:fill="auto"/>
            <w:noWrap/>
            <w:vAlign w:val="bottom"/>
            <w:hideMark/>
          </w:tcPr>
          <w:p w14:paraId="5FC188E9" w14:textId="77777777" w:rsidR="005B3539" w:rsidRPr="006C388E" w:rsidRDefault="005B3539" w:rsidP="005B3539">
            <w:pPr>
              <w:jc w:val="center"/>
              <w:rPr>
                <w:i/>
                <w:iCs/>
                <w:color w:val="000000"/>
                <w:sz w:val="20"/>
                <w:szCs w:val="20"/>
                <w:lang w:eastAsia="es-ES"/>
              </w:rPr>
            </w:pPr>
            <w:r w:rsidRPr="006C388E">
              <w:rPr>
                <w:i/>
                <w:iCs/>
                <w:color w:val="000000"/>
                <w:sz w:val="20"/>
                <w:szCs w:val="20"/>
                <w:lang w:eastAsia="es-ES"/>
              </w:rPr>
              <w:t>e</w:t>
            </w:r>
          </w:p>
        </w:tc>
      </w:tr>
      <w:tr w:rsidR="005B3539" w:rsidRPr="006C388E" w14:paraId="264FC835" w14:textId="77777777" w:rsidTr="005B3539">
        <w:trPr>
          <w:trHeight w:val="202"/>
        </w:trPr>
        <w:tc>
          <w:tcPr>
            <w:tcW w:w="1000" w:type="pct"/>
            <w:tcBorders>
              <w:top w:val="nil"/>
              <w:left w:val="nil"/>
              <w:bottom w:val="nil"/>
              <w:right w:val="nil"/>
            </w:tcBorders>
            <w:shd w:val="clear" w:color="auto" w:fill="auto"/>
            <w:noWrap/>
            <w:vAlign w:val="center"/>
            <w:hideMark/>
          </w:tcPr>
          <w:p w14:paraId="1DD3015B" w14:textId="77777777" w:rsidR="005B3539" w:rsidRPr="006C388E" w:rsidRDefault="005B3539" w:rsidP="005B3539">
            <w:pPr>
              <w:rPr>
                <w:sz w:val="20"/>
                <w:szCs w:val="20"/>
                <w:lang w:eastAsia="es-ES"/>
              </w:rPr>
            </w:pPr>
            <w:r w:rsidRPr="006C388E">
              <w:rPr>
                <w:sz w:val="20"/>
                <w:szCs w:val="20"/>
                <w:lang w:eastAsia="es-ES"/>
              </w:rPr>
              <w:t>P1</w:t>
            </w:r>
          </w:p>
        </w:tc>
        <w:tc>
          <w:tcPr>
            <w:tcW w:w="1000" w:type="pct"/>
            <w:tcBorders>
              <w:top w:val="nil"/>
              <w:left w:val="nil"/>
              <w:bottom w:val="nil"/>
              <w:right w:val="nil"/>
            </w:tcBorders>
            <w:shd w:val="clear" w:color="auto" w:fill="auto"/>
            <w:noWrap/>
            <w:vAlign w:val="bottom"/>
          </w:tcPr>
          <w:p w14:paraId="42E7BE0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.567</w:t>
            </w:r>
          </w:p>
        </w:tc>
        <w:tc>
          <w:tcPr>
            <w:tcW w:w="1000" w:type="pct"/>
            <w:tcBorders>
              <w:top w:val="nil"/>
              <w:left w:val="nil"/>
              <w:bottom w:val="nil"/>
              <w:right w:val="nil"/>
            </w:tcBorders>
            <w:shd w:val="clear" w:color="auto" w:fill="auto"/>
            <w:noWrap/>
            <w:vAlign w:val="center"/>
          </w:tcPr>
          <w:p w14:paraId="4F71CE56" w14:textId="77777777" w:rsidR="005B3539" w:rsidRPr="006C388E" w:rsidRDefault="005B3539" w:rsidP="005B3539">
            <w:pPr>
              <w:jc w:val="center"/>
              <w:rPr>
                <w:color w:val="000000"/>
                <w:sz w:val="20"/>
                <w:szCs w:val="20"/>
                <w:lang w:eastAsia="es-ES"/>
              </w:rPr>
            </w:pPr>
          </w:p>
        </w:tc>
        <w:tc>
          <w:tcPr>
            <w:tcW w:w="1000" w:type="pct"/>
            <w:tcBorders>
              <w:top w:val="nil"/>
              <w:left w:val="nil"/>
              <w:bottom w:val="nil"/>
              <w:right w:val="nil"/>
            </w:tcBorders>
            <w:shd w:val="clear" w:color="auto" w:fill="auto"/>
            <w:vAlign w:val="center"/>
          </w:tcPr>
          <w:p w14:paraId="5C05912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.322</w:t>
            </w:r>
          </w:p>
        </w:tc>
        <w:tc>
          <w:tcPr>
            <w:tcW w:w="1000" w:type="pct"/>
            <w:tcBorders>
              <w:top w:val="nil"/>
              <w:left w:val="nil"/>
              <w:bottom w:val="nil"/>
              <w:right w:val="nil"/>
            </w:tcBorders>
            <w:shd w:val="clear" w:color="auto" w:fill="auto"/>
            <w:noWrap/>
            <w:vAlign w:val="bottom"/>
          </w:tcPr>
          <w:p w14:paraId="5C9DA1A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.678</w:t>
            </w:r>
          </w:p>
        </w:tc>
      </w:tr>
      <w:tr w:rsidR="005B3539" w:rsidRPr="006C388E" w14:paraId="3583A5E4" w14:textId="77777777" w:rsidTr="005B3539">
        <w:trPr>
          <w:trHeight w:val="202"/>
        </w:trPr>
        <w:tc>
          <w:tcPr>
            <w:tcW w:w="1000" w:type="pct"/>
            <w:tcBorders>
              <w:top w:val="nil"/>
              <w:left w:val="nil"/>
              <w:bottom w:val="nil"/>
              <w:right w:val="nil"/>
            </w:tcBorders>
            <w:shd w:val="clear" w:color="auto" w:fill="auto"/>
            <w:noWrap/>
            <w:vAlign w:val="center"/>
            <w:hideMark/>
          </w:tcPr>
          <w:p w14:paraId="5DC05DBD" w14:textId="77777777" w:rsidR="005B3539" w:rsidRPr="006C388E" w:rsidRDefault="005B3539" w:rsidP="005B3539">
            <w:pPr>
              <w:rPr>
                <w:sz w:val="20"/>
                <w:szCs w:val="20"/>
                <w:lang w:eastAsia="es-ES"/>
              </w:rPr>
            </w:pPr>
            <w:r w:rsidRPr="006C388E">
              <w:rPr>
                <w:sz w:val="20"/>
                <w:szCs w:val="20"/>
                <w:lang w:eastAsia="es-ES"/>
              </w:rPr>
              <w:t>P3</w:t>
            </w:r>
          </w:p>
        </w:tc>
        <w:tc>
          <w:tcPr>
            <w:tcW w:w="1000" w:type="pct"/>
            <w:tcBorders>
              <w:top w:val="nil"/>
              <w:left w:val="nil"/>
              <w:bottom w:val="nil"/>
              <w:right w:val="nil"/>
            </w:tcBorders>
            <w:shd w:val="clear" w:color="auto" w:fill="auto"/>
            <w:noWrap/>
            <w:vAlign w:val="bottom"/>
          </w:tcPr>
          <w:p w14:paraId="37D8F640"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.656</w:t>
            </w:r>
          </w:p>
        </w:tc>
        <w:tc>
          <w:tcPr>
            <w:tcW w:w="1000" w:type="pct"/>
            <w:tcBorders>
              <w:top w:val="nil"/>
              <w:left w:val="nil"/>
              <w:bottom w:val="nil"/>
              <w:right w:val="nil"/>
            </w:tcBorders>
            <w:shd w:val="clear" w:color="auto" w:fill="auto"/>
            <w:noWrap/>
            <w:vAlign w:val="bottom"/>
          </w:tcPr>
          <w:p w14:paraId="196BBFE2" w14:textId="77777777" w:rsidR="005B3539" w:rsidRPr="006C388E" w:rsidRDefault="005B3539" w:rsidP="005B3539">
            <w:pPr>
              <w:jc w:val="center"/>
              <w:rPr>
                <w:color w:val="000000"/>
                <w:sz w:val="20"/>
                <w:szCs w:val="20"/>
                <w:lang w:eastAsia="es-ES"/>
              </w:rPr>
            </w:pPr>
          </w:p>
        </w:tc>
        <w:tc>
          <w:tcPr>
            <w:tcW w:w="1000" w:type="pct"/>
            <w:tcBorders>
              <w:top w:val="nil"/>
              <w:left w:val="nil"/>
              <w:bottom w:val="nil"/>
              <w:right w:val="nil"/>
            </w:tcBorders>
            <w:shd w:val="clear" w:color="auto" w:fill="auto"/>
            <w:vAlign w:val="center"/>
          </w:tcPr>
          <w:p w14:paraId="55ACF14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.431</w:t>
            </w:r>
          </w:p>
        </w:tc>
        <w:tc>
          <w:tcPr>
            <w:tcW w:w="1000" w:type="pct"/>
            <w:tcBorders>
              <w:top w:val="nil"/>
              <w:left w:val="nil"/>
              <w:bottom w:val="nil"/>
              <w:right w:val="nil"/>
            </w:tcBorders>
            <w:shd w:val="clear" w:color="auto" w:fill="auto"/>
            <w:noWrap/>
            <w:vAlign w:val="bottom"/>
          </w:tcPr>
          <w:p w14:paraId="66B12920"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.569</w:t>
            </w:r>
          </w:p>
        </w:tc>
      </w:tr>
      <w:tr w:rsidR="005B3539" w:rsidRPr="006C388E" w14:paraId="01A9F667" w14:textId="77777777" w:rsidTr="005B3539">
        <w:trPr>
          <w:trHeight w:val="202"/>
        </w:trPr>
        <w:tc>
          <w:tcPr>
            <w:tcW w:w="1000" w:type="pct"/>
            <w:tcBorders>
              <w:top w:val="nil"/>
              <w:left w:val="nil"/>
              <w:bottom w:val="nil"/>
              <w:right w:val="nil"/>
            </w:tcBorders>
            <w:shd w:val="clear" w:color="auto" w:fill="auto"/>
            <w:noWrap/>
            <w:vAlign w:val="center"/>
            <w:hideMark/>
          </w:tcPr>
          <w:p w14:paraId="167FD992" w14:textId="77777777" w:rsidR="005B3539" w:rsidRPr="006C388E" w:rsidRDefault="005B3539" w:rsidP="005B3539">
            <w:pPr>
              <w:rPr>
                <w:sz w:val="20"/>
                <w:szCs w:val="20"/>
                <w:lang w:eastAsia="es-ES"/>
              </w:rPr>
            </w:pPr>
            <w:r w:rsidRPr="006C388E">
              <w:rPr>
                <w:sz w:val="20"/>
                <w:szCs w:val="20"/>
                <w:lang w:eastAsia="es-ES"/>
              </w:rPr>
              <w:t>P5</w:t>
            </w:r>
          </w:p>
        </w:tc>
        <w:tc>
          <w:tcPr>
            <w:tcW w:w="1000" w:type="pct"/>
            <w:tcBorders>
              <w:top w:val="nil"/>
              <w:left w:val="nil"/>
              <w:bottom w:val="nil"/>
              <w:right w:val="nil"/>
            </w:tcBorders>
            <w:shd w:val="clear" w:color="auto" w:fill="auto"/>
            <w:noWrap/>
            <w:vAlign w:val="bottom"/>
          </w:tcPr>
          <w:p w14:paraId="41CA834A"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.433</w:t>
            </w:r>
          </w:p>
        </w:tc>
        <w:tc>
          <w:tcPr>
            <w:tcW w:w="1000" w:type="pct"/>
            <w:tcBorders>
              <w:top w:val="nil"/>
              <w:left w:val="nil"/>
              <w:bottom w:val="nil"/>
              <w:right w:val="nil"/>
            </w:tcBorders>
            <w:shd w:val="clear" w:color="auto" w:fill="auto"/>
            <w:noWrap/>
            <w:vAlign w:val="bottom"/>
          </w:tcPr>
          <w:p w14:paraId="111B9224" w14:textId="77777777" w:rsidR="005B3539" w:rsidRPr="006C388E" w:rsidRDefault="005B3539" w:rsidP="005B3539">
            <w:pPr>
              <w:jc w:val="center"/>
              <w:rPr>
                <w:color w:val="000000"/>
                <w:sz w:val="20"/>
                <w:szCs w:val="20"/>
                <w:lang w:eastAsia="es-ES"/>
              </w:rPr>
            </w:pPr>
          </w:p>
        </w:tc>
        <w:tc>
          <w:tcPr>
            <w:tcW w:w="1000" w:type="pct"/>
            <w:tcBorders>
              <w:top w:val="nil"/>
              <w:left w:val="nil"/>
              <w:bottom w:val="nil"/>
              <w:right w:val="nil"/>
            </w:tcBorders>
            <w:shd w:val="clear" w:color="auto" w:fill="auto"/>
            <w:vAlign w:val="center"/>
          </w:tcPr>
          <w:p w14:paraId="69C223E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.188</w:t>
            </w:r>
          </w:p>
        </w:tc>
        <w:tc>
          <w:tcPr>
            <w:tcW w:w="1000" w:type="pct"/>
            <w:tcBorders>
              <w:top w:val="nil"/>
              <w:left w:val="nil"/>
              <w:bottom w:val="nil"/>
              <w:right w:val="nil"/>
            </w:tcBorders>
            <w:shd w:val="clear" w:color="auto" w:fill="auto"/>
            <w:noWrap/>
            <w:vAlign w:val="bottom"/>
          </w:tcPr>
          <w:p w14:paraId="57E830E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.812</w:t>
            </w:r>
          </w:p>
        </w:tc>
      </w:tr>
      <w:tr w:rsidR="005B3539" w:rsidRPr="006C388E" w14:paraId="17AE5149" w14:textId="77777777" w:rsidTr="005B3539">
        <w:trPr>
          <w:trHeight w:val="202"/>
        </w:trPr>
        <w:tc>
          <w:tcPr>
            <w:tcW w:w="1000" w:type="pct"/>
            <w:tcBorders>
              <w:top w:val="nil"/>
              <w:left w:val="nil"/>
              <w:bottom w:val="nil"/>
              <w:right w:val="nil"/>
            </w:tcBorders>
            <w:shd w:val="clear" w:color="auto" w:fill="auto"/>
            <w:noWrap/>
            <w:vAlign w:val="center"/>
            <w:hideMark/>
          </w:tcPr>
          <w:p w14:paraId="705E7C05" w14:textId="77777777" w:rsidR="005B3539" w:rsidRPr="006C388E" w:rsidRDefault="005B3539" w:rsidP="005B3539">
            <w:pPr>
              <w:rPr>
                <w:sz w:val="20"/>
                <w:szCs w:val="20"/>
                <w:lang w:eastAsia="es-ES"/>
              </w:rPr>
            </w:pPr>
            <w:r w:rsidRPr="006C388E">
              <w:rPr>
                <w:sz w:val="20"/>
                <w:szCs w:val="20"/>
                <w:lang w:eastAsia="es-ES"/>
              </w:rPr>
              <w:t>P7</w:t>
            </w:r>
          </w:p>
        </w:tc>
        <w:tc>
          <w:tcPr>
            <w:tcW w:w="1000" w:type="pct"/>
            <w:tcBorders>
              <w:top w:val="nil"/>
              <w:left w:val="nil"/>
              <w:bottom w:val="nil"/>
              <w:right w:val="nil"/>
            </w:tcBorders>
            <w:shd w:val="clear" w:color="auto" w:fill="auto"/>
            <w:noWrap/>
            <w:vAlign w:val="bottom"/>
          </w:tcPr>
          <w:p w14:paraId="73C8CB4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.502</w:t>
            </w:r>
          </w:p>
        </w:tc>
        <w:tc>
          <w:tcPr>
            <w:tcW w:w="1000" w:type="pct"/>
            <w:tcBorders>
              <w:top w:val="nil"/>
              <w:left w:val="nil"/>
              <w:bottom w:val="nil"/>
              <w:right w:val="nil"/>
            </w:tcBorders>
            <w:shd w:val="clear" w:color="auto" w:fill="auto"/>
            <w:noWrap/>
            <w:vAlign w:val="bottom"/>
          </w:tcPr>
          <w:p w14:paraId="792AFA64" w14:textId="77777777" w:rsidR="005B3539" w:rsidRPr="006C388E" w:rsidRDefault="005B3539" w:rsidP="005B3539">
            <w:pPr>
              <w:jc w:val="center"/>
              <w:rPr>
                <w:color w:val="000000"/>
                <w:sz w:val="20"/>
                <w:szCs w:val="20"/>
                <w:lang w:eastAsia="es-ES"/>
              </w:rPr>
            </w:pPr>
          </w:p>
        </w:tc>
        <w:tc>
          <w:tcPr>
            <w:tcW w:w="1000" w:type="pct"/>
            <w:tcBorders>
              <w:top w:val="nil"/>
              <w:left w:val="nil"/>
              <w:bottom w:val="nil"/>
              <w:right w:val="nil"/>
            </w:tcBorders>
            <w:shd w:val="clear" w:color="auto" w:fill="auto"/>
            <w:vAlign w:val="center"/>
          </w:tcPr>
          <w:p w14:paraId="00D4D6E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.252</w:t>
            </w:r>
          </w:p>
        </w:tc>
        <w:tc>
          <w:tcPr>
            <w:tcW w:w="1000" w:type="pct"/>
            <w:tcBorders>
              <w:top w:val="nil"/>
              <w:left w:val="nil"/>
              <w:bottom w:val="nil"/>
              <w:right w:val="nil"/>
            </w:tcBorders>
            <w:shd w:val="clear" w:color="auto" w:fill="auto"/>
            <w:noWrap/>
            <w:vAlign w:val="bottom"/>
          </w:tcPr>
          <w:p w14:paraId="0045FAA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.748</w:t>
            </w:r>
          </w:p>
        </w:tc>
      </w:tr>
      <w:tr w:rsidR="005B3539" w:rsidRPr="006C388E" w14:paraId="30BED9CD" w14:textId="77777777" w:rsidTr="005B3539">
        <w:trPr>
          <w:trHeight w:val="202"/>
        </w:trPr>
        <w:tc>
          <w:tcPr>
            <w:tcW w:w="1000" w:type="pct"/>
            <w:tcBorders>
              <w:top w:val="nil"/>
              <w:left w:val="nil"/>
              <w:bottom w:val="nil"/>
              <w:right w:val="nil"/>
            </w:tcBorders>
            <w:shd w:val="clear" w:color="auto" w:fill="auto"/>
            <w:noWrap/>
            <w:vAlign w:val="center"/>
            <w:hideMark/>
          </w:tcPr>
          <w:p w14:paraId="1571105C" w14:textId="77777777" w:rsidR="005B3539" w:rsidRPr="006C388E" w:rsidRDefault="005B3539" w:rsidP="005B3539">
            <w:pPr>
              <w:rPr>
                <w:sz w:val="20"/>
                <w:szCs w:val="20"/>
                <w:lang w:eastAsia="es-ES"/>
              </w:rPr>
            </w:pPr>
            <w:r w:rsidRPr="006C388E">
              <w:rPr>
                <w:sz w:val="20"/>
                <w:szCs w:val="20"/>
                <w:lang w:eastAsia="es-ES"/>
              </w:rPr>
              <w:t>P8</w:t>
            </w:r>
          </w:p>
        </w:tc>
        <w:tc>
          <w:tcPr>
            <w:tcW w:w="1000" w:type="pct"/>
            <w:tcBorders>
              <w:top w:val="nil"/>
              <w:left w:val="nil"/>
              <w:bottom w:val="nil"/>
              <w:right w:val="nil"/>
            </w:tcBorders>
            <w:shd w:val="clear" w:color="auto" w:fill="auto"/>
            <w:noWrap/>
            <w:vAlign w:val="bottom"/>
          </w:tcPr>
          <w:p w14:paraId="2D8D554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.646</w:t>
            </w:r>
          </w:p>
        </w:tc>
        <w:tc>
          <w:tcPr>
            <w:tcW w:w="1000" w:type="pct"/>
            <w:tcBorders>
              <w:top w:val="nil"/>
              <w:left w:val="nil"/>
              <w:bottom w:val="nil"/>
              <w:right w:val="nil"/>
            </w:tcBorders>
            <w:shd w:val="clear" w:color="auto" w:fill="auto"/>
            <w:noWrap/>
            <w:vAlign w:val="bottom"/>
          </w:tcPr>
          <w:p w14:paraId="220DD6BF" w14:textId="77777777" w:rsidR="005B3539" w:rsidRPr="006C388E" w:rsidRDefault="005B3539" w:rsidP="005B3539">
            <w:pPr>
              <w:jc w:val="center"/>
              <w:rPr>
                <w:color w:val="000000"/>
                <w:sz w:val="20"/>
                <w:szCs w:val="20"/>
                <w:lang w:eastAsia="es-ES"/>
              </w:rPr>
            </w:pPr>
          </w:p>
        </w:tc>
        <w:tc>
          <w:tcPr>
            <w:tcW w:w="1000" w:type="pct"/>
            <w:tcBorders>
              <w:top w:val="nil"/>
              <w:left w:val="nil"/>
              <w:bottom w:val="nil"/>
              <w:right w:val="nil"/>
            </w:tcBorders>
            <w:shd w:val="clear" w:color="auto" w:fill="auto"/>
            <w:vAlign w:val="center"/>
          </w:tcPr>
          <w:p w14:paraId="07F40F3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.417</w:t>
            </w:r>
          </w:p>
        </w:tc>
        <w:tc>
          <w:tcPr>
            <w:tcW w:w="1000" w:type="pct"/>
            <w:tcBorders>
              <w:top w:val="nil"/>
              <w:left w:val="nil"/>
              <w:bottom w:val="nil"/>
              <w:right w:val="nil"/>
            </w:tcBorders>
            <w:shd w:val="clear" w:color="auto" w:fill="auto"/>
            <w:noWrap/>
            <w:vAlign w:val="bottom"/>
          </w:tcPr>
          <w:p w14:paraId="38F882C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.583</w:t>
            </w:r>
          </w:p>
        </w:tc>
      </w:tr>
      <w:tr w:rsidR="005B3539" w:rsidRPr="006C388E" w14:paraId="680F9028" w14:textId="77777777" w:rsidTr="005B3539">
        <w:trPr>
          <w:trHeight w:val="202"/>
        </w:trPr>
        <w:tc>
          <w:tcPr>
            <w:tcW w:w="1000" w:type="pct"/>
            <w:tcBorders>
              <w:top w:val="nil"/>
              <w:left w:val="nil"/>
              <w:bottom w:val="nil"/>
              <w:right w:val="nil"/>
            </w:tcBorders>
            <w:shd w:val="clear" w:color="auto" w:fill="auto"/>
            <w:noWrap/>
            <w:vAlign w:val="center"/>
            <w:hideMark/>
          </w:tcPr>
          <w:p w14:paraId="24B65375" w14:textId="77777777" w:rsidR="005B3539" w:rsidRPr="006C388E" w:rsidRDefault="005B3539" w:rsidP="005B3539">
            <w:pPr>
              <w:rPr>
                <w:sz w:val="20"/>
                <w:szCs w:val="20"/>
                <w:lang w:eastAsia="es-ES"/>
              </w:rPr>
            </w:pPr>
            <w:r w:rsidRPr="006C388E">
              <w:rPr>
                <w:sz w:val="20"/>
                <w:szCs w:val="20"/>
                <w:lang w:eastAsia="es-ES"/>
              </w:rPr>
              <w:t>P11</w:t>
            </w:r>
          </w:p>
        </w:tc>
        <w:tc>
          <w:tcPr>
            <w:tcW w:w="1000" w:type="pct"/>
            <w:tcBorders>
              <w:top w:val="nil"/>
              <w:left w:val="nil"/>
              <w:bottom w:val="nil"/>
              <w:right w:val="nil"/>
            </w:tcBorders>
            <w:shd w:val="clear" w:color="auto" w:fill="auto"/>
            <w:noWrap/>
            <w:vAlign w:val="bottom"/>
          </w:tcPr>
          <w:p w14:paraId="01AC7C0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.765</w:t>
            </w:r>
          </w:p>
        </w:tc>
        <w:tc>
          <w:tcPr>
            <w:tcW w:w="1000" w:type="pct"/>
            <w:tcBorders>
              <w:top w:val="nil"/>
              <w:left w:val="nil"/>
              <w:bottom w:val="nil"/>
              <w:right w:val="nil"/>
            </w:tcBorders>
            <w:shd w:val="clear" w:color="auto" w:fill="auto"/>
            <w:noWrap/>
            <w:vAlign w:val="center"/>
          </w:tcPr>
          <w:p w14:paraId="511E1DA9" w14:textId="77777777" w:rsidR="005B3539" w:rsidRPr="006C388E" w:rsidRDefault="005B3539" w:rsidP="005B3539">
            <w:pPr>
              <w:jc w:val="center"/>
              <w:rPr>
                <w:color w:val="000000"/>
                <w:sz w:val="20"/>
                <w:szCs w:val="20"/>
                <w:lang w:eastAsia="es-ES"/>
              </w:rPr>
            </w:pPr>
          </w:p>
        </w:tc>
        <w:tc>
          <w:tcPr>
            <w:tcW w:w="1000" w:type="pct"/>
            <w:tcBorders>
              <w:top w:val="nil"/>
              <w:left w:val="nil"/>
              <w:bottom w:val="nil"/>
              <w:right w:val="nil"/>
            </w:tcBorders>
            <w:shd w:val="clear" w:color="auto" w:fill="auto"/>
            <w:vAlign w:val="center"/>
          </w:tcPr>
          <w:p w14:paraId="0B64BA6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.585</w:t>
            </w:r>
          </w:p>
        </w:tc>
        <w:tc>
          <w:tcPr>
            <w:tcW w:w="1000" w:type="pct"/>
            <w:tcBorders>
              <w:top w:val="nil"/>
              <w:left w:val="nil"/>
              <w:bottom w:val="nil"/>
              <w:right w:val="nil"/>
            </w:tcBorders>
            <w:shd w:val="clear" w:color="auto" w:fill="auto"/>
            <w:noWrap/>
            <w:vAlign w:val="bottom"/>
          </w:tcPr>
          <w:p w14:paraId="3250FD3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.415</w:t>
            </w:r>
          </w:p>
        </w:tc>
      </w:tr>
      <w:tr w:rsidR="005B3539" w:rsidRPr="006C388E" w14:paraId="091EA43C" w14:textId="77777777" w:rsidTr="005B3539">
        <w:trPr>
          <w:trHeight w:val="202"/>
        </w:trPr>
        <w:tc>
          <w:tcPr>
            <w:tcW w:w="1000" w:type="pct"/>
            <w:tcBorders>
              <w:top w:val="nil"/>
              <w:left w:val="nil"/>
              <w:bottom w:val="nil"/>
              <w:right w:val="nil"/>
            </w:tcBorders>
            <w:shd w:val="clear" w:color="auto" w:fill="auto"/>
            <w:noWrap/>
            <w:vAlign w:val="center"/>
            <w:hideMark/>
          </w:tcPr>
          <w:p w14:paraId="381A3290" w14:textId="77777777" w:rsidR="005B3539" w:rsidRPr="006C388E" w:rsidRDefault="005B3539" w:rsidP="005B3539">
            <w:pPr>
              <w:rPr>
                <w:sz w:val="20"/>
                <w:szCs w:val="20"/>
                <w:lang w:eastAsia="es-ES"/>
              </w:rPr>
            </w:pPr>
            <w:r w:rsidRPr="006C388E">
              <w:rPr>
                <w:sz w:val="20"/>
                <w:szCs w:val="20"/>
                <w:lang w:eastAsia="es-ES"/>
              </w:rPr>
              <w:t>P13</w:t>
            </w:r>
          </w:p>
        </w:tc>
        <w:tc>
          <w:tcPr>
            <w:tcW w:w="1000" w:type="pct"/>
            <w:tcBorders>
              <w:top w:val="nil"/>
              <w:left w:val="nil"/>
              <w:bottom w:val="nil"/>
              <w:right w:val="nil"/>
            </w:tcBorders>
            <w:shd w:val="clear" w:color="auto" w:fill="auto"/>
            <w:noWrap/>
            <w:vAlign w:val="bottom"/>
          </w:tcPr>
          <w:p w14:paraId="6012849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.479</w:t>
            </w:r>
          </w:p>
        </w:tc>
        <w:tc>
          <w:tcPr>
            <w:tcW w:w="1000" w:type="pct"/>
            <w:tcBorders>
              <w:top w:val="nil"/>
              <w:left w:val="nil"/>
              <w:bottom w:val="nil"/>
              <w:right w:val="nil"/>
            </w:tcBorders>
            <w:shd w:val="clear" w:color="auto" w:fill="auto"/>
            <w:noWrap/>
            <w:vAlign w:val="center"/>
          </w:tcPr>
          <w:p w14:paraId="4175A398" w14:textId="77777777" w:rsidR="005B3539" w:rsidRPr="006C388E" w:rsidRDefault="005B3539" w:rsidP="005B3539">
            <w:pPr>
              <w:jc w:val="center"/>
              <w:rPr>
                <w:color w:val="000000"/>
                <w:sz w:val="20"/>
                <w:szCs w:val="20"/>
                <w:lang w:eastAsia="es-ES"/>
              </w:rPr>
            </w:pPr>
          </w:p>
        </w:tc>
        <w:tc>
          <w:tcPr>
            <w:tcW w:w="1000" w:type="pct"/>
            <w:tcBorders>
              <w:top w:val="nil"/>
              <w:left w:val="nil"/>
              <w:bottom w:val="nil"/>
              <w:right w:val="nil"/>
            </w:tcBorders>
            <w:shd w:val="clear" w:color="auto" w:fill="auto"/>
            <w:vAlign w:val="center"/>
          </w:tcPr>
          <w:p w14:paraId="5911D90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.229</w:t>
            </w:r>
          </w:p>
        </w:tc>
        <w:tc>
          <w:tcPr>
            <w:tcW w:w="1000" w:type="pct"/>
            <w:tcBorders>
              <w:top w:val="nil"/>
              <w:left w:val="nil"/>
              <w:bottom w:val="nil"/>
              <w:right w:val="nil"/>
            </w:tcBorders>
            <w:shd w:val="clear" w:color="auto" w:fill="auto"/>
            <w:noWrap/>
            <w:vAlign w:val="bottom"/>
          </w:tcPr>
          <w:p w14:paraId="1CBFE77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.771</w:t>
            </w:r>
          </w:p>
        </w:tc>
      </w:tr>
      <w:tr w:rsidR="005B3539" w:rsidRPr="006C388E" w14:paraId="2B7EF93B" w14:textId="77777777" w:rsidTr="005B3539">
        <w:trPr>
          <w:trHeight w:val="202"/>
        </w:trPr>
        <w:tc>
          <w:tcPr>
            <w:tcW w:w="1000" w:type="pct"/>
            <w:tcBorders>
              <w:top w:val="nil"/>
              <w:left w:val="nil"/>
              <w:bottom w:val="nil"/>
              <w:right w:val="nil"/>
            </w:tcBorders>
            <w:shd w:val="clear" w:color="auto" w:fill="auto"/>
            <w:noWrap/>
            <w:vAlign w:val="center"/>
            <w:hideMark/>
          </w:tcPr>
          <w:p w14:paraId="778F3E87" w14:textId="77777777" w:rsidR="005B3539" w:rsidRPr="006C388E" w:rsidRDefault="005B3539" w:rsidP="005B3539">
            <w:pPr>
              <w:rPr>
                <w:sz w:val="20"/>
                <w:szCs w:val="20"/>
                <w:lang w:eastAsia="es-ES"/>
              </w:rPr>
            </w:pPr>
            <w:r w:rsidRPr="006C388E">
              <w:rPr>
                <w:sz w:val="20"/>
                <w:szCs w:val="20"/>
                <w:lang w:eastAsia="es-ES"/>
              </w:rPr>
              <w:t>P14</w:t>
            </w:r>
          </w:p>
        </w:tc>
        <w:tc>
          <w:tcPr>
            <w:tcW w:w="1000" w:type="pct"/>
            <w:tcBorders>
              <w:top w:val="nil"/>
              <w:left w:val="nil"/>
              <w:bottom w:val="nil"/>
              <w:right w:val="nil"/>
            </w:tcBorders>
            <w:shd w:val="clear" w:color="auto" w:fill="auto"/>
            <w:noWrap/>
            <w:vAlign w:val="bottom"/>
          </w:tcPr>
          <w:p w14:paraId="4D5EABB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.522</w:t>
            </w:r>
          </w:p>
        </w:tc>
        <w:tc>
          <w:tcPr>
            <w:tcW w:w="1000" w:type="pct"/>
            <w:tcBorders>
              <w:top w:val="nil"/>
              <w:left w:val="nil"/>
              <w:bottom w:val="nil"/>
              <w:right w:val="nil"/>
            </w:tcBorders>
            <w:shd w:val="clear" w:color="auto" w:fill="auto"/>
            <w:noWrap/>
            <w:vAlign w:val="center"/>
          </w:tcPr>
          <w:p w14:paraId="43EF64AD" w14:textId="77777777" w:rsidR="005B3539" w:rsidRPr="006C388E" w:rsidRDefault="005B3539" w:rsidP="005B3539">
            <w:pPr>
              <w:jc w:val="center"/>
              <w:rPr>
                <w:color w:val="000000"/>
                <w:sz w:val="20"/>
                <w:szCs w:val="20"/>
                <w:lang w:eastAsia="es-ES"/>
              </w:rPr>
            </w:pPr>
          </w:p>
        </w:tc>
        <w:tc>
          <w:tcPr>
            <w:tcW w:w="1000" w:type="pct"/>
            <w:tcBorders>
              <w:top w:val="nil"/>
              <w:left w:val="nil"/>
              <w:bottom w:val="nil"/>
              <w:right w:val="nil"/>
            </w:tcBorders>
            <w:shd w:val="clear" w:color="auto" w:fill="auto"/>
            <w:vAlign w:val="center"/>
          </w:tcPr>
          <w:p w14:paraId="51F613B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.273</w:t>
            </w:r>
          </w:p>
        </w:tc>
        <w:tc>
          <w:tcPr>
            <w:tcW w:w="1000" w:type="pct"/>
            <w:tcBorders>
              <w:top w:val="nil"/>
              <w:left w:val="nil"/>
              <w:bottom w:val="nil"/>
              <w:right w:val="nil"/>
            </w:tcBorders>
            <w:shd w:val="clear" w:color="auto" w:fill="auto"/>
            <w:noWrap/>
            <w:vAlign w:val="bottom"/>
          </w:tcPr>
          <w:p w14:paraId="685F4FA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.727</w:t>
            </w:r>
          </w:p>
        </w:tc>
      </w:tr>
      <w:tr w:rsidR="005B3539" w:rsidRPr="006C388E" w14:paraId="5DC6A04A" w14:textId="77777777" w:rsidTr="005B3539">
        <w:trPr>
          <w:trHeight w:val="202"/>
        </w:trPr>
        <w:tc>
          <w:tcPr>
            <w:tcW w:w="1000" w:type="pct"/>
            <w:tcBorders>
              <w:top w:val="nil"/>
              <w:left w:val="nil"/>
              <w:bottom w:val="nil"/>
              <w:right w:val="nil"/>
            </w:tcBorders>
            <w:shd w:val="clear" w:color="auto" w:fill="auto"/>
            <w:noWrap/>
            <w:vAlign w:val="center"/>
            <w:hideMark/>
          </w:tcPr>
          <w:p w14:paraId="412C1E2E" w14:textId="77777777" w:rsidR="005B3539" w:rsidRPr="006C388E" w:rsidRDefault="005B3539" w:rsidP="005B3539">
            <w:pPr>
              <w:rPr>
                <w:sz w:val="20"/>
                <w:szCs w:val="20"/>
                <w:lang w:eastAsia="es-ES"/>
              </w:rPr>
            </w:pPr>
            <w:r w:rsidRPr="006C388E">
              <w:rPr>
                <w:sz w:val="20"/>
                <w:szCs w:val="20"/>
                <w:lang w:eastAsia="es-ES"/>
              </w:rPr>
              <w:t>P16</w:t>
            </w:r>
          </w:p>
        </w:tc>
        <w:tc>
          <w:tcPr>
            <w:tcW w:w="1000" w:type="pct"/>
            <w:tcBorders>
              <w:top w:val="nil"/>
              <w:left w:val="nil"/>
              <w:bottom w:val="nil"/>
              <w:right w:val="nil"/>
            </w:tcBorders>
            <w:shd w:val="clear" w:color="auto" w:fill="auto"/>
            <w:noWrap/>
            <w:vAlign w:val="bottom"/>
          </w:tcPr>
          <w:p w14:paraId="548EAB1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.766</w:t>
            </w:r>
          </w:p>
        </w:tc>
        <w:tc>
          <w:tcPr>
            <w:tcW w:w="1000" w:type="pct"/>
            <w:tcBorders>
              <w:top w:val="nil"/>
              <w:left w:val="nil"/>
              <w:bottom w:val="nil"/>
              <w:right w:val="nil"/>
            </w:tcBorders>
            <w:shd w:val="clear" w:color="auto" w:fill="auto"/>
            <w:noWrap/>
            <w:vAlign w:val="center"/>
          </w:tcPr>
          <w:p w14:paraId="00459BA6" w14:textId="77777777" w:rsidR="005B3539" w:rsidRPr="006C388E" w:rsidRDefault="005B3539" w:rsidP="005B3539">
            <w:pPr>
              <w:jc w:val="center"/>
              <w:rPr>
                <w:color w:val="000000"/>
                <w:sz w:val="20"/>
                <w:szCs w:val="20"/>
                <w:lang w:eastAsia="es-ES"/>
              </w:rPr>
            </w:pPr>
          </w:p>
        </w:tc>
        <w:tc>
          <w:tcPr>
            <w:tcW w:w="1000" w:type="pct"/>
            <w:tcBorders>
              <w:top w:val="nil"/>
              <w:left w:val="nil"/>
              <w:bottom w:val="nil"/>
              <w:right w:val="nil"/>
            </w:tcBorders>
            <w:shd w:val="clear" w:color="auto" w:fill="auto"/>
            <w:vAlign w:val="center"/>
          </w:tcPr>
          <w:p w14:paraId="0970D51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.587</w:t>
            </w:r>
          </w:p>
        </w:tc>
        <w:tc>
          <w:tcPr>
            <w:tcW w:w="1000" w:type="pct"/>
            <w:tcBorders>
              <w:top w:val="nil"/>
              <w:left w:val="nil"/>
              <w:bottom w:val="nil"/>
              <w:right w:val="nil"/>
            </w:tcBorders>
            <w:shd w:val="clear" w:color="auto" w:fill="auto"/>
            <w:noWrap/>
            <w:vAlign w:val="bottom"/>
          </w:tcPr>
          <w:p w14:paraId="48AADBF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.413</w:t>
            </w:r>
          </w:p>
        </w:tc>
      </w:tr>
      <w:tr w:rsidR="005B3539" w:rsidRPr="006C388E" w14:paraId="47890BC0" w14:textId="77777777" w:rsidTr="005B3539">
        <w:trPr>
          <w:trHeight w:val="202"/>
        </w:trPr>
        <w:tc>
          <w:tcPr>
            <w:tcW w:w="1000" w:type="pct"/>
            <w:tcBorders>
              <w:top w:val="nil"/>
              <w:left w:val="nil"/>
              <w:bottom w:val="nil"/>
              <w:right w:val="nil"/>
            </w:tcBorders>
            <w:shd w:val="clear" w:color="auto" w:fill="auto"/>
            <w:noWrap/>
            <w:vAlign w:val="center"/>
            <w:hideMark/>
          </w:tcPr>
          <w:p w14:paraId="28001F8F" w14:textId="77777777" w:rsidR="005B3539" w:rsidRPr="006C388E" w:rsidRDefault="005B3539" w:rsidP="005B3539">
            <w:pPr>
              <w:rPr>
                <w:sz w:val="20"/>
                <w:szCs w:val="20"/>
                <w:lang w:eastAsia="es-ES"/>
              </w:rPr>
            </w:pPr>
            <w:r w:rsidRPr="006C388E">
              <w:rPr>
                <w:sz w:val="20"/>
                <w:szCs w:val="20"/>
                <w:lang w:eastAsia="es-ES"/>
              </w:rPr>
              <w:t>P19</w:t>
            </w:r>
          </w:p>
        </w:tc>
        <w:tc>
          <w:tcPr>
            <w:tcW w:w="1000" w:type="pct"/>
            <w:tcBorders>
              <w:top w:val="nil"/>
              <w:left w:val="nil"/>
              <w:bottom w:val="nil"/>
              <w:right w:val="nil"/>
            </w:tcBorders>
            <w:shd w:val="clear" w:color="auto" w:fill="auto"/>
            <w:noWrap/>
            <w:vAlign w:val="bottom"/>
          </w:tcPr>
          <w:p w14:paraId="27C7814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.522</w:t>
            </w:r>
          </w:p>
        </w:tc>
        <w:tc>
          <w:tcPr>
            <w:tcW w:w="1000" w:type="pct"/>
            <w:tcBorders>
              <w:top w:val="nil"/>
              <w:left w:val="nil"/>
              <w:bottom w:val="nil"/>
              <w:right w:val="nil"/>
            </w:tcBorders>
            <w:shd w:val="clear" w:color="auto" w:fill="auto"/>
            <w:noWrap/>
            <w:vAlign w:val="center"/>
          </w:tcPr>
          <w:p w14:paraId="2BB7297B" w14:textId="77777777" w:rsidR="005B3539" w:rsidRPr="006C388E" w:rsidRDefault="005B3539" w:rsidP="005B3539">
            <w:pPr>
              <w:jc w:val="center"/>
              <w:rPr>
                <w:color w:val="000000"/>
                <w:sz w:val="20"/>
                <w:szCs w:val="20"/>
                <w:lang w:eastAsia="es-ES"/>
              </w:rPr>
            </w:pPr>
          </w:p>
        </w:tc>
        <w:tc>
          <w:tcPr>
            <w:tcW w:w="1000" w:type="pct"/>
            <w:tcBorders>
              <w:top w:val="nil"/>
              <w:left w:val="nil"/>
              <w:bottom w:val="nil"/>
              <w:right w:val="nil"/>
            </w:tcBorders>
            <w:shd w:val="clear" w:color="auto" w:fill="auto"/>
            <w:vAlign w:val="center"/>
          </w:tcPr>
          <w:p w14:paraId="2CBF1F5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.273</w:t>
            </w:r>
          </w:p>
        </w:tc>
        <w:tc>
          <w:tcPr>
            <w:tcW w:w="1000" w:type="pct"/>
            <w:tcBorders>
              <w:top w:val="nil"/>
              <w:left w:val="nil"/>
              <w:bottom w:val="nil"/>
              <w:right w:val="nil"/>
            </w:tcBorders>
            <w:shd w:val="clear" w:color="auto" w:fill="auto"/>
            <w:noWrap/>
            <w:vAlign w:val="bottom"/>
          </w:tcPr>
          <w:p w14:paraId="3B22F7C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.727</w:t>
            </w:r>
          </w:p>
        </w:tc>
      </w:tr>
      <w:tr w:rsidR="005B3539" w:rsidRPr="006C388E" w14:paraId="78486E63" w14:textId="77777777" w:rsidTr="005B3539">
        <w:trPr>
          <w:trHeight w:val="202"/>
        </w:trPr>
        <w:tc>
          <w:tcPr>
            <w:tcW w:w="1000" w:type="pct"/>
            <w:tcBorders>
              <w:top w:val="nil"/>
              <w:left w:val="nil"/>
              <w:bottom w:val="nil"/>
              <w:right w:val="nil"/>
            </w:tcBorders>
            <w:shd w:val="clear" w:color="auto" w:fill="auto"/>
            <w:noWrap/>
            <w:vAlign w:val="center"/>
            <w:hideMark/>
          </w:tcPr>
          <w:p w14:paraId="6F9498E4" w14:textId="77777777" w:rsidR="005B3539" w:rsidRPr="006C388E" w:rsidRDefault="005B3539" w:rsidP="005B3539">
            <w:pPr>
              <w:rPr>
                <w:sz w:val="20"/>
                <w:szCs w:val="20"/>
                <w:lang w:eastAsia="es-ES"/>
              </w:rPr>
            </w:pPr>
            <w:r w:rsidRPr="006C388E">
              <w:rPr>
                <w:sz w:val="20"/>
                <w:szCs w:val="20"/>
                <w:lang w:eastAsia="es-ES"/>
              </w:rPr>
              <w:t>P22</w:t>
            </w:r>
          </w:p>
        </w:tc>
        <w:tc>
          <w:tcPr>
            <w:tcW w:w="1000" w:type="pct"/>
            <w:tcBorders>
              <w:top w:val="nil"/>
              <w:left w:val="nil"/>
              <w:bottom w:val="nil"/>
              <w:right w:val="nil"/>
            </w:tcBorders>
            <w:shd w:val="clear" w:color="auto" w:fill="auto"/>
            <w:noWrap/>
            <w:vAlign w:val="bottom"/>
          </w:tcPr>
          <w:p w14:paraId="32BA625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.749</w:t>
            </w:r>
          </w:p>
        </w:tc>
        <w:tc>
          <w:tcPr>
            <w:tcW w:w="1000" w:type="pct"/>
            <w:tcBorders>
              <w:top w:val="nil"/>
              <w:left w:val="nil"/>
              <w:bottom w:val="nil"/>
              <w:right w:val="nil"/>
            </w:tcBorders>
            <w:shd w:val="clear" w:color="auto" w:fill="auto"/>
            <w:noWrap/>
            <w:vAlign w:val="bottom"/>
          </w:tcPr>
          <w:p w14:paraId="335C1CE5" w14:textId="77777777" w:rsidR="005B3539" w:rsidRPr="006C388E" w:rsidRDefault="005B3539" w:rsidP="005B3539">
            <w:pPr>
              <w:jc w:val="center"/>
              <w:rPr>
                <w:color w:val="000000"/>
                <w:sz w:val="20"/>
                <w:szCs w:val="20"/>
                <w:lang w:eastAsia="es-ES"/>
              </w:rPr>
            </w:pPr>
          </w:p>
        </w:tc>
        <w:tc>
          <w:tcPr>
            <w:tcW w:w="1000" w:type="pct"/>
            <w:tcBorders>
              <w:top w:val="nil"/>
              <w:left w:val="nil"/>
              <w:bottom w:val="nil"/>
              <w:right w:val="nil"/>
            </w:tcBorders>
            <w:shd w:val="clear" w:color="auto" w:fill="auto"/>
            <w:vAlign w:val="center"/>
          </w:tcPr>
          <w:p w14:paraId="6FCD3CE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.561</w:t>
            </w:r>
          </w:p>
        </w:tc>
        <w:tc>
          <w:tcPr>
            <w:tcW w:w="1000" w:type="pct"/>
            <w:tcBorders>
              <w:top w:val="nil"/>
              <w:left w:val="nil"/>
              <w:bottom w:val="nil"/>
              <w:right w:val="nil"/>
            </w:tcBorders>
            <w:shd w:val="clear" w:color="auto" w:fill="auto"/>
            <w:noWrap/>
            <w:vAlign w:val="bottom"/>
          </w:tcPr>
          <w:p w14:paraId="2FA56CB7"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.439</w:t>
            </w:r>
          </w:p>
        </w:tc>
      </w:tr>
      <w:tr w:rsidR="005B3539" w:rsidRPr="006C388E" w14:paraId="7DD4B92A" w14:textId="77777777" w:rsidTr="005B3539">
        <w:trPr>
          <w:trHeight w:val="202"/>
        </w:trPr>
        <w:tc>
          <w:tcPr>
            <w:tcW w:w="1000" w:type="pct"/>
            <w:tcBorders>
              <w:top w:val="nil"/>
              <w:left w:val="nil"/>
              <w:bottom w:val="nil"/>
              <w:right w:val="nil"/>
            </w:tcBorders>
            <w:shd w:val="clear" w:color="auto" w:fill="auto"/>
            <w:noWrap/>
            <w:vAlign w:val="center"/>
            <w:hideMark/>
          </w:tcPr>
          <w:p w14:paraId="0DBFB7DD" w14:textId="77777777" w:rsidR="005B3539" w:rsidRPr="006C388E" w:rsidRDefault="005B3539" w:rsidP="005B3539">
            <w:pPr>
              <w:rPr>
                <w:sz w:val="20"/>
                <w:szCs w:val="20"/>
                <w:lang w:eastAsia="es-ES"/>
              </w:rPr>
            </w:pPr>
            <w:r w:rsidRPr="006C388E">
              <w:rPr>
                <w:sz w:val="20"/>
                <w:szCs w:val="20"/>
                <w:lang w:eastAsia="es-ES"/>
              </w:rPr>
              <w:t>P2</w:t>
            </w:r>
          </w:p>
        </w:tc>
        <w:tc>
          <w:tcPr>
            <w:tcW w:w="1000" w:type="pct"/>
            <w:tcBorders>
              <w:top w:val="nil"/>
              <w:left w:val="nil"/>
              <w:bottom w:val="nil"/>
              <w:right w:val="nil"/>
            </w:tcBorders>
            <w:shd w:val="clear" w:color="auto" w:fill="auto"/>
            <w:noWrap/>
            <w:vAlign w:val="bottom"/>
          </w:tcPr>
          <w:p w14:paraId="0EFD6258" w14:textId="77777777" w:rsidR="005B3539" w:rsidRPr="006C388E" w:rsidRDefault="005B3539" w:rsidP="005B3539">
            <w:pPr>
              <w:rPr>
                <w:sz w:val="20"/>
                <w:szCs w:val="20"/>
                <w:lang w:eastAsia="es-ES"/>
              </w:rPr>
            </w:pPr>
          </w:p>
        </w:tc>
        <w:tc>
          <w:tcPr>
            <w:tcW w:w="1000" w:type="pct"/>
            <w:tcBorders>
              <w:top w:val="nil"/>
              <w:left w:val="nil"/>
              <w:bottom w:val="nil"/>
              <w:right w:val="nil"/>
            </w:tcBorders>
            <w:shd w:val="clear" w:color="auto" w:fill="auto"/>
            <w:noWrap/>
            <w:vAlign w:val="bottom"/>
          </w:tcPr>
          <w:p w14:paraId="29B2814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.657</w:t>
            </w:r>
          </w:p>
        </w:tc>
        <w:tc>
          <w:tcPr>
            <w:tcW w:w="1000" w:type="pct"/>
            <w:tcBorders>
              <w:top w:val="nil"/>
              <w:left w:val="nil"/>
              <w:bottom w:val="nil"/>
              <w:right w:val="nil"/>
            </w:tcBorders>
            <w:shd w:val="clear" w:color="auto" w:fill="auto"/>
            <w:vAlign w:val="center"/>
          </w:tcPr>
          <w:p w14:paraId="4015E97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.431</w:t>
            </w:r>
          </w:p>
        </w:tc>
        <w:tc>
          <w:tcPr>
            <w:tcW w:w="1000" w:type="pct"/>
            <w:tcBorders>
              <w:top w:val="nil"/>
              <w:left w:val="nil"/>
              <w:bottom w:val="nil"/>
              <w:right w:val="nil"/>
            </w:tcBorders>
            <w:shd w:val="clear" w:color="auto" w:fill="auto"/>
            <w:noWrap/>
            <w:vAlign w:val="bottom"/>
          </w:tcPr>
          <w:p w14:paraId="23AB4DC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.569</w:t>
            </w:r>
          </w:p>
        </w:tc>
      </w:tr>
      <w:tr w:rsidR="005B3539" w:rsidRPr="006C388E" w14:paraId="1232B054" w14:textId="77777777" w:rsidTr="005B3539">
        <w:trPr>
          <w:trHeight w:val="202"/>
        </w:trPr>
        <w:tc>
          <w:tcPr>
            <w:tcW w:w="1000" w:type="pct"/>
            <w:tcBorders>
              <w:top w:val="nil"/>
              <w:left w:val="nil"/>
              <w:bottom w:val="nil"/>
              <w:right w:val="nil"/>
            </w:tcBorders>
            <w:shd w:val="clear" w:color="auto" w:fill="auto"/>
            <w:noWrap/>
            <w:vAlign w:val="center"/>
            <w:hideMark/>
          </w:tcPr>
          <w:p w14:paraId="64D07E96" w14:textId="77777777" w:rsidR="005B3539" w:rsidRPr="006C388E" w:rsidRDefault="005B3539" w:rsidP="005B3539">
            <w:pPr>
              <w:rPr>
                <w:sz w:val="20"/>
                <w:szCs w:val="20"/>
                <w:lang w:eastAsia="es-ES"/>
              </w:rPr>
            </w:pPr>
            <w:r w:rsidRPr="006C388E">
              <w:rPr>
                <w:sz w:val="20"/>
                <w:szCs w:val="20"/>
                <w:lang w:eastAsia="es-ES"/>
              </w:rPr>
              <w:t>P4</w:t>
            </w:r>
          </w:p>
        </w:tc>
        <w:tc>
          <w:tcPr>
            <w:tcW w:w="1000" w:type="pct"/>
            <w:tcBorders>
              <w:top w:val="nil"/>
              <w:left w:val="nil"/>
              <w:bottom w:val="nil"/>
              <w:right w:val="nil"/>
            </w:tcBorders>
            <w:shd w:val="clear" w:color="auto" w:fill="auto"/>
            <w:noWrap/>
            <w:vAlign w:val="bottom"/>
          </w:tcPr>
          <w:p w14:paraId="2D9523EC" w14:textId="77777777" w:rsidR="005B3539" w:rsidRPr="006C388E" w:rsidRDefault="005B3539" w:rsidP="005B3539">
            <w:pPr>
              <w:rPr>
                <w:sz w:val="20"/>
                <w:szCs w:val="20"/>
                <w:lang w:eastAsia="es-ES"/>
              </w:rPr>
            </w:pPr>
          </w:p>
        </w:tc>
        <w:tc>
          <w:tcPr>
            <w:tcW w:w="1000" w:type="pct"/>
            <w:tcBorders>
              <w:top w:val="nil"/>
              <w:left w:val="nil"/>
              <w:bottom w:val="nil"/>
              <w:right w:val="nil"/>
            </w:tcBorders>
            <w:shd w:val="clear" w:color="auto" w:fill="auto"/>
            <w:noWrap/>
            <w:vAlign w:val="bottom"/>
          </w:tcPr>
          <w:p w14:paraId="4D8FEFF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.578</w:t>
            </w:r>
          </w:p>
        </w:tc>
        <w:tc>
          <w:tcPr>
            <w:tcW w:w="1000" w:type="pct"/>
            <w:tcBorders>
              <w:top w:val="nil"/>
              <w:left w:val="nil"/>
              <w:bottom w:val="nil"/>
              <w:right w:val="nil"/>
            </w:tcBorders>
            <w:shd w:val="clear" w:color="auto" w:fill="auto"/>
            <w:vAlign w:val="center"/>
          </w:tcPr>
          <w:p w14:paraId="25F6EC9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.334</w:t>
            </w:r>
          </w:p>
        </w:tc>
        <w:tc>
          <w:tcPr>
            <w:tcW w:w="1000" w:type="pct"/>
            <w:tcBorders>
              <w:top w:val="nil"/>
              <w:left w:val="nil"/>
              <w:bottom w:val="nil"/>
              <w:right w:val="nil"/>
            </w:tcBorders>
            <w:shd w:val="clear" w:color="auto" w:fill="auto"/>
            <w:noWrap/>
            <w:vAlign w:val="bottom"/>
          </w:tcPr>
          <w:p w14:paraId="0CE04138"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.666</w:t>
            </w:r>
          </w:p>
        </w:tc>
      </w:tr>
      <w:tr w:rsidR="005B3539" w:rsidRPr="006C388E" w14:paraId="15EE477D" w14:textId="77777777" w:rsidTr="005B3539">
        <w:trPr>
          <w:trHeight w:val="202"/>
        </w:trPr>
        <w:tc>
          <w:tcPr>
            <w:tcW w:w="1000" w:type="pct"/>
            <w:tcBorders>
              <w:top w:val="nil"/>
              <w:left w:val="nil"/>
              <w:bottom w:val="nil"/>
              <w:right w:val="nil"/>
            </w:tcBorders>
            <w:shd w:val="clear" w:color="auto" w:fill="auto"/>
            <w:noWrap/>
            <w:vAlign w:val="center"/>
            <w:hideMark/>
          </w:tcPr>
          <w:p w14:paraId="3DA335B9" w14:textId="77777777" w:rsidR="005B3539" w:rsidRPr="006C388E" w:rsidRDefault="005B3539" w:rsidP="005B3539">
            <w:pPr>
              <w:rPr>
                <w:sz w:val="20"/>
                <w:szCs w:val="20"/>
                <w:lang w:eastAsia="es-ES"/>
              </w:rPr>
            </w:pPr>
            <w:r w:rsidRPr="006C388E">
              <w:rPr>
                <w:sz w:val="20"/>
                <w:szCs w:val="20"/>
                <w:lang w:eastAsia="es-ES"/>
              </w:rPr>
              <w:t>P6</w:t>
            </w:r>
          </w:p>
        </w:tc>
        <w:tc>
          <w:tcPr>
            <w:tcW w:w="1000" w:type="pct"/>
            <w:tcBorders>
              <w:top w:val="nil"/>
              <w:left w:val="nil"/>
              <w:bottom w:val="nil"/>
              <w:right w:val="nil"/>
            </w:tcBorders>
            <w:shd w:val="clear" w:color="auto" w:fill="auto"/>
            <w:noWrap/>
            <w:vAlign w:val="bottom"/>
          </w:tcPr>
          <w:p w14:paraId="3950BE51" w14:textId="77777777" w:rsidR="005B3539" w:rsidRPr="006C388E" w:rsidRDefault="005B3539" w:rsidP="005B3539">
            <w:pPr>
              <w:rPr>
                <w:sz w:val="20"/>
                <w:szCs w:val="20"/>
                <w:lang w:eastAsia="es-ES"/>
              </w:rPr>
            </w:pPr>
          </w:p>
        </w:tc>
        <w:tc>
          <w:tcPr>
            <w:tcW w:w="1000" w:type="pct"/>
            <w:tcBorders>
              <w:top w:val="nil"/>
              <w:left w:val="nil"/>
              <w:bottom w:val="nil"/>
              <w:right w:val="nil"/>
            </w:tcBorders>
            <w:shd w:val="clear" w:color="auto" w:fill="auto"/>
            <w:noWrap/>
            <w:vAlign w:val="bottom"/>
          </w:tcPr>
          <w:p w14:paraId="69A2078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.615</w:t>
            </w:r>
          </w:p>
        </w:tc>
        <w:tc>
          <w:tcPr>
            <w:tcW w:w="1000" w:type="pct"/>
            <w:tcBorders>
              <w:top w:val="nil"/>
              <w:left w:val="nil"/>
              <w:bottom w:val="nil"/>
              <w:right w:val="nil"/>
            </w:tcBorders>
            <w:shd w:val="clear" w:color="auto" w:fill="auto"/>
            <w:vAlign w:val="center"/>
          </w:tcPr>
          <w:p w14:paraId="0807F20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.378</w:t>
            </w:r>
          </w:p>
        </w:tc>
        <w:tc>
          <w:tcPr>
            <w:tcW w:w="1000" w:type="pct"/>
            <w:tcBorders>
              <w:top w:val="nil"/>
              <w:left w:val="nil"/>
              <w:bottom w:val="nil"/>
              <w:right w:val="nil"/>
            </w:tcBorders>
            <w:shd w:val="clear" w:color="auto" w:fill="auto"/>
            <w:noWrap/>
            <w:vAlign w:val="bottom"/>
          </w:tcPr>
          <w:p w14:paraId="33DBE50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.622</w:t>
            </w:r>
          </w:p>
        </w:tc>
      </w:tr>
      <w:tr w:rsidR="005B3539" w:rsidRPr="006C388E" w14:paraId="2E53242E" w14:textId="77777777" w:rsidTr="005B3539">
        <w:trPr>
          <w:trHeight w:val="202"/>
        </w:trPr>
        <w:tc>
          <w:tcPr>
            <w:tcW w:w="1000" w:type="pct"/>
            <w:tcBorders>
              <w:top w:val="nil"/>
              <w:left w:val="nil"/>
              <w:bottom w:val="nil"/>
              <w:right w:val="nil"/>
            </w:tcBorders>
            <w:shd w:val="clear" w:color="auto" w:fill="auto"/>
            <w:noWrap/>
            <w:vAlign w:val="center"/>
            <w:hideMark/>
          </w:tcPr>
          <w:p w14:paraId="7139493E" w14:textId="77777777" w:rsidR="005B3539" w:rsidRPr="006C388E" w:rsidRDefault="005B3539" w:rsidP="005B3539">
            <w:pPr>
              <w:rPr>
                <w:sz w:val="20"/>
                <w:szCs w:val="20"/>
                <w:lang w:eastAsia="es-ES"/>
              </w:rPr>
            </w:pPr>
            <w:r w:rsidRPr="006C388E">
              <w:rPr>
                <w:sz w:val="20"/>
                <w:szCs w:val="20"/>
                <w:lang w:eastAsia="es-ES"/>
              </w:rPr>
              <w:t>P9</w:t>
            </w:r>
          </w:p>
        </w:tc>
        <w:tc>
          <w:tcPr>
            <w:tcW w:w="1000" w:type="pct"/>
            <w:tcBorders>
              <w:top w:val="nil"/>
              <w:left w:val="nil"/>
              <w:bottom w:val="nil"/>
              <w:right w:val="nil"/>
            </w:tcBorders>
            <w:shd w:val="clear" w:color="auto" w:fill="auto"/>
            <w:noWrap/>
            <w:vAlign w:val="bottom"/>
          </w:tcPr>
          <w:p w14:paraId="3DBBD0A0" w14:textId="77777777" w:rsidR="005B3539" w:rsidRPr="006C388E" w:rsidRDefault="005B3539" w:rsidP="005B3539">
            <w:pPr>
              <w:rPr>
                <w:sz w:val="20"/>
                <w:szCs w:val="20"/>
                <w:lang w:eastAsia="es-ES"/>
              </w:rPr>
            </w:pPr>
          </w:p>
        </w:tc>
        <w:tc>
          <w:tcPr>
            <w:tcW w:w="1000" w:type="pct"/>
            <w:tcBorders>
              <w:top w:val="nil"/>
              <w:left w:val="nil"/>
              <w:bottom w:val="nil"/>
              <w:right w:val="nil"/>
            </w:tcBorders>
            <w:shd w:val="clear" w:color="auto" w:fill="auto"/>
            <w:noWrap/>
            <w:vAlign w:val="bottom"/>
          </w:tcPr>
          <w:p w14:paraId="693F62C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.624</w:t>
            </w:r>
          </w:p>
        </w:tc>
        <w:tc>
          <w:tcPr>
            <w:tcW w:w="1000" w:type="pct"/>
            <w:tcBorders>
              <w:top w:val="nil"/>
              <w:left w:val="nil"/>
              <w:bottom w:val="nil"/>
              <w:right w:val="nil"/>
            </w:tcBorders>
            <w:shd w:val="clear" w:color="auto" w:fill="auto"/>
            <w:vAlign w:val="center"/>
          </w:tcPr>
          <w:p w14:paraId="3FBCCE7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.386</w:t>
            </w:r>
          </w:p>
        </w:tc>
        <w:tc>
          <w:tcPr>
            <w:tcW w:w="1000" w:type="pct"/>
            <w:tcBorders>
              <w:top w:val="nil"/>
              <w:left w:val="nil"/>
              <w:bottom w:val="nil"/>
              <w:right w:val="nil"/>
            </w:tcBorders>
            <w:shd w:val="clear" w:color="auto" w:fill="auto"/>
            <w:noWrap/>
            <w:vAlign w:val="bottom"/>
          </w:tcPr>
          <w:p w14:paraId="4949C68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.614</w:t>
            </w:r>
          </w:p>
        </w:tc>
      </w:tr>
      <w:tr w:rsidR="005B3539" w:rsidRPr="006C388E" w14:paraId="29D36E91" w14:textId="77777777" w:rsidTr="005B3539">
        <w:trPr>
          <w:trHeight w:val="202"/>
        </w:trPr>
        <w:tc>
          <w:tcPr>
            <w:tcW w:w="1000" w:type="pct"/>
            <w:tcBorders>
              <w:top w:val="nil"/>
              <w:left w:val="nil"/>
              <w:bottom w:val="nil"/>
              <w:right w:val="nil"/>
            </w:tcBorders>
            <w:shd w:val="clear" w:color="auto" w:fill="auto"/>
            <w:noWrap/>
            <w:vAlign w:val="center"/>
            <w:hideMark/>
          </w:tcPr>
          <w:p w14:paraId="469FD672" w14:textId="77777777" w:rsidR="005B3539" w:rsidRPr="006C388E" w:rsidRDefault="005B3539" w:rsidP="005B3539">
            <w:pPr>
              <w:rPr>
                <w:sz w:val="20"/>
                <w:szCs w:val="20"/>
                <w:lang w:eastAsia="es-ES"/>
              </w:rPr>
            </w:pPr>
            <w:r w:rsidRPr="006C388E">
              <w:rPr>
                <w:sz w:val="20"/>
                <w:szCs w:val="20"/>
                <w:lang w:eastAsia="es-ES"/>
              </w:rPr>
              <w:t>P10</w:t>
            </w:r>
          </w:p>
        </w:tc>
        <w:tc>
          <w:tcPr>
            <w:tcW w:w="1000" w:type="pct"/>
            <w:tcBorders>
              <w:top w:val="nil"/>
              <w:left w:val="nil"/>
              <w:bottom w:val="nil"/>
              <w:right w:val="nil"/>
            </w:tcBorders>
            <w:shd w:val="clear" w:color="auto" w:fill="auto"/>
            <w:noWrap/>
            <w:vAlign w:val="bottom"/>
          </w:tcPr>
          <w:p w14:paraId="7CF2B62B" w14:textId="77777777" w:rsidR="005B3539" w:rsidRPr="006C388E" w:rsidRDefault="005B3539" w:rsidP="005B3539">
            <w:pPr>
              <w:rPr>
                <w:sz w:val="20"/>
                <w:szCs w:val="20"/>
                <w:lang w:eastAsia="es-ES"/>
              </w:rPr>
            </w:pPr>
          </w:p>
        </w:tc>
        <w:tc>
          <w:tcPr>
            <w:tcW w:w="1000" w:type="pct"/>
            <w:tcBorders>
              <w:top w:val="nil"/>
              <w:left w:val="nil"/>
              <w:bottom w:val="nil"/>
              <w:right w:val="nil"/>
            </w:tcBorders>
            <w:shd w:val="clear" w:color="auto" w:fill="auto"/>
            <w:noWrap/>
            <w:vAlign w:val="bottom"/>
          </w:tcPr>
          <w:p w14:paraId="064378E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.770</w:t>
            </w:r>
          </w:p>
        </w:tc>
        <w:tc>
          <w:tcPr>
            <w:tcW w:w="1000" w:type="pct"/>
            <w:tcBorders>
              <w:top w:val="nil"/>
              <w:left w:val="nil"/>
              <w:bottom w:val="nil"/>
              <w:right w:val="nil"/>
            </w:tcBorders>
            <w:shd w:val="clear" w:color="auto" w:fill="auto"/>
            <w:vAlign w:val="center"/>
          </w:tcPr>
          <w:p w14:paraId="6581CAF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.593</w:t>
            </w:r>
          </w:p>
        </w:tc>
        <w:tc>
          <w:tcPr>
            <w:tcW w:w="1000" w:type="pct"/>
            <w:tcBorders>
              <w:top w:val="nil"/>
              <w:left w:val="nil"/>
              <w:bottom w:val="nil"/>
              <w:right w:val="nil"/>
            </w:tcBorders>
            <w:shd w:val="clear" w:color="auto" w:fill="auto"/>
            <w:noWrap/>
            <w:vAlign w:val="bottom"/>
          </w:tcPr>
          <w:p w14:paraId="3F548DD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.407</w:t>
            </w:r>
          </w:p>
        </w:tc>
      </w:tr>
      <w:tr w:rsidR="005B3539" w:rsidRPr="006C388E" w14:paraId="1D745307" w14:textId="77777777" w:rsidTr="005B3539">
        <w:trPr>
          <w:trHeight w:val="202"/>
        </w:trPr>
        <w:tc>
          <w:tcPr>
            <w:tcW w:w="1000" w:type="pct"/>
            <w:tcBorders>
              <w:top w:val="nil"/>
              <w:left w:val="nil"/>
              <w:bottom w:val="nil"/>
              <w:right w:val="nil"/>
            </w:tcBorders>
            <w:shd w:val="clear" w:color="auto" w:fill="auto"/>
            <w:noWrap/>
            <w:vAlign w:val="center"/>
            <w:hideMark/>
          </w:tcPr>
          <w:p w14:paraId="2F458040" w14:textId="77777777" w:rsidR="005B3539" w:rsidRPr="006C388E" w:rsidRDefault="005B3539" w:rsidP="005B3539">
            <w:pPr>
              <w:rPr>
                <w:sz w:val="20"/>
                <w:szCs w:val="20"/>
                <w:lang w:eastAsia="es-ES"/>
              </w:rPr>
            </w:pPr>
            <w:r w:rsidRPr="006C388E">
              <w:rPr>
                <w:sz w:val="20"/>
                <w:szCs w:val="20"/>
                <w:lang w:eastAsia="es-ES"/>
              </w:rPr>
              <w:t>P12</w:t>
            </w:r>
          </w:p>
        </w:tc>
        <w:tc>
          <w:tcPr>
            <w:tcW w:w="1000" w:type="pct"/>
            <w:tcBorders>
              <w:top w:val="nil"/>
              <w:left w:val="nil"/>
              <w:bottom w:val="nil"/>
              <w:right w:val="nil"/>
            </w:tcBorders>
            <w:shd w:val="clear" w:color="auto" w:fill="auto"/>
            <w:noWrap/>
            <w:vAlign w:val="bottom"/>
          </w:tcPr>
          <w:p w14:paraId="1855ED58" w14:textId="77777777" w:rsidR="005B3539" w:rsidRPr="006C388E" w:rsidRDefault="005B3539" w:rsidP="005B3539">
            <w:pPr>
              <w:rPr>
                <w:sz w:val="20"/>
                <w:szCs w:val="20"/>
                <w:lang w:eastAsia="es-ES"/>
              </w:rPr>
            </w:pPr>
          </w:p>
        </w:tc>
        <w:tc>
          <w:tcPr>
            <w:tcW w:w="1000" w:type="pct"/>
            <w:tcBorders>
              <w:top w:val="nil"/>
              <w:left w:val="nil"/>
              <w:bottom w:val="nil"/>
              <w:right w:val="nil"/>
            </w:tcBorders>
            <w:shd w:val="clear" w:color="auto" w:fill="auto"/>
            <w:noWrap/>
            <w:vAlign w:val="bottom"/>
          </w:tcPr>
          <w:p w14:paraId="337F177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.677</w:t>
            </w:r>
          </w:p>
        </w:tc>
        <w:tc>
          <w:tcPr>
            <w:tcW w:w="1000" w:type="pct"/>
            <w:tcBorders>
              <w:top w:val="nil"/>
              <w:left w:val="nil"/>
              <w:bottom w:val="nil"/>
              <w:right w:val="nil"/>
            </w:tcBorders>
            <w:shd w:val="clear" w:color="auto" w:fill="auto"/>
            <w:vAlign w:val="center"/>
          </w:tcPr>
          <w:p w14:paraId="2DB52467"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.458</w:t>
            </w:r>
          </w:p>
        </w:tc>
        <w:tc>
          <w:tcPr>
            <w:tcW w:w="1000" w:type="pct"/>
            <w:tcBorders>
              <w:top w:val="nil"/>
              <w:left w:val="nil"/>
              <w:bottom w:val="nil"/>
              <w:right w:val="nil"/>
            </w:tcBorders>
            <w:shd w:val="clear" w:color="auto" w:fill="auto"/>
            <w:noWrap/>
            <w:vAlign w:val="bottom"/>
          </w:tcPr>
          <w:p w14:paraId="19423EEA"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.542</w:t>
            </w:r>
          </w:p>
        </w:tc>
      </w:tr>
      <w:tr w:rsidR="005B3539" w:rsidRPr="006C388E" w14:paraId="36EC539E" w14:textId="77777777" w:rsidTr="005B3539">
        <w:trPr>
          <w:trHeight w:val="202"/>
        </w:trPr>
        <w:tc>
          <w:tcPr>
            <w:tcW w:w="1000" w:type="pct"/>
            <w:tcBorders>
              <w:top w:val="nil"/>
              <w:left w:val="nil"/>
              <w:bottom w:val="nil"/>
              <w:right w:val="nil"/>
            </w:tcBorders>
            <w:shd w:val="clear" w:color="auto" w:fill="auto"/>
            <w:noWrap/>
            <w:vAlign w:val="center"/>
            <w:hideMark/>
          </w:tcPr>
          <w:p w14:paraId="12A1F9FB" w14:textId="77777777" w:rsidR="005B3539" w:rsidRPr="006C388E" w:rsidRDefault="005B3539" w:rsidP="005B3539">
            <w:pPr>
              <w:rPr>
                <w:sz w:val="20"/>
                <w:szCs w:val="20"/>
                <w:lang w:eastAsia="es-ES"/>
              </w:rPr>
            </w:pPr>
            <w:r w:rsidRPr="006C388E">
              <w:rPr>
                <w:sz w:val="20"/>
                <w:szCs w:val="20"/>
                <w:lang w:eastAsia="es-ES"/>
              </w:rPr>
              <w:t>P15</w:t>
            </w:r>
          </w:p>
        </w:tc>
        <w:tc>
          <w:tcPr>
            <w:tcW w:w="1000" w:type="pct"/>
            <w:tcBorders>
              <w:top w:val="nil"/>
              <w:left w:val="nil"/>
              <w:bottom w:val="nil"/>
              <w:right w:val="nil"/>
            </w:tcBorders>
            <w:shd w:val="clear" w:color="auto" w:fill="auto"/>
            <w:noWrap/>
            <w:vAlign w:val="bottom"/>
          </w:tcPr>
          <w:p w14:paraId="6AFFBBC4" w14:textId="77777777" w:rsidR="005B3539" w:rsidRPr="006C388E" w:rsidRDefault="005B3539" w:rsidP="005B3539">
            <w:pPr>
              <w:rPr>
                <w:sz w:val="20"/>
                <w:szCs w:val="20"/>
                <w:lang w:eastAsia="es-ES"/>
              </w:rPr>
            </w:pPr>
          </w:p>
        </w:tc>
        <w:tc>
          <w:tcPr>
            <w:tcW w:w="1000" w:type="pct"/>
            <w:tcBorders>
              <w:top w:val="nil"/>
              <w:left w:val="nil"/>
              <w:bottom w:val="nil"/>
              <w:right w:val="nil"/>
            </w:tcBorders>
            <w:shd w:val="clear" w:color="auto" w:fill="auto"/>
            <w:noWrap/>
            <w:vAlign w:val="bottom"/>
          </w:tcPr>
          <w:p w14:paraId="6FD3472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.683</w:t>
            </w:r>
          </w:p>
        </w:tc>
        <w:tc>
          <w:tcPr>
            <w:tcW w:w="1000" w:type="pct"/>
            <w:tcBorders>
              <w:top w:val="nil"/>
              <w:left w:val="nil"/>
              <w:bottom w:val="nil"/>
              <w:right w:val="nil"/>
            </w:tcBorders>
            <w:shd w:val="clear" w:color="auto" w:fill="auto"/>
            <w:vAlign w:val="center"/>
          </w:tcPr>
          <w:p w14:paraId="175CEA2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.466</w:t>
            </w:r>
          </w:p>
        </w:tc>
        <w:tc>
          <w:tcPr>
            <w:tcW w:w="1000" w:type="pct"/>
            <w:tcBorders>
              <w:top w:val="nil"/>
              <w:left w:val="nil"/>
              <w:bottom w:val="nil"/>
              <w:right w:val="nil"/>
            </w:tcBorders>
            <w:shd w:val="clear" w:color="auto" w:fill="auto"/>
            <w:noWrap/>
            <w:vAlign w:val="bottom"/>
          </w:tcPr>
          <w:p w14:paraId="628F84F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.534</w:t>
            </w:r>
          </w:p>
        </w:tc>
      </w:tr>
      <w:tr w:rsidR="005B3539" w:rsidRPr="006C388E" w14:paraId="78D25BDC" w14:textId="77777777" w:rsidTr="005B3539">
        <w:trPr>
          <w:trHeight w:val="202"/>
        </w:trPr>
        <w:tc>
          <w:tcPr>
            <w:tcW w:w="1000" w:type="pct"/>
            <w:tcBorders>
              <w:top w:val="nil"/>
              <w:left w:val="nil"/>
              <w:bottom w:val="nil"/>
              <w:right w:val="nil"/>
            </w:tcBorders>
            <w:shd w:val="clear" w:color="auto" w:fill="auto"/>
            <w:noWrap/>
            <w:vAlign w:val="center"/>
            <w:hideMark/>
          </w:tcPr>
          <w:p w14:paraId="2350991C" w14:textId="77777777" w:rsidR="005B3539" w:rsidRPr="006C388E" w:rsidRDefault="005B3539" w:rsidP="005B3539">
            <w:pPr>
              <w:rPr>
                <w:sz w:val="20"/>
                <w:szCs w:val="20"/>
                <w:lang w:eastAsia="es-ES"/>
              </w:rPr>
            </w:pPr>
            <w:r w:rsidRPr="006C388E">
              <w:rPr>
                <w:sz w:val="20"/>
                <w:szCs w:val="20"/>
                <w:lang w:eastAsia="es-ES"/>
              </w:rPr>
              <w:t>P17</w:t>
            </w:r>
          </w:p>
        </w:tc>
        <w:tc>
          <w:tcPr>
            <w:tcW w:w="1000" w:type="pct"/>
            <w:tcBorders>
              <w:top w:val="nil"/>
              <w:left w:val="nil"/>
              <w:bottom w:val="nil"/>
              <w:right w:val="nil"/>
            </w:tcBorders>
            <w:shd w:val="clear" w:color="auto" w:fill="auto"/>
            <w:noWrap/>
            <w:vAlign w:val="bottom"/>
          </w:tcPr>
          <w:p w14:paraId="660E904D" w14:textId="77777777" w:rsidR="005B3539" w:rsidRPr="006C388E" w:rsidRDefault="005B3539" w:rsidP="005B3539">
            <w:pPr>
              <w:rPr>
                <w:sz w:val="20"/>
                <w:szCs w:val="20"/>
                <w:lang w:eastAsia="es-ES"/>
              </w:rPr>
            </w:pPr>
          </w:p>
        </w:tc>
        <w:tc>
          <w:tcPr>
            <w:tcW w:w="1000" w:type="pct"/>
            <w:tcBorders>
              <w:top w:val="nil"/>
              <w:left w:val="nil"/>
              <w:bottom w:val="nil"/>
              <w:right w:val="nil"/>
            </w:tcBorders>
            <w:shd w:val="clear" w:color="auto" w:fill="auto"/>
            <w:noWrap/>
            <w:vAlign w:val="bottom"/>
          </w:tcPr>
          <w:p w14:paraId="57C2BE9A"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.610</w:t>
            </w:r>
          </w:p>
        </w:tc>
        <w:tc>
          <w:tcPr>
            <w:tcW w:w="1000" w:type="pct"/>
            <w:tcBorders>
              <w:top w:val="nil"/>
              <w:left w:val="nil"/>
              <w:bottom w:val="nil"/>
              <w:right w:val="nil"/>
            </w:tcBorders>
            <w:shd w:val="clear" w:color="auto" w:fill="auto"/>
            <w:vAlign w:val="center"/>
          </w:tcPr>
          <w:p w14:paraId="6516F19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.372</w:t>
            </w:r>
          </w:p>
        </w:tc>
        <w:tc>
          <w:tcPr>
            <w:tcW w:w="1000" w:type="pct"/>
            <w:tcBorders>
              <w:top w:val="nil"/>
              <w:left w:val="nil"/>
              <w:bottom w:val="nil"/>
              <w:right w:val="nil"/>
            </w:tcBorders>
            <w:shd w:val="clear" w:color="auto" w:fill="auto"/>
            <w:noWrap/>
            <w:vAlign w:val="bottom"/>
          </w:tcPr>
          <w:p w14:paraId="3C3FDB71"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.628</w:t>
            </w:r>
          </w:p>
        </w:tc>
      </w:tr>
      <w:tr w:rsidR="005B3539" w:rsidRPr="006C388E" w14:paraId="3B277D11" w14:textId="77777777" w:rsidTr="005B3539">
        <w:trPr>
          <w:trHeight w:val="202"/>
        </w:trPr>
        <w:tc>
          <w:tcPr>
            <w:tcW w:w="1000" w:type="pct"/>
            <w:tcBorders>
              <w:top w:val="nil"/>
              <w:left w:val="nil"/>
              <w:bottom w:val="nil"/>
              <w:right w:val="nil"/>
            </w:tcBorders>
            <w:shd w:val="clear" w:color="auto" w:fill="auto"/>
            <w:noWrap/>
            <w:vAlign w:val="center"/>
            <w:hideMark/>
          </w:tcPr>
          <w:p w14:paraId="391AF0A5" w14:textId="77777777" w:rsidR="005B3539" w:rsidRPr="006C388E" w:rsidRDefault="005B3539" w:rsidP="005B3539">
            <w:pPr>
              <w:rPr>
                <w:sz w:val="20"/>
                <w:szCs w:val="20"/>
                <w:lang w:eastAsia="es-ES"/>
              </w:rPr>
            </w:pPr>
            <w:r w:rsidRPr="006C388E">
              <w:rPr>
                <w:sz w:val="20"/>
                <w:szCs w:val="20"/>
                <w:lang w:eastAsia="es-ES"/>
              </w:rPr>
              <w:t>P18</w:t>
            </w:r>
          </w:p>
        </w:tc>
        <w:tc>
          <w:tcPr>
            <w:tcW w:w="1000" w:type="pct"/>
            <w:tcBorders>
              <w:top w:val="nil"/>
              <w:left w:val="nil"/>
              <w:bottom w:val="nil"/>
              <w:right w:val="nil"/>
            </w:tcBorders>
            <w:shd w:val="clear" w:color="auto" w:fill="auto"/>
            <w:noWrap/>
            <w:vAlign w:val="bottom"/>
          </w:tcPr>
          <w:p w14:paraId="598ECF2B" w14:textId="77777777" w:rsidR="005B3539" w:rsidRPr="006C388E" w:rsidRDefault="005B3539" w:rsidP="005B3539">
            <w:pPr>
              <w:rPr>
                <w:sz w:val="20"/>
                <w:szCs w:val="20"/>
                <w:lang w:eastAsia="es-ES"/>
              </w:rPr>
            </w:pPr>
          </w:p>
        </w:tc>
        <w:tc>
          <w:tcPr>
            <w:tcW w:w="1000" w:type="pct"/>
            <w:tcBorders>
              <w:top w:val="nil"/>
              <w:left w:val="nil"/>
              <w:bottom w:val="nil"/>
              <w:right w:val="nil"/>
            </w:tcBorders>
            <w:shd w:val="clear" w:color="auto" w:fill="auto"/>
            <w:noWrap/>
            <w:vAlign w:val="bottom"/>
          </w:tcPr>
          <w:p w14:paraId="56AE8DA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.329</w:t>
            </w:r>
          </w:p>
        </w:tc>
        <w:tc>
          <w:tcPr>
            <w:tcW w:w="1000" w:type="pct"/>
            <w:tcBorders>
              <w:top w:val="nil"/>
              <w:left w:val="nil"/>
              <w:bottom w:val="nil"/>
              <w:right w:val="nil"/>
            </w:tcBorders>
            <w:shd w:val="clear" w:color="auto" w:fill="auto"/>
            <w:vAlign w:val="center"/>
          </w:tcPr>
          <w:p w14:paraId="017DCC4A"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.108</w:t>
            </w:r>
          </w:p>
        </w:tc>
        <w:tc>
          <w:tcPr>
            <w:tcW w:w="1000" w:type="pct"/>
            <w:tcBorders>
              <w:top w:val="nil"/>
              <w:left w:val="nil"/>
              <w:bottom w:val="nil"/>
              <w:right w:val="nil"/>
            </w:tcBorders>
            <w:shd w:val="clear" w:color="auto" w:fill="auto"/>
            <w:noWrap/>
            <w:vAlign w:val="bottom"/>
          </w:tcPr>
          <w:p w14:paraId="5212ED5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.892</w:t>
            </w:r>
          </w:p>
        </w:tc>
      </w:tr>
      <w:tr w:rsidR="005B3539" w:rsidRPr="006C388E" w14:paraId="64FBE5F7" w14:textId="77777777" w:rsidTr="005B3539">
        <w:trPr>
          <w:trHeight w:val="202"/>
        </w:trPr>
        <w:tc>
          <w:tcPr>
            <w:tcW w:w="1000" w:type="pct"/>
            <w:tcBorders>
              <w:top w:val="nil"/>
              <w:left w:val="nil"/>
              <w:bottom w:val="nil"/>
              <w:right w:val="nil"/>
            </w:tcBorders>
            <w:shd w:val="clear" w:color="auto" w:fill="auto"/>
            <w:noWrap/>
            <w:vAlign w:val="center"/>
            <w:hideMark/>
          </w:tcPr>
          <w:p w14:paraId="74F5DA67" w14:textId="77777777" w:rsidR="005B3539" w:rsidRPr="006C388E" w:rsidRDefault="005B3539" w:rsidP="005B3539">
            <w:pPr>
              <w:rPr>
                <w:sz w:val="20"/>
                <w:szCs w:val="20"/>
                <w:lang w:eastAsia="es-ES"/>
              </w:rPr>
            </w:pPr>
            <w:r w:rsidRPr="006C388E">
              <w:rPr>
                <w:sz w:val="20"/>
                <w:szCs w:val="20"/>
                <w:lang w:eastAsia="es-ES"/>
              </w:rPr>
              <w:t>P20</w:t>
            </w:r>
          </w:p>
        </w:tc>
        <w:tc>
          <w:tcPr>
            <w:tcW w:w="1000" w:type="pct"/>
            <w:tcBorders>
              <w:top w:val="nil"/>
              <w:left w:val="nil"/>
              <w:bottom w:val="nil"/>
              <w:right w:val="nil"/>
            </w:tcBorders>
            <w:shd w:val="clear" w:color="auto" w:fill="auto"/>
            <w:noWrap/>
            <w:vAlign w:val="bottom"/>
          </w:tcPr>
          <w:p w14:paraId="16C88A78" w14:textId="77777777" w:rsidR="005B3539" w:rsidRPr="006C388E" w:rsidRDefault="005B3539" w:rsidP="005B3539">
            <w:pPr>
              <w:rPr>
                <w:sz w:val="20"/>
                <w:szCs w:val="20"/>
                <w:lang w:eastAsia="es-ES"/>
              </w:rPr>
            </w:pPr>
          </w:p>
        </w:tc>
        <w:tc>
          <w:tcPr>
            <w:tcW w:w="1000" w:type="pct"/>
            <w:tcBorders>
              <w:top w:val="nil"/>
              <w:left w:val="nil"/>
              <w:bottom w:val="nil"/>
              <w:right w:val="nil"/>
            </w:tcBorders>
            <w:shd w:val="clear" w:color="auto" w:fill="auto"/>
            <w:noWrap/>
            <w:vAlign w:val="bottom"/>
          </w:tcPr>
          <w:p w14:paraId="2674EA8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.609</w:t>
            </w:r>
          </w:p>
        </w:tc>
        <w:tc>
          <w:tcPr>
            <w:tcW w:w="1000" w:type="pct"/>
            <w:tcBorders>
              <w:top w:val="nil"/>
              <w:left w:val="nil"/>
              <w:bottom w:val="nil"/>
              <w:right w:val="nil"/>
            </w:tcBorders>
            <w:shd w:val="clear" w:color="auto" w:fill="auto"/>
            <w:vAlign w:val="center"/>
          </w:tcPr>
          <w:p w14:paraId="6E56C53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.371</w:t>
            </w:r>
          </w:p>
        </w:tc>
        <w:tc>
          <w:tcPr>
            <w:tcW w:w="1000" w:type="pct"/>
            <w:tcBorders>
              <w:top w:val="nil"/>
              <w:left w:val="nil"/>
              <w:bottom w:val="nil"/>
              <w:right w:val="nil"/>
            </w:tcBorders>
            <w:shd w:val="clear" w:color="auto" w:fill="auto"/>
            <w:noWrap/>
            <w:vAlign w:val="bottom"/>
          </w:tcPr>
          <w:p w14:paraId="11D9A0D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.629</w:t>
            </w:r>
          </w:p>
        </w:tc>
      </w:tr>
      <w:tr w:rsidR="005B3539" w:rsidRPr="006C388E" w14:paraId="37916C42" w14:textId="77777777" w:rsidTr="005B3539">
        <w:trPr>
          <w:trHeight w:val="202"/>
        </w:trPr>
        <w:tc>
          <w:tcPr>
            <w:tcW w:w="1000" w:type="pct"/>
            <w:tcBorders>
              <w:top w:val="nil"/>
              <w:left w:val="nil"/>
              <w:bottom w:val="nil"/>
              <w:right w:val="nil"/>
            </w:tcBorders>
            <w:shd w:val="clear" w:color="auto" w:fill="auto"/>
            <w:noWrap/>
            <w:vAlign w:val="center"/>
            <w:hideMark/>
          </w:tcPr>
          <w:p w14:paraId="2EB225B9" w14:textId="77777777" w:rsidR="005B3539" w:rsidRPr="006C388E" w:rsidRDefault="005B3539" w:rsidP="005B3539">
            <w:pPr>
              <w:rPr>
                <w:sz w:val="20"/>
                <w:szCs w:val="20"/>
                <w:lang w:eastAsia="es-ES"/>
              </w:rPr>
            </w:pPr>
            <w:r w:rsidRPr="006C388E">
              <w:rPr>
                <w:sz w:val="20"/>
                <w:szCs w:val="20"/>
                <w:lang w:eastAsia="es-ES"/>
              </w:rPr>
              <w:t>P21</w:t>
            </w:r>
          </w:p>
        </w:tc>
        <w:tc>
          <w:tcPr>
            <w:tcW w:w="1000" w:type="pct"/>
            <w:tcBorders>
              <w:top w:val="nil"/>
              <w:left w:val="nil"/>
              <w:bottom w:val="nil"/>
              <w:right w:val="nil"/>
            </w:tcBorders>
            <w:shd w:val="clear" w:color="auto" w:fill="auto"/>
            <w:noWrap/>
            <w:vAlign w:val="bottom"/>
          </w:tcPr>
          <w:p w14:paraId="035E00C1" w14:textId="77777777" w:rsidR="005B3539" w:rsidRPr="006C388E" w:rsidRDefault="005B3539" w:rsidP="005B3539">
            <w:pPr>
              <w:rPr>
                <w:sz w:val="20"/>
                <w:szCs w:val="20"/>
                <w:lang w:eastAsia="es-ES"/>
              </w:rPr>
            </w:pPr>
          </w:p>
        </w:tc>
        <w:tc>
          <w:tcPr>
            <w:tcW w:w="1000" w:type="pct"/>
            <w:tcBorders>
              <w:top w:val="nil"/>
              <w:left w:val="nil"/>
              <w:bottom w:val="nil"/>
              <w:right w:val="nil"/>
            </w:tcBorders>
            <w:shd w:val="clear" w:color="auto" w:fill="auto"/>
            <w:noWrap/>
            <w:vAlign w:val="bottom"/>
          </w:tcPr>
          <w:p w14:paraId="484F97B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.819</w:t>
            </w:r>
          </w:p>
        </w:tc>
        <w:tc>
          <w:tcPr>
            <w:tcW w:w="1000" w:type="pct"/>
            <w:tcBorders>
              <w:top w:val="nil"/>
              <w:left w:val="nil"/>
              <w:bottom w:val="nil"/>
              <w:right w:val="nil"/>
            </w:tcBorders>
            <w:shd w:val="clear" w:color="auto" w:fill="auto"/>
            <w:vAlign w:val="center"/>
          </w:tcPr>
          <w:p w14:paraId="307C631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.671</w:t>
            </w:r>
          </w:p>
        </w:tc>
        <w:tc>
          <w:tcPr>
            <w:tcW w:w="1000" w:type="pct"/>
            <w:tcBorders>
              <w:top w:val="nil"/>
              <w:left w:val="nil"/>
              <w:bottom w:val="nil"/>
              <w:right w:val="nil"/>
            </w:tcBorders>
            <w:shd w:val="clear" w:color="auto" w:fill="auto"/>
            <w:noWrap/>
            <w:vAlign w:val="bottom"/>
          </w:tcPr>
          <w:p w14:paraId="2EF2E6EA"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.329</w:t>
            </w:r>
          </w:p>
        </w:tc>
      </w:tr>
      <w:tr w:rsidR="005B3539" w:rsidRPr="006C388E" w14:paraId="3A570B7D" w14:textId="77777777" w:rsidTr="005B3539">
        <w:trPr>
          <w:trHeight w:val="202"/>
        </w:trPr>
        <w:tc>
          <w:tcPr>
            <w:tcW w:w="1000" w:type="pct"/>
            <w:tcBorders>
              <w:top w:val="nil"/>
              <w:left w:val="nil"/>
              <w:bottom w:val="single" w:sz="4" w:space="0" w:color="auto"/>
              <w:right w:val="nil"/>
            </w:tcBorders>
            <w:shd w:val="clear" w:color="auto" w:fill="auto"/>
            <w:noWrap/>
            <w:vAlign w:val="center"/>
            <w:hideMark/>
          </w:tcPr>
          <w:p w14:paraId="60F3043B" w14:textId="77777777" w:rsidR="005B3539" w:rsidRPr="006C388E" w:rsidRDefault="005B3539" w:rsidP="005B3539">
            <w:pPr>
              <w:rPr>
                <w:sz w:val="20"/>
                <w:szCs w:val="20"/>
                <w:lang w:eastAsia="es-ES"/>
              </w:rPr>
            </w:pPr>
            <w:r w:rsidRPr="006C388E">
              <w:rPr>
                <w:sz w:val="20"/>
                <w:szCs w:val="20"/>
                <w:lang w:eastAsia="es-ES"/>
              </w:rPr>
              <w:t>P23</w:t>
            </w:r>
          </w:p>
        </w:tc>
        <w:tc>
          <w:tcPr>
            <w:tcW w:w="1000" w:type="pct"/>
            <w:tcBorders>
              <w:top w:val="nil"/>
              <w:left w:val="nil"/>
              <w:bottom w:val="single" w:sz="4" w:space="0" w:color="auto"/>
              <w:right w:val="nil"/>
            </w:tcBorders>
            <w:shd w:val="clear" w:color="auto" w:fill="auto"/>
            <w:noWrap/>
            <w:vAlign w:val="bottom"/>
          </w:tcPr>
          <w:p w14:paraId="65F6269F" w14:textId="77777777" w:rsidR="005B3539" w:rsidRPr="006C388E" w:rsidRDefault="005B3539" w:rsidP="005B3539">
            <w:pPr>
              <w:jc w:val="center"/>
              <w:rPr>
                <w:color w:val="000000"/>
                <w:sz w:val="20"/>
                <w:szCs w:val="20"/>
                <w:lang w:eastAsia="es-ES"/>
              </w:rPr>
            </w:pPr>
          </w:p>
        </w:tc>
        <w:tc>
          <w:tcPr>
            <w:tcW w:w="1000" w:type="pct"/>
            <w:tcBorders>
              <w:top w:val="nil"/>
              <w:left w:val="nil"/>
              <w:bottom w:val="single" w:sz="4" w:space="0" w:color="auto"/>
              <w:right w:val="nil"/>
            </w:tcBorders>
            <w:shd w:val="clear" w:color="auto" w:fill="auto"/>
            <w:noWrap/>
            <w:vAlign w:val="bottom"/>
          </w:tcPr>
          <w:p w14:paraId="2F347DC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.594</w:t>
            </w:r>
          </w:p>
        </w:tc>
        <w:tc>
          <w:tcPr>
            <w:tcW w:w="1000" w:type="pct"/>
            <w:tcBorders>
              <w:top w:val="nil"/>
              <w:left w:val="nil"/>
              <w:bottom w:val="single" w:sz="4" w:space="0" w:color="auto"/>
              <w:right w:val="nil"/>
            </w:tcBorders>
            <w:shd w:val="clear" w:color="auto" w:fill="auto"/>
            <w:vAlign w:val="center"/>
          </w:tcPr>
          <w:p w14:paraId="0BC9F0D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.353</w:t>
            </w:r>
          </w:p>
        </w:tc>
        <w:tc>
          <w:tcPr>
            <w:tcW w:w="1000" w:type="pct"/>
            <w:tcBorders>
              <w:top w:val="nil"/>
              <w:left w:val="nil"/>
              <w:bottom w:val="single" w:sz="4" w:space="0" w:color="auto"/>
              <w:right w:val="nil"/>
            </w:tcBorders>
            <w:shd w:val="clear" w:color="auto" w:fill="auto"/>
            <w:noWrap/>
            <w:vAlign w:val="bottom"/>
          </w:tcPr>
          <w:p w14:paraId="5D2A499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.647</w:t>
            </w:r>
          </w:p>
        </w:tc>
      </w:tr>
      <w:tr w:rsidR="005B3539" w:rsidRPr="006C388E" w14:paraId="1DB31C71" w14:textId="77777777" w:rsidTr="005B3539">
        <w:trPr>
          <w:trHeight w:val="202"/>
        </w:trPr>
        <w:tc>
          <w:tcPr>
            <w:tcW w:w="1000" w:type="pct"/>
            <w:tcBorders>
              <w:top w:val="nil"/>
              <w:left w:val="nil"/>
              <w:bottom w:val="single" w:sz="4" w:space="0" w:color="auto"/>
              <w:right w:val="nil"/>
            </w:tcBorders>
            <w:shd w:val="clear" w:color="auto" w:fill="auto"/>
            <w:noWrap/>
            <w:vAlign w:val="center"/>
            <w:hideMark/>
          </w:tcPr>
          <w:p w14:paraId="38609320" w14:textId="77777777" w:rsidR="005B3539" w:rsidRPr="006C388E" w:rsidRDefault="005B3539" w:rsidP="005B3539">
            <w:pPr>
              <w:rPr>
                <w:color w:val="000000"/>
                <w:sz w:val="20"/>
                <w:szCs w:val="20"/>
                <w:lang w:eastAsia="es-ES"/>
              </w:rPr>
            </w:pPr>
            <w:r w:rsidRPr="006C388E">
              <w:rPr>
                <w:color w:val="000000"/>
                <w:sz w:val="20"/>
                <w:szCs w:val="20"/>
                <w:lang w:val="es-PE" w:eastAsia="es-ES"/>
              </w:rPr>
              <w:t> </w:t>
            </w:r>
          </w:p>
        </w:tc>
        <w:tc>
          <w:tcPr>
            <w:tcW w:w="1000" w:type="pct"/>
            <w:tcBorders>
              <w:top w:val="nil"/>
              <w:left w:val="nil"/>
              <w:bottom w:val="single" w:sz="4" w:space="0" w:color="auto"/>
              <w:right w:val="nil"/>
            </w:tcBorders>
            <w:shd w:val="clear" w:color="auto" w:fill="auto"/>
            <w:noWrap/>
            <w:vAlign w:val="center"/>
            <w:hideMark/>
          </w:tcPr>
          <w:p w14:paraId="6BF90EDC" w14:textId="77777777" w:rsidR="005B3539" w:rsidRPr="006C388E" w:rsidRDefault="005B3539" w:rsidP="005B3539">
            <w:pPr>
              <w:jc w:val="center"/>
              <w:rPr>
                <w:color w:val="000000"/>
                <w:sz w:val="20"/>
                <w:szCs w:val="20"/>
                <w:lang w:eastAsia="es-ES"/>
              </w:rPr>
            </w:pPr>
            <w:r w:rsidRPr="006C388E">
              <w:rPr>
                <w:color w:val="000000"/>
                <w:sz w:val="20"/>
                <w:szCs w:val="20"/>
                <w:lang w:val="es-PE" w:eastAsia="es-ES"/>
              </w:rPr>
              <w:t>F1</w:t>
            </w:r>
          </w:p>
        </w:tc>
        <w:tc>
          <w:tcPr>
            <w:tcW w:w="1000" w:type="pct"/>
            <w:tcBorders>
              <w:top w:val="nil"/>
              <w:left w:val="nil"/>
              <w:bottom w:val="single" w:sz="4" w:space="0" w:color="auto"/>
              <w:right w:val="nil"/>
            </w:tcBorders>
            <w:shd w:val="clear" w:color="auto" w:fill="auto"/>
            <w:noWrap/>
            <w:vAlign w:val="center"/>
            <w:hideMark/>
          </w:tcPr>
          <w:p w14:paraId="4CBBFEC3" w14:textId="77777777" w:rsidR="005B3539" w:rsidRPr="006C388E" w:rsidRDefault="005B3539" w:rsidP="005B3539">
            <w:pPr>
              <w:jc w:val="center"/>
              <w:rPr>
                <w:color w:val="000000"/>
                <w:sz w:val="20"/>
                <w:szCs w:val="20"/>
                <w:lang w:eastAsia="es-ES"/>
              </w:rPr>
            </w:pPr>
            <w:r w:rsidRPr="006C388E">
              <w:rPr>
                <w:color w:val="000000"/>
                <w:sz w:val="20"/>
                <w:szCs w:val="20"/>
                <w:lang w:val="es-PE" w:eastAsia="es-ES"/>
              </w:rPr>
              <w:t>F2</w:t>
            </w:r>
          </w:p>
        </w:tc>
        <w:tc>
          <w:tcPr>
            <w:tcW w:w="1000" w:type="pct"/>
            <w:tcBorders>
              <w:top w:val="nil"/>
              <w:left w:val="nil"/>
              <w:bottom w:val="single" w:sz="4" w:space="0" w:color="auto"/>
              <w:right w:val="nil"/>
            </w:tcBorders>
            <w:shd w:val="clear" w:color="auto" w:fill="auto"/>
            <w:vAlign w:val="center"/>
            <w:hideMark/>
          </w:tcPr>
          <w:p w14:paraId="63296DF5" w14:textId="77777777" w:rsidR="005B3539" w:rsidRPr="006C388E" w:rsidRDefault="005B3539" w:rsidP="005B3539">
            <w:pPr>
              <w:jc w:val="center"/>
              <w:rPr>
                <w:color w:val="000000"/>
                <w:sz w:val="20"/>
                <w:szCs w:val="20"/>
                <w:lang w:eastAsia="es-ES"/>
              </w:rPr>
            </w:pPr>
            <w:r w:rsidRPr="006C388E">
              <w:rPr>
                <w:color w:val="000000"/>
                <w:sz w:val="20"/>
                <w:szCs w:val="20"/>
                <w:lang w:val="es-PE" w:eastAsia="es-ES"/>
              </w:rPr>
              <w:t> </w:t>
            </w:r>
          </w:p>
        </w:tc>
        <w:tc>
          <w:tcPr>
            <w:tcW w:w="1000" w:type="pct"/>
            <w:tcBorders>
              <w:top w:val="nil"/>
              <w:left w:val="nil"/>
              <w:bottom w:val="single" w:sz="4" w:space="0" w:color="auto"/>
              <w:right w:val="nil"/>
            </w:tcBorders>
            <w:shd w:val="clear" w:color="auto" w:fill="auto"/>
            <w:noWrap/>
            <w:vAlign w:val="bottom"/>
            <w:hideMark/>
          </w:tcPr>
          <w:p w14:paraId="476C3827" w14:textId="77777777" w:rsidR="005B3539" w:rsidRPr="006C388E" w:rsidRDefault="005B3539" w:rsidP="005B3539">
            <w:pPr>
              <w:rPr>
                <w:color w:val="000000"/>
                <w:sz w:val="20"/>
                <w:szCs w:val="20"/>
                <w:lang w:eastAsia="es-ES"/>
              </w:rPr>
            </w:pPr>
            <w:r w:rsidRPr="006C388E">
              <w:rPr>
                <w:color w:val="000000"/>
                <w:sz w:val="20"/>
                <w:szCs w:val="20"/>
                <w:lang w:eastAsia="es-ES"/>
              </w:rPr>
              <w:t> </w:t>
            </w:r>
          </w:p>
        </w:tc>
      </w:tr>
      <w:tr w:rsidR="005B3539" w:rsidRPr="006C388E" w14:paraId="1EB798A4" w14:textId="77777777" w:rsidTr="005B3539">
        <w:trPr>
          <w:trHeight w:val="202"/>
        </w:trPr>
        <w:tc>
          <w:tcPr>
            <w:tcW w:w="1000" w:type="pct"/>
            <w:tcBorders>
              <w:top w:val="nil"/>
              <w:left w:val="nil"/>
              <w:right w:val="nil"/>
            </w:tcBorders>
            <w:shd w:val="clear" w:color="auto" w:fill="auto"/>
            <w:noWrap/>
            <w:vAlign w:val="center"/>
            <w:hideMark/>
          </w:tcPr>
          <w:p w14:paraId="7B56E095" w14:textId="77777777" w:rsidR="005B3539" w:rsidRPr="006C388E" w:rsidRDefault="005B3539" w:rsidP="005B3539">
            <w:pPr>
              <w:rPr>
                <w:color w:val="000000"/>
                <w:sz w:val="20"/>
                <w:szCs w:val="20"/>
                <w:lang w:eastAsia="es-ES"/>
              </w:rPr>
            </w:pPr>
            <w:r w:rsidRPr="006C388E">
              <w:rPr>
                <w:color w:val="000000"/>
                <w:sz w:val="20"/>
                <w:szCs w:val="20"/>
                <w:lang w:val="es-PE" w:eastAsia="es-ES"/>
              </w:rPr>
              <w:t>F1</w:t>
            </w:r>
          </w:p>
        </w:tc>
        <w:tc>
          <w:tcPr>
            <w:tcW w:w="1000" w:type="pct"/>
            <w:tcBorders>
              <w:top w:val="nil"/>
              <w:left w:val="nil"/>
              <w:right w:val="nil"/>
            </w:tcBorders>
            <w:shd w:val="clear" w:color="auto" w:fill="auto"/>
            <w:noWrap/>
            <w:vAlign w:val="center"/>
            <w:hideMark/>
          </w:tcPr>
          <w:p w14:paraId="4EF2A38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w:t>
            </w:r>
          </w:p>
        </w:tc>
        <w:tc>
          <w:tcPr>
            <w:tcW w:w="1000" w:type="pct"/>
            <w:tcBorders>
              <w:top w:val="nil"/>
              <w:left w:val="nil"/>
              <w:right w:val="nil"/>
            </w:tcBorders>
            <w:shd w:val="clear" w:color="auto" w:fill="auto"/>
            <w:noWrap/>
            <w:vAlign w:val="center"/>
            <w:hideMark/>
          </w:tcPr>
          <w:p w14:paraId="4D790F98" w14:textId="77777777" w:rsidR="005B3539" w:rsidRPr="006C388E" w:rsidRDefault="005B3539" w:rsidP="005B3539">
            <w:pPr>
              <w:jc w:val="center"/>
              <w:rPr>
                <w:color w:val="000000"/>
                <w:sz w:val="20"/>
                <w:szCs w:val="20"/>
                <w:lang w:eastAsia="es-ES"/>
              </w:rPr>
            </w:pPr>
          </w:p>
        </w:tc>
        <w:tc>
          <w:tcPr>
            <w:tcW w:w="1000" w:type="pct"/>
            <w:tcBorders>
              <w:top w:val="nil"/>
              <w:left w:val="nil"/>
              <w:right w:val="nil"/>
            </w:tcBorders>
            <w:shd w:val="clear" w:color="auto" w:fill="auto"/>
            <w:vAlign w:val="center"/>
            <w:hideMark/>
          </w:tcPr>
          <w:p w14:paraId="38581CFA" w14:textId="77777777" w:rsidR="005B3539" w:rsidRPr="006C388E" w:rsidRDefault="005B3539" w:rsidP="005B3539">
            <w:pPr>
              <w:jc w:val="center"/>
              <w:rPr>
                <w:color w:val="000000"/>
                <w:sz w:val="20"/>
                <w:szCs w:val="20"/>
                <w:lang w:eastAsia="es-ES"/>
              </w:rPr>
            </w:pPr>
            <w:r w:rsidRPr="006C388E">
              <w:rPr>
                <w:color w:val="000000"/>
                <w:sz w:val="20"/>
                <w:szCs w:val="20"/>
                <w:lang w:val="es-PE" w:eastAsia="es-ES"/>
              </w:rPr>
              <w:t>-</w:t>
            </w:r>
          </w:p>
        </w:tc>
        <w:tc>
          <w:tcPr>
            <w:tcW w:w="1000" w:type="pct"/>
            <w:tcBorders>
              <w:top w:val="nil"/>
              <w:left w:val="nil"/>
              <w:right w:val="nil"/>
            </w:tcBorders>
            <w:shd w:val="clear" w:color="auto" w:fill="auto"/>
            <w:noWrap/>
            <w:vAlign w:val="bottom"/>
            <w:hideMark/>
          </w:tcPr>
          <w:p w14:paraId="275C65BC" w14:textId="77777777" w:rsidR="005B3539" w:rsidRPr="006C388E" w:rsidRDefault="005B3539" w:rsidP="005B3539">
            <w:pPr>
              <w:jc w:val="center"/>
              <w:rPr>
                <w:color w:val="000000"/>
                <w:sz w:val="20"/>
                <w:szCs w:val="20"/>
                <w:lang w:eastAsia="es-ES"/>
              </w:rPr>
            </w:pPr>
            <w:r w:rsidRPr="006C388E">
              <w:rPr>
                <w:color w:val="000000"/>
                <w:sz w:val="20"/>
                <w:szCs w:val="20"/>
                <w:lang w:eastAsia="es-ES"/>
              </w:rPr>
              <w:t>-</w:t>
            </w:r>
          </w:p>
        </w:tc>
      </w:tr>
      <w:tr w:rsidR="005B3539" w:rsidRPr="006C388E" w14:paraId="4BC1DBCD" w14:textId="77777777" w:rsidTr="005B3539">
        <w:trPr>
          <w:trHeight w:val="202"/>
        </w:trPr>
        <w:tc>
          <w:tcPr>
            <w:tcW w:w="1000" w:type="pct"/>
            <w:tcBorders>
              <w:top w:val="nil"/>
              <w:left w:val="nil"/>
              <w:bottom w:val="single" w:sz="4" w:space="0" w:color="auto"/>
              <w:right w:val="nil"/>
            </w:tcBorders>
            <w:shd w:val="clear" w:color="auto" w:fill="auto"/>
            <w:noWrap/>
            <w:vAlign w:val="center"/>
            <w:hideMark/>
          </w:tcPr>
          <w:p w14:paraId="0467A007" w14:textId="77777777" w:rsidR="005B3539" w:rsidRPr="006C388E" w:rsidRDefault="005B3539" w:rsidP="005B3539">
            <w:pPr>
              <w:rPr>
                <w:color w:val="000000"/>
                <w:sz w:val="20"/>
                <w:szCs w:val="20"/>
                <w:lang w:eastAsia="es-ES"/>
              </w:rPr>
            </w:pPr>
            <w:r w:rsidRPr="006C388E">
              <w:rPr>
                <w:color w:val="000000"/>
                <w:sz w:val="20"/>
                <w:szCs w:val="20"/>
                <w:lang w:val="es-PE" w:eastAsia="es-ES"/>
              </w:rPr>
              <w:t>F2</w:t>
            </w:r>
          </w:p>
        </w:tc>
        <w:tc>
          <w:tcPr>
            <w:tcW w:w="1000" w:type="pct"/>
            <w:tcBorders>
              <w:top w:val="nil"/>
              <w:left w:val="nil"/>
              <w:bottom w:val="single" w:sz="4" w:space="0" w:color="auto"/>
              <w:right w:val="nil"/>
            </w:tcBorders>
            <w:shd w:val="clear" w:color="auto" w:fill="auto"/>
            <w:noWrap/>
            <w:vAlign w:val="center"/>
            <w:hideMark/>
          </w:tcPr>
          <w:p w14:paraId="1672D4D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.786</w:t>
            </w:r>
          </w:p>
        </w:tc>
        <w:tc>
          <w:tcPr>
            <w:tcW w:w="1000" w:type="pct"/>
            <w:tcBorders>
              <w:top w:val="nil"/>
              <w:left w:val="nil"/>
              <w:bottom w:val="single" w:sz="4" w:space="0" w:color="auto"/>
              <w:right w:val="nil"/>
            </w:tcBorders>
            <w:shd w:val="clear" w:color="auto" w:fill="auto"/>
            <w:noWrap/>
            <w:vAlign w:val="center"/>
            <w:hideMark/>
          </w:tcPr>
          <w:p w14:paraId="4E5CA4C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w:t>
            </w:r>
          </w:p>
        </w:tc>
        <w:tc>
          <w:tcPr>
            <w:tcW w:w="1000" w:type="pct"/>
            <w:tcBorders>
              <w:top w:val="nil"/>
              <w:left w:val="nil"/>
              <w:bottom w:val="single" w:sz="4" w:space="0" w:color="auto"/>
              <w:right w:val="nil"/>
            </w:tcBorders>
            <w:shd w:val="clear" w:color="auto" w:fill="auto"/>
            <w:vAlign w:val="center"/>
            <w:hideMark/>
          </w:tcPr>
          <w:p w14:paraId="53298017" w14:textId="77777777" w:rsidR="005B3539" w:rsidRPr="006C388E" w:rsidRDefault="005B3539" w:rsidP="005B3539">
            <w:pPr>
              <w:jc w:val="center"/>
              <w:rPr>
                <w:color w:val="000000"/>
                <w:sz w:val="20"/>
                <w:szCs w:val="20"/>
                <w:lang w:eastAsia="es-ES"/>
              </w:rPr>
            </w:pPr>
            <w:r w:rsidRPr="006C388E">
              <w:rPr>
                <w:color w:val="000000"/>
                <w:sz w:val="20"/>
                <w:szCs w:val="20"/>
                <w:lang w:val="es-PE" w:eastAsia="es-ES"/>
              </w:rPr>
              <w:t>-</w:t>
            </w:r>
          </w:p>
        </w:tc>
        <w:tc>
          <w:tcPr>
            <w:tcW w:w="1000" w:type="pct"/>
            <w:tcBorders>
              <w:top w:val="nil"/>
              <w:left w:val="nil"/>
              <w:bottom w:val="single" w:sz="4" w:space="0" w:color="auto"/>
              <w:right w:val="nil"/>
            </w:tcBorders>
            <w:shd w:val="clear" w:color="auto" w:fill="auto"/>
            <w:noWrap/>
            <w:vAlign w:val="bottom"/>
            <w:hideMark/>
          </w:tcPr>
          <w:p w14:paraId="7A23D57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w:t>
            </w:r>
          </w:p>
        </w:tc>
      </w:tr>
      <w:tr w:rsidR="005B3539" w:rsidRPr="006C388E" w14:paraId="608E0DAD" w14:textId="77777777" w:rsidTr="005B3539">
        <w:trPr>
          <w:trHeight w:val="202"/>
        </w:trPr>
        <w:tc>
          <w:tcPr>
            <w:tcW w:w="1000" w:type="pct"/>
            <w:tcBorders>
              <w:top w:val="single" w:sz="4" w:space="0" w:color="auto"/>
              <w:left w:val="nil"/>
              <w:bottom w:val="nil"/>
              <w:right w:val="nil"/>
            </w:tcBorders>
            <w:shd w:val="clear" w:color="auto" w:fill="auto"/>
            <w:vAlign w:val="center"/>
            <w:hideMark/>
          </w:tcPr>
          <w:p w14:paraId="671A14B9" w14:textId="77777777" w:rsidR="005B3539" w:rsidRPr="006C388E" w:rsidRDefault="005B3539" w:rsidP="005B3539">
            <w:pPr>
              <w:rPr>
                <w:color w:val="000000"/>
                <w:sz w:val="20"/>
                <w:szCs w:val="20"/>
                <w:lang w:eastAsia="es-ES"/>
              </w:rPr>
            </w:pPr>
            <w:r w:rsidRPr="006C388E">
              <w:rPr>
                <w:color w:val="000000"/>
                <w:sz w:val="20"/>
                <w:szCs w:val="20"/>
                <w:lang w:val="es-PE" w:eastAsia="es-ES"/>
              </w:rPr>
              <w:t>AVE</w:t>
            </w:r>
          </w:p>
        </w:tc>
        <w:tc>
          <w:tcPr>
            <w:tcW w:w="1000" w:type="pct"/>
            <w:tcBorders>
              <w:top w:val="single" w:sz="4" w:space="0" w:color="auto"/>
              <w:left w:val="nil"/>
              <w:bottom w:val="nil"/>
              <w:right w:val="nil"/>
            </w:tcBorders>
            <w:shd w:val="clear" w:color="auto" w:fill="auto"/>
            <w:noWrap/>
            <w:vAlign w:val="center"/>
          </w:tcPr>
          <w:p w14:paraId="6E99E175" w14:textId="77777777" w:rsidR="005B3539" w:rsidRPr="006C388E" w:rsidRDefault="005B3539" w:rsidP="005B3539">
            <w:pPr>
              <w:jc w:val="center"/>
              <w:rPr>
                <w:color w:val="000000"/>
                <w:sz w:val="20"/>
                <w:szCs w:val="20"/>
                <w:lang w:eastAsia="es-ES"/>
              </w:rPr>
            </w:pPr>
            <w:r w:rsidRPr="006C388E">
              <w:rPr>
                <w:color w:val="000000"/>
                <w:sz w:val="20"/>
                <w:szCs w:val="20"/>
                <w:lang w:eastAsia="es-ES"/>
              </w:rPr>
              <w:t>.374</w:t>
            </w:r>
          </w:p>
        </w:tc>
        <w:tc>
          <w:tcPr>
            <w:tcW w:w="1000" w:type="pct"/>
            <w:tcBorders>
              <w:top w:val="single" w:sz="4" w:space="0" w:color="auto"/>
              <w:left w:val="nil"/>
              <w:bottom w:val="nil"/>
              <w:right w:val="nil"/>
            </w:tcBorders>
            <w:shd w:val="clear" w:color="auto" w:fill="auto"/>
            <w:noWrap/>
            <w:vAlign w:val="center"/>
          </w:tcPr>
          <w:p w14:paraId="206B470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.410</w:t>
            </w:r>
          </w:p>
        </w:tc>
        <w:tc>
          <w:tcPr>
            <w:tcW w:w="1000" w:type="pct"/>
            <w:tcBorders>
              <w:top w:val="single" w:sz="4" w:space="0" w:color="auto"/>
              <w:left w:val="nil"/>
              <w:bottom w:val="nil"/>
              <w:right w:val="nil"/>
            </w:tcBorders>
            <w:shd w:val="clear" w:color="auto" w:fill="auto"/>
            <w:vAlign w:val="center"/>
            <w:hideMark/>
          </w:tcPr>
          <w:p w14:paraId="4E91C02C" w14:textId="77777777" w:rsidR="005B3539" w:rsidRPr="006C388E" w:rsidRDefault="005B3539" w:rsidP="005B3539">
            <w:pPr>
              <w:jc w:val="center"/>
              <w:rPr>
                <w:color w:val="000000"/>
                <w:sz w:val="20"/>
                <w:szCs w:val="20"/>
                <w:lang w:eastAsia="es-ES"/>
              </w:rPr>
            </w:pPr>
            <w:r w:rsidRPr="006C388E">
              <w:rPr>
                <w:color w:val="000000"/>
                <w:sz w:val="20"/>
                <w:szCs w:val="20"/>
                <w:lang w:val="es-PE" w:eastAsia="es-ES"/>
              </w:rPr>
              <w:t>-</w:t>
            </w:r>
          </w:p>
        </w:tc>
        <w:tc>
          <w:tcPr>
            <w:tcW w:w="1000" w:type="pct"/>
            <w:tcBorders>
              <w:top w:val="single" w:sz="4" w:space="0" w:color="auto"/>
              <w:left w:val="nil"/>
              <w:bottom w:val="nil"/>
              <w:right w:val="nil"/>
            </w:tcBorders>
            <w:shd w:val="clear" w:color="auto" w:fill="auto"/>
            <w:noWrap/>
            <w:vAlign w:val="bottom"/>
            <w:hideMark/>
          </w:tcPr>
          <w:p w14:paraId="48863AE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w:t>
            </w:r>
          </w:p>
        </w:tc>
      </w:tr>
      <w:tr w:rsidR="005B3539" w:rsidRPr="006C388E" w14:paraId="653B1C68" w14:textId="77777777" w:rsidTr="005B3539">
        <w:trPr>
          <w:trHeight w:val="80"/>
        </w:trPr>
        <w:tc>
          <w:tcPr>
            <w:tcW w:w="1000" w:type="pct"/>
            <w:tcBorders>
              <w:top w:val="nil"/>
              <w:left w:val="nil"/>
              <w:bottom w:val="single" w:sz="4" w:space="0" w:color="auto"/>
              <w:right w:val="nil"/>
            </w:tcBorders>
            <w:shd w:val="clear" w:color="auto" w:fill="auto"/>
            <w:vAlign w:val="center"/>
            <w:hideMark/>
          </w:tcPr>
          <w:p w14:paraId="44AF7F50" w14:textId="77777777" w:rsidR="005B3539" w:rsidRPr="006C388E" w:rsidRDefault="005B3539" w:rsidP="005B3539">
            <w:pPr>
              <w:rPr>
                <w:color w:val="000000"/>
                <w:sz w:val="20"/>
                <w:szCs w:val="20"/>
                <w:lang w:eastAsia="es-ES"/>
              </w:rPr>
            </w:pPr>
            <w:r w:rsidRPr="006C388E">
              <w:rPr>
                <w:color w:val="000000"/>
                <w:sz w:val="20"/>
                <w:szCs w:val="20"/>
                <w:lang w:val="es-PE" w:eastAsia="es-ES"/>
              </w:rPr>
              <w:t>FC</w:t>
            </w:r>
          </w:p>
        </w:tc>
        <w:tc>
          <w:tcPr>
            <w:tcW w:w="1000" w:type="pct"/>
            <w:tcBorders>
              <w:top w:val="nil"/>
              <w:left w:val="nil"/>
              <w:bottom w:val="single" w:sz="4" w:space="0" w:color="auto"/>
              <w:right w:val="nil"/>
            </w:tcBorders>
            <w:shd w:val="clear" w:color="auto" w:fill="auto"/>
            <w:noWrap/>
            <w:vAlign w:val="center"/>
          </w:tcPr>
          <w:p w14:paraId="1BB3F54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.864</w:t>
            </w:r>
          </w:p>
        </w:tc>
        <w:tc>
          <w:tcPr>
            <w:tcW w:w="1000" w:type="pct"/>
            <w:tcBorders>
              <w:top w:val="nil"/>
              <w:left w:val="nil"/>
              <w:bottom w:val="single" w:sz="4" w:space="0" w:color="auto"/>
              <w:right w:val="nil"/>
            </w:tcBorders>
            <w:shd w:val="clear" w:color="auto" w:fill="auto"/>
            <w:noWrap/>
            <w:vAlign w:val="center"/>
          </w:tcPr>
          <w:p w14:paraId="61D4AC9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.750</w:t>
            </w:r>
          </w:p>
        </w:tc>
        <w:tc>
          <w:tcPr>
            <w:tcW w:w="1000" w:type="pct"/>
            <w:tcBorders>
              <w:top w:val="nil"/>
              <w:left w:val="nil"/>
              <w:bottom w:val="single" w:sz="4" w:space="0" w:color="auto"/>
              <w:right w:val="nil"/>
            </w:tcBorders>
            <w:shd w:val="clear" w:color="auto" w:fill="auto"/>
            <w:vAlign w:val="center"/>
            <w:hideMark/>
          </w:tcPr>
          <w:p w14:paraId="36EEA906" w14:textId="77777777" w:rsidR="005B3539" w:rsidRPr="006C388E" w:rsidRDefault="005B3539" w:rsidP="005B3539">
            <w:pPr>
              <w:jc w:val="center"/>
              <w:rPr>
                <w:color w:val="000000"/>
                <w:sz w:val="20"/>
                <w:szCs w:val="20"/>
                <w:lang w:eastAsia="es-ES"/>
              </w:rPr>
            </w:pPr>
            <w:r w:rsidRPr="006C388E">
              <w:rPr>
                <w:color w:val="000000"/>
                <w:sz w:val="20"/>
                <w:szCs w:val="20"/>
                <w:lang w:val="es-PE" w:eastAsia="es-ES"/>
              </w:rPr>
              <w:t>-</w:t>
            </w:r>
          </w:p>
        </w:tc>
        <w:tc>
          <w:tcPr>
            <w:tcW w:w="1000" w:type="pct"/>
            <w:tcBorders>
              <w:top w:val="nil"/>
              <w:left w:val="nil"/>
              <w:bottom w:val="single" w:sz="4" w:space="0" w:color="auto"/>
              <w:right w:val="nil"/>
            </w:tcBorders>
            <w:shd w:val="clear" w:color="auto" w:fill="auto"/>
            <w:noWrap/>
            <w:vAlign w:val="bottom"/>
            <w:hideMark/>
          </w:tcPr>
          <w:p w14:paraId="7CD7288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w:t>
            </w:r>
          </w:p>
        </w:tc>
      </w:tr>
    </w:tbl>
    <w:p w14:paraId="0EDA05DD" w14:textId="77777777" w:rsidR="005B3539" w:rsidRPr="008B5E0F" w:rsidRDefault="005B3539" w:rsidP="005B3539">
      <w:pPr>
        <w:spacing w:line="480" w:lineRule="auto"/>
        <w:jc w:val="center"/>
        <w:rPr>
          <w:b/>
          <w:bCs/>
        </w:rPr>
      </w:pPr>
    </w:p>
    <w:p w14:paraId="5D1F9EA3" w14:textId="77777777" w:rsidR="005B3539" w:rsidRPr="000A6D56" w:rsidRDefault="005B3539" w:rsidP="005B3539">
      <w:pPr>
        <w:spacing w:line="480" w:lineRule="auto"/>
        <w:jc w:val="both"/>
        <w:rPr>
          <w:b/>
          <w:bCs/>
        </w:rPr>
      </w:pPr>
      <w:r w:rsidRPr="000A6D56">
        <w:rPr>
          <w:b/>
          <w:bCs/>
        </w:rPr>
        <w:t xml:space="preserve">Invarianza de la medida </w:t>
      </w:r>
      <w:r>
        <w:rPr>
          <w:b/>
          <w:bCs/>
        </w:rPr>
        <w:t>según condición de residencia</w:t>
      </w:r>
      <w:r w:rsidRPr="000A6D56">
        <w:rPr>
          <w:b/>
          <w:bCs/>
        </w:rPr>
        <w:t>.</w:t>
      </w:r>
    </w:p>
    <w:p w14:paraId="2115CBA0" w14:textId="3F01890B" w:rsidR="005B3539" w:rsidRDefault="005B3539" w:rsidP="005B3539">
      <w:pPr>
        <w:spacing w:line="480" w:lineRule="auto"/>
        <w:ind w:firstLine="720"/>
        <w:jc w:val="both"/>
      </w:pPr>
      <w:r w:rsidRPr="000A6D56">
        <w:t>Adicionalmente, se analizó la invarianza de</w:t>
      </w:r>
      <w:r w:rsidRPr="00674528">
        <w:t xml:space="preserve">l </w:t>
      </w:r>
      <w:r>
        <w:t>RPQ</w:t>
      </w:r>
      <w:r w:rsidRPr="000A6D56">
        <w:t xml:space="preserve">, </w:t>
      </w:r>
      <w:r w:rsidRPr="00674528">
        <w:t xml:space="preserve">cuyos resultados muestran que los </w:t>
      </w:r>
      <w:r w:rsidRPr="000A6D56">
        <w:t>ΔCFI</w:t>
      </w:r>
      <w:r w:rsidRPr="00674528">
        <w:t xml:space="preserve">, </w:t>
      </w:r>
      <w:r w:rsidRPr="000A6D56">
        <w:t>Δ</w:t>
      </w:r>
      <w:r w:rsidRPr="00674528">
        <w:t xml:space="preserve">RMSEA y </w:t>
      </w:r>
      <w:r w:rsidRPr="000A6D56">
        <w:t>Δ</w:t>
      </w:r>
      <w:r w:rsidRPr="00674528">
        <w:t xml:space="preserve">SRMR se encuentran dentro de los parámetros sugeridos </w:t>
      </w:r>
      <w:r w:rsidRPr="000A6D56">
        <w:t>(Byrne, 2008</w:t>
      </w:r>
      <w:r w:rsidRPr="00674528">
        <w:t xml:space="preserve">; </w:t>
      </w:r>
      <w:r w:rsidRPr="00674528">
        <w:rPr>
          <w:bCs/>
        </w:rPr>
        <w:t>Chen, 2007</w:t>
      </w:r>
      <w:r w:rsidRPr="000A6D56">
        <w:t xml:space="preserve">). Estos hallazgos </w:t>
      </w:r>
      <w:r w:rsidRPr="00674528">
        <w:t>permiten establecer la</w:t>
      </w:r>
      <w:r w:rsidRPr="000A6D56">
        <w:t xml:space="preserve"> invarianza Configuracional, Métrica, Escalar y Estricta </w:t>
      </w:r>
      <w:r w:rsidRPr="00674528">
        <w:t>de la medida</w:t>
      </w:r>
      <w:r>
        <w:t xml:space="preserve"> de la agresión reactiva y proactiva</w:t>
      </w:r>
      <w:r w:rsidRPr="00674528">
        <w:t xml:space="preserve"> en adolescentes </w:t>
      </w:r>
      <w:r w:rsidR="00E2491B">
        <w:t>infractores</w:t>
      </w:r>
      <w:r w:rsidRPr="00674528">
        <w:t xml:space="preserve"> y no in</w:t>
      </w:r>
      <w:r w:rsidR="00E2491B">
        <w:t>fractores</w:t>
      </w:r>
      <w:r w:rsidRPr="00674528">
        <w:t xml:space="preserve"> (ver </w:t>
      </w:r>
      <w:r w:rsidRPr="000A6D56">
        <w:t xml:space="preserve">Tabla </w:t>
      </w:r>
      <w:r>
        <w:t>3</w:t>
      </w:r>
      <w:r w:rsidRPr="00674528">
        <w:t xml:space="preserve">). </w:t>
      </w:r>
    </w:p>
    <w:p w14:paraId="21BE12BE" w14:textId="77777777" w:rsidR="005B3539" w:rsidRPr="000A6D56" w:rsidRDefault="005B3539" w:rsidP="005B3539">
      <w:pPr>
        <w:jc w:val="both"/>
      </w:pPr>
      <w:bookmarkStart w:id="7" w:name="_Hlk48246858"/>
      <w:r w:rsidRPr="000A6D56">
        <w:lastRenderedPageBreak/>
        <w:t xml:space="preserve">Tabla </w:t>
      </w:r>
      <w:r>
        <w:t>3</w:t>
      </w:r>
      <w:r w:rsidRPr="000A6D56">
        <w:t xml:space="preserve">. </w:t>
      </w:r>
    </w:p>
    <w:p w14:paraId="13E1C437" w14:textId="77777777" w:rsidR="005B3539" w:rsidRPr="000A6D56" w:rsidRDefault="005B3539" w:rsidP="005B3539">
      <w:pPr>
        <w:jc w:val="both"/>
      </w:pPr>
      <w:r w:rsidRPr="000A6D56">
        <w:rPr>
          <w:i/>
          <w:iCs/>
        </w:rPr>
        <w:t xml:space="preserve">Invarianza </w:t>
      </w:r>
      <w:r w:rsidRPr="00674528">
        <w:rPr>
          <w:i/>
          <w:iCs/>
        </w:rPr>
        <w:t xml:space="preserve">del </w:t>
      </w:r>
      <w:r>
        <w:rPr>
          <w:i/>
          <w:iCs/>
        </w:rPr>
        <w:t>RPQ</w:t>
      </w:r>
      <w:r w:rsidRPr="00674528">
        <w:rPr>
          <w:i/>
          <w:iCs/>
        </w:rPr>
        <w:t xml:space="preserve"> según </w:t>
      </w:r>
      <w:r>
        <w:rPr>
          <w:i/>
          <w:iCs/>
        </w:rPr>
        <w:t>condición d</w:t>
      </w:r>
      <w:r w:rsidRPr="00674528">
        <w:rPr>
          <w:i/>
          <w:iCs/>
        </w:rPr>
        <w:t>e residencia</w:t>
      </w:r>
      <w:r w:rsidRPr="000A6D56">
        <w:t xml:space="preserve">.  </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17"/>
        <w:gridCol w:w="1210"/>
        <w:gridCol w:w="892"/>
        <w:gridCol w:w="771"/>
        <w:gridCol w:w="1806"/>
        <w:gridCol w:w="1060"/>
        <w:gridCol w:w="902"/>
        <w:gridCol w:w="902"/>
      </w:tblGrid>
      <w:tr w:rsidR="005B3539" w:rsidRPr="00674528" w14:paraId="4D93CC91" w14:textId="77777777" w:rsidTr="005B3539">
        <w:trPr>
          <w:trHeight w:val="437"/>
        </w:trPr>
        <w:tc>
          <w:tcPr>
            <w:tcW w:w="970" w:type="pct"/>
            <w:tcBorders>
              <w:top w:val="single" w:sz="4" w:space="0" w:color="auto"/>
              <w:bottom w:val="single" w:sz="4" w:space="0" w:color="auto"/>
            </w:tcBorders>
            <w:shd w:val="clear" w:color="auto" w:fill="auto"/>
            <w:vAlign w:val="center"/>
            <w:hideMark/>
          </w:tcPr>
          <w:bookmarkEnd w:id="7"/>
          <w:p w14:paraId="57312681" w14:textId="77777777" w:rsidR="005B3539" w:rsidRPr="006C388E" w:rsidRDefault="005B3539" w:rsidP="005B3539">
            <w:pPr>
              <w:jc w:val="both"/>
              <w:rPr>
                <w:sz w:val="20"/>
                <w:szCs w:val="20"/>
              </w:rPr>
            </w:pPr>
            <w:r w:rsidRPr="006C388E">
              <w:rPr>
                <w:sz w:val="20"/>
                <w:szCs w:val="20"/>
              </w:rPr>
              <w:t>Invarianza</w:t>
            </w:r>
          </w:p>
        </w:tc>
        <w:tc>
          <w:tcPr>
            <w:tcW w:w="646" w:type="pct"/>
            <w:tcBorders>
              <w:top w:val="single" w:sz="4" w:space="0" w:color="auto"/>
              <w:bottom w:val="single" w:sz="4" w:space="0" w:color="auto"/>
            </w:tcBorders>
            <w:shd w:val="clear" w:color="auto" w:fill="auto"/>
            <w:vAlign w:val="center"/>
            <w:hideMark/>
          </w:tcPr>
          <w:p w14:paraId="139F095E" w14:textId="77777777" w:rsidR="005B3539" w:rsidRPr="006C388E" w:rsidRDefault="005B3539" w:rsidP="005B3539">
            <w:pPr>
              <w:jc w:val="both"/>
              <w:rPr>
                <w:sz w:val="20"/>
                <w:szCs w:val="20"/>
              </w:rPr>
            </w:pPr>
          </w:p>
          <w:p w14:paraId="57372135" w14:textId="77777777" w:rsidR="005B3539" w:rsidRPr="006C388E" w:rsidRDefault="005B3539" w:rsidP="005B3539">
            <w:pPr>
              <w:jc w:val="both"/>
              <w:rPr>
                <w:sz w:val="20"/>
                <w:szCs w:val="20"/>
              </w:rPr>
            </w:pPr>
            <w:r w:rsidRPr="006C388E">
              <w:rPr>
                <w:sz w:val="20"/>
                <w:szCs w:val="20"/>
              </w:rPr>
              <w:t>χ</w:t>
            </w:r>
            <w:r w:rsidRPr="006C388E">
              <w:rPr>
                <w:sz w:val="20"/>
                <w:szCs w:val="20"/>
                <w:vertAlign w:val="superscript"/>
              </w:rPr>
              <w:t>2</w:t>
            </w:r>
            <w:r w:rsidRPr="006C388E">
              <w:rPr>
                <w:sz w:val="20"/>
                <w:szCs w:val="20"/>
                <w:vertAlign w:val="subscript"/>
              </w:rPr>
              <w:t>(</w:t>
            </w:r>
            <w:proofErr w:type="spellStart"/>
            <w:r w:rsidRPr="006C388E">
              <w:rPr>
                <w:sz w:val="20"/>
                <w:szCs w:val="20"/>
                <w:vertAlign w:val="subscript"/>
              </w:rPr>
              <w:t>gl</w:t>
            </w:r>
            <w:proofErr w:type="spellEnd"/>
            <w:r w:rsidRPr="006C388E">
              <w:rPr>
                <w:sz w:val="20"/>
                <w:szCs w:val="20"/>
                <w:vertAlign w:val="subscript"/>
              </w:rPr>
              <w:t>)</w:t>
            </w:r>
          </w:p>
        </w:tc>
        <w:tc>
          <w:tcPr>
            <w:tcW w:w="476" w:type="pct"/>
            <w:tcBorders>
              <w:top w:val="single" w:sz="4" w:space="0" w:color="auto"/>
              <w:bottom w:val="single" w:sz="4" w:space="0" w:color="auto"/>
            </w:tcBorders>
            <w:shd w:val="clear" w:color="auto" w:fill="auto"/>
            <w:vAlign w:val="center"/>
            <w:hideMark/>
          </w:tcPr>
          <w:p w14:paraId="7901C1B9" w14:textId="77777777" w:rsidR="005B3539" w:rsidRPr="006C388E" w:rsidRDefault="005B3539" w:rsidP="005B3539">
            <w:pPr>
              <w:jc w:val="both"/>
              <w:rPr>
                <w:sz w:val="20"/>
                <w:szCs w:val="20"/>
              </w:rPr>
            </w:pPr>
          </w:p>
          <w:p w14:paraId="5371BD62" w14:textId="77777777" w:rsidR="005B3539" w:rsidRPr="006C388E" w:rsidRDefault="005B3539" w:rsidP="005B3539">
            <w:pPr>
              <w:jc w:val="both"/>
              <w:rPr>
                <w:sz w:val="20"/>
                <w:szCs w:val="20"/>
              </w:rPr>
            </w:pPr>
            <w:r w:rsidRPr="006C388E">
              <w:rPr>
                <w:sz w:val="20"/>
                <w:szCs w:val="20"/>
              </w:rPr>
              <w:t>CFI</w:t>
            </w:r>
          </w:p>
        </w:tc>
        <w:tc>
          <w:tcPr>
            <w:tcW w:w="412" w:type="pct"/>
            <w:tcBorders>
              <w:top w:val="single" w:sz="4" w:space="0" w:color="auto"/>
              <w:bottom w:val="single" w:sz="4" w:space="0" w:color="auto"/>
            </w:tcBorders>
            <w:shd w:val="clear" w:color="auto" w:fill="auto"/>
            <w:vAlign w:val="center"/>
            <w:hideMark/>
          </w:tcPr>
          <w:p w14:paraId="4D7B3716" w14:textId="77777777" w:rsidR="005B3539" w:rsidRPr="006C388E" w:rsidRDefault="005B3539" w:rsidP="005B3539">
            <w:pPr>
              <w:jc w:val="both"/>
              <w:rPr>
                <w:sz w:val="20"/>
                <w:szCs w:val="20"/>
              </w:rPr>
            </w:pPr>
          </w:p>
          <w:p w14:paraId="0AFD22B5" w14:textId="77777777" w:rsidR="005B3539" w:rsidRPr="006C388E" w:rsidRDefault="005B3539" w:rsidP="005B3539">
            <w:pPr>
              <w:jc w:val="both"/>
              <w:rPr>
                <w:sz w:val="20"/>
                <w:szCs w:val="20"/>
              </w:rPr>
            </w:pPr>
            <w:r w:rsidRPr="006C388E">
              <w:rPr>
                <w:sz w:val="20"/>
                <w:szCs w:val="20"/>
              </w:rPr>
              <w:t>ΔCFI</w:t>
            </w:r>
          </w:p>
        </w:tc>
        <w:tc>
          <w:tcPr>
            <w:tcW w:w="965" w:type="pct"/>
            <w:tcBorders>
              <w:top w:val="single" w:sz="4" w:space="0" w:color="auto"/>
              <w:bottom w:val="single" w:sz="4" w:space="0" w:color="auto"/>
            </w:tcBorders>
            <w:shd w:val="clear" w:color="auto" w:fill="auto"/>
            <w:vAlign w:val="center"/>
            <w:hideMark/>
          </w:tcPr>
          <w:p w14:paraId="2C2939D2" w14:textId="77777777" w:rsidR="005B3539" w:rsidRPr="006C388E" w:rsidRDefault="005B3539" w:rsidP="005B3539">
            <w:pPr>
              <w:jc w:val="both"/>
              <w:rPr>
                <w:sz w:val="20"/>
                <w:szCs w:val="20"/>
              </w:rPr>
            </w:pPr>
          </w:p>
          <w:p w14:paraId="449BEC61" w14:textId="77777777" w:rsidR="005B3539" w:rsidRPr="006C388E" w:rsidRDefault="005B3539" w:rsidP="005B3539">
            <w:pPr>
              <w:jc w:val="both"/>
              <w:rPr>
                <w:sz w:val="20"/>
                <w:szCs w:val="20"/>
              </w:rPr>
            </w:pPr>
            <w:r w:rsidRPr="006C388E">
              <w:rPr>
                <w:sz w:val="20"/>
                <w:szCs w:val="20"/>
              </w:rPr>
              <w:t>RMSEA [IC 90%]</w:t>
            </w:r>
          </w:p>
        </w:tc>
        <w:tc>
          <w:tcPr>
            <w:tcW w:w="566" w:type="pct"/>
            <w:tcBorders>
              <w:top w:val="single" w:sz="4" w:space="0" w:color="auto"/>
              <w:bottom w:val="single" w:sz="4" w:space="0" w:color="auto"/>
            </w:tcBorders>
            <w:shd w:val="clear" w:color="auto" w:fill="auto"/>
            <w:vAlign w:val="center"/>
            <w:hideMark/>
          </w:tcPr>
          <w:p w14:paraId="2CC81CD5" w14:textId="77777777" w:rsidR="005B3539" w:rsidRPr="006C388E" w:rsidRDefault="005B3539" w:rsidP="005B3539">
            <w:pPr>
              <w:jc w:val="both"/>
              <w:rPr>
                <w:sz w:val="20"/>
                <w:szCs w:val="20"/>
              </w:rPr>
            </w:pPr>
          </w:p>
          <w:p w14:paraId="1406D7D2" w14:textId="77777777" w:rsidR="005B3539" w:rsidRPr="006C388E" w:rsidRDefault="005B3539" w:rsidP="005B3539">
            <w:pPr>
              <w:jc w:val="both"/>
              <w:rPr>
                <w:sz w:val="20"/>
                <w:szCs w:val="20"/>
              </w:rPr>
            </w:pPr>
            <w:r w:rsidRPr="006C388E">
              <w:rPr>
                <w:sz w:val="20"/>
                <w:szCs w:val="20"/>
              </w:rPr>
              <w:t>ΔRMSEA</w:t>
            </w:r>
          </w:p>
        </w:tc>
        <w:tc>
          <w:tcPr>
            <w:tcW w:w="482" w:type="pct"/>
            <w:tcBorders>
              <w:top w:val="single" w:sz="4" w:space="0" w:color="auto"/>
              <w:bottom w:val="single" w:sz="4" w:space="0" w:color="auto"/>
            </w:tcBorders>
          </w:tcPr>
          <w:p w14:paraId="65924EDB" w14:textId="77777777" w:rsidR="005B3539" w:rsidRPr="006C388E" w:rsidRDefault="005B3539" w:rsidP="005B3539">
            <w:pPr>
              <w:jc w:val="both"/>
              <w:rPr>
                <w:sz w:val="20"/>
                <w:szCs w:val="20"/>
              </w:rPr>
            </w:pPr>
          </w:p>
          <w:p w14:paraId="38E810E9" w14:textId="77777777" w:rsidR="005B3539" w:rsidRPr="006C388E" w:rsidRDefault="005B3539" w:rsidP="005B3539">
            <w:pPr>
              <w:jc w:val="both"/>
              <w:rPr>
                <w:sz w:val="20"/>
                <w:szCs w:val="20"/>
              </w:rPr>
            </w:pPr>
            <w:r w:rsidRPr="006C388E">
              <w:rPr>
                <w:sz w:val="20"/>
                <w:szCs w:val="20"/>
              </w:rPr>
              <w:t>SRMR</w:t>
            </w:r>
          </w:p>
        </w:tc>
        <w:tc>
          <w:tcPr>
            <w:tcW w:w="482" w:type="pct"/>
            <w:tcBorders>
              <w:top w:val="single" w:sz="4" w:space="0" w:color="auto"/>
              <w:bottom w:val="single" w:sz="4" w:space="0" w:color="auto"/>
            </w:tcBorders>
          </w:tcPr>
          <w:p w14:paraId="39DD7CF5" w14:textId="77777777" w:rsidR="005B3539" w:rsidRPr="006C388E" w:rsidRDefault="005B3539" w:rsidP="005B3539">
            <w:pPr>
              <w:jc w:val="both"/>
              <w:rPr>
                <w:sz w:val="20"/>
                <w:szCs w:val="20"/>
              </w:rPr>
            </w:pPr>
          </w:p>
          <w:p w14:paraId="010F9355" w14:textId="77777777" w:rsidR="005B3539" w:rsidRPr="006C388E" w:rsidRDefault="005B3539" w:rsidP="005B3539">
            <w:pPr>
              <w:jc w:val="both"/>
              <w:rPr>
                <w:sz w:val="20"/>
                <w:szCs w:val="20"/>
              </w:rPr>
            </w:pPr>
            <w:r w:rsidRPr="006C388E">
              <w:rPr>
                <w:sz w:val="20"/>
                <w:szCs w:val="20"/>
              </w:rPr>
              <w:t>ΔSRMR</w:t>
            </w:r>
          </w:p>
        </w:tc>
      </w:tr>
      <w:tr w:rsidR="005B3539" w:rsidRPr="00674528" w14:paraId="6CA08C89" w14:textId="77777777" w:rsidTr="005B3539">
        <w:trPr>
          <w:trHeight w:val="300"/>
        </w:trPr>
        <w:tc>
          <w:tcPr>
            <w:tcW w:w="970" w:type="pct"/>
            <w:tcBorders>
              <w:top w:val="single" w:sz="4" w:space="0" w:color="auto"/>
              <w:bottom w:val="nil"/>
            </w:tcBorders>
            <w:shd w:val="clear" w:color="auto" w:fill="auto"/>
            <w:vAlign w:val="center"/>
          </w:tcPr>
          <w:p w14:paraId="3A1BA25B" w14:textId="77777777" w:rsidR="005B3539" w:rsidRPr="006C388E" w:rsidRDefault="005B3539" w:rsidP="005B3539">
            <w:pPr>
              <w:jc w:val="both"/>
              <w:rPr>
                <w:sz w:val="20"/>
                <w:szCs w:val="20"/>
              </w:rPr>
            </w:pPr>
            <w:r w:rsidRPr="006C388E">
              <w:rPr>
                <w:sz w:val="20"/>
                <w:szCs w:val="20"/>
              </w:rPr>
              <w:t xml:space="preserve">Configuracional* </w:t>
            </w:r>
          </w:p>
        </w:tc>
        <w:tc>
          <w:tcPr>
            <w:tcW w:w="646" w:type="pct"/>
            <w:tcBorders>
              <w:top w:val="single" w:sz="4" w:space="0" w:color="auto"/>
              <w:bottom w:val="nil"/>
            </w:tcBorders>
            <w:shd w:val="clear" w:color="auto" w:fill="auto"/>
            <w:vAlign w:val="center"/>
          </w:tcPr>
          <w:p w14:paraId="51304D88" w14:textId="77777777" w:rsidR="005B3539" w:rsidRPr="006C388E" w:rsidRDefault="005B3539" w:rsidP="005B3539">
            <w:pPr>
              <w:jc w:val="both"/>
              <w:rPr>
                <w:sz w:val="20"/>
                <w:szCs w:val="20"/>
              </w:rPr>
            </w:pPr>
            <w:r w:rsidRPr="006C388E">
              <w:rPr>
                <w:sz w:val="20"/>
                <w:szCs w:val="20"/>
              </w:rPr>
              <w:t>679.762</w:t>
            </w:r>
            <w:r w:rsidRPr="006C388E">
              <w:rPr>
                <w:sz w:val="20"/>
                <w:szCs w:val="20"/>
                <w:vertAlign w:val="subscript"/>
              </w:rPr>
              <w:t>(458)</w:t>
            </w:r>
          </w:p>
        </w:tc>
        <w:tc>
          <w:tcPr>
            <w:tcW w:w="476" w:type="pct"/>
            <w:tcBorders>
              <w:top w:val="single" w:sz="4" w:space="0" w:color="auto"/>
              <w:bottom w:val="nil"/>
            </w:tcBorders>
            <w:shd w:val="clear" w:color="auto" w:fill="auto"/>
            <w:vAlign w:val="center"/>
          </w:tcPr>
          <w:p w14:paraId="451B3764" w14:textId="77777777" w:rsidR="005B3539" w:rsidRPr="006C388E" w:rsidRDefault="005B3539" w:rsidP="005B3539">
            <w:pPr>
              <w:jc w:val="both"/>
              <w:rPr>
                <w:sz w:val="20"/>
                <w:szCs w:val="20"/>
              </w:rPr>
            </w:pPr>
            <w:r w:rsidRPr="006C388E">
              <w:rPr>
                <w:sz w:val="20"/>
                <w:szCs w:val="20"/>
              </w:rPr>
              <w:t>.927</w:t>
            </w:r>
          </w:p>
        </w:tc>
        <w:tc>
          <w:tcPr>
            <w:tcW w:w="412" w:type="pct"/>
            <w:tcBorders>
              <w:top w:val="single" w:sz="4" w:space="0" w:color="auto"/>
              <w:bottom w:val="nil"/>
            </w:tcBorders>
            <w:shd w:val="clear" w:color="auto" w:fill="auto"/>
            <w:vAlign w:val="center"/>
          </w:tcPr>
          <w:p w14:paraId="4028E121" w14:textId="77777777" w:rsidR="005B3539" w:rsidRPr="006C388E" w:rsidRDefault="005B3539" w:rsidP="005B3539">
            <w:pPr>
              <w:jc w:val="center"/>
              <w:rPr>
                <w:sz w:val="20"/>
                <w:szCs w:val="20"/>
              </w:rPr>
            </w:pPr>
            <w:r w:rsidRPr="006C388E">
              <w:rPr>
                <w:sz w:val="20"/>
                <w:szCs w:val="20"/>
              </w:rPr>
              <w:t>-</w:t>
            </w:r>
          </w:p>
        </w:tc>
        <w:tc>
          <w:tcPr>
            <w:tcW w:w="965" w:type="pct"/>
            <w:tcBorders>
              <w:top w:val="single" w:sz="4" w:space="0" w:color="auto"/>
              <w:bottom w:val="nil"/>
            </w:tcBorders>
            <w:shd w:val="clear" w:color="auto" w:fill="auto"/>
            <w:vAlign w:val="center"/>
          </w:tcPr>
          <w:p w14:paraId="7B5174BE" w14:textId="77777777" w:rsidR="005B3539" w:rsidRPr="006C388E" w:rsidRDefault="005B3539" w:rsidP="005B3539">
            <w:pPr>
              <w:jc w:val="center"/>
              <w:rPr>
                <w:sz w:val="20"/>
                <w:szCs w:val="20"/>
              </w:rPr>
            </w:pPr>
            <w:r w:rsidRPr="006C388E">
              <w:rPr>
                <w:sz w:val="20"/>
                <w:szCs w:val="20"/>
              </w:rPr>
              <w:t>.053 [.045 - .061]</w:t>
            </w:r>
          </w:p>
        </w:tc>
        <w:tc>
          <w:tcPr>
            <w:tcW w:w="566" w:type="pct"/>
            <w:tcBorders>
              <w:top w:val="single" w:sz="4" w:space="0" w:color="auto"/>
              <w:bottom w:val="nil"/>
            </w:tcBorders>
            <w:shd w:val="clear" w:color="auto" w:fill="auto"/>
            <w:vAlign w:val="center"/>
          </w:tcPr>
          <w:p w14:paraId="7EF8A158" w14:textId="77777777" w:rsidR="005B3539" w:rsidRPr="006C388E" w:rsidRDefault="005B3539" w:rsidP="005B3539">
            <w:pPr>
              <w:jc w:val="center"/>
              <w:rPr>
                <w:sz w:val="20"/>
                <w:szCs w:val="20"/>
              </w:rPr>
            </w:pPr>
            <w:r w:rsidRPr="006C388E">
              <w:rPr>
                <w:sz w:val="20"/>
                <w:szCs w:val="20"/>
              </w:rPr>
              <w:t>-</w:t>
            </w:r>
          </w:p>
        </w:tc>
        <w:tc>
          <w:tcPr>
            <w:tcW w:w="482" w:type="pct"/>
            <w:tcBorders>
              <w:top w:val="single" w:sz="4" w:space="0" w:color="auto"/>
              <w:bottom w:val="nil"/>
            </w:tcBorders>
          </w:tcPr>
          <w:p w14:paraId="2352A4C8" w14:textId="77777777" w:rsidR="005B3539" w:rsidRPr="006C388E" w:rsidRDefault="005B3539" w:rsidP="005B3539">
            <w:pPr>
              <w:jc w:val="center"/>
              <w:rPr>
                <w:sz w:val="20"/>
                <w:szCs w:val="20"/>
              </w:rPr>
            </w:pPr>
            <w:r w:rsidRPr="006C388E">
              <w:rPr>
                <w:sz w:val="20"/>
                <w:szCs w:val="20"/>
              </w:rPr>
              <w:t>0.106</w:t>
            </w:r>
          </w:p>
        </w:tc>
        <w:tc>
          <w:tcPr>
            <w:tcW w:w="482" w:type="pct"/>
            <w:tcBorders>
              <w:top w:val="single" w:sz="4" w:space="0" w:color="auto"/>
              <w:bottom w:val="nil"/>
            </w:tcBorders>
          </w:tcPr>
          <w:p w14:paraId="34885137" w14:textId="77777777" w:rsidR="005B3539" w:rsidRPr="006C388E" w:rsidRDefault="005B3539" w:rsidP="005B3539">
            <w:pPr>
              <w:jc w:val="center"/>
              <w:rPr>
                <w:sz w:val="20"/>
                <w:szCs w:val="20"/>
              </w:rPr>
            </w:pPr>
            <w:r w:rsidRPr="006C388E">
              <w:rPr>
                <w:sz w:val="20"/>
                <w:szCs w:val="20"/>
              </w:rPr>
              <w:t>-</w:t>
            </w:r>
          </w:p>
        </w:tc>
      </w:tr>
      <w:tr w:rsidR="005B3539" w:rsidRPr="00674528" w14:paraId="48E4FF5B" w14:textId="77777777" w:rsidTr="005B3539">
        <w:trPr>
          <w:trHeight w:val="300"/>
        </w:trPr>
        <w:tc>
          <w:tcPr>
            <w:tcW w:w="970" w:type="pct"/>
            <w:tcBorders>
              <w:top w:val="nil"/>
            </w:tcBorders>
            <w:shd w:val="clear" w:color="auto" w:fill="auto"/>
            <w:vAlign w:val="center"/>
            <w:hideMark/>
          </w:tcPr>
          <w:p w14:paraId="663C50A3" w14:textId="77777777" w:rsidR="005B3539" w:rsidRPr="006C388E" w:rsidRDefault="005B3539" w:rsidP="005B3539">
            <w:pPr>
              <w:jc w:val="both"/>
              <w:rPr>
                <w:sz w:val="20"/>
                <w:szCs w:val="20"/>
              </w:rPr>
            </w:pPr>
            <w:r w:rsidRPr="006C388E">
              <w:rPr>
                <w:sz w:val="20"/>
                <w:szCs w:val="20"/>
              </w:rPr>
              <w:t xml:space="preserve">Métrica </w:t>
            </w:r>
          </w:p>
        </w:tc>
        <w:tc>
          <w:tcPr>
            <w:tcW w:w="646" w:type="pct"/>
            <w:tcBorders>
              <w:top w:val="nil"/>
            </w:tcBorders>
            <w:shd w:val="clear" w:color="auto" w:fill="auto"/>
            <w:vAlign w:val="center"/>
            <w:hideMark/>
          </w:tcPr>
          <w:p w14:paraId="32EE7A92" w14:textId="77777777" w:rsidR="005B3539" w:rsidRPr="006C388E" w:rsidRDefault="005B3539" w:rsidP="005B3539">
            <w:pPr>
              <w:jc w:val="both"/>
              <w:rPr>
                <w:sz w:val="20"/>
                <w:szCs w:val="20"/>
              </w:rPr>
            </w:pPr>
            <w:r w:rsidRPr="006C388E">
              <w:rPr>
                <w:sz w:val="20"/>
                <w:szCs w:val="20"/>
              </w:rPr>
              <w:t>694.118</w:t>
            </w:r>
            <w:r w:rsidRPr="006C388E">
              <w:rPr>
                <w:sz w:val="20"/>
                <w:szCs w:val="20"/>
                <w:vertAlign w:val="subscript"/>
              </w:rPr>
              <w:t>(479)</w:t>
            </w:r>
          </w:p>
        </w:tc>
        <w:tc>
          <w:tcPr>
            <w:tcW w:w="476" w:type="pct"/>
            <w:tcBorders>
              <w:top w:val="nil"/>
            </w:tcBorders>
            <w:shd w:val="clear" w:color="auto" w:fill="auto"/>
            <w:vAlign w:val="center"/>
            <w:hideMark/>
          </w:tcPr>
          <w:p w14:paraId="01E10876" w14:textId="77777777" w:rsidR="005B3539" w:rsidRPr="006C388E" w:rsidRDefault="005B3539" w:rsidP="005B3539">
            <w:pPr>
              <w:jc w:val="both"/>
              <w:rPr>
                <w:sz w:val="20"/>
                <w:szCs w:val="20"/>
              </w:rPr>
            </w:pPr>
            <w:r w:rsidRPr="006C388E">
              <w:rPr>
                <w:sz w:val="20"/>
                <w:szCs w:val="20"/>
              </w:rPr>
              <w:t>.929</w:t>
            </w:r>
          </w:p>
        </w:tc>
        <w:tc>
          <w:tcPr>
            <w:tcW w:w="412" w:type="pct"/>
            <w:tcBorders>
              <w:top w:val="nil"/>
            </w:tcBorders>
            <w:shd w:val="clear" w:color="auto" w:fill="auto"/>
            <w:vAlign w:val="center"/>
          </w:tcPr>
          <w:p w14:paraId="310E4D0B" w14:textId="77777777" w:rsidR="005B3539" w:rsidRPr="006C388E" w:rsidRDefault="005B3539" w:rsidP="005B3539">
            <w:pPr>
              <w:jc w:val="center"/>
              <w:rPr>
                <w:sz w:val="20"/>
                <w:szCs w:val="20"/>
              </w:rPr>
            </w:pPr>
            <w:r w:rsidRPr="006C388E">
              <w:rPr>
                <w:sz w:val="20"/>
                <w:szCs w:val="20"/>
              </w:rPr>
              <w:t>.002</w:t>
            </w:r>
          </w:p>
        </w:tc>
        <w:tc>
          <w:tcPr>
            <w:tcW w:w="965" w:type="pct"/>
            <w:tcBorders>
              <w:top w:val="nil"/>
            </w:tcBorders>
            <w:shd w:val="clear" w:color="auto" w:fill="auto"/>
            <w:vAlign w:val="center"/>
            <w:hideMark/>
          </w:tcPr>
          <w:p w14:paraId="0CAE5EFE" w14:textId="77777777" w:rsidR="005B3539" w:rsidRPr="006C388E" w:rsidRDefault="005B3539" w:rsidP="005B3539">
            <w:pPr>
              <w:jc w:val="center"/>
              <w:rPr>
                <w:sz w:val="20"/>
                <w:szCs w:val="20"/>
              </w:rPr>
            </w:pPr>
            <w:r w:rsidRPr="006C388E">
              <w:rPr>
                <w:sz w:val="20"/>
                <w:szCs w:val="20"/>
              </w:rPr>
              <w:t>.051 [.043 - .059]</w:t>
            </w:r>
          </w:p>
        </w:tc>
        <w:tc>
          <w:tcPr>
            <w:tcW w:w="566" w:type="pct"/>
            <w:tcBorders>
              <w:top w:val="nil"/>
            </w:tcBorders>
            <w:shd w:val="clear" w:color="auto" w:fill="auto"/>
            <w:vAlign w:val="center"/>
          </w:tcPr>
          <w:p w14:paraId="187EDF0A" w14:textId="77777777" w:rsidR="005B3539" w:rsidRPr="006C388E" w:rsidRDefault="005B3539" w:rsidP="005B3539">
            <w:pPr>
              <w:jc w:val="center"/>
              <w:rPr>
                <w:sz w:val="20"/>
                <w:szCs w:val="20"/>
              </w:rPr>
            </w:pPr>
            <w:r w:rsidRPr="006C388E">
              <w:rPr>
                <w:sz w:val="20"/>
                <w:szCs w:val="20"/>
              </w:rPr>
              <w:t>0.002</w:t>
            </w:r>
          </w:p>
        </w:tc>
        <w:tc>
          <w:tcPr>
            <w:tcW w:w="482" w:type="pct"/>
            <w:tcBorders>
              <w:top w:val="nil"/>
            </w:tcBorders>
          </w:tcPr>
          <w:p w14:paraId="563F2EEA" w14:textId="77777777" w:rsidR="005B3539" w:rsidRPr="006C388E" w:rsidRDefault="005B3539" w:rsidP="005B3539">
            <w:pPr>
              <w:jc w:val="center"/>
              <w:rPr>
                <w:sz w:val="20"/>
                <w:szCs w:val="20"/>
              </w:rPr>
            </w:pPr>
            <w:r w:rsidRPr="006C388E">
              <w:rPr>
                <w:sz w:val="20"/>
                <w:szCs w:val="20"/>
              </w:rPr>
              <w:t>0.106</w:t>
            </w:r>
          </w:p>
        </w:tc>
        <w:tc>
          <w:tcPr>
            <w:tcW w:w="482" w:type="pct"/>
            <w:tcBorders>
              <w:top w:val="nil"/>
            </w:tcBorders>
          </w:tcPr>
          <w:p w14:paraId="50F7AE42" w14:textId="77777777" w:rsidR="005B3539" w:rsidRPr="006C388E" w:rsidRDefault="005B3539" w:rsidP="005B3539">
            <w:pPr>
              <w:jc w:val="center"/>
              <w:rPr>
                <w:sz w:val="20"/>
                <w:szCs w:val="20"/>
              </w:rPr>
            </w:pPr>
            <w:r w:rsidRPr="006C388E">
              <w:rPr>
                <w:sz w:val="20"/>
                <w:szCs w:val="20"/>
              </w:rPr>
              <w:t>0.000</w:t>
            </w:r>
          </w:p>
        </w:tc>
      </w:tr>
      <w:tr w:rsidR="005B3539" w:rsidRPr="00674528" w14:paraId="396E00C1" w14:textId="77777777" w:rsidTr="005B3539">
        <w:trPr>
          <w:trHeight w:val="300"/>
        </w:trPr>
        <w:tc>
          <w:tcPr>
            <w:tcW w:w="970" w:type="pct"/>
            <w:shd w:val="clear" w:color="auto" w:fill="auto"/>
            <w:vAlign w:val="center"/>
            <w:hideMark/>
          </w:tcPr>
          <w:p w14:paraId="142516AF" w14:textId="77777777" w:rsidR="005B3539" w:rsidRPr="006C388E" w:rsidRDefault="005B3539" w:rsidP="005B3539">
            <w:pPr>
              <w:jc w:val="both"/>
              <w:rPr>
                <w:sz w:val="20"/>
                <w:szCs w:val="20"/>
              </w:rPr>
            </w:pPr>
            <w:r w:rsidRPr="006C388E">
              <w:rPr>
                <w:sz w:val="20"/>
                <w:szCs w:val="20"/>
              </w:rPr>
              <w:t>Escalar</w:t>
            </w:r>
          </w:p>
        </w:tc>
        <w:tc>
          <w:tcPr>
            <w:tcW w:w="646" w:type="pct"/>
            <w:shd w:val="clear" w:color="auto" w:fill="auto"/>
            <w:vAlign w:val="center"/>
            <w:hideMark/>
          </w:tcPr>
          <w:p w14:paraId="6DE3FC22" w14:textId="77777777" w:rsidR="005B3539" w:rsidRPr="006C388E" w:rsidRDefault="005B3539" w:rsidP="005B3539">
            <w:pPr>
              <w:jc w:val="both"/>
              <w:rPr>
                <w:sz w:val="20"/>
                <w:szCs w:val="20"/>
              </w:rPr>
            </w:pPr>
            <w:r w:rsidRPr="006C388E">
              <w:rPr>
                <w:sz w:val="20"/>
                <w:szCs w:val="20"/>
              </w:rPr>
              <w:t>760.717</w:t>
            </w:r>
            <w:r w:rsidRPr="006C388E">
              <w:rPr>
                <w:sz w:val="20"/>
                <w:szCs w:val="20"/>
                <w:vertAlign w:val="subscript"/>
              </w:rPr>
              <w:t>(500)</w:t>
            </w:r>
          </w:p>
        </w:tc>
        <w:tc>
          <w:tcPr>
            <w:tcW w:w="476" w:type="pct"/>
            <w:shd w:val="clear" w:color="auto" w:fill="auto"/>
            <w:vAlign w:val="center"/>
            <w:hideMark/>
          </w:tcPr>
          <w:p w14:paraId="5E4C85E8" w14:textId="77777777" w:rsidR="005B3539" w:rsidRPr="006C388E" w:rsidRDefault="005B3539" w:rsidP="005B3539">
            <w:pPr>
              <w:jc w:val="both"/>
              <w:rPr>
                <w:sz w:val="20"/>
                <w:szCs w:val="20"/>
              </w:rPr>
            </w:pPr>
            <w:r w:rsidRPr="006C388E">
              <w:rPr>
                <w:sz w:val="20"/>
                <w:szCs w:val="20"/>
              </w:rPr>
              <w:t>.914</w:t>
            </w:r>
          </w:p>
        </w:tc>
        <w:tc>
          <w:tcPr>
            <w:tcW w:w="412" w:type="pct"/>
            <w:shd w:val="clear" w:color="auto" w:fill="auto"/>
            <w:vAlign w:val="center"/>
          </w:tcPr>
          <w:p w14:paraId="38BA024D" w14:textId="77777777" w:rsidR="005B3539" w:rsidRPr="006C388E" w:rsidRDefault="005B3539" w:rsidP="005B3539">
            <w:pPr>
              <w:jc w:val="center"/>
              <w:rPr>
                <w:sz w:val="20"/>
                <w:szCs w:val="20"/>
              </w:rPr>
            </w:pPr>
            <w:r w:rsidRPr="006C388E">
              <w:rPr>
                <w:sz w:val="20"/>
                <w:szCs w:val="20"/>
              </w:rPr>
              <w:t>-.015</w:t>
            </w:r>
          </w:p>
        </w:tc>
        <w:tc>
          <w:tcPr>
            <w:tcW w:w="965" w:type="pct"/>
            <w:shd w:val="clear" w:color="auto" w:fill="auto"/>
            <w:vAlign w:val="center"/>
            <w:hideMark/>
          </w:tcPr>
          <w:p w14:paraId="52F728D3" w14:textId="77777777" w:rsidR="005B3539" w:rsidRPr="006C388E" w:rsidRDefault="005B3539" w:rsidP="005B3539">
            <w:pPr>
              <w:jc w:val="center"/>
              <w:rPr>
                <w:sz w:val="20"/>
                <w:szCs w:val="20"/>
              </w:rPr>
            </w:pPr>
            <w:r w:rsidRPr="006C388E">
              <w:rPr>
                <w:sz w:val="20"/>
                <w:szCs w:val="20"/>
              </w:rPr>
              <w:t>.055 [.047 - .063]</w:t>
            </w:r>
          </w:p>
        </w:tc>
        <w:tc>
          <w:tcPr>
            <w:tcW w:w="566" w:type="pct"/>
            <w:shd w:val="clear" w:color="auto" w:fill="auto"/>
            <w:vAlign w:val="center"/>
          </w:tcPr>
          <w:p w14:paraId="6EE61339" w14:textId="77777777" w:rsidR="005B3539" w:rsidRPr="006C388E" w:rsidRDefault="005B3539" w:rsidP="005B3539">
            <w:pPr>
              <w:jc w:val="center"/>
              <w:rPr>
                <w:sz w:val="20"/>
                <w:szCs w:val="20"/>
              </w:rPr>
            </w:pPr>
            <w:r w:rsidRPr="006C388E">
              <w:rPr>
                <w:sz w:val="20"/>
                <w:szCs w:val="20"/>
              </w:rPr>
              <w:t>-0.003</w:t>
            </w:r>
          </w:p>
        </w:tc>
        <w:tc>
          <w:tcPr>
            <w:tcW w:w="482" w:type="pct"/>
          </w:tcPr>
          <w:p w14:paraId="0B7C531E" w14:textId="77777777" w:rsidR="005B3539" w:rsidRPr="006C388E" w:rsidRDefault="005B3539" w:rsidP="005B3539">
            <w:pPr>
              <w:jc w:val="center"/>
              <w:rPr>
                <w:sz w:val="20"/>
                <w:szCs w:val="20"/>
              </w:rPr>
            </w:pPr>
            <w:r w:rsidRPr="006C388E">
              <w:rPr>
                <w:sz w:val="20"/>
                <w:szCs w:val="20"/>
              </w:rPr>
              <w:t>0.110</w:t>
            </w:r>
          </w:p>
        </w:tc>
        <w:tc>
          <w:tcPr>
            <w:tcW w:w="482" w:type="pct"/>
          </w:tcPr>
          <w:p w14:paraId="3B8D5E78" w14:textId="77777777" w:rsidR="005B3539" w:rsidRPr="006C388E" w:rsidRDefault="005B3539" w:rsidP="005B3539">
            <w:pPr>
              <w:jc w:val="center"/>
              <w:rPr>
                <w:sz w:val="20"/>
                <w:szCs w:val="20"/>
              </w:rPr>
            </w:pPr>
            <w:r w:rsidRPr="006C388E">
              <w:rPr>
                <w:sz w:val="20"/>
                <w:szCs w:val="20"/>
              </w:rPr>
              <w:t>0.004</w:t>
            </w:r>
          </w:p>
        </w:tc>
      </w:tr>
      <w:tr w:rsidR="005B3539" w:rsidRPr="00674528" w14:paraId="46C3646D" w14:textId="77777777" w:rsidTr="005B3539">
        <w:trPr>
          <w:trHeight w:val="315"/>
        </w:trPr>
        <w:tc>
          <w:tcPr>
            <w:tcW w:w="970" w:type="pct"/>
            <w:shd w:val="clear" w:color="auto" w:fill="auto"/>
            <w:vAlign w:val="center"/>
            <w:hideMark/>
          </w:tcPr>
          <w:p w14:paraId="4C1FB9D0" w14:textId="77777777" w:rsidR="005B3539" w:rsidRPr="006C388E" w:rsidRDefault="005B3539" w:rsidP="005B3539">
            <w:pPr>
              <w:jc w:val="both"/>
              <w:rPr>
                <w:sz w:val="20"/>
                <w:szCs w:val="20"/>
              </w:rPr>
            </w:pPr>
            <w:r w:rsidRPr="006C388E">
              <w:rPr>
                <w:sz w:val="20"/>
                <w:szCs w:val="20"/>
              </w:rPr>
              <w:t>Estricta</w:t>
            </w:r>
          </w:p>
        </w:tc>
        <w:tc>
          <w:tcPr>
            <w:tcW w:w="646" w:type="pct"/>
            <w:shd w:val="clear" w:color="auto" w:fill="auto"/>
            <w:vAlign w:val="center"/>
            <w:hideMark/>
          </w:tcPr>
          <w:p w14:paraId="78284843" w14:textId="77777777" w:rsidR="005B3539" w:rsidRPr="006C388E" w:rsidRDefault="005B3539" w:rsidP="005B3539">
            <w:pPr>
              <w:jc w:val="both"/>
              <w:rPr>
                <w:sz w:val="20"/>
                <w:szCs w:val="20"/>
              </w:rPr>
            </w:pPr>
            <w:r w:rsidRPr="006C388E">
              <w:rPr>
                <w:sz w:val="20"/>
                <w:szCs w:val="20"/>
              </w:rPr>
              <w:t>785.844</w:t>
            </w:r>
            <w:r w:rsidRPr="006C388E">
              <w:rPr>
                <w:sz w:val="20"/>
                <w:szCs w:val="20"/>
                <w:vertAlign w:val="subscript"/>
              </w:rPr>
              <w:t>(523)</w:t>
            </w:r>
          </w:p>
        </w:tc>
        <w:tc>
          <w:tcPr>
            <w:tcW w:w="476" w:type="pct"/>
            <w:shd w:val="clear" w:color="auto" w:fill="auto"/>
            <w:vAlign w:val="center"/>
            <w:hideMark/>
          </w:tcPr>
          <w:p w14:paraId="3C691B2A" w14:textId="77777777" w:rsidR="005B3539" w:rsidRPr="006C388E" w:rsidRDefault="005B3539" w:rsidP="005B3539">
            <w:pPr>
              <w:jc w:val="both"/>
              <w:rPr>
                <w:sz w:val="20"/>
                <w:szCs w:val="20"/>
              </w:rPr>
            </w:pPr>
            <w:r w:rsidRPr="006C388E">
              <w:rPr>
                <w:sz w:val="20"/>
                <w:szCs w:val="20"/>
              </w:rPr>
              <w:t>.914</w:t>
            </w:r>
          </w:p>
        </w:tc>
        <w:tc>
          <w:tcPr>
            <w:tcW w:w="412" w:type="pct"/>
            <w:shd w:val="clear" w:color="auto" w:fill="auto"/>
            <w:vAlign w:val="center"/>
          </w:tcPr>
          <w:p w14:paraId="2743F898" w14:textId="77777777" w:rsidR="005B3539" w:rsidRPr="006C388E" w:rsidRDefault="005B3539" w:rsidP="005B3539">
            <w:pPr>
              <w:jc w:val="center"/>
              <w:rPr>
                <w:sz w:val="20"/>
                <w:szCs w:val="20"/>
              </w:rPr>
            </w:pPr>
            <w:r w:rsidRPr="006C388E">
              <w:rPr>
                <w:sz w:val="20"/>
                <w:szCs w:val="20"/>
              </w:rPr>
              <w:t>-.001</w:t>
            </w:r>
          </w:p>
        </w:tc>
        <w:tc>
          <w:tcPr>
            <w:tcW w:w="965" w:type="pct"/>
            <w:shd w:val="clear" w:color="auto" w:fill="auto"/>
            <w:vAlign w:val="center"/>
            <w:hideMark/>
          </w:tcPr>
          <w:p w14:paraId="75A4ACFE" w14:textId="77777777" w:rsidR="005B3539" w:rsidRPr="006C388E" w:rsidRDefault="005B3539" w:rsidP="005B3539">
            <w:pPr>
              <w:jc w:val="center"/>
              <w:rPr>
                <w:sz w:val="20"/>
                <w:szCs w:val="20"/>
              </w:rPr>
            </w:pPr>
            <w:r w:rsidRPr="006C388E">
              <w:rPr>
                <w:sz w:val="20"/>
                <w:szCs w:val="20"/>
              </w:rPr>
              <w:t>.054 [.046 - .062]</w:t>
            </w:r>
          </w:p>
        </w:tc>
        <w:tc>
          <w:tcPr>
            <w:tcW w:w="566" w:type="pct"/>
            <w:shd w:val="clear" w:color="auto" w:fill="auto"/>
            <w:vAlign w:val="center"/>
          </w:tcPr>
          <w:p w14:paraId="498D7AF1" w14:textId="77777777" w:rsidR="005B3539" w:rsidRPr="006C388E" w:rsidRDefault="005B3539" w:rsidP="005B3539">
            <w:pPr>
              <w:jc w:val="center"/>
              <w:rPr>
                <w:sz w:val="20"/>
                <w:szCs w:val="20"/>
              </w:rPr>
            </w:pPr>
            <w:r w:rsidRPr="006C388E">
              <w:rPr>
                <w:sz w:val="20"/>
                <w:szCs w:val="20"/>
              </w:rPr>
              <w:t>-0.004</w:t>
            </w:r>
          </w:p>
        </w:tc>
        <w:tc>
          <w:tcPr>
            <w:tcW w:w="482" w:type="pct"/>
          </w:tcPr>
          <w:p w14:paraId="53B25454" w14:textId="77777777" w:rsidR="005B3539" w:rsidRPr="006C388E" w:rsidRDefault="005B3539" w:rsidP="005B3539">
            <w:pPr>
              <w:jc w:val="center"/>
              <w:rPr>
                <w:sz w:val="20"/>
                <w:szCs w:val="20"/>
              </w:rPr>
            </w:pPr>
            <w:r w:rsidRPr="006C388E">
              <w:rPr>
                <w:sz w:val="20"/>
                <w:szCs w:val="20"/>
              </w:rPr>
              <w:t>0.116</w:t>
            </w:r>
          </w:p>
        </w:tc>
        <w:tc>
          <w:tcPr>
            <w:tcW w:w="482" w:type="pct"/>
          </w:tcPr>
          <w:p w14:paraId="7B5A001D" w14:textId="77777777" w:rsidR="005B3539" w:rsidRPr="006C388E" w:rsidRDefault="005B3539" w:rsidP="005B3539">
            <w:pPr>
              <w:jc w:val="center"/>
              <w:rPr>
                <w:sz w:val="20"/>
                <w:szCs w:val="20"/>
              </w:rPr>
            </w:pPr>
            <w:r w:rsidRPr="006C388E">
              <w:rPr>
                <w:sz w:val="20"/>
                <w:szCs w:val="20"/>
              </w:rPr>
              <w:t>0.006</w:t>
            </w:r>
          </w:p>
        </w:tc>
      </w:tr>
    </w:tbl>
    <w:p w14:paraId="50F0883B" w14:textId="77777777" w:rsidR="005B3539" w:rsidRPr="00F14AD2" w:rsidRDefault="005B3539" w:rsidP="005B3539">
      <w:pPr>
        <w:jc w:val="both"/>
        <w:rPr>
          <w:b/>
          <w:bCs/>
          <w:sz w:val="20"/>
          <w:szCs w:val="20"/>
        </w:rPr>
      </w:pPr>
      <w:r w:rsidRPr="00F14AD2">
        <w:rPr>
          <w:sz w:val="20"/>
          <w:szCs w:val="20"/>
        </w:rPr>
        <w:t xml:space="preserve">* con </w:t>
      </w:r>
      <w:proofErr w:type="spellStart"/>
      <w:r w:rsidRPr="00F14AD2">
        <w:rPr>
          <w:sz w:val="20"/>
          <w:szCs w:val="20"/>
        </w:rPr>
        <w:t>Threshold</w:t>
      </w:r>
      <w:proofErr w:type="spellEnd"/>
      <w:r w:rsidRPr="00F14AD2">
        <w:rPr>
          <w:sz w:val="20"/>
          <w:szCs w:val="20"/>
        </w:rPr>
        <w:t xml:space="preserve"> fijados según el método de Wu y </w:t>
      </w:r>
      <w:proofErr w:type="spellStart"/>
      <w:r w:rsidRPr="00F14AD2">
        <w:rPr>
          <w:sz w:val="20"/>
          <w:szCs w:val="20"/>
        </w:rPr>
        <w:t>Estrabook</w:t>
      </w:r>
      <w:proofErr w:type="spellEnd"/>
      <w:r w:rsidRPr="00F14AD2">
        <w:rPr>
          <w:sz w:val="20"/>
          <w:szCs w:val="20"/>
        </w:rPr>
        <w:t xml:space="preserve"> (2016).</w:t>
      </w:r>
    </w:p>
    <w:p w14:paraId="64BE77AD" w14:textId="77777777" w:rsidR="005B3539" w:rsidRPr="008B5E0F" w:rsidRDefault="005B3539" w:rsidP="005B3539">
      <w:pPr>
        <w:spacing w:line="480" w:lineRule="auto"/>
        <w:jc w:val="center"/>
        <w:rPr>
          <w:b/>
          <w:bCs/>
        </w:rPr>
      </w:pPr>
    </w:p>
    <w:p w14:paraId="7A0214DD" w14:textId="3C1C3BA9" w:rsidR="005B3539" w:rsidRDefault="005B3539" w:rsidP="005B3539">
      <w:pPr>
        <w:rPr>
          <w:b/>
          <w:bCs/>
        </w:rPr>
      </w:pPr>
      <w:r w:rsidRPr="00674528">
        <w:rPr>
          <w:b/>
          <w:bCs/>
        </w:rPr>
        <w:t xml:space="preserve">Evidencias de fiabilidad </w:t>
      </w:r>
    </w:p>
    <w:p w14:paraId="22298B60" w14:textId="77777777" w:rsidR="005B3539" w:rsidRPr="00674528" w:rsidRDefault="005B3539" w:rsidP="005B3539">
      <w:pPr>
        <w:rPr>
          <w:b/>
          <w:bCs/>
        </w:rPr>
      </w:pPr>
    </w:p>
    <w:p w14:paraId="3CE76D81" w14:textId="75AA8095" w:rsidR="005B3539" w:rsidRDefault="005B3539" w:rsidP="005B3539">
      <w:pPr>
        <w:spacing w:line="480" w:lineRule="auto"/>
        <w:ind w:firstLine="720"/>
        <w:jc w:val="both"/>
      </w:pPr>
      <w:r w:rsidRPr="00674528">
        <w:t>La fiabilidad del RP</w:t>
      </w:r>
      <w:r>
        <w:t>Q</w:t>
      </w:r>
      <w:r w:rsidRPr="00674528">
        <w:t xml:space="preserve"> se evaluó por el método de consistencia interna, se reporta el coeficiente Omega categórico (ω </w:t>
      </w:r>
      <w:r w:rsidRPr="00674528">
        <w:rPr>
          <w:vertAlign w:val="subscript"/>
        </w:rPr>
        <w:t>categórico</w:t>
      </w:r>
      <w:r w:rsidRPr="00674528">
        <w:t xml:space="preserve">) con sus respectivos intervalos de confianza, obteniéndose </w:t>
      </w:r>
      <w:r w:rsidRPr="00674528">
        <w:rPr>
          <w:lang w:eastAsia="es-ES"/>
        </w:rPr>
        <w:t>ω =</w:t>
      </w:r>
      <w:r w:rsidRPr="00674528">
        <w:t xml:space="preserve"> .797 [IC=.756 - .832] para la Agresión Reactiva</w:t>
      </w:r>
      <w:r>
        <w:t xml:space="preserve"> (AR)</w:t>
      </w:r>
      <w:r w:rsidRPr="00674528">
        <w:t xml:space="preserve"> y </w:t>
      </w:r>
      <w:r w:rsidRPr="00674528">
        <w:rPr>
          <w:lang w:eastAsia="es-ES"/>
        </w:rPr>
        <w:t>ω =</w:t>
      </w:r>
      <w:r w:rsidRPr="00674528">
        <w:rPr>
          <w:i/>
          <w:iCs/>
          <w:lang w:eastAsia="es-ES"/>
        </w:rPr>
        <w:t xml:space="preserve"> </w:t>
      </w:r>
      <w:r w:rsidRPr="00674528">
        <w:t>.</w:t>
      </w:r>
      <w:r>
        <w:t>837</w:t>
      </w:r>
      <w:r w:rsidRPr="00674528">
        <w:t xml:space="preserve"> [IC=.801 - .869] para la Agresión Proactiva</w:t>
      </w:r>
      <w:r>
        <w:t xml:space="preserve"> (AP) (ver Tabla 4)</w:t>
      </w:r>
      <w:r w:rsidRPr="00674528">
        <w:t xml:space="preserve">. </w:t>
      </w:r>
      <w:r>
        <w:t xml:space="preserve">Adicionalmente, se calculó el coeficiente omega para los subgrupos, los adolescentes </w:t>
      </w:r>
      <w:r w:rsidR="00E2491B">
        <w:t>infractores</w:t>
      </w:r>
      <w:r>
        <w:t xml:space="preserve"> obtuvieron coeficientes igual .832 para AR y .863 para AP; mientras, los adolescentes no </w:t>
      </w:r>
      <w:r w:rsidR="00E2491B">
        <w:t>infractores</w:t>
      </w:r>
      <w:r>
        <w:t xml:space="preserve"> alcanzaron un omega igual .736 para AR y .546 para AP.</w:t>
      </w:r>
    </w:p>
    <w:p w14:paraId="12591171" w14:textId="77777777" w:rsidR="00B167A2" w:rsidRDefault="00B167A2" w:rsidP="005B3539">
      <w:pPr>
        <w:jc w:val="both"/>
      </w:pPr>
    </w:p>
    <w:p w14:paraId="023053AE" w14:textId="5B1366BC" w:rsidR="005B3539" w:rsidRDefault="005B3539" w:rsidP="005B3539">
      <w:pPr>
        <w:jc w:val="both"/>
      </w:pPr>
      <w:r w:rsidRPr="00674528">
        <w:t xml:space="preserve">Tabla </w:t>
      </w:r>
      <w:r>
        <w:t>4</w:t>
      </w:r>
      <w:r w:rsidRPr="00674528">
        <w:t xml:space="preserve">. </w:t>
      </w:r>
    </w:p>
    <w:p w14:paraId="727210F6" w14:textId="77777777" w:rsidR="005B3539" w:rsidRDefault="005B3539" w:rsidP="005B3539">
      <w:pPr>
        <w:jc w:val="both"/>
      </w:pPr>
    </w:p>
    <w:p w14:paraId="1306FC60" w14:textId="77777777" w:rsidR="005B3539" w:rsidRPr="008B5E0F" w:rsidRDefault="005B3539" w:rsidP="005B3539">
      <w:pPr>
        <w:jc w:val="both"/>
        <w:rPr>
          <w:i/>
          <w:iCs/>
        </w:rPr>
      </w:pPr>
      <w:r w:rsidRPr="008B5E0F">
        <w:rPr>
          <w:i/>
          <w:iCs/>
        </w:rPr>
        <w:t xml:space="preserve">Medidas de Fiabilidad del </w:t>
      </w:r>
      <w:r>
        <w:rPr>
          <w:i/>
          <w:iCs/>
        </w:rPr>
        <w:t>RPQ</w:t>
      </w:r>
      <w:r w:rsidRPr="008B5E0F">
        <w:rPr>
          <w:i/>
          <w:iCs/>
        </w:rPr>
        <w:t xml:space="preserve"> </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560"/>
        <w:gridCol w:w="1560"/>
        <w:gridCol w:w="1559"/>
        <w:gridCol w:w="1559"/>
        <w:gridCol w:w="1559"/>
        <w:gridCol w:w="1563"/>
      </w:tblGrid>
      <w:tr w:rsidR="005B3539" w:rsidRPr="00674528" w14:paraId="13D4A2FE" w14:textId="77777777" w:rsidTr="005B3539">
        <w:trPr>
          <w:trHeight w:val="240"/>
        </w:trPr>
        <w:tc>
          <w:tcPr>
            <w:tcW w:w="833" w:type="pct"/>
            <w:vMerge w:val="restart"/>
            <w:tcBorders>
              <w:top w:val="single" w:sz="4" w:space="0" w:color="auto"/>
              <w:bottom w:val="nil"/>
            </w:tcBorders>
            <w:shd w:val="clear" w:color="auto" w:fill="auto"/>
            <w:noWrap/>
            <w:vAlign w:val="center"/>
            <w:hideMark/>
          </w:tcPr>
          <w:p w14:paraId="0E0CB144" w14:textId="77777777" w:rsidR="005B3539" w:rsidRPr="006C388E" w:rsidRDefault="005B3539" w:rsidP="005B3539">
            <w:pPr>
              <w:rPr>
                <w:color w:val="000000"/>
                <w:sz w:val="20"/>
                <w:szCs w:val="20"/>
                <w:lang w:eastAsia="es-ES"/>
              </w:rPr>
            </w:pPr>
            <w:r w:rsidRPr="006C388E">
              <w:rPr>
                <w:color w:val="000000"/>
                <w:sz w:val="20"/>
                <w:szCs w:val="20"/>
                <w:lang w:eastAsia="es-ES"/>
              </w:rPr>
              <w:t>Factor</w:t>
            </w:r>
          </w:p>
        </w:tc>
        <w:tc>
          <w:tcPr>
            <w:tcW w:w="833" w:type="pct"/>
            <w:vMerge w:val="restart"/>
            <w:tcBorders>
              <w:top w:val="single" w:sz="4" w:space="0" w:color="auto"/>
              <w:bottom w:val="nil"/>
            </w:tcBorders>
            <w:shd w:val="clear" w:color="auto" w:fill="auto"/>
            <w:noWrap/>
            <w:vAlign w:val="center"/>
            <w:hideMark/>
          </w:tcPr>
          <w:p w14:paraId="17F945A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n</w:t>
            </w:r>
          </w:p>
        </w:tc>
        <w:tc>
          <w:tcPr>
            <w:tcW w:w="833" w:type="pct"/>
            <w:vMerge w:val="restart"/>
            <w:tcBorders>
              <w:top w:val="single" w:sz="4" w:space="0" w:color="auto"/>
              <w:bottom w:val="nil"/>
            </w:tcBorders>
            <w:shd w:val="clear" w:color="auto" w:fill="auto"/>
            <w:noWrap/>
            <w:vAlign w:val="center"/>
            <w:hideMark/>
          </w:tcPr>
          <w:p w14:paraId="50F14013" w14:textId="77777777" w:rsidR="005B3539" w:rsidRPr="006C388E" w:rsidRDefault="005B3539" w:rsidP="005B3539">
            <w:pPr>
              <w:jc w:val="center"/>
              <w:rPr>
                <w:i/>
                <w:iCs/>
                <w:color w:val="000000"/>
                <w:sz w:val="20"/>
                <w:szCs w:val="20"/>
                <w:lang w:eastAsia="es-ES"/>
              </w:rPr>
            </w:pPr>
            <w:r w:rsidRPr="006C388E">
              <w:rPr>
                <w:i/>
                <w:iCs/>
                <w:color w:val="000000"/>
                <w:sz w:val="20"/>
                <w:szCs w:val="20"/>
                <w:lang w:eastAsia="es-ES"/>
              </w:rPr>
              <w:t>SE</w:t>
            </w:r>
          </w:p>
        </w:tc>
        <w:tc>
          <w:tcPr>
            <w:tcW w:w="833" w:type="pct"/>
            <w:vMerge w:val="restart"/>
            <w:tcBorders>
              <w:top w:val="single" w:sz="4" w:space="0" w:color="auto"/>
              <w:bottom w:val="nil"/>
            </w:tcBorders>
            <w:shd w:val="clear" w:color="auto" w:fill="auto"/>
            <w:noWrap/>
            <w:vAlign w:val="center"/>
            <w:hideMark/>
          </w:tcPr>
          <w:p w14:paraId="52340C2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ω</w:t>
            </w:r>
          </w:p>
        </w:tc>
        <w:tc>
          <w:tcPr>
            <w:tcW w:w="1667" w:type="pct"/>
            <w:gridSpan w:val="2"/>
            <w:tcBorders>
              <w:top w:val="single" w:sz="4" w:space="0" w:color="auto"/>
              <w:bottom w:val="single" w:sz="4" w:space="0" w:color="auto"/>
            </w:tcBorders>
            <w:shd w:val="clear" w:color="auto" w:fill="auto"/>
            <w:noWrap/>
            <w:vAlign w:val="center"/>
            <w:hideMark/>
          </w:tcPr>
          <w:p w14:paraId="31C2A8D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IC 95%</w:t>
            </w:r>
          </w:p>
        </w:tc>
      </w:tr>
      <w:tr w:rsidR="005B3539" w:rsidRPr="00674528" w14:paraId="73A2C0D0" w14:textId="77777777" w:rsidTr="005B3539">
        <w:trPr>
          <w:trHeight w:val="240"/>
        </w:trPr>
        <w:tc>
          <w:tcPr>
            <w:tcW w:w="833" w:type="pct"/>
            <w:vMerge/>
            <w:tcBorders>
              <w:top w:val="nil"/>
              <w:bottom w:val="single" w:sz="4" w:space="0" w:color="auto"/>
            </w:tcBorders>
            <w:vAlign w:val="center"/>
            <w:hideMark/>
          </w:tcPr>
          <w:p w14:paraId="5F7D9E0C" w14:textId="77777777" w:rsidR="005B3539" w:rsidRPr="006C388E" w:rsidRDefault="005B3539" w:rsidP="005B3539">
            <w:pPr>
              <w:rPr>
                <w:color w:val="000000"/>
                <w:sz w:val="20"/>
                <w:szCs w:val="20"/>
                <w:lang w:eastAsia="es-ES"/>
              </w:rPr>
            </w:pPr>
          </w:p>
        </w:tc>
        <w:tc>
          <w:tcPr>
            <w:tcW w:w="833" w:type="pct"/>
            <w:vMerge/>
            <w:tcBorders>
              <w:top w:val="nil"/>
              <w:bottom w:val="single" w:sz="4" w:space="0" w:color="auto"/>
            </w:tcBorders>
            <w:vAlign w:val="center"/>
            <w:hideMark/>
          </w:tcPr>
          <w:p w14:paraId="71251FE7" w14:textId="77777777" w:rsidR="005B3539" w:rsidRPr="006C388E" w:rsidRDefault="005B3539" w:rsidP="005B3539">
            <w:pPr>
              <w:rPr>
                <w:color w:val="000000"/>
                <w:sz w:val="20"/>
                <w:szCs w:val="20"/>
                <w:lang w:eastAsia="es-ES"/>
              </w:rPr>
            </w:pPr>
          </w:p>
        </w:tc>
        <w:tc>
          <w:tcPr>
            <w:tcW w:w="833" w:type="pct"/>
            <w:vMerge/>
            <w:tcBorders>
              <w:top w:val="nil"/>
              <w:bottom w:val="single" w:sz="4" w:space="0" w:color="auto"/>
            </w:tcBorders>
            <w:vAlign w:val="center"/>
            <w:hideMark/>
          </w:tcPr>
          <w:p w14:paraId="3845D030" w14:textId="77777777" w:rsidR="005B3539" w:rsidRPr="006C388E" w:rsidRDefault="005B3539" w:rsidP="005B3539">
            <w:pPr>
              <w:rPr>
                <w:color w:val="000000"/>
                <w:sz w:val="20"/>
                <w:szCs w:val="20"/>
                <w:lang w:eastAsia="es-ES"/>
              </w:rPr>
            </w:pPr>
          </w:p>
        </w:tc>
        <w:tc>
          <w:tcPr>
            <w:tcW w:w="833" w:type="pct"/>
            <w:vMerge/>
            <w:tcBorders>
              <w:top w:val="nil"/>
              <w:bottom w:val="single" w:sz="4" w:space="0" w:color="auto"/>
            </w:tcBorders>
            <w:vAlign w:val="center"/>
            <w:hideMark/>
          </w:tcPr>
          <w:p w14:paraId="6950913C" w14:textId="77777777" w:rsidR="005B3539" w:rsidRPr="006C388E" w:rsidRDefault="005B3539" w:rsidP="005B3539">
            <w:pPr>
              <w:rPr>
                <w:color w:val="000000"/>
                <w:sz w:val="20"/>
                <w:szCs w:val="20"/>
                <w:lang w:eastAsia="es-ES"/>
              </w:rPr>
            </w:pPr>
          </w:p>
        </w:tc>
        <w:tc>
          <w:tcPr>
            <w:tcW w:w="833" w:type="pct"/>
            <w:tcBorders>
              <w:top w:val="single" w:sz="4" w:space="0" w:color="auto"/>
              <w:bottom w:val="single" w:sz="4" w:space="0" w:color="auto"/>
            </w:tcBorders>
            <w:shd w:val="clear" w:color="auto" w:fill="auto"/>
            <w:noWrap/>
            <w:vAlign w:val="center"/>
            <w:hideMark/>
          </w:tcPr>
          <w:p w14:paraId="52E095CB" w14:textId="77777777" w:rsidR="005B3539" w:rsidRPr="006C388E" w:rsidRDefault="005B3539" w:rsidP="005B3539">
            <w:pPr>
              <w:jc w:val="center"/>
              <w:rPr>
                <w:color w:val="000000"/>
                <w:sz w:val="20"/>
                <w:szCs w:val="20"/>
                <w:lang w:eastAsia="es-ES"/>
              </w:rPr>
            </w:pPr>
            <w:r w:rsidRPr="006C388E">
              <w:rPr>
                <w:color w:val="000000"/>
                <w:sz w:val="20"/>
                <w:szCs w:val="20"/>
                <w:lang w:eastAsia="es-ES"/>
              </w:rPr>
              <w:t>Li</w:t>
            </w:r>
          </w:p>
        </w:tc>
        <w:tc>
          <w:tcPr>
            <w:tcW w:w="833" w:type="pct"/>
            <w:tcBorders>
              <w:top w:val="single" w:sz="4" w:space="0" w:color="auto"/>
              <w:bottom w:val="single" w:sz="4" w:space="0" w:color="auto"/>
            </w:tcBorders>
            <w:shd w:val="clear" w:color="auto" w:fill="auto"/>
            <w:noWrap/>
            <w:vAlign w:val="center"/>
            <w:hideMark/>
          </w:tcPr>
          <w:p w14:paraId="0CDF7546" w14:textId="77777777" w:rsidR="005B3539" w:rsidRPr="006C388E" w:rsidRDefault="005B3539" w:rsidP="005B3539">
            <w:pPr>
              <w:jc w:val="center"/>
              <w:rPr>
                <w:color w:val="000000"/>
                <w:sz w:val="20"/>
                <w:szCs w:val="20"/>
                <w:lang w:eastAsia="es-ES"/>
              </w:rPr>
            </w:pPr>
            <w:proofErr w:type="spellStart"/>
            <w:r w:rsidRPr="006C388E">
              <w:rPr>
                <w:color w:val="000000"/>
                <w:sz w:val="20"/>
                <w:szCs w:val="20"/>
                <w:lang w:eastAsia="es-ES"/>
              </w:rPr>
              <w:t>Ls</w:t>
            </w:r>
            <w:proofErr w:type="spellEnd"/>
          </w:p>
        </w:tc>
      </w:tr>
      <w:tr w:rsidR="005B3539" w:rsidRPr="00674528" w14:paraId="48C50C0A" w14:textId="77777777" w:rsidTr="005B3539">
        <w:trPr>
          <w:trHeight w:val="300"/>
        </w:trPr>
        <w:tc>
          <w:tcPr>
            <w:tcW w:w="833" w:type="pct"/>
            <w:tcBorders>
              <w:top w:val="single" w:sz="4" w:space="0" w:color="auto"/>
              <w:bottom w:val="nil"/>
            </w:tcBorders>
            <w:shd w:val="clear" w:color="auto" w:fill="auto"/>
            <w:noWrap/>
            <w:vAlign w:val="bottom"/>
            <w:hideMark/>
          </w:tcPr>
          <w:p w14:paraId="45CBE938" w14:textId="77777777" w:rsidR="005B3539" w:rsidRPr="006C388E" w:rsidRDefault="005B3539" w:rsidP="005B3539">
            <w:pPr>
              <w:rPr>
                <w:color w:val="000000"/>
                <w:sz w:val="20"/>
                <w:szCs w:val="20"/>
                <w:lang w:eastAsia="es-ES"/>
              </w:rPr>
            </w:pPr>
            <w:r w:rsidRPr="006C388E">
              <w:rPr>
                <w:color w:val="000000"/>
                <w:sz w:val="20"/>
                <w:szCs w:val="20"/>
                <w:lang w:eastAsia="es-ES"/>
              </w:rPr>
              <w:t>Reactivo</w:t>
            </w:r>
          </w:p>
        </w:tc>
        <w:tc>
          <w:tcPr>
            <w:tcW w:w="833" w:type="pct"/>
            <w:tcBorders>
              <w:top w:val="single" w:sz="4" w:space="0" w:color="auto"/>
              <w:bottom w:val="nil"/>
            </w:tcBorders>
            <w:shd w:val="clear" w:color="auto" w:fill="auto"/>
            <w:noWrap/>
            <w:vAlign w:val="bottom"/>
            <w:hideMark/>
          </w:tcPr>
          <w:p w14:paraId="3ABED459"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11</w:t>
            </w:r>
          </w:p>
        </w:tc>
        <w:tc>
          <w:tcPr>
            <w:tcW w:w="833" w:type="pct"/>
            <w:tcBorders>
              <w:top w:val="single" w:sz="4" w:space="0" w:color="auto"/>
              <w:bottom w:val="nil"/>
            </w:tcBorders>
            <w:shd w:val="clear" w:color="auto" w:fill="auto"/>
            <w:noWrap/>
            <w:vAlign w:val="bottom"/>
            <w:hideMark/>
          </w:tcPr>
          <w:p w14:paraId="45E52D5A"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0.019</w:t>
            </w:r>
          </w:p>
        </w:tc>
        <w:tc>
          <w:tcPr>
            <w:tcW w:w="833" w:type="pct"/>
            <w:tcBorders>
              <w:top w:val="single" w:sz="4" w:space="0" w:color="auto"/>
              <w:bottom w:val="nil"/>
            </w:tcBorders>
            <w:shd w:val="clear" w:color="auto" w:fill="auto"/>
            <w:noWrap/>
            <w:vAlign w:val="bottom"/>
            <w:hideMark/>
          </w:tcPr>
          <w:p w14:paraId="0409B96E"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0.797</w:t>
            </w:r>
          </w:p>
        </w:tc>
        <w:tc>
          <w:tcPr>
            <w:tcW w:w="833" w:type="pct"/>
            <w:tcBorders>
              <w:top w:val="single" w:sz="4" w:space="0" w:color="auto"/>
              <w:bottom w:val="nil"/>
            </w:tcBorders>
            <w:shd w:val="clear" w:color="auto" w:fill="auto"/>
            <w:noWrap/>
            <w:vAlign w:val="bottom"/>
            <w:hideMark/>
          </w:tcPr>
          <w:p w14:paraId="041B5B60"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0.756</w:t>
            </w:r>
          </w:p>
        </w:tc>
        <w:tc>
          <w:tcPr>
            <w:tcW w:w="833" w:type="pct"/>
            <w:tcBorders>
              <w:top w:val="single" w:sz="4" w:space="0" w:color="auto"/>
              <w:bottom w:val="nil"/>
            </w:tcBorders>
            <w:shd w:val="clear" w:color="auto" w:fill="auto"/>
            <w:noWrap/>
            <w:vAlign w:val="bottom"/>
            <w:hideMark/>
          </w:tcPr>
          <w:p w14:paraId="288D1E02"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0.832</w:t>
            </w:r>
          </w:p>
        </w:tc>
      </w:tr>
      <w:tr w:rsidR="005B3539" w:rsidRPr="00674528" w14:paraId="150D39D7" w14:textId="77777777" w:rsidTr="005B3539">
        <w:trPr>
          <w:trHeight w:val="300"/>
        </w:trPr>
        <w:tc>
          <w:tcPr>
            <w:tcW w:w="833" w:type="pct"/>
            <w:tcBorders>
              <w:top w:val="nil"/>
              <w:bottom w:val="single" w:sz="4" w:space="0" w:color="auto"/>
            </w:tcBorders>
            <w:shd w:val="clear" w:color="auto" w:fill="auto"/>
            <w:noWrap/>
            <w:vAlign w:val="bottom"/>
            <w:hideMark/>
          </w:tcPr>
          <w:p w14:paraId="4A6BC941" w14:textId="77777777" w:rsidR="005B3539" w:rsidRPr="006C388E" w:rsidRDefault="005B3539" w:rsidP="005B3539">
            <w:pPr>
              <w:rPr>
                <w:color w:val="000000"/>
                <w:sz w:val="20"/>
                <w:szCs w:val="20"/>
                <w:lang w:eastAsia="es-ES"/>
              </w:rPr>
            </w:pPr>
            <w:r w:rsidRPr="006C388E">
              <w:rPr>
                <w:color w:val="000000"/>
                <w:sz w:val="20"/>
                <w:szCs w:val="20"/>
                <w:lang w:eastAsia="es-ES"/>
              </w:rPr>
              <w:t>Proactivo</w:t>
            </w:r>
          </w:p>
        </w:tc>
        <w:tc>
          <w:tcPr>
            <w:tcW w:w="833" w:type="pct"/>
            <w:tcBorders>
              <w:top w:val="nil"/>
              <w:bottom w:val="single" w:sz="4" w:space="0" w:color="auto"/>
            </w:tcBorders>
            <w:shd w:val="clear" w:color="auto" w:fill="auto"/>
            <w:noWrap/>
            <w:vAlign w:val="bottom"/>
            <w:hideMark/>
          </w:tcPr>
          <w:p w14:paraId="2414927D" w14:textId="77777777" w:rsidR="005B3539" w:rsidRPr="006C388E" w:rsidRDefault="005B3539" w:rsidP="005B3539">
            <w:pPr>
              <w:jc w:val="center"/>
              <w:rPr>
                <w:color w:val="000000"/>
                <w:sz w:val="20"/>
                <w:szCs w:val="20"/>
                <w:lang w:eastAsia="es-ES"/>
              </w:rPr>
            </w:pPr>
            <w:r w:rsidRPr="006C388E">
              <w:rPr>
                <w:color w:val="000000"/>
                <w:sz w:val="20"/>
                <w:szCs w:val="20"/>
                <w:lang w:eastAsia="es-ES"/>
              </w:rPr>
              <w:t>12</w:t>
            </w:r>
          </w:p>
        </w:tc>
        <w:tc>
          <w:tcPr>
            <w:tcW w:w="833" w:type="pct"/>
            <w:tcBorders>
              <w:top w:val="nil"/>
              <w:bottom w:val="single" w:sz="4" w:space="0" w:color="auto"/>
            </w:tcBorders>
            <w:shd w:val="clear" w:color="auto" w:fill="auto"/>
            <w:noWrap/>
            <w:vAlign w:val="bottom"/>
            <w:hideMark/>
          </w:tcPr>
          <w:p w14:paraId="44449103"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0.018</w:t>
            </w:r>
          </w:p>
        </w:tc>
        <w:tc>
          <w:tcPr>
            <w:tcW w:w="833" w:type="pct"/>
            <w:tcBorders>
              <w:top w:val="nil"/>
              <w:bottom w:val="single" w:sz="4" w:space="0" w:color="auto"/>
            </w:tcBorders>
            <w:shd w:val="clear" w:color="auto" w:fill="auto"/>
            <w:noWrap/>
            <w:vAlign w:val="bottom"/>
            <w:hideMark/>
          </w:tcPr>
          <w:p w14:paraId="157C047F"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0.837</w:t>
            </w:r>
          </w:p>
        </w:tc>
        <w:tc>
          <w:tcPr>
            <w:tcW w:w="833" w:type="pct"/>
            <w:tcBorders>
              <w:top w:val="nil"/>
              <w:bottom w:val="single" w:sz="4" w:space="0" w:color="auto"/>
            </w:tcBorders>
            <w:shd w:val="clear" w:color="auto" w:fill="auto"/>
            <w:noWrap/>
            <w:vAlign w:val="bottom"/>
            <w:hideMark/>
          </w:tcPr>
          <w:p w14:paraId="51C53EE6"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0.801</w:t>
            </w:r>
          </w:p>
        </w:tc>
        <w:tc>
          <w:tcPr>
            <w:tcW w:w="833" w:type="pct"/>
            <w:tcBorders>
              <w:top w:val="nil"/>
              <w:bottom w:val="single" w:sz="4" w:space="0" w:color="auto"/>
            </w:tcBorders>
            <w:shd w:val="clear" w:color="auto" w:fill="auto"/>
            <w:noWrap/>
            <w:vAlign w:val="bottom"/>
            <w:hideMark/>
          </w:tcPr>
          <w:p w14:paraId="170AD154" w14:textId="77777777" w:rsidR="005B3539" w:rsidRPr="006C388E" w:rsidRDefault="005B3539" w:rsidP="005B3539">
            <w:pPr>
              <w:jc w:val="center"/>
              <w:rPr>
                <w:color w:val="000000"/>
                <w:sz w:val="20"/>
                <w:szCs w:val="20"/>
                <w:lang w:eastAsia="es-ES"/>
              </w:rPr>
            </w:pPr>
            <w:r w:rsidRPr="006C388E">
              <w:rPr>
                <w:color w:val="000000"/>
                <w:sz w:val="20"/>
                <w:szCs w:val="20"/>
                <w:lang w:eastAsia="es-ES"/>
              </w:rPr>
              <w:t>0.869</w:t>
            </w:r>
          </w:p>
        </w:tc>
      </w:tr>
      <w:tr w:rsidR="005B3539" w:rsidRPr="00674528" w14:paraId="7AC3F825" w14:textId="77777777" w:rsidTr="005B3539">
        <w:trPr>
          <w:trHeight w:val="300"/>
        </w:trPr>
        <w:tc>
          <w:tcPr>
            <w:tcW w:w="5000" w:type="pct"/>
            <w:gridSpan w:val="6"/>
            <w:tcBorders>
              <w:top w:val="single" w:sz="4" w:space="0" w:color="auto"/>
              <w:bottom w:val="nil"/>
            </w:tcBorders>
            <w:shd w:val="clear" w:color="auto" w:fill="auto"/>
            <w:noWrap/>
            <w:vAlign w:val="bottom"/>
            <w:hideMark/>
          </w:tcPr>
          <w:p w14:paraId="3770BB08" w14:textId="77777777" w:rsidR="005B3539" w:rsidRPr="00674528" w:rsidRDefault="005B3539" w:rsidP="005B3539">
            <w:pPr>
              <w:spacing w:line="480" w:lineRule="auto"/>
              <w:rPr>
                <w:color w:val="000000"/>
                <w:sz w:val="18"/>
                <w:szCs w:val="18"/>
                <w:lang w:eastAsia="es-ES"/>
              </w:rPr>
            </w:pPr>
            <w:r w:rsidRPr="00674528">
              <w:rPr>
                <w:color w:val="000000"/>
                <w:sz w:val="18"/>
                <w:szCs w:val="18"/>
                <w:lang w:eastAsia="es-ES"/>
              </w:rPr>
              <w:t>Nota. IC 95% calculados a partir de BCA Bootstrap</w:t>
            </w:r>
          </w:p>
        </w:tc>
      </w:tr>
    </w:tbl>
    <w:p w14:paraId="220C813D" w14:textId="2F56D50E" w:rsidR="00CE7D65" w:rsidRPr="00E23C9E" w:rsidRDefault="00CE7D65" w:rsidP="005B3539">
      <w:pPr>
        <w:pStyle w:val="Ttulosinternos"/>
      </w:pPr>
      <w:proofErr w:type="spellStart"/>
      <w:r w:rsidRPr="00E23C9E">
        <w:t>Discusi</w:t>
      </w:r>
      <w:r w:rsidR="00E23C9E" w:rsidRPr="00E23C9E">
        <w:t>ó</w:t>
      </w:r>
      <w:r w:rsidRPr="00E23C9E">
        <w:t>n</w:t>
      </w:r>
      <w:proofErr w:type="spellEnd"/>
    </w:p>
    <w:p w14:paraId="2712A3A0" w14:textId="7DB5EDFD" w:rsidR="005B3539" w:rsidRPr="00E2491B" w:rsidRDefault="005B3539" w:rsidP="005B3539">
      <w:pPr>
        <w:pStyle w:val="Ttulosinternos"/>
        <w:rPr>
          <w:b w:val="0"/>
          <w:bCs/>
          <w:lang w:val="es-MX"/>
        </w:rPr>
      </w:pPr>
      <w:r w:rsidRPr="00E2491B">
        <w:rPr>
          <w:b w:val="0"/>
          <w:bCs/>
          <w:lang w:val="es-MX"/>
        </w:rPr>
        <w:t xml:space="preserve">El presente estudio tuvo por objetivo analizar la validez estructural y la invarianza del RPQ en adolescentes </w:t>
      </w:r>
      <w:r w:rsidR="00E2491B" w:rsidRPr="00E2491B">
        <w:rPr>
          <w:b w:val="0"/>
          <w:bCs/>
          <w:lang w:val="es-MX"/>
        </w:rPr>
        <w:t>infractores</w:t>
      </w:r>
      <w:r w:rsidRPr="00E2491B">
        <w:rPr>
          <w:b w:val="0"/>
          <w:bCs/>
          <w:lang w:val="es-MX"/>
        </w:rPr>
        <w:t xml:space="preserve"> y no </w:t>
      </w:r>
      <w:r w:rsidR="00E2491B" w:rsidRPr="00E2491B">
        <w:rPr>
          <w:b w:val="0"/>
          <w:bCs/>
          <w:lang w:val="es-MX"/>
        </w:rPr>
        <w:t>infractores</w:t>
      </w:r>
      <w:r w:rsidRPr="00E2491B">
        <w:rPr>
          <w:b w:val="0"/>
          <w:bCs/>
          <w:lang w:val="es-MX"/>
        </w:rPr>
        <w:t xml:space="preserve">. Los hallazgos obtenidos demuestran que la RPQ es una medida bidimensional, coherente, parsimoniosa e interpretable capaz discriminar la agresión </w:t>
      </w:r>
      <w:r w:rsidRPr="00E2491B">
        <w:rPr>
          <w:b w:val="0"/>
          <w:bCs/>
          <w:lang w:val="es-MX"/>
        </w:rPr>
        <w:lastRenderedPageBreak/>
        <w:t xml:space="preserve">reactiva y proactiva en </w:t>
      </w:r>
      <w:r w:rsidR="00E2491B" w:rsidRPr="00E2491B">
        <w:rPr>
          <w:b w:val="0"/>
          <w:bCs/>
          <w:lang w:val="es-MX"/>
        </w:rPr>
        <w:t>adolescent</w:t>
      </w:r>
      <w:r w:rsidR="00E2491B">
        <w:rPr>
          <w:b w:val="0"/>
          <w:bCs/>
          <w:lang w:val="es-MX"/>
        </w:rPr>
        <w:t>e</w:t>
      </w:r>
      <w:r w:rsidR="00E2491B" w:rsidRPr="00E2491B">
        <w:rPr>
          <w:b w:val="0"/>
          <w:bCs/>
          <w:lang w:val="es-MX"/>
        </w:rPr>
        <w:t>s limeños</w:t>
      </w:r>
      <w:r w:rsidRPr="00E2491B">
        <w:rPr>
          <w:b w:val="0"/>
          <w:bCs/>
          <w:lang w:val="es-MX"/>
        </w:rPr>
        <w:t xml:space="preserve">, lo cual es coherente con el modelo original de </w:t>
      </w:r>
      <w:proofErr w:type="spellStart"/>
      <w:r w:rsidRPr="00E2491B">
        <w:rPr>
          <w:b w:val="0"/>
          <w:bCs/>
          <w:lang w:val="es-MX"/>
        </w:rPr>
        <w:t>Raine</w:t>
      </w:r>
      <w:proofErr w:type="spellEnd"/>
      <w:r w:rsidRPr="00E2491B">
        <w:rPr>
          <w:b w:val="0"/>
          <w:bCs/>
          <w:lang w:val="es-MX"/>
        </w:rPr>
        <w:t xml:space="preserve"> et al. (2006). </w:t>
      </w:r>
    </w:p>
    <w:p w14:paraId="111BFA8F" w14:textId="120BA6F2" w:rsidR="005B3539" w:rsidRPr="00E2491B" w:rsidRDefault="005B3539" w:rsidP="005B3539">
      <w:pPr>
        <w:pStyle w:val="Ttulosinternos"/>
        <w:rPr>
          <w:b w:val="0"/>
          <w:bCs/>
          <w:lang w:val="es-MX"/>
        </w:rPr>
      </w:pPr>
      <w:r w:rsidRPr="00E2491B">
        <w:rPr>
          <w:b w:val="0"/>
          <w:bCs/>
          <w:lang w:val="es-MX"/>
        </w:rPr>
        <w:t xml:space="preserve">No obstante, una diferencia del presente estudio respecto de otros </w:t>
      </w:r>
      <w:r w:rsidR="00E2491B" w:rsidRPr="00E2491B">
        <w:rPr>
          <w:b w:val="0"/>
          <w:bCs/>
          <w:lang w:val="es-MX"/>
        </w:rPr>
        <w:t xml:space="preserve">radica en las características de los participantes </w:t>
      </w:r>
      <w:r w:rsidRPr="00E2491B">
        <w:rPr>
          <w:b w:val="0"/>
          <w:bCs/>
          <w:lang w:val="es-MX"/>
        </w:rPr>
        <w:t>con l</w:t>
      </w:r>
      <w:r w:rsidR="00E2491B" w:rsidRPr="00E2491B">
        <w:rPr>
          <w:b w:val="0"/>
          <w:bCs/>
          <w:lang w:val="es-MX"/>
        </w:rPr>
        <w:t>os</w:t>
      </w:r>
      <w:r w:rsidRPr="00E2491B">
        <w:rPr>
          <w:b w:val="0"/>
          <w:bCs/>
          <w:lang w:val="es-MX"/>
        </w:rPr>
        <w:t xml:space="preserve"> que se han explorado las evidencias de validez y fiabilidad del RPQ, un grupo estuvo conformado por adolescentes </w:t>
      </w:r>
      <w:r w:rsidR="00E2491B" w:rsidRPr="00E2491B">
        <w:rPr>
          <w:b w:val="0"/>
          <w:bCs/>
          <w:lang w:val="es-MX"/>
        </w:rPr>
        <w:t>infractores</w:t>
      </w:r>
      <w:r w:rsidRPr="00E2491B">
        <w:rPr>
          <w:b w:val="0"/>
          <w:bCs/>
          <w:lang w:val="es-MX"/>
        </w:rPr>
        <w:t xml:space="preserve">, que se encuentran internados en centros de rehabilitación por haber cometido infracciones a la ley peruana y otro grupo de adolescentes que se desenvuelven en condiciones regulares (adolescentes no </w:t>
      </w:r>
      <w:r w:rsidR="00E2491B" w:rsidRPr="00E2491B">
        <w:rPr>
          <w:b w:val="0"/>
          <w:bCs/>
          <w:lang w:val="es-MX"/>
        </w:rPr>
        <w:t>infractores</w:t>
      </w:r>
      <w:r w:rsidRPr="00E2491B">
        <w:rPr>
          <w:b w:val="0"/>
          <w:bCs/>
          <w:lang w:val="es-MX"/>
        </w:rPr>
        <w:t>).</w:t>
      </w:r>
    </w:p>
    <w:p w14:paraId="7967F3B9" w14:textId="3B9B27B2" w:rsidR="005B3539" w:rsidRPr="00E2491B" w:rsidRDefault="005B3539" w:rsidP="005B3539">
      <w:pPr>
        <w:pStyle w:val="Ttulosinternos"/>
        <w:rPr>
          <w:b w:val="0"/>
          <w:bCs/>
          <w:lang w:val="es-MX"/>
        </w:rPr>
      </w:pPr>
      <w:r w:rsidRPr="00E2491B">
        <w:rPr>
          <w:b w:val="0"/>
          <w:bCs/>
          <w:lang w:val="es-MX"/>
        </w:rPr>
        <w:t xml:space="preserve">En cuanto a las evidencias de validez basada en la estructura interna, no solo se corrobora la estructura teórica del instrumento, sino que se obtuvieron cargas factoriales sustancialmente superiores en ambos factores en comparación con el estudio de </w:t>
      </w:r>
      <w:proofErr w:type="spellStart"/>
      <w:r w:rsidRPr="00E2491B">
        <w:rPr>
          <w:b w:val="0"/>
          <w:bCs/>
          <w:lang w:val="es-MX"/>
        </w:rPr>
        <w:t>Raine</w:t>
      </w:r>
      <w:proofErr w:type="spellEnd"/>
      <w:r w:rsidRPr="00E2491B">
        <w:rPr>
          <w:b w:val="0"/>
          <w:bCs/>
          <w:lang w:val="es-MX"/>
        </w:rPr>
        <w:t xml:space="preserve"> et al. (2006) llevado a cabo en adolescentes españoles y con otro estudio desarrollado </w:t>
      </w:r>
      <w:r w:rsidR="00E2491B" w:rsidRPr="00E2491B">
        <w:rPr>
          <w:b w:val="0"/>
          <w:bCs/>
          <w:lang w:val="es-MX"/>
        </w:rPr>
        <w:t>sobre</w:t>
      </w:r>
      <w:r w:rsidRPr="00E2491B">
        <w:rPr>
          <w:b w:val="0"/>
          <w:bCs/>
          <w:lang w:val="es-MX"/>
        </w:rPr>
        <w:t xml:space="preserve"> una muestra de adolescentes peruanos (Rojas et al., 2020). Esto se puede deber al método de extracción utilizado, mientras que en los estudios mencionados se emplearon métodos como máxima verosimilitud o mínimos cuadrados ponderados diagonalmente. En esta investigación el AFC realizado se ejecutó con el método WLSMV, debido a la naturaleza categórica de las variables (Domínguez-Lara, 2014; </w:t>
      </w:r>
      <w:proofErr w:type="spellStart"/>
      <w:r w:rsidRPr="00E2491B">
        <w:rPr>
          <w:b w:val="0"/>
          <w:bCs/>
          <w:lang w:val="es-MX"/>
        </w:rPr>
        <w:t>Verdam</w:t>
      </w:r>
      <w:proofErr w:type="spellEnd"/>
      <w:r w:rsidRPr="00E2491B">
        <w:rPr>
          <w:b w:val="0"/>
          <w:bCs/>
          <w:lang w:val="es-MX"/>
        </w:rPr>
        <w:t xml:space="preserve"> Oort, &amp; </w:t>
      </w:r>
      <w:proofErr w:type="spellStart"/>
      <w:r w:rsidRPr="00E2491B">
        <w:rPr>
          <w:b w:val="0"/>
          <w:bCs/>
          <w:lang w:val="es-MX"/>
        </w:rPr>
        <w:t>Sprangers</w:t>
      </w:r>
      <w:proofErr w:type="spellEnd"/>
      <w:r w:rsidRPr="00E2491B">
        <w:rPr>
          <w:b w:val="0"/>
          <w:bCs/>
          <w:lang w:val="es-MX"/>
        </w:rPr>
        <w:t>, 2016), además de ser un estimador más confiable en muestras pequeñas (Li, 2014).</w:t>
      </w:r>
    </w:p>
    <w:p w14:paraId="23FDEDC1" w14:textId="0567E13A" w:rsidR="005B3539" w:rsidRPr="00E2491B" w:rsidRDefault="005B3539" w:rsidP="005B3539">
      <w:pPr>
        <w:pStyle w:val="Ttulosinternos"/>
        <w:rPr>
          <w:b w:val="0"/>
          <w:bCs/>
          <w:lang w:val="es-MX"/>
        </w:rPr>
      </w:pPr>
      <w:r w:rsidRPr="00E2491B">
        <w:rPr>
          <w:b w:val="0"/>
          <w:bCs/>
          <w:lang w:val="es-MX"/>
        </w:rPr>
        <w:t xml:space="preserve">Asimismo, los resultados permitieron establecer la invarianza del RPQ en adolescentes </w:t>
      </w:r>
      <w:r w:rsidR="00E2491B" w:rsidRPr="00E2491B">
        <w:rPr>
          <w:b w:val="0"/>
          <w:bCs/>
          <w:lang w:val="es-MX"/>
        </w:rPr>
        <w:t>infractores</w:t>
      </w:r>
      <w:r w:rsidRPr="00E2491B">
        <w:rPr>
          <w:b w:val="0"/>
          <w:bCs/>
          <w:lang w:val="es-MX"/>
        </w:rPr>
        <w:t xml:space="preserve"> y no </w:t>
      </w:r>
      <w:r w:rsidR="00E2491B" w:rsidRPr="00E2491B">
        <w:rPr>
          <w:b w:val="0"/>
          <w:bCs/>
          <w:lang w:val="es-MX"/>
        </w:rPr>
        <w:t>infractores</w:t>
      </w:r>
      <w:r w:rsidRPr="00E2491B">
        <w:rPr>
          <w:b w:val="0"/>
          <w:bCs/>
          <w:lang w:val="es-MX"/>
        </w:rPr>
        <w:t xml:space="preserve">, lo que demuestra la equivalencia de su estructura interna y de sus puntuaciones en ambos grupos (Byrne, 2008; Wu &amp; </w:t>
      </w:r>
      <w:proofErr w:type="spellStart"/>
      <w:r w:rsidRPr="00E2491B">
        <w:rPr>
          <w:b w:val="0"/>
          <w:bCs/>
          <w:lang w:val="es-MX"/>
        </w:rPr>
        <w:t>Estrabrook</w:t>
      </w:r>
      <w:proofErr w:type="spellEnd"/>
      <w:r w:rsidRPr="00E2491B">
        <w:rPr>
          <w:b w:val="0"/>
          <w:bCs/>
          <w:lang w:val="es-MX"/>
        </w:rPr>
        <w:t xml:space="preserve">, 2016). Con ello se corrobora, que la medida no presenta sesgos de medición con respecto a esta condición de los </w:t>
      </w:r>
      <w:r w:rsidR="00E2491B" w:rsidRPr="00E2491B">
        <w:rPr>
          <w:b w:val="0"/>
          <w:bCs/>
          <w:lang w:val="es-MX"/>
        </w:rPr>
        <w:t>grupos estudiados</w:t>
      </w:r>
      <w:r w:rsidRPr="00E2491B">
        <w:rPr>
          <w:b w:val="0"/>
          <w:bCs/>
          <w:lang w:val="es-MX"/>
        </w:rPr>
        <w:t>, este resultado no es comparable con otros estudios puesto que no se han identificado investigaciones que hayan evaluado estos parámetros en adolescentes en similar condición</w:t>
      </w:r>
      <w:r w:rsidR="00E2491B" w:rsidRPr="00E2491B">
        <w:rPr>
          <w:b w:val="0"/>
          <w:bCs/>
          <w:lang w:val="es-MX"/>
        </w:rPr>
        <w:t xml:space="preserve"> tanto a nivel nacional como en el extranjero</w:t>
      </w:r>
      <w:r w:rsidRPr="00E2491B">
        <w:rPr>
          <w:b w:val="0"/>
          <w:bCs/>
          <w:lang w:val="es-MX"/>
        </w:rPr>
        <w:t xml:space="preserve">. </w:t>
      </w:r>
    </w:p>
    <w:p w14:paraId="5F96CE2B" w14:textId="7054C6FD" w:rsidR="005B3539" w:rsidRPr="00E2491B" w:rsidRDefault="005B3539" w:rsidP="005B3539">
      <w:pPr>
        <w:pStyle w:val="Ttulosinternos"/>
        <w:rPr>
          <w:b w:val="0"/>
          <w:bCs/>
          <w:lang w:val="es-MX"/>
        </w:rPr>
      </w:pPr>
      <w:r w:rsidRPr="00E2491B">
        <w:rPr>
          <w:b w:val="0"/>
          <w:bCs/>
          <w:lang w:val="es-MX"/>
        </w:rPr>
        <w:t>En este sentido, al establecerse la invarianza configuracional, implica que la RPQ es una medida que sostiene la misma organización del constructo para los grupos. Asimismo, al demostrarse la invarianza métrica, se entiende que cada reactivo que compone en la medición del constructo en grado similar (</w:t>
      </w:r>
      <w:proofErr w:type="spellStart"/>
      <w:r w:rsidRPr="00E2491B">
        <w:rPr>
          <w:b w:val="0"/>
          <w:bCs/>
          <w:lang w:val="es-MX"/>
        </w:rPr>
        <w:t>Putnick</w:t>
      </w:r>
      <w:proofErr w:type="spellEnd"/>
      <w:r w:rsidRPr="00E2491B">
        <w:rPr>
          <w:b w:val="0"/>
          <w:bCs/>
          <w:lang w:val="es-MX"/>
        </w:rPr>
        <w:t xml:space="preserve"> &amp; </w:t>
      </w:r>
      <w:proofErr w:type="spellStart"/>
      <w:r w:rsidRPr="00E2491B">
        <w:rPr>
          <w:b w:val="0"/>
          <w:bCs/>
          <w:lang w:val="es-MX"/>
        </w:rPr>
        <w:t>Bornstein</w:t>
      </w:r>
      <w:proofErr w:type="spellEnd"/>
      <w:r w:rsidRPr="00E2491B">
        <w:rPr>
          <w:b w:val="0"/>
          <w:bCs/>
          <w:lang w:val="es-MX"/>
        </w:rPr>
        <w:t xml:space="preserve">, 2016). Al establecerse la invarianza escalar, es </w:t>
      </w:r>
      <w:r w:rsidRPr="00E2491B">
        <w:rPr>
          <w:b w:val="0"/>
          <w:bCs/>
          <w:lang w:val="es-MX"/>
        </w:rPr>
        <w:lastRenderedPageBreak/>
        <w:t xml:space="preserve">posible realizar comparaciones que permitan diferenciar el predominio de agresión en uno y otro grupo con la seguridad de que las diferencias encontradas correspondan a la condición de los adolescentes y no a sesgos </w:t>
      </w:r>
      <w:r w:rsidR="00E2491B" w:rsidRPr="00E2491B">
        <w:rPr>
          <w:b w:val="0"/>
          <w:bCs/>
          <w:lang w:val="es-MX"/>
        </w:rPr>
        <w:t>atribuibles al propio</w:t>
      </w:r>
      <w:r w:rsidRPr="00E2491B">
        <w:rPr>
          <w:b w:val="0"/>
          <w:bCs/>
          <w:lang w:val="es-MX"/>
        </w:rPr>
        <w:t xml:space="preserve"> instrumento (Lee, 2018). Al demostrar la invarianza estricta (residual) implica que la varianza específica y error es similar en ambos grupos (Elosua, 2005). </w:t>
      </w:r>
    </w:p>
    <w:p w14:paraId="37702548" w14:textId="1EAAB283" w:rsidR="005B3539" w:rsidRPr="00E2491B" w:rsidRDefault="005B3539" w:rsidP="005B3539">
      <w:pPr>
        <w:pStyle w:val="Ttulosinternos"/>
        <w:rPr>
          <w:b w:val="0"/>
          <w:bCs/>
          <w:lang w:val="es-MX"/>
        </w:rPr>
      </w:pPr>
      <w:r w:rsidRPr="00E2491B">
        <w:rPr>
          <w:b w:val="0"/>
          <w:bCs/>
          <w:lang w:val="es-MX"/>
        </w:rPr>
        <w:t>En lo que respecta a la fiabilidad del RPQ se obtuvo por consistencia interna similar a lo reportado en otras investigaciones (</w:t>
      </w:r>
      <w:proofErr w:type="spellStart"/>
      <w:r w:rsidRPr="00E2491B">
        <w:rPr>
          <w:b w:val="0"/>
          <w:bCs/>
          <w:lang w:val="es-MX"/>
        </w:rPr>
        <w:t>Raine</w:t>
      </w:r>
      <w:proofErr w:type="spellEnd"/>
      <w:r w:rsidRPr="00E2491B">
        <w:rPr>
          <w:b w:val="0"/>
          <w:bCs/>
          <w:lang w:val="es-MX"/>
        </w:rPr>
        <w:t xml:space="preserve"> et al., 2006; Rojas et al., 2020). Los hallazgos confirman la estabilidad de las mediciones del RPQ tanto en los adolescentes </w:t>
      </w:r>
      <w:r w:rsidR="00AE717F">
        <w:rPr>
          <w:b w:val="0"/>
          <w:bCs/>
          <w:lang w:val="es-MX"/>
        </w:rPr>
        <w:t>infractores</w:t>
      </w:r>
      <w:r w:rsidRPr="00E2491B">
        <w:rPr>
          <w:b w:val="0"/>
          <w:bCs/>
          <w:lang w:val="es-MX"/>
        </w:rPr>
        <w:t xml:space="preserve">, como en los </w:t>
      </w:r>
      <w:r w:rsidR="00AE717F">
        <w:rPr>
          <w:b w:val="0"/>
          <w:bCs/>
          <w:lang w:val="es-MX"/>
        </w:rPr>
        <w:t>no infractores</w:t>
      </w:r>
      <w:r w:rsidRPr="00E2491B">
        <w:rPr>
          <w:b w:val="0"/>
          <w:bCs/>
          <w:lang w:val="es-MX"/>
        </w:rPr>
        <w:t xml:space="preserve">. Aunque se pueden apreciar que la RPQ presento medidas más consistentes en el grupo de adolescentes </w:t>
      </w:r>
      <w:r w:rsidR="00AE717F">
        <w:rPr>
          <w:b w:val="0"/>
          <w:bCs/>
          <w:lang w:val="es-MX"/>
        </w:rPr>
        <w:t>infractores</w:t>
      </w:r>
      <w:r w:rsidRPr="00E2491B">
        <w:rPr>
          <w:b w:val="0"/>
          <w:bCs/>
          <w:lang w:val="es-MX"/>
        </w:rPr>
        <w:t xml:space="preserve">, posiblemente porque en ellos los efectos de la deseabilidad dada su condición se hicieron menos relevantes. </w:t>
      </w:r>
    </w:p>
    <w:p w14:paraId="645316F1" w14:textId="099A40D5" w:rsidR="005B3539" w:rsidRPr="00E2491B" w:rsidRDefault="005B3539" w:rsidP="005B3539">
      <w:pPr>
        <w:pStyle w:val="Ttulosinternos"/>
        <w:rPr>
          <w:b w:val="0"/>
          <w:bCs/>
          <w:lang w:val="es-MX"/>
        </w:rPr>
      </w:pPr>
      <w:r w:rsidRPr="00E2491B">
        <w:rPr>
          <w:b w:val="0"/>
          <w:bCs/>
          <w:lang w:val="es-MX"/>
        </w:rPr>
        <w:t xml:space="preserve">Al haber constatado la validez estructural y la invarianza del RPQ se viabiliza el desarrollo de futuros estudios en donde se puedan explorar las diferencias en adolescentes </w:t>
      </w:r>
      <w:r w:rsidR="0087383A" w:rsidRPr="00E2491B">
        <w:rPr>
          <w:b w:val="0"/>
          <w:bCs/>
          <w:lang w:val="es-MX"/>
        </w:rPr>
        <w:t>infractores</w:t>
      </w:r>
      <w:r w:rsidRPr="00E2491B">
        <w:rPr>
          <w:b w:val="0"/>
          <w:bCs/>
          <w:lang w:val="es-MX"/>
        </w:rPr>
        <w:t xml:space="preserve"> y no </w:t>
      </w:r>
      <w:r w:rsidR="0087383A" w:rsidRPr="00E2491B">
        <w:rPr>
          <w:b w:val="0"/>
          <w:bCs/>
          <w:lang w:val="es-MX"/>
        </w:rPr>
        <w:t>infractores</w:t>
      </w:r>
      <w:r w:rsidRPr="00E2491B">
        <w:rPr>
          <w:b w:val="0"/>
          <w:bCs/>
          <w:lang w:val="es-MX"/>
        </w:rPr>
        <w:t xml:space="preserve">. </w:t>
      </w:r>
      <w:r w:rsidR="0087383A" w:rsidRPr="00E2491B">
        <w:rPr>
          <w:b w:val="0"/>
          <w:bCs/>
          <w:lang w:val="es-MX"/>
        </w:rPr>
        <w:t>Ello</w:t>
      </w:r>
      <w:r w:rsidRPr="00E2491B">
        <w:rPr>
          <w:b w:val="0"/>
          <w:bCs/>
          <w:lang w:val="es-MX"/>
        </w:rPr>
        <w:t>,</w:t>
      </w:r>
      <w:r w:rsidR="0087383A" w:rsidRPr="00E2491B">
        <w:rPr>
          <w:b w:val="0"/>
          <w:bCs/>
          <w:lang w:val="es-MX"/>
        </w:rPr>
        <w:t xml:space="preserve"> permitirá</w:t>
      </w:r>
      <w:r w:rsidRPr="00E2491B">
        <w:rPr>
          <w:b w:val="0"/>
          <w:bCs/>
          <w:lang w:val="es-MX"/>
        </w:rPr>
        <w:t xml:space="preserve"> establecer en qué medida la agresión reactiva y proactiva podría constituir factores de riesgo a la reincidencia delictiva (Horcajo-Gil et al., 2019)</w:t>
      </w:r>
      <w:r w:rsidR="0087383A" w:rsidRPr="00E2491B">
        <w:rPr>
          <w:b w:val="0"/>
          <w:bCs/>
          <w:lang w:val="es-MX"/>
        </w:rPr>
        <w:t xml:space="preserve">. De igual manera, se </w:t>
      </w:r>
      <w:r w:rsidR="00E2491B" w:rsidRPr="00E2491B">
        <w:rPr>
          <w:b w:val="0"/>
          <w:bCs/>
          <w:lang w:val="es-MX"/>
        </w:rPr>
        <w:t>podrán</w:t>
      </w:r>
      <w:r w:rsidR="0087383A" w:rsidRPr="00E2491B">
        <w:rPr>
          <w:b w:val="0"/>
          <w:bCs/>
          <w:lang w:val="es-MX"/>
        </w:rPr>
        <w:t xml:space="preserve"> implementar programas de intervención </w:t>
      </w:r>
      <w:r w:rsidRPr="00E2491B">
        <w:rPr>
          <w:b w:val="0"/>
          <w:bCs/>
          <w:lang w:val="es-MX"/>
        </w:rPr>
        <w:t xml:space="preserve">   </w:t>
      </w:r>
    </w:p>
    <w:p w14:paraId="62A408F2" w14:textId="44AEE99C" w:rsidR="005B3539" w:rsidRDefault="005B3539" w:rsidP="005B3539">
      <w:pPr>
        <w:pStyle w:val="Ttulosinternos"/>
        <w:rPr>
          <w:b w:val="0"/>
          <w:bCs/>
        </w:rPr>
      </w:pPr>
      <w:r w:rsidRPr="00E2491B">
        <w:rPr>
          <w:b w:val="0"/>
          <w:bCs/>
          <w:lang w:val="es-MX"/>
        </w:rPr>
        <w:t xml:space="preserve">Entre las principales limitaciones de la investigación, los resultados no pueden ser generalizable siendo interpretativos únicamente a la particularidad de la muestra seleccionada. En cuanto a las recomendaciones, es necesario que pueda incrementar la cantidad de participantes considerando otras características sociodemográficas y que incluyan otros estratos económicos y sociales además de plantear un tipo de muestreo probabilístico. Es pertinente plantear la invarianza de medición a nivel regional debido a las marcadas diferencias de esta característica sociodemográfica que existe en el Perú. Por último, se cree necesario plantear un modelo explicativo para conocer las causas y consecuencias involucradas en la agresión proactiva en los adolescentes </w:t>
      </w:r>
      <w:r w:rsidR="00FB3DE6" w:rsidRPr="00E2491B">
        <w:rPr>
          <w:b w:val="0"/>
          <w:bCs/>
          <w:lang w:val="es-MX"/>
        </w:rPr>
        <w:t>infractores</w:t>
      </w:r>
      <w:r w:rsidRPr="00E2491B">
        <w:rPr>
          <w:b w:val="0"/>
          <w:bCs/>
          <w:lang w:val="es-MX"/>
        </w:rPr>
        <w:t>.</w:t>
      </w:r>
    </w:p>
    <w:p w14:paraId="07886DE3" w14:textId="7AD328E2" w:rsidR="0001604A" w:rsidRPr="00877C32" w:rsidRDefault="0001604A" w:rsidP="0001604A">
      <w:pPr>
        <w:spacing w:line="480" w:lineRule="auto"/>
        <w:jc w:val="both"/>
        <w:rPr>
          <w:b/>
          <w:lang w:val="es-PE"/>
        </w:rPr>
      </w:pPr>
      <w:r w:rsidRPr="00877C32">
        <w:rPr>
          <w:b/>
          <w:lang w:val="es-PE"/>
        </w:rPr>
        <w:t xml:space="preserve">Declaración de </w:t>
      </w:r>
      <w:r>
        <w:rPr>
          <w:b/>
          <w:lang w:val="es-PE"/>
        </w:rPr>
        <w:t xml:space="preserve">conflicto de intereses </w:t>
      </w:r>
    </w:p>
    <w:p w14:paraId="5890E1F6" w14:textId="77777777" w:rsidR="0001604A" w:rsidRDefault="0001604A" w:rsidP="0001604A">
      <w:pPr>
        <w:spacing w:line="480" w:lineRule="auto"/>
        <w:ind w:firstLine="708"/>
        <w:jc w:val="both"/>
        <w:rPr>
          <w:bCs/>
          <w:lang w:val="es-PE"/>
        </w:rPr>
      </w:pPr>
      <w:r>
        <w:rPr>
          <w:bCs/>
          <w:lang w:val="es-PE"/>
        </w:rPr>
        <w:t>No existen intereses en conflicto</w:t>
      </w:r>
      <w:r w:rsidRPr="00877C32">
        <w:rPr>
          <w:bCs/>
          <w:lang w:val="es-PE"/>
        </w:rPr>
        <w:t>.</w:t>
      </w:r>
    </w:p>
    <w:p w14:paraId="3D7C37CC" w14:textId="77777777" w:rsidR="0001604A" w:rsidRDefault="0001604A" w:rsidP="0001604A">
      <w:pPr>
        <w:spacing w:line="480" w:lineRule="auto"/>
        <w:ind w:firstLine="708"/>
        <w:jc w:val="both"/>
        <w:rPr>
          <w:bCs/>
          <w:lang w:val="es-PE"/>
        </w:rPr>
      </w:pPr>
    </w:p>
    <w:p w14:paraId="6CA5905B" w14:textId="77777777" w:rsidR="0001604A" w:rsidRDefault="0001604A" w:rsidP="0001604A">
      <w:pPr>
        <w:spacing w:line="480" w:lineRule="auto"/>
        <w:ind w:firstLine="708"/>
        <w:jc w:val="both"/>
        <w:rPr>
          <w:bCs/>
          <w:lang w:val="es-PE"/>
        </w:rPr>
      </w:pPr>
    </w:p>
    <w:p w14:paraId="6CD8B4A8" w14:textId="3D7FF6F6" w:rsidR="006F7E7E" w:rsidRPr="00E25900" w:rsidRDefault="00CE7D65" w:rsidP="005B3539">
      <w:pPr>
        <w:pStyle w:val="Ttulosinternos"/>
      </w:pPr>
      <w:proofErr w:type="spellStart"/>
      <w:r w:rsidRPr="00DE7EB8">
        <w:t>Referenc</w:t>
      </w:r>
      <w:r w:rsidR="00E23C9E" w:rsidRPr="00DE7EB8">
        <w:t>ias</w:t>
      </w:r>
      <w:proofErr w:type="spellEnd"/>
    </w:p>
    <w:tbl>
      <w:tblPr>
        <w:tblW w:w="4981" w:type="pct"/>
        <w:tblCellSpacing w:w="7" w:type="dxa"/>
        <w:tblCellMar>
          <w:top w:w="15" w:type="dxa"/>
          <w:left w:w="15" w:type="dxa"/>
          <w:bottom w:w="15" w:type="dxa"/>
          <w:right w:w="15" w:type="dxa"/>
        </w:tblCellMar>
        <w:tblLook w:val="04A0" w:firstRow="1" w:lastRow="0" w:firstColumn="1" w:lastColumn="0" w:noHBand="0" w:noVBand="1"/>
      </w:tblPr>
      <w:tblGrid>
        <w:gridCol w:w="9324"/>
      </w:tblGrid>
      <w:tr w:rsidR="005B3539" w:rsidRPr="005B3539" w14:paraId="3084B391" w14:textId="77777777" w:rsidTr="005B3539">
        <w:trPr>
          <w:tblCellSpacing w:w="7" w:type="dxa"/>
        </w:trPr>
        <w:tc>
          <w:tcPr>
            <w:tcW w:w="4983" w:type="pct"/>
            <w:vAlign w:val="center"/>
          </w:tcPr>
          <w:p w14:paraId="67677755" w14:textId="77777777" w:rsidR="005B3539" w:rsidRPr="005B3539" w:rsidRDefault="005B3539" w:rsidP="005B3539">
            <w:pPr>
              <w:ind w:left="720" w:hanging="720"/>
              <w:jc w:val="both"/>
              <w:rPr>
                <w:bCs/>
                <w:lang w:val="en-US"/>
              </w:rPr>
            </w:pPr>
            <w:r w:rsidRPr="005B3539">
              <w:rPr>
                <w:bCs/>
                <w:lang w:val="en-US"/>
              </w:rPr>
              <w:t xml:space="preserve">Allen, J. J., &amp; Anderson, C. A. (2017). Aggression and violence: Definitions and distinctions. In P. </w:t>
            </w:r>
            <w:proofErr w:type="spellStart"/>
            <w:r w:rsidRPr="005B3539">
              <w:rPr>
                <w:bCs/>
                <w:lang w:val="en-US"/>
              </w:rPr>
              <w:t>Sturmey</w:t>
            </w:r>
            <w:proofErr w:type="spellEnd"/>
            <w:r w:rsidRPr="005B3539">
              <w:rPr>
                <w:bCs/>
                <w:lang w:val="en-US"/>
              </w:rPr>
              <w:t xml:space="preserve"> (Ed.). </w:t>
            </w:r>
            <w:r w:rsidRPr="005B3539">
              <w:rPr>
                <w:bCs/>
                <w:i/>
                <w:iCs/>
                <w:lang w:val="en-US"/>
              </w:rPr>
              <w:t>The Wiley handbook of violence and aggression.</w:t>
            </w:r>
            <w:r w:rsidRPr="005B3539">
              <w:rPr>
                <w:bCs/>
                <w:lang w:val="en-US"/>
              </w:rPr>
              <w:t xml:space="preserve"> doi:10.1002/9781119057574.whbva001</w:t>
            </w:r>
          </w:p>
          <w:p w14:paraId="0759D65E" w14:textId="77777777" w:rsidR="005B3539" w:rsidRPr="005B3539" w:rsidRDefault="005B3539" w:rsidP="005B3539">
            <w:pPr>
              <w:ind w:left="720" w:hanging="720"/>
              <w:jc w:val="both"/>
              <w:rPr>
                <w:bCs/>
                <w:lang w:val="en-US"/>
              </w:rPr>
            </w:pPr>
            <w:r w:rsidRPr="005B3539">
              <w:rPr>
                <w:bCs/>
                <w:lang w:val="en-US"/>
              </w:rPr>
              <w:t>Anderson, C. &amp; Bushman, B. (2002). Human Aggression.</w:t>
            </w:r>
            <w:r w:rsidRPr="005B3539">
              <w:rPr>
                <w:bCs/>
                <w:i/>
                <w:iCs/>
                <w:lang w:val="en-US"/>
              </w:rPr>
              <w:t xml:space="preserve"> Annual Review of Psychology, 53</w:t>
            </w:r>
            <w:r w:rsidRPr="005B3539">
              <w:rPr>
                <w:bCs/>
                <w:lang w:val="en-US"/>
              </w:rPr>
              <w:t>(1), 27-51</w:t>
            </w:r>
          </w:p>
          <w:p w14:paraId="1C818980" w14:textId="77777777" w:rsidR="005B3539" w:rsidRPr="005B3539" w:rsidRDefault="005B3539" w:rsidP="005B3539">
            <w:pPr>
              <w:ind w:left="720" w:hanging="720"/>
              <w:jc w:val="both"/>
              <w:rPr>
                <w:bCs/>
                <w:lang w:val="en-US"/>
              </w:rPr>
            </w:pPr>
            <w:r w:rsidRPr="005B3539">
              <w:rPr>
                <w:bCs/>
                <w:lang w:val="en-US"/>
              </w:rPr>
              <w:t xml:space="preserve">American Educational Research Association, American Psychological Association &amp; National Council </w:t>
            </w:r>
            <w:proofErr w:type="gramStart"/>
            <w:r w:rsidRPr="005B3539">
              <w:rPr>
                <w:bCs/>
                <w:lang w:val="en-US"/>
              </w:rPr>
              <w:t>On</w:t>
            </w:r>
            <w:proofErr w:type="gramEnd"/>
            <w:r w:rsidRPr="005B3539">
              <w:rPr>
                <w:bCs/>
                <w:lang w:val="en-US"/>
              </w:rPr>
              <w:t xml:space="preserve"> Measurement In Education (2018), </w:t>
            </w:r>
            <w:r w:rsidRPr="005B3539">
              <w:rPr>
                <w:bCs/>
                <w:i/>
                <w:iCs/>
                <w:lang w:val="en-US"/>
              </w:rPr>
              <w:t>Standards for Educational and Psychological Testing,</w:t>
            </w:r>
            <w:r w:rsidRPr="005B3539">
              <w:rPr>
                <w:bCs/>
                <w:lang w:val="en-US"/>
              </w:rPr>
              <w:t xml:space="preserve"> Washington, DC, USA: American Educational Research Association.</w:t>
            </w:r>
          </w:p>
        </w:tc>
      </w:tr>
      <w:tr w:rsidR="005B3539" w:rsidRPr="005B3539" w14:paraId="31FDB6CC" w14:textId="77777777" w:rsidTr="005B3539">
        <w:trPr>
          <w:tblCellSpacing w:w="7" w:type="dxa"/>
        </w:trPr>
        <w:tc>
          <w:tcPr>
            <w:tcW w:w="4983" w:type="pct"/>
            <w:vAlign w:val="center"/>
            <w:hideMark/>
          </w:tcPr>
          <w:p w14:paraId="6DE980C3" w14:textId="77777777" w:rsidR="005B3539" w:rsidRPr="005B3539" w:rsidRDefault="005B3539" w:rsidP="005B3539">
            <w:pPr>
              <w:ind w:left="720" w:hanging="720"/>
              <w:jc w:val="both"/>
              <w:rPr>
                <w:bCs/>
                <w:lang w:val="es-ES"/>
              </w:rPr>
            </w:pPr>
            <w:r w:rsidRPr="005B3539">
              <w:rPr>
                <w:bCs/>
                <w:lang w:val="es-ES"/>
              </w:rPr>
              <w:t xml:space="preserve">Andolfi, M., &amp; </w:t>
            </w:r>
            <w:proofErr w:type="spellStart"/>
            <w:r w:rsidRPr="005B3539">
              <w:rPr>
                <w:bCs/>
                <w:lang w:val="es-ES"/>
              </w:rPr>
              <w:t>Mascellani</w:t>
            </w:r>
            <w:proofErr w:type="spellEnd"/>
            <w:r w:rsidRPr="005B3539">
              <w:rPr>
                <w:bCs/>
                <w:lang w:val="es-ES"/>
              </w:rPr>
              <w:t xml:space="preserve">, A. (2012). </w:t>
            </w:r>
            <w:r w:rsidRPr="005B3539">
              <w:rPr>
                <w:bCs/>
                <w:i/>
                <w:iCs/>
                <w:lang w:val="es-ES"/>
              </w:rPr>
              <w:t>Historia de la adolescencia</w:t>
            </w:r>
            <w:r w:rsidRPr="005B3539">
              <w:rPr>
                <w:bCs/>
                <w:lang w:val="es-ES"/>
              </w:rPr>
              <w:t>. Gedisa</w:t>
            </w:r>
          </w:p>
        </w:tc>
      </w:tr>
      <w:tr w:rsidR="005B3539" w:rsidRPr="005B3539" w14:paraId="419F6CA9" w14:textId="77777777" w:rsidTr="005B3539">
        <w:trPr>
          <w:tblCellSpacing w:w="7" w:type="dxa"/>
        </w:trPr>
        <w:tc>
          <w:tcPr>
            <w:tcW w:w="4983" w:type="pct"/>
            <w:vAlign w:val="center"/>
            <w:hideMark/>
          </w:tcPr>
          <w:p w14:paraId="6D5A709F" w14:textId="77777777" w:rsidR="005B3539" w:rsidRPr="005B3539" w:rsidRDefault="005B3539" w:rsidP="005B3539">
            <w:pPr>
              <w:ind w:left="720" w:hanging="720"/>
              <w:jc w:val="both"/>
              <w:rPr>
                <w:bCs/>
                <w:lang w:val="es-ES"/>
              </w:rPr>
            </w:pPr>
            <w:r w:rsidRPr="005B3539">
              <w:rPr>
                <w:bCs/>
                <w:lang w:val="es-ES"/>
              </w:rPr>
              <w:t xml:space="preserve">Andreu, J., Peña, J. y Ramírez, J. (2009). Cuestionario de agresión reactiva y proactiva: un instrumento de medida de la agresión en adolescentes. </w:t>
            </w:r>
            <w:r w:rsidRPr="005B3539">
              <w:rPr>
                <w:bCs/>
                <w:i/>
                <w:iCs/>
                <w:lang w:val="es-ES"/>
              </w:rPr>
              <w:t>Revista de Psicopatología y Psicología Clínica, 14</w:t>
            </w:r>
            <w:r w:rsidRPr="005B3539">
              <w:rPr>
                <w:bCs/>
                <w:lang w:val="es-ES"/>
              </w:rPr>
              <w:t xml:space="preserve">(1), 37-49. </w:t>
            </w:r>
            <w:r w:rsidRPr="005B3539">
              <w:rPr>
                <w:bCs/>
                <w:lang w:val="es-ES"/>
              </w:rPr>
              <w:br/>
            </w:r>
            <w:hyperlink r:id="rId11" w:tgtFrame="_blank" w:history="1">
              <w:r w:rsidRPr="005B3539">
                <w:rPr>
                  <w:rStyle w:val="Hipervnculo"/>
                  <w:bCs/>
                  <w:lang w:val="es-ES"/>
                </w:rPr>
                <w:t>https://doi.org/10.5944/rppc.vol.14.num.1.2009.4065</w:t>
              </w:r>
            </w:hyperlink>
          </w:p>
        </w:tc>
      </w:tr>
      <w:tr w:rsidR="005B3539" w:rsidRPr="005B3539" w14:paraId="1443585E" w14:textId="77777777" w:rsidTr="005B3539">
        <w:trPr>
          <w:tblCellSpacing w:w="7" w:type="dxa"/>
        </w:trPr>
        <w:tc>
          <w:tcPr>
            <w:tcW w:w="4983" w:type="pct"/>
            <w:vAlign w:val="center"/>
            <w:hideMark/>
          </w:tcPr>
          <w:p w14:paraId="2795485F" w14:textId="6F789AD7" w:rsidR="00FB3DE6" w:rsidRPr="005B3539" w:rsidRDefault="005B3539" w:rsidP="005B3539">
            <w:pPr>
              <w:ind w:left="720" w:hanging="720"/>
              <w:jc w:val="both"/>
              <w:rPr>
                <w:bCs/>
                <w:lang w:val="es-419"/>
              </w:rPr>
            </w:pPr>
            <w:r w:rsidRPr="005B3539">
              <w:rPr>
                <w:bCs/>
                <w:lang w:val="en-US"/>
              </w:rPr>
              <w:t xml:space="preserve">Andreu, J. M., Ramirez, J. M., &amp; Raine, A. (2006). </w:t>
            </w:r>
            <w:r w:rsidRPr="005B3539">
              <w:rPr>
                <w:bCs/>
                <w:lang w:val="es-ES"/>
              </w:rPr>
              <w:t xml:space="preserve">Un modelo dicotómico de agresión y su evaluación mediante dos autoinformes: el CAMA y el RPQ. </w:t>
            </w:r>
            <w:r w:rsidRPr="005B3539">
              <w:rPr>
                <w:bCs/>
                <w:i/>
                <w:iCs/>
                <w:lang w:val="es-419"/>
              </w:rPr>
              <w:t>Psicopatología clínica, legal y forense, 5</w:t>
            </w:r>
            <w:r w:rsidRPr="005B3539">
              <w:rPr>
                <w:bCs/>
                <w:lang w:val="es-419"/>
              </w:rPr>
              <w:t>, 25-42</w:t>
            </w:r>
          </w:p>
          <w:p w14:paraId="713EE0CF" w14:textId="77777777" w:rsidR="005B3539" w:rsidRPr="005B3539" w:rsidRDefault="005B3539" w:rsidP="005B3539">
            <w:pPr>
              <w:ind w:left="720" w:hanging="720"/>
              <w:jc w:val="both"/>
              <w:rPr>
                <w:bCs/>
                <w:lang w:val="es-ES"/>
              </w:rPr>
            </w:pPr>
            <w:r w:rsidRPr="005B3539">
              <w:rPr>
                <w:bCs/>
                <w:lang w:val="es-ES"/>
              </w:rPr>
              <w:t xml:space="preserve">Ato, M., López, J., &amp; Benavente, A. (2013). Un sistema de clasificación de los diseños de investigación en psicología. </w:t>
            </w:r>
            <w:r w:rsidRPr="005B3539">
              <w:rPr>
                <w:bCs/>
                <w:i/>
                <w:iCs/>
                <w:lang w:val="es-ES"/>
              </w:rPr>
              <w:t>Revista Anales de Psicología, 29</w:t>
            </w:r>
            <w:r w:rsidRPr="005B3539">
              <w:rPr>
                <w:bCs/>
                <w:lang w:val="es-ES"/>
              </w:rPr>
              <w:t xml:space="preserve"> (3), 138-151. </w:t>
            </w:r>
            <w:hyperlink r:id="rId12" w:tgtFrame="_blank" w:history="1">
              <w:r w:rsidRPr="005B3539">
                <w:rPr>
                  <w:rStyle w:val="Hipervnculo"/>
                  <w:bCs/>
                  <w:lang w:val="es-ES"/>
                </w:rPr>
                <w:t>https://doi.org/10.6018/analesps.29.3.178511</w:t>
              </w:r>
            </w:hyperlink>
          </w:p>
        </w:tc>
      </w:tr>
      <w:tr w:rsidR="00FB3DE6" w:rsidRPr="005B3539" w14:paraId="0E755E47" w14:textId="77777777" w:rsidTr="005B3539">
        <w:trPr>
          <w:tblCellSpacing w:w="7" w:type="dxa"/>
        </w:trPr>
        <w:tc>
          <w:tcPr>
            <w:tcW w:w="4983" w:type="pct"/>
            <w:vAlign w:val="center"/>
          </w:tcPr>
          <w:p w14:paraId="5045525B" w14:textId="06033077" w:rsidR="00FB3DE6" w:rsidRPr="00FB3DE6" w:rsidRDefault="00FB3DE6" w:rsidP="005B3539">
            <w:pPr>
              <w:ind w:left="720" w:hanging="720"/>
              <w:jc w:val="both"/>
              <w:rPr>
                <w:bCs/>
                <w:color w:val="FF0000"/>
                <w:lang w:val="en-US"/>
              </w:rPr>
            </w:pPr>
            <w:r w:rsidRPr="00FB3DE6">
              <w:rPr>
                <w:bCs/>
              </w:rPr>
              <w:t xml:space="preserve">Andreu, J.M. y Peña, M.E. (2013). Escala de conducta antisocial y delictiva [Antisocial and </w:t>
            </w:r>
            <w:proofErr w:type="spellStart"/>
            <w:r w:rsidRPr="00FB3DE6">
              <w:rPr>
                <w:bCs/>
              </w:rPr>
              <w:t>Delictive</w:t>
            </w:r>
            <w:proofErr w:type="spellEnd"/>
            <w:r w:rsidRPr="00FB3DE6">
              <w:rPr>
                <w:bCs/>
              </w:rPr>
              <w:t xml:space="preserve"> </w:t>
            </w:r>
            <w:proofErr w:type="spellStart"/>
            <w:r w:rsidRPr="00FB3DE6">
              <w:rPr>
                <w:bCs/>
              </w:rPr>
              <w:t>Conduct</w:t>
            </w:r>
            <w:proofErr w:type="spellEnd"/>
            <w:r w:rsidRPr="00FB3DE6">
              <w:rPr>
                <w:bCs/>
              </w:rPr>
              <w:t xml:space="preserve"> </w:t>
            </w:r>
            <w:proofErr w:type="spellStart"/>
            <w:r w:rsidRPr="00FB3DE6">
              <w:rPr>
                <w:bCs/>
              </w:rPr>
              <w:t>Scale</w:t>
            </w:r>
            <w:proofErr w:type="spellEnd"/>
            <w:r w:rsidRPr="00FB3DE6">
              <w:rPr>
                <w:bCs/>
              </w:rPr>
              <w:t xml:space="preserve">]. </w:t>
            </w:r>
            <w:r w:rsidRPr="00FB3DE6">
              <w:rPr>
                <w:bCs/>
                <w:i/>
                <w:iCs/>
              </w:rPr>
              <w:t>Anales de Psicología</w:t>
            </w:r>
            <w:r w:rsidRPr="00FB3DE6">
              <w:rPr>
                <w:bCs/>
              </w:rPr>
              <w:t xml:space="preserve">, </w:t>
            </w:r>
            <w:r w:rsidRPr="00FB3DE6">
              <w:rPr>
                <w:bCs/>
                <w:i/>
                <w:iCs/>
              </w:rPr>
              <w:t>29</w:t>
            </w:r>
            <w:r w:rsidRPr="00FB3DE6">
              <w:rPr>
                <w:bCs/>
              </w:rPr>
              <w:t>, 516 – 522.</w:t>
            </w:r>
          </w:p>
        </w:tc>
      </w:tr>
      <w:tr w:rsidR="005B3539" w:rsidRPr="005B3539" w14:paraId="379C1CA4" w14:textId="77777777" w:rsidTr="005B3539">
        <w:trPr>
          <w:tblCellSpacing w:w="7" w:type="dxa"/>
        </w:trPr>
        <w:tc>
          <w:tcPr>
            <w:tcW w:w="4983" w:type="pct"/>
            <w:vAlign w:val="center"/>
            <w:hideMark/>
          </w:tcPr>
          <w:p w14:paraId="76A1C8AA" w14:textId="77777777" w:rsidR="005B3539" w:rsidRPr="005B3539" w:rsidRDefault="005B3539" w:rsidP="005B3539">
            <w:pPr>
              <w:ind w:left="720" w:hanging="720"/>
              <w:jc w:val="both"/>
              <w:rPr>
                <w:bCs/>
                <w:lang w:val="es-ES"/>
              </w:rPr>
            </w:pPr>
            <w:proofErr w:type="spellStart"/>
            <w:r w:rsidRPr="005B3539">
              <w:rPr>
                <w:bCs/>
                <w:lang w:val="en-US"/>
              </w:rPr>
              <w:t>Bentler</w:t>
            </w:r>
            <w:proofErr w:type="spellEnd"/>
            <w:r w:rsidRPr="005B3539">
              <w:rPr>
                <w:bCs/>
                <w:lang w:val="en-US"/>
              </w:rPr>
              <w:t xml:space="preserve">, P. &amp; </w:t>
            </w:r>
            <w:proofErr w:type="spellStart"/>
            <w:r w:rsidRPr="005B3539">
              <w:rPr>
                <w:bCs/>
                <w:lang w:val="en-US"/>
              </w:rPr>
              <w:t>Bonett</w:t>
            </w:r>
            <w:proofErr w:type="spellEnd"/>
            <w:r w:rsidRPr="005B3539">
              <w:rPr>
                <w:bCs/>
                <w:lang w:val="en-US"/>
              </w:rPr>
              <w:t xml:space="preserve">, D. (1980). Significance tests and goodness of fit in the analysis of covariance structures. </w:t>
            </w:r>
            <w:proofErr w:type="spellStart"/>
            <w:r w:rsidRPr="005B3539">
              <w:rPr>
                <w:bCs/>
                <w:i/>
                <w:iCs/>
                <w:lang w:val="es-ES"/>
              </w:rPr>
              <w:t>Psychological</w:t>
            </w:r>
            <w:proofErr w:type="spellEnd"/>
            <w:r w:rsidRPr="005B3539">
              <w:rPr>
                <w:bCs/>
                <w:i/>
                <w:iCs/>
                <w:lang w:val="es-ES"/>
              </w:rPr>
              <w:t xml:space="preserve"> </w:t>
            </w:r>
            <w:proofErr w:type="spellStart"/>
            <w:r w:rsidRPr="005B3539">
              <w:rPr>
                <w:bCs/>
                <w:i/>
                <w:iCs/>
                <w:lang w:val="es-ES"/>
              </w:rPr>
              <w:t>Bulletin</w:t>
            </w:r>
            <w:proofErr w:type="spellEnd"/>
            <w:r w:rsidRPr="005B3539">
              <w:rPr>
                <w:bCs/>
                <w:i/>
                <w:iCs/>
                <w:lang w:val="es-ES"/>
              </w:rPr>
              <w:t>, 88</w:t>
            </w:r>
            <w:r w:rsidRPr="005B3539">
              <w:rPr>
                <w:bCs/>
                <w:lang w:val="es-ES"/>
              </w:rPr>
              <w:t xml:space="preserve">, 588-606. </w:t>
            </w:r>
            <w:r w:rsidRPr="005B3539">
              <w:rPr>
                <w:bCs/>
                <w:lang w:val="es-ES"/>
              </w:rPr>
              <w:br/>
            </w:r>
            <w:hyperlink r:id="rId13" w:tgtFrame="_blank" w:history="1">
              <w:r w:rsidRPr="005B3539">
                <w:rPr>
                  <w:rStyle w:val="Hipervnculo"/>
                  <w:bCs/>
                  <w:lang w:val="es-ES"/>
                </w:rPr>
                <w:t>https://doi.org/10.1037/0033-2909.88.3.588</w:t>
              </w:r>
            </w:hyperlink>
          </w:p>
        </w:tc>
      </w:tr>
      <w:tr w:rsidR="005B3539" w:rsidRPr="005B3539" w14:paraId="538076C9" w14:textId="77777777" w:rsidTr="005B3539">
        <w:trPr>
          <w:tblCellSpacing w:w="7" w:type="dxa"/>
        </w:trPr>
        <w:tc>
          <w:tcPr>
            <w:tcW w:w="4983" w:type="pct"/>
            <w:vAlign w:val="center"/>
            <w:hideMark/>
          </w:tcPr>
          <w:p w14:paraId="7B039538" w14:textId="77777777" w:rsidR="005B3539" w:rsidRPr="005B3539" w:rsidRDefault="005B3539" w:rsidP="005B3539">
            <w:pPr>
              <w:ind w:left="720" w:hanging="720"/>
              <w:jc w:val="both"/>
              <w:rPr>
                <w:bCs/>
                <w:lang w:val="es-ES"/>
              </w:rPr>
            </w:pPr>
            <w:proofErr w:type="spellStart"/>
            <w:r w:rsidRPr="005B3539">
              <w:rPr>
                <w:bCs/>
                <w:lang w:val="es-ES"/>
              </w:rPr>
              <w:t>Bernardes</w:t>
            </w:r>
            <w:proofErr w:type="spellEnd"/>
            <w:r w:rsidRPr="005B3539">
              <w:rPr>
                <w:bCs/>
                <w:lang w:val="es-ES"/>
              </w:rPr>
              <w:t xml:space="preserve"> de </w:t>
            </w:r>
            <w:proofErr w:type="spellStart"/>
            <w:r w:rsidRPr="005B3539">
              <w:rPr>
                <w:bCs/>
                <w:lang w:val="es-ES"/>
              </w:rPr>
              <w:t>Moraes</w:t>
            </w:r>
            <w:proofErr w:type="spellEnd"/>
            <w:r w:rsidRPr="005B3539">
              <w:rPr>
                <w:bCs/>
                <w:lang w:val="es-ES"/>
              </w:rPr>
              <w:t xml:space="preserve">, T. P. (2013). ¿Por qué los hombres presentan un comportamiento más agresivo que las mujeres? Por una antropología evolutiva del comportamiento agresivo. Nómadas. </w:t>
            </w:r>
            <w:proofErr w:type="spellStart"/>
            <w:r w:rsidRPr="005B3539">
              <w:rPr>
                <w:bCs/>
                <w:i/>
                <w:iCs/>
                <w:lang w:val="es-ES"/>
              </w:rPr>
              <w:t>Critical</w:t>
            </w:r>
            <w:proofErr w:type="spellEnd"/>
            <w:r w:rsidRPr="005B3539">
              <w:rPr>
                <w:bCs/>
                <w:i/>
                <w:iCs/>
                <w:lang w:val="es-ES"/>
              </w:rPr>
              <w:t xml:space="preserve"> </w:t>
            </w:r>
            <w:proofErr w:type="spellStart"/>
            <w:r w:rsidRPr="005B3539">
              <w:rPr>
                <w:bCs/>
                <w:i/>
                <w:iCs/>
                <w:lang w:val="es-ES"/>
              </w:rPr>
              <w:t>Journal</w:t>
            </w:r>
            <w:proofErr w:type="spellEnd"/>
            <w:r w:rsidRPr="005B3539">
              <w:rPr>
                <w:bCs/>
                <w:i/>
                <w:iCs/>
                <w:lang w:val="es-ES"/>
              </w:rPr>
              <w:t xml:space="preserve"> of Social and </w:t>
            </w:r>
            <w:proofErr w:type="spellStart"/>
            <w:r w:rsidRPr="005B3539">
              <w:rPr>
                <w:bCs/>
                <w:i/>
                <w:iCs/>
                <w:lang w:val="es-ES"/>
              </w:rPr>
              <w:t>Juridical</w:t>
            </w:r>
            <w:proofErr w:type="spellEnd"/>
            <w:r w:rsidRPr="005B3539">
              <w:rPr>
                <w:bCs/>
                <w:i/>
                <w:iCs/>
                <w:lang w:val="es-ES"/>
              </w:rPr>
              <w:t xml:space="preserve"> </w:t>
            </w:r>
            <w:proofErr w:type="spellStart"/>
            <w:r w:rsidRPr="005B3539">
              <w:rPr>
                <w:bCs/>
                <w:i/>
                <w:iCs/>
                <w:lang w:val="es-ES"/>
              </w:rPr>
              <w:t>Sciences</w:t>
            </w:r>
            <w:proofErr w:type="spellEnd"/>
            <w:r w:rsidRPr="005B3539">
              <w:rPr>
                <w:bCs/>
                <w:i/>
                <w:iCs/>
                <w:lang w:val="es-ES"/>
              </w:rPr>
              <w:t>, 37</w:t>
            </w:r>
            <w:r w:rsidRPr="005B3539">
              <w:rPr>
                <w:bCs/>
                <w:lang w:val="es-ES"/>
              </w:rPr>
              <w:t xml:space="preserve">(1), 93-111. </w:t>
            </w:r>
            <w:hyperlink r:id="rId14" w:tgtFrame="_blank" w:history="1">
              <w:r w:rsidRPr="005B3539">
                <w:rPr>
                  <w:rStyle w:val="Hipervnculo"/>
                  <w:bCs/>
                  <w:lang w:val="es-ES"/>
                </w:rPr>
                <w:t>https://doi.org/10.5209/rev_NOMA.2013.v37.n1.42561</w:t>
              </w:r>
            </w:hyperlink>
          </w:p>
        </w:tc>
      </w:tr>
      <w:tr w:rsidR="005B3539" w:rsidRPr="005B3539" w14:paraId="4BA00713" w14:textId="77777777" w:rsidTr="005B3539">
        <w:trPr>
          <w:tblCellSpacing w:w="7" w:type="dxa"/>
        </w:trPr>
        <w:tc>
          <w:tcPr>
            <w:tcW w:w="4983" w:type="pct"/>
            <w:vAlign w:val="center"/>
            <w:hideMark/>
          </w:tcPr>
          <w:p w14:paraId="0259D72A" w14:textId="77777777" w:rsidR="005B3539" w:rsidRPr="005B3539" w:rsidRDefault="005B3539" w:rsidP="005B3539">
            <w:pPr>
              <w:ind w:left="720" w:hanging="720"/>
              <w:jc w:val="both"/>
              <w:rPr>
                <w:bCs/>
                <w:lang w:val="es-ES"/>
              </w:rPr>
            </w:pPr>
            <w:r w:rsidRPr="005B3539">
              <w:rPr>
                <w:bCs/>
                <w:lang w:val="en-US"/>
              </w:rPr>
              <w:t xml:space="preserve">Byrne, B. (2008). Testing for multigroup equivalence of a measuring instrument: A walk through the process. </w:t>
            </w:r>
            <w:proofErr w:type="spellStart"/>
            <w:r w:rsidRPr="005B3539">
              <w:rPr>
                <w:bCs/>
                <w:i/>
                <w:iCs/>
                <w:lang w:val="es-ES"/>
              </w:rPr>
              <w:t>Psicothema</w:t>
            </w:r>
            <w:proofErr w:type="spellEnd"/>
            <w:r w:rsidRPr="005B3539">
              <w:rPr>
                <w:bCs/>
                <w:i/>
                <w:iCs/>
                <w:lang w:val="es-ES"/>
              </w:rPr>
              <w:t>, 20</w:t>
            </w:r>
            <w:r w:rsidRPr="005B3539">
              <w:rPr>
                <w:bCs/>
                <w:lang w:val="es-ES"/>
              </w:rPr>
              <w:t>(4), 872-882.</w:t>
            </w:r>
          </w:p>
        </w:tc>
      </w:tr>
      <w:tr w:rsidR="005B3539" w:rsidRPr="005B3539" w14:paraId="38951215" w14:textId="77777777" w:rsidTr="005B3539">
        <w:trPr>
          <w:tblCellSpacing w:w="7" w:type="dxa"/>
        </w:trPr>
        <w:tc>
          <w:tcPr>
            <w:tcW w:w="4983" w:type="pct"/>
            <w:vAlign w:val="center"/>
            <w:hideMark/>
          </w:tcPr>
          <w:p w14:paraId="553C532C" w14:textId="77777777" w:rsidR="005B3539" w:rsidRPr="005B3539" w:rsidRDefault="005B3539" w:rsidP="005B3539">
            <w:pPr>
              <w:ind w:left="720" w:hanging="720"/>
              <w:jc w:val="both"/>
              <w:rPr>
                <w:bCs/>
                <w:lang w:val="en-US"/>
              </w:rPr>
            </w:pPr>
            <w:r w:rsidRPr="005B3539">
              <w:rPr>
                <w:bCs/>
                <w:lang w:val="en-US"/>
              </w:rPr>
              <w:t xml:space="preserve">Bushman, B.J. and </w:t>
            </w:r>
            <w:proofErr w:type="spellStart"/>
            <w:r w:rsidRPr="005B3539">
              <w:rPr>
                <w:bCs/>
                <w:lang w:val="en-US"/>
              </w:rPr>
              <w:t>Huesmann</w:t>
            </w:r>
            <w:proofErr w:type="spellEnd"/>
            <w:r w:rsidRPr="005B3539">
              <w:rPr>
                <w:bCs/>
                <w:lang w:val="en-US"/>
              </w:rPr>
              <w:t xml:space="preserve">, L.R. (2010). Aggression. </w:t>
            </w:r>
            <w:proofErr w:type="spellStart"/>
            <w:r w:rsidRPr="005B3539">
              <w:rPr>
                <w:bCs/>
                <w:lang w:val="en-US"/>
              </w:rPr>
              <w:t>En</w:t>
            </w:r>
            <w:proofErr w:type="spellEnd"/>
            <w:r w:rsidRPr="005B3539">
              <w:rPr>
                <w:bCs/>
                <w:lang w:val="en-US"/>
              </w:rPr>
              <w:t xml:space="preserve"> Fiske, S., Gilbert, D., &amp; </w:t>
            </w:r>
            <w:proofErr w:type="spellStart"/>
            <w:r w:rsidRPr="005B3539">
              <w:rPr>
                <w:bCs/>
                <w:lang w:val="en-US"/>
              </w:rPr>
              <w:t>Lindzey</w:t>
            </w:r>
            <w:proofErr w:type="spellEnd"/>
            <w:r w:rsidRPr="005B3539">
              <w:rPr>
                <w:bCs/>
                <w:lang w:val="en-US"/>
              </w:rPr>
              <w:t xml:space="preserve">, G. (Eds.), </w:t>
            </w:r>
            <w:r w:rsidRPr="005B3539">
              <w:rPr>
                <w:bCs/>
                <w:i/>
                <w:iCs/>
                <w:lang w:val="en-US"/>
              </w:rPr>
              <w:t>Handbook of Social Psychology</w:t>
            </w:r>
            <w:r w:rsidRPr="005B3539">
              <w:rPr>
                <w:bCs/>
                <w:lang w:val="en-US"/>
              </w:rPr>
              <w:t xml:space="preserve"> (pp. 833-863). John Wiley &amp; Sons, Inc. https://doi.org/10.1002/9780470561119.socpsy002023</w:t>
            </w:r>
          </w:p>
          <w:p w14:paraId="064FA5B7" w14:textId="77777777" w:rsidR="005B3539" w:rsidRPr="005B3539" w:rsidRDefault="005B3539" w:rsidP="005B3539">
            <w:pPr>
              <w:ind w:left="720" w:hanging="720"/>
              <w:jc w:val="both"/>
              <w:rPr>
                <w:bCs/>
                <w:lang w:val="en-US"/>
              </w:rPr>
            </w:pPr>
            <w:proofErr w:type="spellStart"/>
            <w:r w:rsidRPr="005B3539">
              <w:rPr>
                <w:bCs/>
                <w:lang w:val="en-US"/>
              </w:rPr>
              <w:t>Cenkseven-Önder</w:t>
            </w:r>
            <w:proofErr w:type="spellEnd"/>
            <w:r w:rsidRPr="005B3539">
              <w:rPr>
                <w:bCs/>
                <w:lang w:val="en-US"/>
              </w:rPr>
              <w:t xml:space="preserve">, </w:t>
            </w:r>
            <w:proofErr w:type="spellStart"/>
            <w:r w:rsidRPr="005B3539">
              <w:rPr>
                <w:bCs/>
                <w:lang w:val="en-US"/>
              </w:rPr>
              <w:t>Avci</w:t>
            </w:r>
            <w:proofErr w:type="spellEnd"/>
            <w:r w:rsidRPr="005B3539">
              <w:rPr>
                <w:bCs/>
                <w:lang w:val="en-US"/>
              </w:rPr>
              <w:t xml:space="preserve">, R., &amp; </w:t>
            </w:r>
            <w:proofErr w:type="spellStart"/>
            <w:r w:rsidRPr="005B3539">
              <w:rPr>
                <w:bCs/>
                <w:lang w:val="en-US"/>
              </w:rPr>
              <w:t>Çolakkadıoğlu</w:t>
            </w:r>
            <w:proofErr w:type="spellEnd"/>
            <w:r w:rsidRPr="005B3539">
              <w:rPr>
                <w:bCs/>
                <w:lang w:val="en-US"/>
              </w:rPr>
              <w:t xml:space="preserve">, O. (2016) Validity and Reliability of the Reactive Proactive Aggression Questionnaire in Turkish Adolescents. </w:t>
            </w:r>
            <w:r w:rsidRPr="005B3539">
              <w:rPr>
                <w:bCs/>
                <w:i/>
                <w:iCs/>
                <w:lang w:val="en-US"/>
              </w:rPr>
              <w:t>Educational Research and Review</w:t>
            </w:r>
            <w:r w:rsidRPr="005B3539">
              <w:rPr>
                <w:bCs/>
                <w:lang w:val="en-US"/>
              </w:rPr>
              <w:t xml:space="preserve">, </w:t>
            </w:r>
            <w:r w:rsidRPr="005B3539">
              <w:rPr>
                <w:bCs/>
                <w:i/>
                <w:iCs/>
                <w:lang w:val="en-US"/>
              </w:rPr>
              <w:t>11</w:t>
            </w:r>
            <w:r w:rsidRPr="005B3539">
              <w:rPr>
                <w:bCs/>
                <w:lang w:val="en-US"/>
              </w:rPr>
              <w:t xml:space="preserve">(20), 1931-1943. </w:t>
            </w:r>
            <w:hyperlink r:id="rId15" w:tgtFrame="_blank" w:history="1">
              <w:r w:rsidRPr="005B3539">
                <w:rPr>
                  <w:rStyle w:val="Hipervnculo"/>
                  <w:bCs/>
                  <w:lang w:val="en-US"/>
                </w:rPr>
                <w:t>https://doi.org/10.5897/ERR2016.2937</w:t>
              </w:r>
            </w:hyperlink>
          </w:p>
        </w:tc>
      </w:tr>
      <w:tr w:rsidR="005B3539" w:rsidRPr="005B3539" w14:paraId="364EF299" w14:textId="77777777" w:rsidTr="005B3539">
        <w:trPr>
          <w:tblCellSpacing w:w="7" w:type="dxa"/>
        </w:trPr>
        <w:tc>
          <w:tcPr>
            <w:tcW w:w="4983" w:type="pct"/>
            <w:vAlign w:val="center"/>
            <w:hideMark/>
          </w:tcPr>
          <w:p w14:paraId="49E376BC" w14:textId="77777777" w:rsidR="005B3539" w:rsidRPr="005B3539" w:rsidRDefault="005B3539" w:rsidP="005B3539">
            <w:pPr>
              <w:ind w:left="720" w:hanging="720"/>
              <w:jc w:val="both"/>
              <w:rPr>
                <w:bCs/>
                <w:lang w:val="en-US"/>
              </w:rPr>
            </w:pPr>
            <w:r w:rsidRPr="005B3539">
              <w:rPr>
                <w:bCs/>
                <w:lang w:val="es-ES"/>
              </w:rPr>
              <w:t xml:space="preserve">Cerezo, F., &amp; Méndez M. (2009). Adolescentes, agresividad y conductas de riesgo de salud: análisis de variables relacionadas. </w:t>
            </w:r>
            <w:r w:rsidRPr="005B3539">
              <w:rPr>
                <w:bCs/>
                <w:lang w:val="en-US"/>
              </w:rPr>
              <w:t xml:space="preserve">International Journal of Developmental and </w:t>
            </w:r>
            <w:r w:rsidRPr="005B3539">
              <w:rPr>
                <w:bCs/>
                <w:lang w:val="en-US"/>
              </w:rPr>
              <w:lastRenderedPageBreak/>
              <w:t xml:space="preserve">Educational Psychology, </w:t>
            </w:r>
            <w:r w:rsidRPr="005B3539">
              <w:rPr>
                <w:bCs/>
                <w:i/>
                <w:iCs/>
                <w:lang w:val="en-US"/>
              </w:rPr>
              <w:t>1</w:t>
            </w:r>
            <w:r w:rsidRPr="005B3539">
              <w:rPr>
                <w:bCs/>
                <w:lang w:val="en-US"/>
              </w:rPr>
              <w:t xml:space="preserve">(1),217-225. </w:t>
            </w:r>
            <w:hyperlink r:id="rId16" w:history="1">
              <w:r w:rsidRPr="005B3539">
                <w:rPr>
                  <w:rStyle w:val="Hipervnculo"/>
                  <w:bCs/>
                  <w:lang w:val="en-US"/>
                </w:rPr>
                <w:t>https://www.redalyc.org/articulo.oa?id=3498/349832320023</w:t>
              </w:r>
            </w:hyperlink>
          </w:p>
        </w:tc>
      </w:tr>
      <w:tr w:rsidR="005B3539" w:rsidRPr="005B3539" w14:paraId="40665841" w14:textId="77777777" w:rsidTr="005B3539">
        <w:trPr>
          <w:tblCellSpacing w:w="7" w:type="dxa"/>
        </w:trPr>
        <w:tc>
          <w:tcPr>
            <w:tcW w:w="4983" w:type="pct"/>
            <w:vAlign w:val="center"/>
            <w:hideMark/>
          </w:tcPr>
          <w:p w14:paraId="0DBDAB6E" w14:textId="77777777" w:rsidR="005B3539" w:rsidRPr="005B3539" w:rsidRDefault="005B3539" w:rsidP="005B3539">
            <w:pPr>
              <w:ind w:left="720" w:hanging="720"/>
              <w:jc w:val="both"/>
              <w:rPr>
                <w:bCs/>
                <w:lang w:val="es-ES"/>
              </w:rPr>
            </w:pPr>
            <w:r w:rsidRPr="005B3539">
              <w:rPr>
                <w:bCs/>
                <w:lang w:val="en-US"/>
              </w:rPr>
              <w:lastRenderedPageBreak/>
              <w:t xml:space="preserve">Chen, F. F. (2007). Sensitivity of goodness of fit indexes to lack of measurement invariance. </w:t>
            </w:r>
            <w:proofErr w:type="spellStart"/>
            <w:r w:rsidRPr="005B3539">
              <w:rPr>
                <w:bCs/>
                <w:i/>
                <w:iCs/>
                <w:lang w:val="es-ES"/>
              </w:rPr>
              <w:t>Structural</w:t>
            </w:r>
            <w:proofErr w:type="spellEnd"/>
            <w:r w:rsidRPr="005B3539">
              <w:rPr>
                <w:bCs/>
                <w:i/>
                <w:iCs/>
                <w:lang w:val="es-ES"/>
              </w:rPr>
              <w:t xml:space="preserve"> </w:t>
            </w:r>
            <w:proofErr w:type="spellStart"/>
            <w:r w:rsidRPr="005B3539">
              <w:rPr>
                <w:bCs/>
                <w:i/>
                <w:iCs/>
                <w:lang w:val="es-ES"/>
              </w:rPr>
              <w:t>Equation</w:t>
            </w:r>
            <w:proofErr w:type="spellEnd"/>
            <w:r w:rsidRPr="005B3539">
              <w:rPr>
                <w:bCs/>
                <w:i/>
                <w:iCs/>
                <w:lang w:val="es-ES"/>
              </w:rPr>
              <w:t xml:space="preserve"> </w:t>
            </w:r>
            <w:proofErr w:type="spellStart"/>
            <w:r w:rsidRPr="005B3539">
              <w:rPr>
                <w:bCs/>
                <w:i/>
                <w:iCs/>
                <w:lang w:val="es-ES"/>
              </w:rPr>
              <w:t>Modeling</w:t>
            </w:r>
            <w:proofErr w:type="spellEnd"/>
            <w:r w:rsidRPr="005B3539">
              <w:rPr>
                <w:bCs/>
                <w:i/>
                <w:iCs/>
                <w:lang w:val="es-ES"/>
              </w:rPr>
              <w:t>, 14</w:t>
            </w:r>
            <w:r w:rsidRPr="005B3539">
              <w:rPr>
                <w:bCs/>
                <w:lang w:val="es-ES"/>
              </w:rPr>
              <w:t xml:space="preserve">, 464-504. </w:t>
            </w:r>
            <w:r w:rsidRPr="005B3539">
              <w:rPr>
                <w:bCs/>
                <w:lang w:val="es-ES"/>
              </w:rPr>
              <w:br/>
            </w:r>
            <w:hyperlink r:id="rId17" w:tgtFrame="_blank" w:history="1">
              <w:r w:rsidRPr="005B3539">
                <w:rPr>
                  <w:rStyle w:val="Hipervnculo"/>
                  <w:bCs/>
                  <w:lang w:val="es-ES"/>
                </w:rPr>
                <w:t>https://doi.org/10.1080/10705510701301834</w:t>
              </w:r>
            </w:hyperlink>
          </w:p>
        </w:tc>
      </w:tr>
      <w:tr w:rsidR="005B3539" w:rsidRPr="005B3539" w14:paraId="11A9027E" w14:textId="77777777" w:rsidTr="005B3539">
        <w:trPr>
          <w:tblCellSpacing w:w="7" w:type="dxa"/>
        </w:trPr>
        <w:tc>
          <w:tcPr>
            <w:tcW w:w="4983" w:type="pct"/>
            <w:vAlign w:val="center"/>
            <w:hideMark/>
          </w:tcPr>
          <w:p w14:paraId="31547F6B" w14:textId="77777777" w:rsidR="005B3539" w:rsidRPr="005B3539" w:rsidRDefault="005B3539" w:rsidP="005B3539">
            <w:pPr>
              <w:ind w:left="720" w:hanging="720"/>
              <w:jc w:val="both"/>
              <w:rPr>
                <w:bCs/>
                <w:lang w:val="es-ES"/>
              </w:rPr>
            </w:pPr>
            <w:r w:rsidRPr="005B3539">
              <w:rPr>
                <w:bCs/>
                <w:lang w:val="en-US"/>
              </w:rPr>
              <w:t xml:space="preserve">Cohen, J. (1992). A power primer. </w:t>
            </w:r>
            <w:r w:rsidRPr="005B3539">
              <w:rPr>
                <w:bCs/>
                <w:i/>
                <w:iCs/>
                <w:lang w:val="en-US"/>
              </w:rPr>
              <w:t>Psychological Bulletin</w:t>
            </w:r>
            <w:r w:rsidRPr="005B3539">
              <w:rPr>
                <w:bCs/>
                <w:lang w:val="en-US"/>
              </w:rPr>
              <w:t xml:space="preserve">, </w:t>
            </w:r>
            <w:r w:rsidRPr="005B3539">
              <w:rPr>
                <w:bCs/>
                <w:i/>
                <w:iCs/>
                <w:lang w:val="en-US"/>
              </w:rPr>
              <w:t>112</w:t>
            </w:r>
            <w:r w:rsidRPr="005B3539">
              <w:rPr>
                <w:bCs/>
                <w:lang w:val="en-US"/>
              </w:rPr>
              <w:t xml:space="preserve">, 155-159. </w:t>
            </w:r>
            <w:r w:rsidRPr="005B3539">
              <w:rPr>
                <w:bCs/>
                <w:lang w:val="en-US"/>
              </w:rPr>
              <w:br/>
            </w:r>
            <w:hyperlink r:id="rId18" w:tgtFrame="_blank" w:history="1">
              <w:r w:rsidRPr="005B3539">
                <w:rPr>
                  <w:rStyle w:val="Hipervnculo"/>
                  <w:bCs/>
                  <w:lang w:val="es-ES"/>
                </w:rPr>
                <w:t>https://doi.org/10.1037/0033-2909.112.1.155</w:t>
              </w:r>
            </w:hyperlink>
          </w:p>
        </w:tc>
      </w:tr>
      <w:tr w:rsidR="005B3539" w:rsidRPr="005B3539" w14:paraId="6A210F6F" w14:textId="77777777" w:rsidTr="005B3539">
        <w:trPr>
          <w:tblCellSpacing w:w="7" w:type="dxa"/>
        </w:trPr>
        <w:tc>
          <w:tcPr>
            <w:tcW w:w="4983" w:type="pct"/>
            <w:vAlign w:val="center"/>
            <w:hideMark/>
          </w:tcPr>
          <w:p w14:paraId="1BD14E5A" w14:textId="77777777" w:rsidR="005B3539" w:rsidRPr="005B3539" w:rsidRDefault="005B3539" w:rsidP="005B3539">
            <w:pPr>
              <w:ind w:left="720" w:hanging="720"/>
              <w:jc w:val="both"/>
              <w:rPr>
                <w:bCs/>
                <w:lang w:val="es-ES"/>
              </w:rPr>
            </w:pPr>
            <w:r w:rsidRPr="005B3539">
              <w:rPr>
                <w:bCs/>
                <w:lang w:val="es-ES"/>
              </w:rPr>
              <w:t xml:space="preserve">De Corral, P., &amp; Echeburúa, E. (1998). </w:t>
            </w:r>
            <w:r w:rsidRPr="005B3539">
              <w:rPr>
                <w:bCs/>
                <w:i/>
                <w:iCs/>
                <w:lang w:val="es-ES"/>
              </w:rPr>
              <w:t>Manual de violencia familiar</w:t>
            </w:r>
            <w:r w:rsidRPr="005B3539">
              <w:rPr>
                <w:bCs/>
                <w:lang w:val="es-ES"/>
              </w:rPr>
              <w:t>. Siglo XXI.</w:t>
            </w:r>
          </w:p>
          <w:p w14:paraId="47B79D79" w14:textId="77777777" w:rsidR="005B3539" w:rsidRPr="005B3539" w:rsidRDefault="005B3539" w:rsidP="005B3539">
            <w:pPr>
              <w:ind w:left="720" w:hanging="720"/>
              <w:jc w:val="both"/>
              <w:rPr>
                <w:bCs/>
                <w:lang w:val="es-ES"/>
              </w:rPr>
            </w:pPr>
            <w:r w:rsidRPr="005B3539">
              <w:rPr>
                <w:bCs/>
                <w:lang w:val="es-ES"/>
              </w:rPr>
              <w:t xml:space="preserve">De la Cruz, R. (2010). </w:t>
            </w:r>
            <w:r w:rsidRPr="005B3539">
              <w:rPr>
                <w:bCs/>
                <w:i/>
                <w:iCs/>
                <w:lang w:val="es-ES"/>
              </w:rPr>
              <w:t>Violencia Intrafamiliar. Enfoque Sistémico</w:t>
            </w:r>
            <w:r w:rsidRPr="005B3539">
              <w:rPr>
                <w:bCs/>
                <w:lang w:val="es-ES"/>
              </w:rPr>
              <w:t>. Trillas.</w:t>
            </w:r>
          </w:p>
        </w:tc>
      </w:tr>
      <w:tr w:rsidR="005B3539" w:rsidRPr="005B3539" w14:paraId="458EA985" w14:textId="77777777" w:rsidTr="005B3539">
        <w:trPr>
          <w:tblCellSpacing w:w="7" w:type="dxa"/>
        </w:trPr>
        <w:tc>
          <w:tcPr>
            <w:tcW w:w="4983" w:type="pct"/>
            <w:vAlign w:val="center"/>
            <w:hideMark/>
          </w:tcPr>
          <w:p w14:paraId="115A056C" w14:textId="77777777" w:rsidR="005B3539" w:rsidRPr="005B3539" w:rsidRDefault="005B3539" w:rsidP="005B3539">
            <w:pPr>
              <w:ind w:left="720" w:hanging="720"/>
              <w:jc w:val="both"/>
              <w:rPr>
                <w:bCs/>
                <w:lang w:val="en-US"/>
              </w:rPr>
            </w:pPr>
            <w:r w:rsidRPr="005B3539">
              <w:rPr>
                <w:bCs/>
                <w:lang w:val="en-US"/>
              </w:rPr>
              <w:t xml:space="preserve">Dimitrov, D. M. (2010). Testing for factorial invariance in the context of construct validation. </w:t>
            </w:r>
            <w:r w:rsidRPr="005B3539">
              <w:rPr>
                <w:bCs/>
                <w:i/>
                <w:iCs/>
                <w:lang w:val="en-US"/>
              </w:rPr>
              <w:t>Measurement and Evaluation in Counseling and Development, 43</w:t>
            </w:r>
            <w:r w:rsidRPr="005B3539">
              <w:rPr>
                <w:bCs/>
                <w:lang w:val="en-US"/>
              </w:rPr>
              <w:t xml:space="preserve">, 121-149. </w:t>
            </w:r>
            <w:hyperlink r:id="rId19" w:tgtFrame="_blank" w:history="1">
              <w:r w:rsidRPr="005B3539">
                <w:rPr>
                  <w:rStyle w:val="Hipervnculo"/>
                  <w:bCs/>
                  <w:lang w:val="en-US"/>
                </w:rPr>
                <w:t>https://doi.org/10.1177/0748175610373459</w:t>
              </w:r>
            </w:hyperlink>
          </w:p>
        </w:tc>
      </w:tr>
      <w:tr w:rsidR="005B3539" w:rsidRPr="005B3539" w14:paraId="5AEEC3A4" w14:textId="77777777" w:rsidTr="005B3539">
        <w:trPr>
          <w:tblCellSpacing w:w="7" w:type="dxa"/>
        </w:trPr>
        <w:tc>
          <w:tcPr>
            <w:tcW w:w="4983" w:type="pct"/>
            <w:vAlign w:val="center"/>
            <w:hideMark/>
          </w:tcPr>
          <w:p w14:paraId="0D0A3061" w14:textId="77777777" w:rsidR="005B3539" w:rsidRPr="005B3539" w:rsidRDefault="005B3539" w:rsidP="005B3539">
            <w:pPr>
              <w:ind w:left="720" w:hanging="720"/>
              <w:jc w:val="both"/>
              <w:rPr>
                <w:bCs/>
                <w:lang w:val="en-US"/>
              </w:rPr>
            </w:pPr>
            <w:r w:rsidRPr="005B3539">
              <w:rPr>
                <w:bCs/>
                <w:lang w:val="en-US"/>
              </w:rPr>
              <w:t xml:space="preserve">Dodge, K.A. (1991). The structure and function of reactive and proactive aggression. </w:t>
            </w:r>
            <w:proofErr w:type="spellStart"/>
            <w:r w:rsidRPr="005B3539">
              <w:rPr>
                <w:bCs/>
                <w:lang w:val="en-US"/>
              </w:rPr>
              <w:t>En</w:t>
            </w:r>
            <w:proofErr w:type="spellEnd"/>
            <w:r w:rsidRPr="005B3539">
              <w:rPr>
                <w:bCs/>
                <w:lang w:val="en-US"/>
              </w:rPr>
              <w:t xml:space="preserve"> D. </w:t>
            </w:r>
            <w:proofErr w:type="spellStart"/>
            <w:r w:rsidRPr="005B3539">
              <w:rPr>
                <w:bCs/>
                <w:lang w:val="en-US"/>
              </w:rPr>
              <w:t>Pepler</w:t>
            </w:r>
            <w:proofErr w:type="spellEnd"/>
            <w:r w:rsidRPr="005B3539">
              <w:rPr>
                <w:bCs/>
                <w:lang w:val="en-US"/>
              </w:rPr>
              <w:t xml:space="preserve"> y K. Rubin (Eds.), </w:t>
            </w:r>
            <w:r w:rsidRPr="005B3539">
              <w:rPr>
                <w:bCs/>
                <w:i/>
                <w:iCs/>
                <w:lang w:val="en-US"/>
              </w:rPr>
              <w:t>The development and treatment of childhood aggression</w:t>
            </w:r>
            <w:r w:rsidRPr="005B3539">
              <w:rPr>
                <w:bCs/>
                <w:lang w:val="en-US"/>
              </w:rPr>
              <w:t xml:space="preserve"> (201-218). Hillsdale, NJ: </w:t>
            </w:r>
            <w:proofErr w:type="spellStart"/>
            <w:r w:rsidRPr="005B3539">
              <w:rPr>
                <w:bCs/>
                <w:lang w:val="en-US"/>
              </w:rPr>
              <w:t>Earlbaum</w:t>
            </w:r>
            <w:proofErr w:type="spellEnd"/>
          </w:p>
        </w:tc>
      </w:tr>
      <w:tr w:rsidR="005B3539" w:rsidRPr="005B3539" w14:paraId="3070D61A" w14:textId="77777777" w:rsidTr="005B3539">
        <w:trPr>
          <w:tblCellSpacing w:w="7" w:type="dxa"/>
        </w:trPr>
        <w:tc>
          <w:tcPr>
            <w:tcW w:w="4983" w:type="pct"/>
            <w:vAlign w:val="center"/>
            <w:hideMark/>
          </w:tcPr>
          <w:p w14:paraId="14D45295" w14:textId="77777777" w:rsidR="005B3539" w:rsidRPr="005B3539" w:rsidRDefault="005B3539" w:rsidP="005B3539">
            <w:pPr>
              <w:ind w:left="720" w:hanging="720"/>
              <w:jc w:val="both"/>
              <w:rPr>
                <w:bCs/>
                <w:lang w:val="en-US"/>
              </w:rPr>
            </w:pPr>
            <w:r w:rsidRPr="005B3539">
              <w:rPr>
                <w:bCs/>
                <w:lang w:val="en-US"/>
              </w:rPr>
              <w:t xml:space="preserve">Dodge, K. A., &amp; </w:t>
            </w:r>
            <w:proofErr w:type="spellStart"/>
            <w:r w:rsidRPr="005B3539">
              <w:rPr>
                <w:bCs/>
                <w:lang w:val="en-US"/>
              </w:rPr>
              <w:t>Coie</w:t>
            </w:r>
            <w:proofErr w:type="spellEnd"/>
            <w:r w:rsidRPr="005B3539">
              <w:rPr>
                <w:bCs/>
                <w:lang w:val="en-US"/>
              </w:rPr>
              <w:t xml:space="preserve">, J.D. (1987). Social-information-processing factors in reactive and proactive aggression in children's peer groups. </w:t>
            </w:r>
            <w:r w:rsidRPr="005B3539">
              <w:rPr>
                <w:bCs/>
                <w:i/>
                <w:iCs/>
                <w:lang w:val="en-US"/>
              </w:rPr>
              <w:t>Journal of Personality and Social Psychology, 53</w:t>
            </w:r>
            <w:r w:rsidRPr="005B3539">
              <w:rPr>
                <w:bCs/>
                <w:lang w:val="en-US"/>
              </w:rPr>
              <w:t xml:space="preserve">(6), 1146-1158. </w:t>
            </w:r>
            <w:hyperlink r:id="rId20" w:tgtFrame="_blank" w:history="1">
              <w:r w:rsidRPr="005B3539">
                <w:rPr>
                  <w:rStyle w:val="Hipervnculo"/>
                  <w:bCs/>
                  <w:lang w:val="en-US"/>
                </w:rPr>
                <w:t>https://doi.org/10.1037/0022-3514.53.6.1146</w:t>
              </w:r>
            </w:hyperlink>
          </w:p>
        </w:tc>
      </w:tr>
      <w:tr w:rsidR="005B3539" w:rsidRPr="005B3539" w14:paraId="6B4E6003" w14:textId="77777777" w:rsidTr="005B3539">
        <w:trPr>
          <w:tblCellSpacing w:w="7" w:type="dxa"/>
        </w:trPr>
        <w:tc>
          <w:tcPr>
            <w:tcW w:w="4983" w:type="pct"/>
            <w:vAlign w:val="center"/>
            <w:hideMark/>
          </w:tcPr>
          <w:p w14:paraId="73D27138" w14:textId="77777777" w:rsidR="005B3539" w:rsidRPr="005B3539" w:rsidRDefault="005B3539" w:rsidP="005B3539">
            <w:pPr>
              <w:ind w:left="720" w:hanging="720"/>
              <w:jc w:val="both"/>
              <w:rPr>
                <w:bCs/>
                <w:lang w:val="es-ES"/>
              </w:rPr>
            </w:pPr>
            <w:r w:rsidRPr="005B3539">
              <w:rPr>
                <w:bCs/>
                <w:lang w:val="es-ES"/>
              </w:rPr>
              <w:t xml:space="preserve">Domínguez-Lara, S. (2014). ¿Matrices policóricas/tetracóricas o matrices Pearson? Un estudio metodológico. </w:t>
            </w:r>
            <w:r w:rsidRPr="005B3539">
              <w:rPr>
                <w:bCs/>
                <w:i/>
                <w:iCs/>
                <w:lang w:val="es-ES"/>
              </w:rPr>
              <w:t>Revista Argentina de Ciencias del Comportamiento (RACC) 6</w:t>
            </w:r>
            <w:r w:rsidRPr="005B3539">
              <w:rPr>
                <w:bCs/>
                <w:lang w:val="es-ES"/>
              </w:rPr>
              <w:t xml:space="preserve"> (1), 39-48. </w:t>
            </w:r>
            <w:hyperlink r:id="rId21" w:tgtFrame="_blank" w:history="1">
              <w:r w:rsidRPr="005B3539">
                <w:rPr>
                  <w:rStyle w:val="Hipervnculo"/>
                  <w:bCs/>
                  <w:lang w:val="es-ES"/>
                </w:rPr>
                <w:t>https://doi.org/10.21500/19002386.2134</w:t>
              </w:r>
            </w:hyperlink>
          </w:p>
        </w:tc>
      </w:tr>
      <w:tr w:rsidR="005B3539" w:rsidRPr="005B3539" w14:paraId="275A2554" w14:textId="77777777" w:rsidTr="005B3539">
        <w:trPr>
          <w:tblCellSpacing w:w="7" w:type="dxa"/>
        </w:trPr>
        <w:tc>
          <w:tcPr>
            <w:tcW w:w="4983" w:type="pct"/>
            <w:vAlign w:val="center"/>
            <w:hideMark/>
          </w:tcPr>
          <w:p w14:paraId="38C637DF" w14:textId="77777777" w:rsidR="005B3539" w:rsidRPr="005B3539" w:rsidRDefault="005B3539" w:rsidP="005B3539">
            <w:pPr>
              <w:ind w:left="720" w:hanging="720"/>
              <w:jc w:val="both"/>
              <w:rPr>
                <w:bCs/>
                <w:lang w:val="es-ES"/>
              </w:rPr>
            </w:pPr>
            <w:r w:rsidRPr="005B3539">
              <w:rPr>
                <w:bCs/>
                <w:lang w:val="es-ES"/>
              </w:rPr>
              <w:t xml:space="preserve">Elosua, P. (2005). Evaluación progresiva de la invarianza factorial entre las versiones original y adaptada de una escala de autoconcepto. </w:t>
            </w:r>
            <w:proofErr w:type="spellStart"/>
            <w:r w:rsidRPr="005B3539">
              <w:rPr>
                <w:bCs/>
                <w:i/>
                <w:iCs/>
                <w:lang w:val="es-ES"/>
              </w:rPr>
              <w:t>Psicothema</w:t>
            </w:r>
            <w:proofErr w:type="spellEnd"/>
            <w:r w:rsidRPr="005B3539">
              <w:rPr>
                <w:bCs/>
                <w:i/>
                <w:iCs/>
                <w:lang w:val="es-ES"/>
              </w:rPr>
              <w:t>, 17</w:t>
            </w:r>
            <w:r w:rsidRPr="005B3539">
              <w:rPr>
                <w:bCs/>
                <w:lang w:val="es-ES"/>
              </w:rPr>
              <w:t>(2), 356-362.</w:t>
            </w:r>
          </w:p>
        </w:tc>
      </w:tr>
      <w:tr w:rsidR="005B3539" w:rsidRPr="005B3539" w14:paraId="65F9E314" w14:textId="77777777" w:rsidTr="005B3539">
        <w:trPr>
          <w:tblCellSpacing w:w="7" w:type="dxa"/>
        </w:trPr>
        <w:tc>
          <w:tcPr>
            <w:tcW w:w="4983" w:type="pct"/>
            <w:vAlign w:val="center"/>
            <w:hideMark/>
          </w:tcPr>
          <w:p w14:paraId="4856CDA6" w14:textId="77777777" w:rsidR="005B3539" w:rsidRPr="005B3539" w:rsidRDefault="005B3539" w:rsidP="005B3539">
            <w:pPr>
              <w:ind w:left="720" w:hanging="720"/>
              <w:jc w:val="both"/>
              <w:rPr>
                <w:bCs/>
                <w:lang w:val="es-ES"/>
              </w:rPr>
            </w:pPr>
            <w:r w:rsidRPr="005B3539">
              <w:rPr>
                <w:bCs/>
                <w:lang w:val="en-US"/>
              </w:rPr>
              <w:t xml:space="preserve">Euler, F., </w:t>
            </w:r>
            <w:proofErr w:type="spellStart"/>
            <w:r w:rsidRPr="005B3539">
              <w:rPr>
                <w:bCs/>
                <w:lang w:val="en-US"/>
              </w:rPr>
              <w:t>Steinlin</w:t>
            </w:r>
            <w:proofErr w:type="spellEnd"/>
            <w:r w:rsidRPr="005B3539">
              <w:rPr>
                <w:bCs/>
                <w:lang w:val="en-US"/>
              </w:rPr>
              <w:t xml:space="preserve">, C., &amp; Stadler C. (2017). Distinct profiles of reactive and proactive aggression in adolescents: Associations with cognitive and affective empathy. </w:t>
            </w:r>
            <w:r w:rsidRPr="005B3539">
              <w:rPr>
                <w:bCs/>
                <w:i/>
                <w:iCs/>
                <w:lang w:val="es-ES"/>
              </w:rPr>
              <w:t xml:space="preserve">Child and </w:t>
            </w:r>
            <w:proofErr w:type="spellStart"/>
            <w:r w:rsidRPr="005B3539">
              <w:rPr>
                <w:bCs/>
                <w:i/>
                <w:iCs/>
                <w:lang w:val="es-ES"/>
              </w:rPr>
              <w:t>adolescent</w:t>
            </w:r>
            <w:proofErr w:type="spellEnd"/>
            <w:r w:rsidRPr="005B3539">
              <w:rPr>
                <w:bCs/>
                <w:i/>
                <w:iCs/>
                <w:lang w:val="es-ES"/>
              </w:rPr>
              <w:t xml:space="preserve"> </w:t>
            </w:r>
            <w:proofErr w:type="spellStart"/>
            <w:r w:rsidRPr="005B3539">
              <w:rPr>
                <w:bCs/>
                <w:i/>
                <w:iCs/>
                <w:lang w:val="es-ES"/>
              </w:rPr>
              <w:t>psychiatry</w:t>
            </w:r>
            <w:proofErr w:type="spellEnd"/>
            <w:r w:rsidRPr="005B3539">
              <w:rPr>
                <w:bCs/>
                <w:i/>
                <w:iCs/>
                <w:lang w:val="es-ES"/>
              </w:rPr>
              <w:t xml:space="preserve"> and mental </w:t>
            </w:r>
            <w:proofErr w:type="spellStart"/>
            <w:r w:rsidRPr="005B3539">
              <w:rPr>
                <w:bCs/>
                <w:i/>
                <w:iCs/>
                <w:lang w:val="es-ES"/>
              </w:rPr>
              <w:t>health</w:t>
            </w:r>
            <w:proofErr w:type="spellEnd"/>
            <w:r w:rsidRPr="005B3539">
              <w:rPr>
                <w:bCs/>
                <w:i/>
                <w:iCs/>
                <w:lang w:val="es-ES"/>
              </w:rPr>
              <w:t>, 11</w:t>
            </w:r>
            <w:r w:rsidRPr="005B3539">
              <w:rPr>
                <w:bCs/>
                <w:lang w:val="es-ES"/>
              </w:rPr>
              <w:t xml:space="preserve">(1), 1-14. </w:t>
            </w:r>
            <w:proofErr w:type="spellStart"/>
            <w:r w:rsidRPr="005B3539">
              <w:rPr>
                <w:bCs/>
                <w:lang w:val="es-ES"/>
              </w:rPr>
              <w:t>doi</w:t>
            </w:r>
            <w:proofErr w:type="spellEnd"/>
            <w:r w:rsidRPr="005B3539">
              <w:rPr>
                <w:bCs/>
                <w:lang w:val="es-ES"/>
              </w:rPr>
              <w:t>: 10.1186/s13034-016-0141-4</w:t>
            </w:r>
          </w:p>
          <w:p w14:paraId="451C33BE" w14:textId="77777777" w:rsidR="005B3539" w:rsidRPr="005B3539" w:rsidRDefault="005B3539" w:rsidP="005B3539">
            <w:pPr>
              <w:ind w:left="720" w:hanging="720"/>
              <w:jc w:val="both"/>
              <w:rPr>
                <w:bCs/>
                <w:lang w:val="es-ES"/>
              </w:rPr>
            </w:pPr>
            <w:r w:rsidRPr="005B3539">
              <w:rPr>
                <w:bCs/>
                <w:lang w:val="es-ES"/>
              </w:rPr>
              <w:t xml:space="preserve">Florián, D. (2018). </w:t>
            </w:r>
            <w:r w:rsidRPr="005B3539">
              <w:rPr>
                <w:bCs/>
                <w:i/>
                <w:iCs/>
                <w:lang w:val="es-ES"/>
              </w:rPr>
              <w:t>Evidencias de Validez del Cuestionario de Agresión Reactiva y Proactiva en Adolescentes del distrito de Contumazá, 2018</w:t>
            </w:r>
            <w:r w:rsidRPr="005B3539">
              <w:rPr>
                <w:bCs/>
                <w:lang w:val="es-ES"/>
              </w:rPr>
              <w:t xml:space="preserve"> (tesis de grado). Universidad Cesar Vallejo, Perú.</w:t>
            </w:r>
          </w:p>
        </w:tc>
      </w:tr>
      <w:tr w:rsidR="005B3539" w:rsidRPr="005B3539" w14:paraId="3590A4F2" w14:textId="77777777" w:rsidTr="005B3539">
        <w:trPr>
          <w:tblCellSpacing w:w="7" w:type="dxa"/>
        </w:trPr>
        <w:tc>
          <w:tcPr>
            <w:tcW w:w="4983" w:type="pct"/>
            <w:vAlign w:val="center"/>
            <w:hideMark/>
          </w:tcPr>
          <w:p w14:paraId="3E89550D" w14:textId="77777777" w:rsidR="005B3539" w:rsidRPr="005B3539" w:rsidRDefault="005B3539" w:rsidP="005B3539">
            <w:pPr>
              <w:ind w:left="720" w:hanging="720"/>
              <w:jc w:val="both"/>
              <w:rPr>
                <w:bCs/>
                <w:lang w:val="es-ES"/>
              </w:rPr>
            </w:pPr>
            <w:proofErr w:type="spellStart"/>
            <w:r w:rsidRPr="005B3539">
              <w:rPr>
                <w:bCs/>
                <w:lang w:val="en-US"/>
              </w:rPr>
              <w:t>Fornell</w:t>
            </w:r>
            <w:proofErr w:type="spellEnd"/>
            <w:r w:rsidRPr="005B3539">
              <w:rPr>
                <w:bCs/>
                <w:lang w:val="en-US"/>
              </w:rPr>
              <w:t xml:space="preserve">, C., &amp; </w:t>
            </w:r>
            <w:proofErr w:type="spellStart"/>
            <w:r w:rsidRPr="005B3539">
              <w:rPr>
                <w:bCs/>
                <w:lang w:val="en-US"/>
              </w:rPr>
              <w:t>Larcker</w:t>
            </w:r>
            <w:proofErr w:type="spellEnd"/>
            <w:r w:rsidRPr="005B3539">
              <w:rPr>
                <w:bCs/>
                <w:lang w:val="en-US"/>
              </w:rPr>
              <w:t xml:space="preserve">, D. F. (1981). Evaluating structural equation models with unobservable variables and measurement error. </w:t>
            </w:r>
            <w:proofErr w:type="spellStart"/>
            <w:r w:rsidRPr="005B3539">
              <w:rPr>
                <w:bCs/>
                <w:i/>
                <w:iCs/>
                <w:lang w:val="es-ES"/>
              </w:rPr>
              <w:t>Journal</w:t>
            </w:r>
            <w:proofErr w:type="spellEnd"/>
            <w:r w:rsidRPr="005B3539">
              <w:rPr>
                <w:bCs/>
                <w:i/>
                <w:iCs/>
                <w:lang w:val="es-ES"/>
              </w:rPr>
              <w:t xml:space="preserve"> of Marketing </w:t>
            </w:r>
            <w:proofErr w:type="spellStart"/>
            <w:r w:rsidRPr="005B3539">
              <w:rPr>
                <w:bCs/>
                <w:i/>
                <w:iCs/>
                <w:lang w:val="es-ES"/>
              </w:rPr>
              <w:t>Research</w:t>
            </w:r>
            <w:proofErr w:type="spellEnd"/>
            <w:r w:rsidRPr="005B3539">
              <w:rPr>
                <w:bCs/>
                <w:i/>
                <w:iCs/>
                <w:lang w:val="es-ES"/>
              </w:rPr>
              <w:t>, 18</w:t>
            </w:r>
            <w:r w:rsidRPr="005B3539">
              <w:rPr>
                <w:bCs/>
                <w:lang w:val="es-ES"/>
              </w:rPr>
              <w:t xml:space="preserve">, 39-50. </w:t>
            </w:r>
            <w:r w:rsidRPr="005B3539">
              <w:rPr>
                <w:bCs/>
                <w:lang w:val="es-ES"/>
              </w:rPr>
              <w:br/>
            </w:r>
            <w:hyperlink r:id="rId22" w:tgtFrame="_blank" w:history="1">
              <w:r w:rsidRPr="005B3539">
                <w:rPr>
                  <w:rStyle w:val="Hipervnculo"/>
                  <w:bCs/>
                  <w:lang w:val="es-ES"/>
                </w:rPr>
                <w:t>https://doi.org/10.1177/002224378101800104</w:t>
              </w:r>
            </w:hyperlink>
          </w:p>
        </w:tc>
      </w:tr>
      <w:tr w:rsidR="005B3539" w:rsidRPr="005B3539" w14:paraId="795E9182" w14:textId="77777777" w:rsidTr="005B3539">
        <w:trPr>
          <w:tblCellSpacing w:w="7" w:type="dxa"/>
        </w:trPr>
        <w:tc>
          <w:tcPr>
            <w:tcW w:w="4983" w:type="pct"/>
            <w:vAlign w:val="center"/>
            <w:hideMark/>
          </w:tcPr>
          <w:p w14:paraId="0914ADDC" w14:textId="77777777" w:rsidR="005B3539" w:rsidRPr="005B3539" w:rsidRDefault="005B3539" w:rsidP="005B3539">
            <w:pPr>
              <w:ind w:left="720" w:hanging="720"/>
              <w:jc w:val="both"/>
              <w:rPr>
                <w:bCs/>
                <w:lang w:val="es-ES"/>
              </w:rPr>
            </w:pPr>
            <w:r w:rsidRPr="005B3539">
              <w:rPr>
                <w:bCs/>
                <w:lang w:val="es-ES"/>
              </w:rPr>
              <w:t xml:space="preserve">Garaigordobil, M., </w:t>
            </w:r>
            <w:proofErr w:type="spellStart"/>
            <w:r w:rsidRPr="005B3539">
              <w:rPr>
                <w:bCs/>
                <w:lang w:val="es-ES"/>
              </w:rPr>
              <w:t>Durá</w:t>
            </w:r>
            <w:proofErr w:type="spellEnd"/>
            <w:r w:rsidRPr="005B3539">
              <w:rPr>
                <w:bCs/>
                <w:lang w:val="es-ES"/>
              </w:rPr>
              <w:t xml:space="preserve">, A., &amp; Pérez, J. (2005). Síntomas psicopatológicos, problemas de conducta y autoconcepto-autoestima: Un estudio con adolescentes de 14 y 17 años. </w:t>
            </w:r>
            <w:r w:rsidRPr="005B3539">
              <w:rPr>
                <w:bCs/>
                <w:i/>
                <w:iCs/>
                <w:lang w:val="es-ES"/>
              </w:rPr>
              <w:t>Anuario de Psicología Clínica y de la Salud, 1</w:t>
            </w:r>
            <w:r w:rsidRPr="005B3539">
              <w:rPr>
                <w:bCs/>
                <w:lang w:val="es-ES"/>
              </w:rPr>
              <w:t>, 53-63. http://institucionales.us.es/apcs/doc/APCS_1_esp_53-63.pdf</w:t>
            </w:r>
          </w:p>
        </w:tc>
      </w:tr>
      <w:tr w:rsidR="005B3539" w:rsidRPr="005B3539" w14:paraId="110631E7" w14:textId="77777777" w:rsidTr="005B3539">
        <w:trPr>
          <w:tblCellSpacing w:w="7" w:type="dxa"/>
        </w:trPr>
        <w:tc>
          <w:tcPr>
            <w:tcW w:w="4983" w:type="pct"/>
            <w:vAlign w:val="center"/>
            <w:hideMark/>
          </w:tcPr>
          <w:p w14:paraId="3C011818" w14:textId="77777777" w:rsidR="005B3539" w:rsidRPr="005B3539" w:rsidRDefault="005B3539" w:rsidP="005B3539">
            <w:pPr>
              <w:ind w:left="720" w:hanging="720"/>
              <w:jc w:val="both"/>
              <w:rPr>
                <w:bCs/>
                <w:lang w:val="es-ES"/>
              </w:rPr>
            </w:pPr>
            <w:r w:rsidRPr="005B3539">
              <w:rPr>
                <w:bCs/>
                <w:lang w:val="en-US"/>
              </w:rPr>
              <w:t xml:space="preserve">Hair, J., Anderson, R., Tatham, R., &amp; Black, W., (2010). </w:t>
            </w:r>
            <w:r w:rsidRPr="005B3539">
              <w:rPr>
                <w:bCs/>
                <w:i/>
                <w:iCs/>
                <w:lang w:val="es-ES"/>
              </w:rPr>
              <w:t>Análisis multivariante</w:t>
            </w:r>
            <w:r w:rsidRPr="005B3539">
              <w:rPr>
                <w:bCs/>
                <w:lang w:val="es-ES"/>
              </w:rPr>
              <w:t xml:space="preserve"> (2a ed.). Madrid, España: Pearson Prentice Hall. </w:t>
            </w:r>
            <w:r w:rsidRPr="005B3539">
              <w:rPr>
                <w:bCs/>
                <w:lang w:val="es-ES"/>
              </w:rPr>
              <w:br/>
            </w:r>
            <w:hyperlink r:id="rId23" w:tgtFrame="_blank" w:history="1">
              <w:r w:rsidRPr="005B3539">
                <w:rPr>
                  <w:rStyle w:val="Hipervnculo"/>
                  <w:bCs/>
                  <w:lang w:val="es-ES"/>
                </w:rPr>
                <w:t>https://doi.org/10.1016/j.jmva.2009.12.014</w:t>
              </w:r>
            </w:hyperlink>
          </w:p>
        </w:tc>
      </w:tr>
      <w:tr w:rsidR="005B3539" w:rsidRPr="005B3539" w14:paraId="03BD1371" w14:textId="77777777" w:rsidTr="005B3539">
        <w:trPr>
          <w:tblCellSpacing w:w="7" w:type="dxa"/>
        </w:trPr>
        <w:tc>
          <w:tcPr>
            <w:tcW w:w="4983" w:type="pct"/>
            <w:vAlign w:val="center"/>
          </w:tcPr>
          <w:p w14:paraId="35B534F3" w14:textId="77777777" w:rsidR="005B3539" w:rsidRPr="005B3539" w:rsidRDefault="005B3539" w:rsidP="005B3539">
            <w:pPr>
              <w:ind w:left="720" w:hanging="720"/>
              <w:jc w:val="both"/>
              <w:rPr>
                <w:bCs/>
                <w:lang w:val="es-ES"/>
              </w:rPr>
            </w:pPr>
            <w:r w:rsidRPr="005B3539">
              <w:rPr>
                <w:bCs/>
                <w:lang w:val="es-ES"/>
              </w:rPr>
              <w:t>Horcajo-Gil, P. J., Dujo-López, V., Andreu-Rodríguez, J. M., &amp; Marín-</w:t>
            </w:r>
            <w:proofErr w:type="spellStart"/>
            <w:r w:rsidRPr="005B3539">
              <w:rPr>
                <w:bCs/>
                <w:lang w:val="es-ES"/>
              </w:rPr>
              <w:t>Rullán</w:t>
            </w:r>
            <w:proofErr w:type="spellEnd"/>
            <w:r w:rsidRPr="005B3539">
              <w:rPr>
                <w:bCs/>
                <w:lang w:val="es-ES"/>
              </w:rPr>
              <w:t xml:space="preserve">, M. (2019). Valoración y gestión del riesgo de reincidencia delictiva en menores infractores: una revisión de instrumentos. </w:t>
            </w:r>
            <w:r w:rsidRPr="005B3539">
              <w:rPr>
                <w:bCs/>
                <w:i/>
                <w:iCs/>
                <w:lang w:val="es-ES"/>
              </w:rPr>
              <w:t>Anuario de Psicología Jurídica, 29</w:t>
            </w:r>
            <w:r w:rsidRPr="005B3539">
              <w:rPr>
                <w:bCs/>
                <w:lang w:val="es-ES"/>
              </w:rPr>
              <w:t xml:space="preserve">, 41-53. </w:t>
            </w:r>
            <w:hyperlink r:id="rId24" w:history="1">
              <w:r w:rsidRPr="005B3539">
                <w:rPr>
                  <w:rStyle w:val="Hipervnculo"/>
                  <w:bCs/>
                  <w:lang w:val="es-ES"/>
                </w:rPr>
                <w:t>https://doi.org/10.5093/apj2018a15</w:t>
              </w:r>
            </w:hyperlink>
          </w:p>
        </w:tc>
      </w:tr>
      <w:tr w:rsidR="005B3539" w:rsidRPr="005B3539" w14:paraId="1AA9FC3A" w14:textId="77777777" w:rsidTr="005B3539">
        <w:trPr>
          <w:tblCellSpacing w:w="7" w:type="dxa"/>
        </w:trPr>
        <w:tc>
          <w:tcPr>
            <w:tcW w:w="4983" w:type="pct"/>
            <w:vAlign w:val="center"/>
            <w:hideMark/>
          </w:tcPr>
          <w:p w14:paraId="079F7C45" w14:textId="77777777" w:rsidR="005B3539" w:rsidRPr="005B3539" w:rsidRDefault="005B3539" w:rsidP="005B3539">
            <w:pPr>
              <w:ind w:left="720" w:hanging="720"/>
              <w:jc w:val="both"/>
              <w:rPr>
                <w:bCs/>
                <w:lang w:val="en-US"/>
              </w:rPr>
            </w:pPr>
            <w:proofErr w:type="spellStart"/>
            <w:r w:rsidRPr="005B3539">
              <w:rPr>
                <w:bCs/>
                <w:lang w:val="en-US"/>
              </w:rPr>
              <w:lastRenderedPageBreak/>
              <w:t>Huesmann</w:t>
            </w:r>
            <w:proofErr w:type="spellEnd"/>
            <w:r w:rsidRPr="005B3539">
              <w:rPr>
                <w:bCs/>
                <w:lang w:val="en-US"/>
              </w:rPr>
              <w:t xml:space="preserve">, L. R., &amp; Taylor, L. D. (2006). The role of media violence in violent behavior. </w:t>
            </w:r>
            <w:r w:rsidRPr="005B3539">
              <w:rPr>
                <w:bCs/>
                <w:i/>
                <w:iCs/>
                <w:lang w:val="en-US"/>
              </w:rPr>
              <w:t>Annual Review of Public Health, 27</w:t>
            </w:r>
            <w:r w:rsidRPr="005B3539">
              <w:rPr>
                <w:bCs/>
                <w:lang w:val="en-US"/>
              </w:rPr>
              <w:t>, 393-415. https://doi.org/10.1146/annurev.publhealth.26.021304.144640</w:t>
            </w:r>
          </w:p>
          <w:p w14:paraId="0C6F089C" w14:textId="77777777" w:rsidR="005B3539" w:rsidRPr="005B3539" w:rsidRDefault="005B3539" w:rsidP="005B3539">
            <w:pPr>
              <w:ind w:left="720" w:hanging="720"/>
              <w:jc w:val="both"/>
              <w:rPr>
                <w:bCs/>
                <w:lang w:val="es-ES"/>
              </w:rPr>
            </w:pPr>
            <w:r w:rsidRPr="005B3539">
              <w:rPr>
                <w:bCs/>
                <w:lang w:val="es-ES"/>
              </w:rPr>
              <w:t xml:space="preserve">Instituto Nacional de Estadística e Informática. (2016). </w:t>
            </w:r>
            <w:r w:rsidRPr="005B3539">
              <w:rPr>
                <w:bCs/>
                <w:i/>
                <w:iCs/>
                <w:lang w:val="es-ES"/>
              </w:rPr>
              <w:t>Censo Nacional de Población en los Centros Juveniles de Diagnóstico y Rehabilitación, 2016</w:t>
            </w:r>
            <w:r w:rsidRPr="005B3539">
              <w:rPr>
                <w:bCs/>
                <w:lang w:val="es-ES"/>
              </w:rPr>
              <w:t xml:space="preserve">. INEI. </w:t>
            </w:r>
            <w:hyperlink r:id="rId25" w:history="1">
              <w:r w:rsidRPr="005B3539">
                <w:rPr>
                  <w:rStyle w:val="Hipervnculo"/>
                  <w:bCs/>
                  <w:lang w:val="es-ES"/>
                </w:rPr>
                <w:t>https://cutt.ly/UkLe02R</w:t>
              </w:r>
            </w:hyperlink>
          </w:p>
        </w:tc>
      </w:tr>
      <w:tr w:rsidR="005B3539" w:rsidRPr="005B3539" w14:paraId="1113FE9B" w14:textId="77777777" w:rsidTr="005B3539">
        <w:trPr>
          <w:tblCellSpacing w:w="7" w:type="dxa"/>
        </w:trPr>
        <w:tc>
          <w:tcPr>
            <w:tcW w:w="4983" w:type="pct"/>
            <w:vAlign w:val="center"/>
            <w:hideMark/>
          </w:tcPr>
          <w:p w14:paraId="063DEF5A" w14:textId="77777777" w:rsidR="005B3539" w:rsidRPr="005B3539" w:rsidRDefault="005B3539" w:rsidP="005B3539">
            <w:pPr>
              <w:ind w:left="720" w:hanging="720"/>
              <w:jc w:val="both"/>
              <w:rPr>
                <w:bCs/>
                <w:lang w:val="es-ES"/>
              </w:rPr>
            </w:pPr>
            <w:r w:rsidRPr="005B3539">
              <w:rPr>
                <w:bCs/>
                <w:lang w:val="es-ES"/>
              </w:rPr>
              <w:t xml:space="preserve">Instituto Nacional de Estadística e Informática. (2015). </w:t>
            </w:r>
            <w:r w:rsidRPr="005B3539">
              <w:rPr>
                <w:bCs/>
                <w:i/>
                <w:iCs/>
                <w:lang w:val="es-ES"/>
              </w:rPr>
              <w:t>Encuesta Nacional Sobre Relaciones Sociales</w:t>
            </w:r>
            <w:r w:rsidRPr="005B3539">
              <w:rPr>
                <w:bCs/>
                <w:lang w:val="es-ES"/>
              </w:rPr>
              <w:t xml:space="preserve">. Lima: INEI. </w:t>
            </w:r>
            <w:hyperlink r:id="rId26" w:history="1">
              <w:r w:rsidRPr="005B3539">
                <w:rPr>
                  <w:rStyle w:val="Hipervnculo"/>
                  <w:bCs/>
                  <w:lang w:val="es-ES"/>
                </w:rPr>
                <w:t>https://cutt.ly/8kLrwxj</w:t>
              </w:r>
            </w:hyperlink>
          </w:p>
        </w:tc>
      </w:tr>
      <w:tr w:rsidR="005B3539" w:rsidRPr="005B3539" w14:paraId="77EF4B16" w14:textId="77777777" w:rsidTr="005B3539">
        <w:trPr>
          <w:tblCellSpacing w:w="7" w:type="dxa"/>
        </w:trPr>
        <w:tc>
          <w:tcPr>
            <w:tcW w:w="4983" w:type="pct"/>
            <w:vAlign w:val="center"/>
            <w:hideMark/>
          </w:tcPr>
          <w:p w14:paraId="471B288C" w14:textId="77777777" w:rsidR="005B3539" w:rsidRPr="005B3539" w:rsidRDefault="005B3539" w:rsidP="005B3539">
            <w:pPr>
              <w:ind w:left="720" w:hanging="720"/>
              <w:jc w:val="both"/>
              <w:rPr>
                <w:bCs/>
                <w:lang w:val="es-ES"/>
              </w:rPr>
            </w:pPr>
            <w:proofErr w:type="spellStart"/>
            <w:r w:rsidRPr="005B3539">
              <w:rPr>
                <w:bCs/>
                <w:lang w:val="es-ES"/>
              </w:rPr>
              <w:t>Jöreskog</w:t>
            </w:r>
            <w:proofErr w:type="spellEnd"/>
            <w:r w:rsidRPr="005B3539">
              <w:rPr>
                <w:bCs/>
                <w:lang w:val="es-ES"/>
              </w:rPr>
              <w:t xml:space="preserve">, K.G. &amp; </w:t>
            </w:r>
            <w:proofErr w:type="spellStart"/>
            <w:r w:rsidRPr="005B3539">
              <w:rPr>
                <w:bCs/>
                <w:lang w:val="es-ES"/>
              </w:rPr>
              <w:t>Sörbom</w:t>
            </w:r>
            <w:proofErr w:type="spellEnd"/>
            <w:r w:rsidRPr="005B3539">
              <w:rPr>
                <w:bCs/>
                <w:lang w:val="es-ES"/>
              </w:rPr>
              <w:t xml:space="preserve">, D. (1986). </w:t>
            </w:r>
            <w:proofErr w:type="spellStart"/>
            <w:r w:rsidRPr="005B3539">
              <w:rPr>
                <w:bCs/>
                <w:lang w:val="en-US"/>
              </w:rPr>
              <w:t>Lisrel</w:t>
            </w:r>
            <w:proofErr w:type="spellEnd"/>
            <w:r w:rsidRPr="005B3539">
              <w:rPr>
                <w:bCs/>
                <w:lang w:val="en-US"/>
              </w:rPr>
              <w:t xml:space="preserve"> VI: Analysis of Linear Structural Relationships by Maximum Likelihood and Least Square Methods. </w:t>
            </w:r>
            <w:proofErr w:type="spellStart"/>
            <w:r w:rsidRPr="005B3539">
              <w:rPr>
                <w:bCs/>
                <w:lang w:val="es-ES"/>
              </w:rPr>
              <w:t>Mooresville</w:t>
            </w:r>
            <w:proofErr w:type="spellEnd"/>
            <w:r w:rsidRPr="005B3539">
              <w:rPr>
                <w:bCs/>
                <w:lang w:val="es-ES"/>
              </w:rPr>
              <w:t xml:space="preserve">, IN: </w:t>
            </w:r>
            <w:proofErr w:type="spellStart"/>
            <w:r w:rsidRPr="005B3539">
              <w:rPr>
                <w:bCs/>
                <w:lang w:val="es-ES"/>
              </w:rPr>
              <w:t>Scientific</w:t>
            </w:r>
            <w:proofErr w:type="spellEnd"/>
            <w:r w:rsidRPr="005B3539">
              <w:rPr>
                <w:bCs/>
                <w:lang w:val="es-ES"/>
              </w:rPr>
              <w:t xml:space="preserve"> Software, Inc.</w:t>
            </w:r>
          </w:p>
        </w:tc>
      </w:tr>
      <w:tr w:rsidR="005B3539" w:rsidRPr="005B3539" w14:paraId="261E4830" w14:textId="77777777" w:rsidTr="005B3539">
        <w:trPr>
          <w:tblCellSpacing w:w="7" w:type="dxa"/>
        </w:trPr>
        <w:tc>
          <w:tcPr>
            <w:tcW w:w="4983" w:type="pct"/>
            <w:vAlign w:val="center"/>
            <w:hideMark/>
          </w:tcPr>
          <w:p w14:paraId="32208F18" w14:textId="77777777" w:rsidR="005B3539" w:rsidRPr="005B3539" w:rsidRDefault="005B3539" w:rsidP="005B3539">
            <w:pPr>
              <w:ind w:left="720" w:hanging="720"/>
              <w:jc w:val="both"/>
              <w:rPr>
                <w:bCs/>
                <w:lang w:val="es-ES"/>
              </w:rPr>
            </w:pPr>
            <w:r w:rsidRPr="005B3539">
              <w:rPr>
                <w:bCs/>
                <w:lang w:val="en-US"/>
              </w:rPr>
              <w:t xml:space="preserve">Kline, R. (2016). </w:t>
            </w:r>
            <w:r w:rsidRPr="005B3539">
              <w:rPr>
                <w:bCs/>
                <w:i/>
                <w:iCs/>
                <w:lang w:val="en-US"/>
              </w:rPr>
              <w:t>Principles and Practice of Structural Equation Modeling</w:t>
            </w:r>
            <w:r w:rsidRPr="005B3539">
              <w:rPr>
                <w:bCs/>
                <w:lang w:val="en-US"/>
              </w:rPr>
              <w:t xml:space="preserve"> (4th Edition). </w:t>
            </w:r>
            <w:r w:rsidRPr="005B3539">
              <w:rPr>
                <w:bCs/>
                <w:lang w:val="es-ES"/>
              </w:rPr>
              <w:t xml:space="preserve">New York: </w:t>
            </w:r>
            <w:proofErr w:type="spellStart"/>
            <w:r w:rsidRPr="005B3539">
              <w:rPr>
                <w:bCs/>
                <w:lang w:val="es-ES"/>
              </w:rPr>
              <w:t>The</w:t>
            </w:r>
            <w:proofErr w:type="spellEnd"/>
            <w:r w:rsidRPr="005B3539">
              <w:rPr>
                <w:bCs/>
                <w:lang w:val="es-ES"/>
              </w:rPr>
              <w:t xml:space="preserve"> Guilford </w:t>
            </w:r>
            <w:proofErr w:type="spellStart"/>
            <w:r w:rsidRPr="005B3539">
              <w:rPr>
                <w:bCs/>
                <w:lang w:val="es-ES"/>
              </w:rPr>
              <w:t>Press</w:t>
            </w:r>
            <w:proofErr w:type="spellEnd"/>
          </w:p>
        </w:tc>
      </w:tr>
      <w:tr w:rsidR="005B3539" w:rsidRPr="005B3539" w14:paraId="698BB802" w14:textId="77777777" w:rsidTr="005B3539">
        <w:trPr>
          <w:tblCellSpacing w:w="7" w:type="dxa"/>
        </w:trPr>
        <w:tc>
          <w:tcPr>
            <w:tcW w:w="4983" w:type="pct"/>
            <w:vAlign w:val="center"/>
            <w:hideMark/>
          </w:tcPr>
          <w:p w14:paraId="72C42350" w14:textId="77777777" w:rsidR="005B3539" w:rsidRPr="005B3539" w:rsidRDefault="005B3539" w:rsidP="005B3539">
            <w:pPr>
              <w:ind w:left="720" w:hanging="720"/>
              <w:jc w:val="both"/>
              <w:rPr>
                <w:bCs/>
                <w:lang w:val="es-ES"/>
              </w:rPr>
            </w:pPr>
            <w:r w:rsidRPr="005B3539">
              <w:rPr>
                <w:bCs/>
                <w:lang w:val="en-US"/>
              </w:rPr>
              <w:t xml:space="preserve">Lee, S. T. (2018). Testing for measurement invariance: Does your measure mean the same thing for different participants? </w:t>
            </w:r>
            <w:r w:rsidRPr="005B3539">
              <w:rPr>
                <w:bCs/>
                <w:i/>
                <w:iCs/>
                <w:lang w:val="es-ES"/>
              </w:rPr>
              <w:t xml:space="preserve">APS </w:t>
            </w:r>
            <w:proofErr w:type="spellStart"/>
            <w:r w:rsidRPr="005B3539">
              <w:rPr>
                <w:bCs/>
                <w:i/>
                <w:iCs/>
                <w:lang w:val="es-ES"/>
              </w:rPr>
              <w:t>Observer</w:t>
            </w:r>
            <w:proofErr w:type="spellEnd"/>
            <w:r w:rsidRPr="005B3539">
              <w:rPr>
                <w:bCs/>
                <w:i/>
                <w:iCs/>
                <w:lang w:val="es-ES"/>
              </w:rPr>
              <w:t>, 31</w:t>
            </w:r>
            <w:r w:rsidRPr="005B3539">
              <w:rPr>
                <w:bCs/>
                <w:lang w:val="es-ES"/>
              </w:rPr>
              <w:t>(8), 32-33.</w:t>
            </w:r>
          </w:p>
        </w:tc>
      </w:tr>
      <w:tr w:rsidR="005B3539" w:rsidRPr="005B3539" w14:paraId="351AD8AB" w14:textId="77777777" w:rsidTr="005B3539">
        <w:trPr>
          <w:tblCellSpacing w:w="7" w:type="dxa"/>
        </w:trPr>
        <w:tc>
          <w:tcPr>
            <w:tcW w:w="4983" w:type="pct"/>
            <w:vAlign w:val="center"/>
            <w:hideMark/>
          </w:tcPr>
          <w:p w14:paraId="301F1FFC" w14:textId="77777777" w:rsidR="005B3539" w:rsidRPr="005B3539" w:rsidRDefault="005B3539" w:rsidP="005B3539">
            <w:pPr>
              <w:ind w:left="720" w:hanging="720"/>
              <w:jc w:val="both"/>
              <w:rPr>
                <w:bCs/>
                <w:lang w:val="es-ES"/>
              </w:rPr>
            </w:pPr>
            <w:r w:rsidRPr="005B3539">
              <w:rPr>
                <w:bCs/>
                <w:lang w:val="en-US"/>
              </w:rPr>
              <w:t xml:space="preserve">Li, C. -H. (2014). </w:t>
            </w:r>
            <w:r w:rsidRPr="005B3539">
              <w:rPr>
                <w:bCs/>
                <w:i/>
                <w:iCs/>
                <w:lang w:val="en-US"/>
              </w:rPr>
              <w:t>The performance of MLR, USLMV, and WLSMV estimation in structural regression models with ordinal variables</w:t>
            </w:r>
            <w:r w:rsidRPr="005B3539">
              <w:rPr>
                <w:bCs/>
                <w:lang w:val="en-US"/>
              </w:rPr>
              <w:t xml:space="preserve"> (</w:t>
            </w:r>
            <w:proofErr w:type="spellStart"/>
            <w:r w:rsidRPr="005B3539">
              <w:rPr>
                <w:bCs/>
                <w:lang w:val="en-US"/>
              </w:rPr>
              <w:t>Disertación</w:t>
            </w:r>
            <w:proofErr w:type="spellEnd"/>
            <w:r w:rsidRPr="005B3539">
              <w:rPr>
                <w:bCs/>
                <w:lang w:val="en-US"/>
              </w:rPr>
              <w:t xml:space="preserve"> de </w:t>
            </w:r>
            <w:proofErr w:type="spellStart"/>
            <w:r w:rsidRPr="005B3539">
              <w:rPr>
                <w:bCs/>
                <w:lang w:val="en-US"/>
              </w:rPr>
              <w:t>Doctorado</w:t>
            </w:r>
            <w:proofErr w:type="spellEnd"/>
            <w:r w:rsidRPr="005B3539">
              <w:rPr>
                <w:bCs/>
                <w:lang w:val="en-US"/>
              </w:rPr>
              <w:t xml:space="preserve">, Michigan State University, East Lansing, MI, </w:t>
            </w:r>
            <w:proofErr w:type="spellStart"/>
            <w:r w:rsidRPr="005B3539">
              <w:rPr>
                <w:bCs/>
                <w:lang w:val="en-US"/>
              </w:rPr>
              <w:t>Estados</w:t>
            </w:r>
            <w:proofErr w:type="spellEnd"/>
            <w:r w:rsidRPr="005B3539">
              <w:rPr>
                <w:bCs/>
                <w:lang w:val="en-US"/>
              </w:rPr>
              <w:t xml:space="preserve"> Unidos). </w:t>
            </w:r>
            <w:hyperlink r:id="rId27" w:history="1">
              <w:r w:rsidRPr="005B3539">
                <w:rPr>
                  <w:rStyle w:val="Hipervnculo"/>
                  <w:bCs/>
                  <w:lang w:val="es-ES"/>
                </w:rPr>
                <w:t>https://bit.ly/3dDI3BR</w:t>
              </w:r>
            </w:hyperlink>
          </w:p>
        </w:tc>
      </w:tr>
      <w:tr w:rsidR="005B3539" w:rsidRPr="005B3539" w14:paraId="5A2036DD" w14:textId="77777777" w:rsidTr="005B3539">
        <w:trPr>
          <w:tblCellSpacing w:w="7" w:type="dxa"/>
        </w:trPr>
        <w:tc>
          <w:tcPr>
            <w:tcW w:w="4983" w:type="pct"/>
            <w:vAlign w:val="center"/>
            <w:hideMark/>
          </w:tcPr>
          <w:p w14:paraId="61F6F4F5" w14:textId="4B5F6DF4" w:rsidR="005B3539" w:rsidRPr="005B3539" w:rsidRDefault="005B3539" w:rsidP="005B3539">
            <w:pPr>
              <w:ind w:left="720" w:hanging="720"/>
              <w:jc w:val="both"/>
              <w:rPr>
                <w:bCs/>
                <w:lang w:val="es-ES"/>
              </w:rPr>
            </w:pPr>
            <w:r w:rsidRPr="005B3539">
              <w:rPr>
                <w:bCs/>
                <w:lang w:val="es-ES"/>
              </w:rPr>
              <w:t xml:space="preserve">Linares, J. (2015). </w:t>
            </w:r>
            <w:r w:rsidRPr="005B3539">
              <w:rPr>
                <w:bCs/>
                <w:i/>
                <w:iCs/>
                <w:lang w:val="es-ES"/>
              </w:rPr>
              <w:t xml:space="preserve">Prácticas alineadoras parentales. El síndrome de alienación parental reformulado. </w:t>
            </w:r>
            <w:r w:rsidRPr="005B3539">
              <w:rPr>
                <w:bCs/>
                <w:lang w:val="es-ES"/>
              </w:rPr>
              <w:t>Gedisa</w:t>
            </w:r>
          </w:p>
        </w:tc>
      </w:tr>
      <w:tr w:rsidR="005B3539" w:rsidRPr="005B3539" w14:paraId="492B794B" w14:textId="77777777" w:rsidTr="005B3539">
        <w:trPr>
          <w:tblCellSpacing w:w="7" w:type="dxa"/>
        </w:trPr>
        <w:tc>
          <w:tcPr>
            <w:tcW w:w="4983" w:type="pct"/>
            <w:vAlign w:val="center"/>
            <w:hideMark/>
          </w:tcPr>
          <w:p w14:paraId="20E5B0A7" w14:textId="77777777" w:rsidR="005B3539" w:rsidRPr="005B3539" w:rsidRDefault="005B3539" w:rsidP="005B3539">
            <w:pPr>
              <w:ind w:left="720" w:hanging="720"/>
              <w:jc w:val="both"/>
              <w:rPr>
                <w:bCs/>
                <w:lang w:val="es-ES"/>
              </w:rPr>
            </w:pPr>
            <w:proofErr w:type="spellStart"/>
            <w:r w:rsidRPr="005B3539">
              <w:rPr>
                <w:bCs/>
                <w:lang w:val="es-ES"/>
              </w:rPr>
              <w:t>Lobbestael</w:t>
            </w:r>
            <w:proofErr w:type="spellEnd"/>
            <w:r w:rsidRPr="005B3539">
              <w:rPr>
                <w:bCs/>
                <w:lang w:val="es-ES"/>
              </w:rPr>
              <w:t xml:space="preserve">, J., Cima, M., &amp; </w:t>
            </w:r>
            <w:proofErr w:type="spellStart"/>
            <w:r w:rsidRPr="005B3539">
              <w:rPr>
                <w:bCs/>
                <w:lang w:val="es-ES"/>
              </w:rPr>
              <w:t>Lemmens</w:t>
            </w:r>
            <w:proofErr w:type="spellEnd"/>
            <w:r w:rsidRPr="005B3539">
              <w:rPr>
                <w:bCs/>
                <w:lang w:val="es-ES"/>
              </w:rPr>
              <w:t xml:space="preserve">, A. (2015). </w:t>
            </w:r>
            <w:r w:rsidRPr="005B3539">
              <w:rPr>
                <w:bCs/>
                <w:lang w:val="en-US"/>
              </w:rPr>
              <w:t xml:space="preserve">The relationship between personality disorder traits and reactive versus proactive motivation for aggression. </w:t>
            </w:r>
            <w:proofErr w:type="spellStart"/>
            <w:r w:rsidRPr="005B3539">
              <w:rPr>
                <w:bCs/>
                <w:i/>
                <w:iCs/>
                <w:lang w:val="es-ES"/>
              </w:rPr>
              <w:t>Psychiatry</w:t>
            </w:r>
            <w:proofErr w:type="spellEnd"/>
            <w:r w:rsidRPr="005B3539">
              <w:rPr>
                <w:bCs/>
                <w:i/>
                <w:iCs/>
                <w:lang w:val="es-ES"/>
              </w:rPr>
              <w:t xml:space="preserve"> </w:t>
            </w:r>
            <w:proofErr w:type="spellStart"/>
            <w:r w:rsidRPr="005B3539">
              <w:rPr>
                <w:bCs/>
                <w:i/>
                <w:iCs/>
                <w:lang w:val="es-ES"/>
              </w:rPr>
              <w:t>Research</w:t>
            </w:r>
            <w:proofErr w:type="spellEnd"/>
            <w:r w:rsidRPr="005B3539">
              <w:rPr>
                <w:bCs/>
                <w:i/>
                <w:iCs/>
                <w:lang w:val="es-ES"/>
              </w:rPr>
              <w:t>, 229</w:t>
            </w:r>
            <w:r w:rsidRPr="005B3539">
              <w:rPr>
                <w:bCs/>
                <w:lang w:val="es-ES"/>
              </w:rPr>
              <w:t>(1-2), 155–160. https://doi.org/10.1016/j.psychres.2015.07.052</w:t>
            </w:r>
          </w:p>
          <w:p w14:paraId="26B6AD84" w14:textId="77777777" w:rsidR="005B3539" w:rsidRPr="005B3539" w:rsidRDefault="005B3539" w:rsidP="005B3539">
            <w:pPr>
              <w:ind w:left="720" w:hanging="720"/>
              <w:jc w:val="both"/>
              <w:rPr>
                <w:bCs/>
                <w:lang w:val="es-ES"/>
              </w:rPr>
            </w:pPr>
            <w:r w:rsidRPr="005B3539">
              <w:rPr>
                <w:bCs/>
                <w:lang w:val="es-ES"/>
              </w:rPr>
              <w:t xml:space="preserve">Malvaceda, E. (2009). Análisis Psicosocial de la Violencia. Entre el conflicto y el desarrollo social. </w:t>
            </w:r>
            <w:r w:rsidRPr="005B3539">
              <w:rPr>
                <w:bCs/>
                <w:i/>
                <w:iCs/>
                <w:lang w:val="en-US"/>
              </w:rPr>
              <w:t>Journal of Economics, Finance and Administrative Science,14</w:t>
            </w:r>
            <w:r w:rsidRPr="005B3539">
              <w:rPr>
                <w:bCs/>
                <w:lang w:val="en-US"/>
              </w:rPr>
              <w:t xml:space="preserve">, (26), 121-130 Universidad ESAN, Perú. </w:t>
            </w:r>
            <w:hyperlink r:id="rId28" w:history="1">
              <w:r w:rsidRPr="005B3539">
                <w:rPr>
                  <w:rStyle w:val="Hipervnculo"/>
                  <w:bCs/>
                  <w:lang w:val="es-ES"/>
                </w:rPr>
                <w:t>https://www.redalyc.org/pdf/3607/360733606007.pdf</w:t>
              </w:r>
            </w:hyperlink>
          </w:p>
        </w:tc>
      </w:tr>
      <w:tr w:rsidR="005B3539" w:rsidRPr="005B3539" w14:paraId="59948F72" w14:textId="77777777" w:rsidTr="005B3539">
        <w:trPr>
          <w:tblCellSpacing w:w="7" w:type="dxa"/>
        </w:trPr>
        <w:tc>
          <w:tcPr>
            <w:tcW w:w="4983" w:type="pct"/>
            <w:vAlign w:val="center"/>
            <w:hideMark/>
          </w:tcPr>
          <w:p w14:paraId="23D91202" w14:textId="77777777" w:rsidR="005B3539" w:rsidRPr="005B3539" w:rsidRDefault="005B3539" w:rsidP="005B3539">
            <w:pPr>
              <w:ind w:left="720" w:hanging="720"/>
              <w:jc w:val="both"/>
              <w:rPr>
                <w:bCs/>
                <w:lang w:val="es-ES"/>
              </w:rPr>
            </w:pPr>
            <w:r w:rsidRPr="005B3539">
              <w:rPr>
                <w:bCs/>
                <w:lang w:val="es-ES"/>
              </w:rPr>
              <w:t xml:space="preserve">Muñoz, F. (2000). Adolescencia y Agresividad. (Tesis doctoral), Universidad </w:t>
            </w:r>
            <w:proofErr w:type="spellStart"/>
            <w:r w:rsidRPr="005B3539">
              <w:rPr>
                <w:bCs/>
                <w:lang w:val="es-ES"/>
              </w:rPr>
              <w:t>Complutence</w:t>
            </w:r>
            <w:proofErr w:type="spellEnd"/>
            <w:r w:rsidRPr="005B3539">
              <w:rPr>
                <w:bCs/>
                <w:lang w:val="es-ES"/>
              </w:rPr>
              <w:t xml:space="preserve"> de Madrid. </w:t>
            </w:r>
            <w:hyperlink r:id="rId29" w:history="1">
              <w:r w:rsidRPr="005B3539">
                <w:rPr>
                  <w:rStyle w:val="Hipervnculo"/>
                  <w:bCs/>
                  <w:lang w:val="es-ES"/>
                </w:rPr>
                <w:t>http://biblioteca.ucm.es/tesis/19972000/S/4/S4017401.pdf</w:t>
              </w:r>
            </w:hyperlink>
          </w:p>
        </w:tc>
      </w:tr>
      <w:tr w:rsidR="005B3539" w:rsidRPr="005B3539" w14:paraId="1D8A680D" w14:textId="77777777" w:rsidTr="005B3539">
        <w:trPr>
          <w:tblCellSpacing w:w="7" w:type="dxa"/>
        </w:trPr>
        <w:tc>
          <w:tcPr>
            <w:tcW w:w="4983" w:type="pct"/>
            <w:vAlign w:val="center"/>
            <w:hideMark/>
          </w:tcPr>
          <w:p w14:paraId="334FF583" w14:textId="77777777" w:rsidR="005B3539" w:rsidRPr="005B3539" w:rsidRDefault="005B3539" w:rsidP="005B3539">
            <w:pPr>
              <w:ind w:left="720" w:hanging="720"/>
              <w:jc w:val="both"/>
              <w:rPr>
                <w:bCs/>
                <w:lang w:val="es-ES"/>
              </w:rPr>
            </w:pPr>
            <w:r w:rsidRPr="005B3539">
              <w:rPr>
                <w:bCs/>
                <w:lang w:val="es-ES"/>
              </w:rPr>
              <w:t xml:space="preserve">Observatorio Nacional de Política Criminal (2017). </w:t>
            </w:r>
            <w:r w:rsidRPr="005B3539">
              <w:rPr>
                <w:bCs/>
                <w:i/>
                <w:iCs/>
                <w:lang w:val="es-ES"/>
              </w:rPr>
              <w:t>Adolescentes en conflicto con la ley pena</w:t>
            </w:r>
            <w:r w:rsidRPr="005B3539">
              <w:rPr>
                <w:bCs/>
                <w:lang w:val="es-ES"/>
              </w:rPr>
              <w:t xml:space="preserve">l. MINJUS. </w:t>
            </w:r>
            <w:hyperlink r:id="rId30" w:history="1">
              <w:r w:rsidRPr="005B3539">
                <w:rPr>
                  <w:rStyle w:val="Hipervnculo"/>
                  <w:bCs/>
                  <w:lang w:val="es-ES"/>
                </w:rPr>
                <w:t>https://cutt.ly/1kHTqe6</w:t>
              </w:r>
            </w:hyperlink>
          </w:p>
        </w:tc>
      </w:tr>
      <w:tr w:rsidR="005B3539" w:rsidRPr="005B3539" w14:paraId="16AEF2FC" w14:textId="77777777" w:rsidTr="005B3539">
        <w:trPr>
          <w:tblCellSpacing w:w="7" w:type="dxa"/>
        </w:trPr>
        <w:tc>
          <w:tcPr>
            <w:tcW w:w="4983" w:type="pct"/>
            <w:vAlign w:val="center"/>
            <w:hideMark/>
          </w:tcPr>
          <w:p w14:paraId="61C67CCF" w14:textId="77777777" w:rsidR="005B3539" w:rsidRPr="005B3539" w:rsidRDefault="005B3539" w:rsidP="005B3539">
            <w:pPr>
              <w:ind w:left="720" w:hanging="720"/>
              <w:jc w:val="both"/>
              <w:rPr>
                <w:bCs/>
                <w:lang w:val="en-US"/>
              </w:rPr>
            </w:pPr>
            <w:proofErr w:type="spellStart"/>
            <w:r w:rsidRPr="005B3539">
              <w:rPr>
                <w:bCs/>
                <w:lang w:val="en-US"/>
              </w:rPr>
              <w:t>Pechorro</w:t>
            </w:r>
            <w:proofErr w:type="spellEnd"/>
            <w:r w:rsidRPr="005B3539">
              <w:rPr>
                <w:bCs/>
                <w:lang w:val="en-US"/>
              </w:rPr>
              <w:t xml:space="preserve">, P., Ray, J. V., Raine, A., </w:t>
            </w:r>
            <w:proofErr w:type="spellStart"/>
            <w:r w:rsidRPr="005B3539">
              <w:rPr>
                <w:bCs/>
                <w:lang w:val="en-US"/>
              </w:rPr>
              <w:t>Maroco</w:t>
            </w:r>
            <w:proofErr w:type="spellEnd"/>
            <w:r w:rsidRPr="005B3539">
              <w:rPr>
                <w:bCs/>
                <w:lang w:val="en-US"/>
              </w:rPr>
              <w:t xml:space="preserve">, J., &amp; Gonçalves, R. A. (2015). The Reactive–Proactive Aggression Questionnaire: Validation Among a Portuguese Sample of Incarcerated Juvenile Delinquents. </w:t>
            </w:r>
            <w:r w:rsidRPr="005B3539">
              <w:rPr>
                <w:bCs/>
                <w:i/>
                <w:iCs/>
                <w:lang w:val="en-US"/>
              </w:rPr>
              <w:t>Journal of Interpersonal Violence, 32</w:t>
            </w:r>
            <w:r w:rsidRPr="005B3539">
              <w:rPr>
                <w:bCs/>
                <w:lang w:val="en-US"/>
              </w:rPr>
              <w:t>(13), 1995–2017. https://doi.org/10.1177/0886260515590784</w:t>
            </w:r>
          </w:p>
        </w:tc>
      </w:tr>
      <w:tr w:rsidR="005B3539" w:rsidRPr="005B3539" w14:paraId="004F5224" w14:textId="77777777" w:rsidTr="005B3539">
        <w:trPr>
          <w:tblCellSpacing w:w="7" w:type="dxa"/>
        </w:trPr>
        <w:tc>
          <w:tcPr>
            <w:tcW w:w="4983" w:type="pct"/>
            <w:vAlign w:val="center"/>
            <w:hideMark/>
          </w:tcPr>
          <w:p w14:paraId="50AC6298" w14:textId="77777777" w:rsidR="005B3539" w:rsidRPr="005B3539" w:rsidRDefault="005B3539" w:rsidP="005B3539">
            <w:pPr>
              <w:ind w:left="720" w:hanging="720"/>
              <w:jc w:val="both"/>
              <w:rPr>
                <w:bCs/>
                <w:lang w:val="es-ES"/>
              </w:rPr>
            </w:pPr>
            <w:r w:rsidRPr="005B3539">
              <w:rPr>
                <w:bCs/>
                <w:lang w:val="es-ES"/>
              </w:rPr>
              <w:t xml:space="preserve">Penado, M., Andreu, J., &amp; Peña, E. (2014). Agresividad reactiva, proactiva y mixta: análisis de los factores de riesgo individual. </w:t>
            </w:r>
            <w:r w:rsidRPr="005B3539">
              <w:rPr>
                <w:bCs/>
                <w:i/>
                <w:iCs/>
                <w:lang w:val="es-ES"/>
              </w:rPr>
              <w:t>Anuario de Psicología Jurídica, 24</w:t>
            </w:r>
            <w:r w:rsidRPr="005B3539">
              <w:rPr>
                <w:bCs/>
                <w:lang w:val="es-ES"/>
              </w:rPr>
              <w:t xml:space="preserve">(1), 37-42. </w:t>
            </w:r>
            <w:hyperlink r:id="rId31" w:history="1">
              <w:r w:rsidRPr="005B3539">
                <w:rPr>
                  <w:rStyle w:val="Hipervnculo"/>
                  <w:bCs/>
                  <w:lang w:val="es-ES"/>
                </w:rPr>
                <w:t>https://doi.org/10.1016/j.apj.2014.07.012</w:t>
              </w:r>
            </w:hyperlink>
          </w:p>
        </w:tc>
      </w:tr>
      <w:tr w:rsidR="005B3539" w:rsidRPr="005B3539" w14:paraId="1A8C64FB" w14:textId="77777777" w:rsidTr="005B3539">
        <w:trPr>
          <w:tblCellSpacing w:w="7" w:type="dxa"/>
        </w:trPr>
        <w:tc>
          <w:tcPr>
            <w:tcW w:w="4983" w:type="pct"/>
            <w:vAlign w:val="center"/>
            <w:hideMark/>
          </w:tcPr>
          <w:p w14:paraId="7E0ED849" w14:textId="77777777" w:rsidR="005B3539" w:rsidRPr="005B3539" w:rsidRDefault="005B3539" w:rsidP="005B3539">
            <w:pPr>
              <w:ind w:left="720" w:hanging="720"/>
              <w:jc w:val="both"/>
              <w:rPr>
                <w:bCs/>
                <w:lang w:val="es-ES"/>
              </w:rPr>
            </w:pPr>
            <w:r w:rsidRPr="005B3539">
              <w:rPr>
                <w:bCs/>
                <w:lang w:val="es-ES"/>
              </w:rPr>
              <w:t xml:space="preserve">Pérez, E. &amp; Medrano, L. (2010). Análisis Factorial Exploratorio: Bases Conceptuales y Metodológicas. </w:t>
            </w:r>
            <w:r w:rsidRPr="005B3539">
              <w:rPr>
                <w:bCs/>
                <w:i/>
                <w:iCs/>
                <w:lang w:val="es-ES"/>
              </w:rPr>
              <w:t>Revista Argentina de Ciencias del Comportamiento, 2</w:t>
            </w:r>
            <w:r w:rsidRPr="005B3539">
              <w:rPr>
                <w:bCs/>
                <w:lang w:val="es-ES"/>
              </w:rPr>
              <w:t>(1), 58- 66.</w:t>
            </w:r>
          </w:p>
        </w:tc>
      </w:tr>
      <w:tr w:rsidR="005B3539" w:rsidRPr="005B3539" w14:paraId="0ED473A3" w14:textId="77777777" w:rsidTr="005B3539">
        <w:trPr>
          <w:tblCellSpacing w:w="7" w:type="dxa"/>
        </w:trPr>
        <w:tc>
          <w:tcPr>
            <w:tcW w:w="4983" w:type="pct"/>
            <w:vAlign w:val="center"/>
            <w:hideMark/>
          </w:tcPr>
          <w:p w14:paraId="170AA7CF" w14:textId="77777777" w:rsidR="005B3539" w:rsidRPr="005B3539" w:rsidRDefault="005B3539" w:rsidP="005B3539">
            <w:pPr>
              <w:ind w:left="720" w:hanging="720"/>
              <w:jc w:val="both"/>
              <w:rPr>
                <w:bCs/>
                <w:lang w:val="es-ES"/>
              </w:rPr>
            </w:pPr>
            <w:proofErr w:type="spellStart"/>
            <w:r w:rsidRPr="005B3539">
              <w:rPr>
                <w:bCs/>
                <w:lang w:val="en-US"/>
              </w:rPr>
              <w:t>Putnick</w:t>
            </w:r>
            <w:proofErr w:type="spellEnd"/>
            <w:r w:rsidRPr="005B3539">
              <w:rPr>
                <w:bCs/>
                <w:lang w:val="en-US"/>
              </w:rPr>
              <w:t xml:space="preserve">, D. L., Bornstein, M. H. (2016). Measurement invariance conventions and reporting: The state of the art and future directions for psychological research. </w:t>
            </w:r>
            <w:proofErr w:type="spellStart"/>
            <w:r w:rsidRPr="005B3539">
              <w:rPr>
                <w:bCs/>
                <w:lang w:val="es-ES"/>
              </w:rPr>
              <w:t>Developmental</w:t>
            </w:r>
            <w:proofErr w:type="spellEnd"/>
            <w:r w:rsidRPr="005B3539">
              <w:rPr>
                <w:bCs/>
                <w:lang w:val="es-ES"/>
              </w:rPr>
              <w:t xml:space="preserve"> </w:t>
            </w:r>
            <w:proofErr w:type="spellStart"/>
            <w:r w:rsidRPr="005B3539">
              <w:rPr>
                <w:bCs/>
                <w:lang w:val="es-ES"/>
              </w:rPr>
              <w:t>Review</w:t>
            </w:r>
            <w:proofErr w:type="spellEnd"/>
            <w:r w:rsidRPr="005B3539">
              <w:rPr>
                <w:bCs/>
                <w:lang w:val="es-ES"/>
              </w:rPr>
              <w:t xml:space="preserve">, 41, 71-90. </w:t>
            </w:r>
            <w:hyperlink r:id="rId32" w:tgtFrame="_blank" w:history="1">
              <w:r w:rsidRPr="005B3539">
                <w:rPr>
                  <w:rStyle w:val="Hipervnculo"/>
                  <w:bCs/>
                  <w:lang w:val="es-ES"/>
                </w:rPr>
                <w:t>https://doi.org/10.1016/j.dr.2016.06.004</w:t>
              </w:r>
            </w:hyperlink>
          </w:p>
        </w:tc>
      </w:tr>
      <w:tr w:rsidR="005B3539" w:rsidRPr="005B3539" w14:paraId="47D6A36B" w14:textId="77777777" w:rsidTr="005B3539">
        <w:trPr>
          <w:tblCellSpacing w:w="7" w:type="dxa"/>
        </w:trPr>
        <w:tc>
          <w:tcPr>
            <w:tcW w:w="4983" w:type="pct"/>
            <w:vAlign w:val="center"/>
            <w:hideMark/>
          </w:tcPr>
          <w:p w14:paraId="0764F9FA" w14:textId="77777777" w:rsidR="005B3539" w:rsidRPr="005B3539" w:rsidRDefault="005B3539" w:rsidP="005B3539">
            <w:pPr>
              <w:ind w:left="720" w:hanging="720"/>
              <w:jc w:val="both"/>
              <w:rPr>
                <w:bCs/>
                <w:lang w:val="es-ES"/>
              </w:rPr>
            </w:pPr>
            <w:r w:rsidRPr="005B3539">
              <w:rPr>
                <w:bCs/>
                <w:lang w:val="en-US"/>
              </w:rPr>
              <w:t xml:space="preserve">Raine, A., </w:t>
            </w:r>
            <w:proofErr w:type="spellStart"/>
            <w:r w:rsidRPr="005B3539">
              <w:rPr>
                <w:bCs/>
                <w:lang w:val="en-US"/>
              </w:rPr>
              <w:t>Dogde</w:t>
            </w:r>
            <w:proofErr w:type="spellEnd"/>
            <w:r w:rsidRPr="005B3539">
              <w:rPr>
                <w:bCs/>
                <w:lang w:val="en-US"/>
              </w:rPr>
              <w:t xml:space="preserve">, K., </w:t>
            </w:r>
            <w:proofErr w:type="spellStart"/>
            <w:r w:rsidRPr="005B3539">
              <w:rPr>
                <w:bCs/>
                <w:lang w:val="en-US"/>
              </w:rPr>
              <w:t>Loeber</w:t>
            </w:r>
            <w:proofErr w:type="spellEnd"/>
            <w:r w:rsidRPr="005B3539">
              <w:rPr>
                <w:bCs/>
                <w:lang w:val="en-US"/>
              </w:rPr>
              <w:t xml:space="preserve">, R., </w:t>
            </w:r>
            <w:proofErr w:type="spellStart"/>
            <w:r w:rsidRPr="005B3539">
              <w:rPr>
                <w:bCs/>
                <w:lang w:val="en-US"/>
              </w:rPr>
              <w:t>Gatzke</w:t>
            </w:r>
            <w:proofErr w:type="spellEnd"/>
            <w:r w:rsidRPr="005B3539">
              <w:rPr>
                <w:bCs/>
                <w:lang w:val="en-US"/>
              </w:rPr>
              <w:t xml:space="preserve">-Kopp, L. </w:t>
            </w:r>
            <w:proofErr w:type="spellStart"/>
            <w:r w:rsidRPr="005B3539">
              <w:rPr>
                <w:bCs/>
                <w:lang w:val="en-US"/>
              </w:rPr>
              <w:t>Lynam</w:t>
            </w:r>
            <w:proofErr w:type="spellEnd"/>
            <w:r w:rsidRPr="005B3539">
              <w:rPr>
                <w:bCs/>
                <w:lang w:val="en-US"/>
              </w:rPr>
              <w:t xml:space="preserve">, D., Reynolds, C., </w:t>
            </w:r>
            <w:proofErr w:type="spellStart"/>
            <w:r w:rsidRPr="005B3539">
              <w:rPr>
                <w:bCs/>
                <w:lang w:val="en-US"/>
              </w:rPr>
              <w:t>Stouthamer</w:t>
            </w:r>
            <w:proofErr w:type="spellEnd"/>
            <w:r w:rsidRPr="005B3539">
              <w:rPr>
                <w:bCs/>
                <w:lang w:val="en-US"/>
              </w:rPr>
              <w:t xml:space="preserve">, M., &amp; Liu J. (2006). The Reactive-Proactive Aggression Questionnaire: Differential Correlates of Reactive and Proactive Aggression in Adolescent Boys. </w:t>
            </w:r>
            <w:r w:rsidRPr="005B3539">
              <w:rPr>
                <w:bCs/>
                <w:i/>
                <w:iCs/>
                <w:lang w:val="en-US"/>
              </w:rPr>
              <w:t xml:space="preserve">Aggressive Behavior: Official </w:t>
            </w:r>
            <w:r w:rsidRPr="005B3539">
              <w:rPr>
                <w:bCs/>
                <w:i/>
                <w:iCs/>
                <w:lang w:val="en-US"/>
              </w:rPr>
              <w:lastRenderedPageBreak/>
              <w:t>Journal of the International Society for Research on Aggression, 32</w:t>
            </w:r>
            <w:r w:rsidRPr="005B3539">
              <w:rPr>
                <w:bCs/>
                <w:lang w:val="en-US"/>
              </w:rPr>
              <w:t xml:space="preserve">(2), 159-171. </w:t>
            </w:r>
            <w:hyperlink r:id="rId33" w:tgtFrame="_blank" w:history="1">
              <w:r w:rsidRPr="005B3539">
                <w:rPr>
                  <w:rStyle w:val="Hipervnculo"/>
                  <w:bCs/>
                  <w:lang w:val="es-ES"/>
                </w:rPr>
                <w:t>https://doi.org/10.1002/ab.20115</w:t>
              </w:r>
            </w:hyperlink>
          </w:p>
        </w:tc>
      </w:tr>
      <w:tr w:rsidR="005B3539" w:rsidRPr="005B3539" w14:paraId="37C77B88" w14:textId="77777777" w:rsidTr="005B3539">
        <w:trPr>
          <w:tblCellSpacing w:w="7" w:type="dxa"/>
        </w:trPr>
        <w:tc>
          <w:tcPr>
            <w:tcW w:w="4983" w:type="pct"/>
            <w:vAlign w:val="center"/>
            <w:hideMark/>
          </w:tcPr>
          <w:p w14:paraId="1048112C" w14:textId="77777777" w:rsidR="005B3539" w:rsidRPr="005B3539" w:rsidRDefault="005B3539" w:rsidP="005B3539">
            <w:pPr>
              <w:ind w:left="720" w:hanging="720"/>
              <w:jc w:val="both"/>
              <w:rPr>
                <w:bCs/>
                <w:lang w:val="en-US"/>
              </w:rPr>
            </w:pPr>
            <w:r w:rsidRPr="005B3539">
              <w:rPr>
                <w:bCs/>
                <w:lang w:val="es-ES"/>
              </w:rPr>
              <w:lastRenderedPageBreak/>
              <w:t xml:space="preserve">Ramírez, J.M., &amp; Andreu, J.M. (2006). </w:t>
            </w:r>
            <w:r w:rsidRPr="005B3539">
              <w:rPr>
                <w:bCs/>
                <w:lang w:val="en-US"/>
              </w:rPr>
              <w:t xml:space="preserve">Aggression, and some related psychological constructs (Anger, Hostility, and Impulsivity) Some comments from a research project. </w:t>
            </w:r>
            <w:r w:rsidRPr="005B3539">
              <w:rPr>
                <w:bCs/>
                <w:i/>
                <w:iCs/>
                <w:lang w:val="en-US"/>
              </w:rPr>
              <w:t>Neuroscience and Biobehavioral Reviews, 30</w:t>
            </w:r>
            <w:r w:rsidRPr="005B3539">
              <w:rPr>
                <w:bCs/>
                <w:lang w:val="en-US"/>
              </w:rPr>
              <w:t xml:space="preserve">(3), 276-291. </w:t>
            </w:r>
            <w:r w:rsidRPr="005B3539">
              <w:rPr>
                <w:bCs/>
                <w:lang w:val="en-US"/>
              </w:rPr>
              <w:br/>
            </w:r>
            <w:hyperlink r:id="rId34" w:tgtFrame="_blank" w:history="1">
              <w:r w:rsidRPr="005B3539">
                <w:rPr>
                  <w:rStyle w:val="Hipervnculo"/>
                  <w:bCs/>
                  <w:lang w:val="en-US"/>
                </w:rPr>
                <w:t>https://doi.org/10.1016/j.neubiorev.2005.04.015</w:t>
              </w:r>
            </w:hyperlink>
          </w:p>
        </w:tc>
      </w:tr>
      <w:tr w:rsidR="005B3539" w:rsidRPr="005B3539" w14:paraId="3CB2350A" w14:textId="77777777" w:rsidTr="005B3539">
        <w:trPr>
          <w:tblCellSpacing w:w="7" w:type="dxa"/>
        </w:trPr>
        <w:tc>
          <w:tcPr>
            <w:tcW w:w="4983" w:type="pct"/>
            <w:vAlign w:val="center"/>
            <w:hideMark/>
          </w:tcPr>
          <w:p w14:paraId="7ADAF33C" w14:textId="77777777" w:rsidR="005B3539" w:rsidRPr="005B3539" w:rsidRDefault="005B3539" w:rsidP="005B3539">
            <w:pPr>
              <w:ind w:left="720" w:hanging="720"/>
              <w:jc w:val="both"/>
              <w:rPr>
                <w:bCs/>
                <w:lang w:val="es-ES"/>
              </w:rPr>
            </w:pPr>
            <w:r w:rsidRPr="005B3539">
              <w:rPr>
                <w:bCs/>
                <w:lang w:val="es-ES"/>
              </w:rPr>
              <w:t>Rojas, M., Arias, W., Rivera, R., Geldres, J., Starke, M., &amp; Apaza, E. (2020). Propiedades psicométricas de los cuestionarios Reactive/</w:t>
            </w:r>
            <w:proofErr w:type="spellStart"/>
            <w:r w:rsidRPr="005B3539">
              <w:rPr>
                <w:bCs/>
                <w:lang w:val="es-ES"/>
              </w:rPr>
              <w:t>Proactive</w:t>
            </w:r>
            <w:proofErr w:type="spellEnd"/>
            <w:r w:rsidRPr="005B3539">
              <w:rPr>
                <w:bCs/>
                <w:lang w:val="es-ES"/>
              </w:rPr>
              <w:t xml:space="preserve"> </w:t>
            </w:r>
            <w:proofErr w:type="spellStart"/>
            <w:r w:rsidRPr="005B3539">
              <w:rPr>
                <w:bCs/>
                <w:lang w:val="es-ES"/>
              </w:rPr>
              <w:t>Questionnaire</w:t>
            </w:r>
            <w:proofErr w:type="spellEnd"/>
            <w:r w:rsidRPr="005B3539">
              <w:rPr>
                <w:bCs/>
                <w:lang w:val="es-ES"/>
              </w:rPr>
              <w:t xml:space="preserve"> (RPQ) y </w:t>
            </w:r>
            <w:proofErr w:type="spellStart"/>
            <w:r w:rsidRPr="005B3539">
              <w:rPr>
                <w:bCs/>
                <w:lang w:val="es-ES"/>
              </w:rPr>
              <w:t>How</w:t>
            </w:r>
            <w:proofErr w:type="spellEnd"/>
            <w:r w:rsidRPr="005B3539">
              <w:rPr>
                <w:bCs/>
                <w:lang w:val="es-ES"/>
              </w:rPr>
              <w:t xml:space="preserve"> I </w:t>
            </w:r>
            <w:proofErr w:type="spellStart"/>
            <w:r w:rsidRPr="005B3539">
              <w:rPr>
                <w:bCs/>
                <w:lang w:val="es-ES"/>
              </w:rPr>
              <w:t>Think</w:t>
            </w:r>
            <w:proofErr w:type="spellEnd"/>
            <w:r w:rsidRPr="005B3539">
              <w:rPr>
                <w:bCs/>
                <w:lang w:val="es-ES"/>
              </w:rPr>
              <w:t xml:space="preserve"> </w:t>
            </w:r>
            <w:proofErr w:type="spellStart"/>
            <w:r w:rsidRPr="005B3539">
              <w:rPr>
                <w:bCs/>
                <w:lang w:val="es-ES"/>
              </w:rPr>
              <w:t>Questionaire</w:t>
            </w:r>
            <w:proofErr w:type="spellEnd"/>
            <w:r w:rsidRPr="005B3539">
              <w:rPr>
                <w:bCs/>
                <w:lang w:val="es-ES"/>
              </w:rPr>
              <w:t xml:space="preserve"> (HIT) en estudiantes peruanos. </w:t>
            </w:r>
            <w:r w:rsidRPr="005B3539">
              <w:rPr>
                <w:bCs/>
                <w:i/>
                <w:iCs/>
                <w:lang w:val="es-ES"/>
              </w:rPr>
              <w:t>Revista de Psicopatología y Psicología Clínica</w:t>
            </w:r>
            <w:r w:rsidRPr="005B3539">
              <w:rPr>
                <w:bCs/>
                <w:lang w:val="es-ES"/>
              </w:rPr>
              <w:t xml:space="preserve">, </w:t>
            </w:r>
            <w:r w:rsidRPr="005B3539">
              <w:rPr>
                <w:bCs/>
                <w:i/>
                <w:iCs/>
                <w:lang w:val="es-ES"/>
              </w:rPr>
              <w:t>25</w:t>
            </w:r>
            <w:r w:rsidRPr="005B3539">
              <w:rPr>
                <w:bCs/>
                <w:lang w:val="es-ES"/>
              </w:rPr>
              <w:t xml:space="preserve">(1), 59-68. </w:t>
            </w:r>
            <w:r w:rsidRPr="005B3539">
              <w:rPr>
                <w:bCs/>
                <w:lang w:val="es-ES"/>
              </w:rPr>
              <w:br/>
            </w:r>
            <w:hyperlink r:id="rId35" w:tgtFrame="_blank" w:history="1">
              <w:r w:rsidRPr="005B3539">
                <w:rPr>
                  <w:rStyle w:val="Hipervnculo"/>
                  <w:bCs/>
                  <w:lang w:val="es-ES"/>
                </w:rPr>
                <w:t>https://doi.org/10.5944/rppc.24426</w:t>
              </w:r>
            </w:hyperlink>
          </w:p>
        </w:tc>
      </w:tr>
      <w:tr w:rsidR="005B3539" w:rsidRPr="005B3539" w14:paraId="552D5EE7" w14:textId="77777777" w:rsidTr="005B3539">
        <w:trPr>
          <w:tblCellSpacing w:w="7" w:type="dxa"/>
        </w:trPr>
        <w:tc>
          <w:tcPr>
            <w:tcW w:w="4983" w:type="pct"/>
            <w:vAlign w:val="center"/>
            <w:hideMark/>
          </w:tcPr>
          <w:p w14:paraId="1BA99E5F" w14:textId="77777777" w:rsidR="005B3539" w:rsidRPr="005B3539" w:rsidRDefault="005B3539" w:rsidP="005B3539">
            <w:pPr>
              <w:ind w:left="720" w:hanging="720"/>
              <w:jc w:val="both"/>
              <w:rPr>
                <w:bCs/>
                <w:lang w:val="es-ES"/>
              </w:rPr>
            </w:pPr>
            <w:r w:rsidRPr="005B3539">
              <w:rPr>
                <w:bCs/>
                <w:lang w:val="es-ES"/>
              </w:rPr>
              <w:t xml:space="preserve">Romaní, F., &amp; Gutiérrez, C., &amp; Lama, M. (2011). </w:t>
            </w:r>
            <w:proofErr w:type="spellStart"/>
            <w:r w:rsidRPr="005B3539">
              <w:rPr>
                <w:bCs/>
                <w:lang w:val="es-ES"/>
              </w:rPr>
              <w:t>Auto-reporte</w:t>
            </w:r>
            <w:proofErr w:type="spellEnd"/>
            <w:r w:rsidRPr="005B3539">
              <w:rPr>
                <w:bCs/>
                <w:lang w:val="es-ES"/>
              </w:rPr>
              <w:t xml:space="preserve"> de agresividad escolar y factores asociados en escolares peruanos de educación secundaria. </w:t>
            </w:r>
            <w:r w:rsidRPr="005B3539">
              <w:rPr>
                <w:bCs/>
                <w:i/>
                <w:iCs/>
                <w:lang w:val="es-ES"/>
              </w:rPr>
              <w:t>Revista Peruana de Epidemiología, 15</w:t>
            </w:r>
            <w:r w:rsidRPr="005B3539">
              <w:rPr>
                <w:bCs/>
                <w:lang w:val="es-ES"/>
              </w:rPr>
              <w:t xml:space="preserve">(2),118-125. </w:t>
            </w:r>
            <w:hyperlink r:id="rId36" w:history="1">
              <w:r w:rsidRPr="005B3539">
                <w:rPr>
                  <w:rStyle w:val="Hipervnculo"/>
                  <w:bCs/>
                  <w:lang w:val="es-ES"/>
                </w:rPr>
                <w:t>https://www.redalyc.org/articulo.oa?id=203122516009</w:t>
              </w:r>
            </w:hyperlink>
          </w:p>
        </w:tc>
      </w:tr>
      <w:tr w:rsidR="005B3539" w:rsidRPr="005B3539" w14:paraId="0A671283" w14:textId="77777777" w:rsidTr="005B3539">
        <w:trPr>
          <w:tblCellSpacing w:w="7" w:type="dxa"/>
        </w:trPr>
        <w:tc>
          <w:tcPr>
            <w:tcW w:w="4983" w:type="pct"/>
            <w:vAlign w:val="center"/>
            <w:hideMark/>
          </w:tcPr>
          <w:p w14:paraId="489EAD31" w14:textId="77777777" w:rsidR="005B3539" w:rsidRPr="005B3539" w:rsidRDefault="005B3539" w:rsidP="005B3539">
            <w:pPr>
              <w:ind w:left="720" w:hanging="720"/>
              <w:jc w:val="both"/>
              <w:rPr>
                <w:bCs/>
                <w:lang w:val="es-ES"/>
              </w:rPr>
            </w:pPr>
            <w:r w:rsidRPr="005B3539">
              <w:rPr>
                <w:bCs/>
                <w:lang w:val="es-ES"/>
              </w:rPr>
              <w:t xml:space="preserve">Roncero, D., Andreu, J. M., &amp; Peña, M. E. (2016). Procesos cognitivos distorsionados en la conducta agresiva y antisocial en adolescentes. </w:t>
            </w:r>
            <w:r w:rsidRPr="005B3539">
              <w:rPr>
                <w:bCs/>
                <w:i/>
                <w:iCs/>
                <w:lang w:val="es-ES"/>
              </w:rPr>
              <w:t>Anuario de Psicología Jurídica, 26</w:t>
            </w:r>
            <w:r w:rsidRPr="005B3539">
              <w:rPr>
                <w:bCs/>
                <w:lang w:val="es-ES"/>
              </w:rPr>
              <w:t xml:space="preserve">(1), 88-101. </w:t>
            </w:r>
            <w:hyperlink r:id="rId37" w:tgtFrame="_blank" w:history="1">
              <w:r w:rsidRPr="005B3539">
                <w:rPr>
                  <w:rStyle w:val="Hipervnculo"/>
                  <w:bCs/>
                  <w:lang w:val="es-ES"/>
                </w:rPr>
                <w:t>https://doi.org/10.1016/j.apj.2016.04.002</w:t>
              </w:r>
            </w:hyperlink>
          </w:p>
        </w:tc>
      </w:tr>
      <w:tr w:rsidR="005B3539" w:rsidRPr="005B3539" w14:paraId="72D46A28" w14:textId="77777777" w:rsidTr="005B3539">
        <w:trPr>
          <w:tblCellSpacing w:w="7" w:type="dxa"/>
        </w:trPr>
        <w:tc>
          <w:tcPr>
            <w:tcW w:w="4983" w:type="pct"/>
            <w:vAlign w:val="center"/>
            <w:hideMark/>
          </w:tcPr>
          <w:p w14:paraId="2F3DD9AC" w14:textId="56FB6DAF" w:rsidR="005B3539" w:rsidRPr="005B3539" w:rsidRDefault="005B3539" w:rsidP="006F2AA8">
            <w:pPr>
              <w:ind w:left="720" w:hanging="720"/>
              <w:rPr>
                <w:bCs/>
                <w:lang w:val="es-ES"/>
              </w:rPr>
            </w:pPr>
            <w:r w:rsidRPr="005B3539">
              <w:rPr>
                <w:bCs/>
                <w:lang w:val="es-ES"/>
              </w:rPr>
              <w:t xml:space="preserve">Ruiz, M., Pardo, A., &amp; San Martín, R. (2010). Modelos de ecuaciones estructurales. </w:t>
            </w:r>
            <w:r w:rsidRPr="005B3539">
              <w:rPr>
                <w:bCs/>
                <w:i/>
                <w:iCs/>
                <w:lang w:val="es-ES"/>
              </w:rPr>
              <w:t>Papeles Del Psicólogo, 4</w:t>
            </w:r>
            <w:r w:rsidRPr="005B3539">
              <w:rPr>
                <w:bCs/>
                <w:lang w:val="es-ES"/>
              </w:rPr>
              <w:t xml:space="preserve">(2), 34-45. </w:t>
            </w:r>
            <w:hyperlink r:id="rId38" w:tgtFrame="_blank" w:history="1">
              <w:r w:rsidRPr="005B3539">
                <w:rPr>
                  <w:rStyle w:val="Hipervnculo"/>
                  <w:bCs/>
                  <w:lang w:val="es-ES"/>
                </w:rPr>
                <w:t>https://doi.org/10.2307/3514607</w:t>
              </w:r>
            </w:hyperlink>
          </w:p>
        </w:tc>
      </w:tr>
      <w:tr w:rsidR="005B3539" w:rsidRPr="005B3539" w14:paraId="52345068" w14:textId="77777777" w:rsidTr="005B3539">
        <w:trPr>
          <w:tblCellSpacing w:w="7" w:type="dxa"/>
        </w:trPr>
        <w:tc>
          <w:tcPr>
            <w:tcW w:w="4983" w:type="pct"/>
            <w:vAlign w:val="center"/>
            <w:hideMark/>
          </w:tcPr>
          <w:p w14:paraId="59F97618" w14:textId="31A4EB47" w:rsidR="006F2AA8" w:rsidRPr="005B3539" w:rsidRDefault="005B3539" w:rsidP="006F2AA8">
            <w:pPr>
              <w:ind w:left="720" w:hanging="720"/>
              <w:jc w:val="both"/>
              <w:rPr>
                <w:bCs/>
                <w:lang w:val="es-ES"/>
              </w:rPr>
            </w:pPr>
            <w:r w:rsidRPr="005B3539">
              <w:rPr>
                <w:bCs/>
                <w:lang w:val="es-ES"/>
              </w:rPr>
              <w:t xml:space="preserve">Sarto, S. B., &amp; Esteban, P. J. (2010). Psicopatología, características de la violencia y abandonos en programas para hombres violentos con la pareja: Resultados en un dispositivo de intervención. </w:t>
            </w:r>
            <w:proofErr w:type="spellStart"/>
            <w:r w:rsidRPr="005B3539">
              <w:rPr>
                <w:bCs/>
                <w:i/>
                <w:iCs/>
                <w:lang w:val="es-ES"/>
              </w:rPr>
              <w:t>Psicothema</w:t>
            </w:r>
            <w:proofErr w:type="spellEnd"/>
            <w:r w:rsidRPr="005B3539">
              <w:rPr>
                <w:bCs/>
                <w:i/>
                <w:iCs/>
                <w:lang w:val="es-ES"/>
              </w:rPr>
              <w:t>, 22</w:t>
            </w:r>
            <w:r w:rsidRPr="005B3539">
              <w:rPr>
                <w:bCs/>
                <w:lang w:val="es-ES"/>
              </w:rPr>
              <w:t xml:space="preserve">(4), 593-599. </w:t>
            </w:r>
            <w:hyperlink r:id="rId39" w:history="1">
              <w:r w:rsidR="006F2AA8" w:rsidRPr="00CC0037">
                <w:rPr>
                  <w:rStyle w:val="Hipervnculo"/>
                  <w:bCs/>
                  <w:lang w:val="es-ES"/>
                </w:rPr>
                <w:t>http://www.psicothema.com/psicothema.asp?id=3772</w:t>
              </w:r>
            </w:hyperlink>
          </w:p>
        </w:tc>
      </w:tr>
      <w:tr w:rsidR="005B3539" w:rsidRPr="005B3539" w14:paraId="09858C60" w14:textId="77777777" w:rsidTr="005B3539">
        <w:trPr>
          <w:tblCellSpacing w:w="7" w:type="dxa"/>
        </w:trPr>
        <w:tc>
          <w:tcPr>
            <w:tcW w:w="4983" w:type="pct"/>
            <w:vAlign w:val="center"/>
            <w:hideMark/>
          </w:tcPr>
          <w:p w14:paraId="3BFD8FE1" w14:textId="77777777" w:rsidR="005B3539" w:rsidRPr="005B3539" w:rsidRDefault="005B3539" w:rsidP="005B3539">
            <w:pPr>
              <w:ind w:left="720" w:hanging="720"/>
              <w:jc w:val="both"/>
              <w:rPr>
                <w:bCs/>
                <w:lang w:val="es-ES"/>
              </w:rPr>
            </w:pPr>
            <w:r w:rsidRPr="005B3539">
              <w:rPr>
                <w:bCs/>
                <w:lang w:val="es-ES"/>
              </w:rPr>
              <w:t xml:space="preserve">Saldaña, C. (2001). </w:t>
            </w:r>
            <w:r w:rsidRPr="005B3539">
              <w:rPr>
                <w:bCs/>
                <w:i/>
                <w:iCs/>
                <w:lang w:val="es-ES"/>
              </w:rPr>
              <w:t>Detección y prevención en el aula de los problemas del adolescente</w:t>
            </w:r>
            <w:r w:rsidRPr="005B3539">
              <w:rPr>
                <w:bCs/>
                <w:lang w:val="es-ES"/>
              </w:rPr>
              <w:t>. Pirámide</w:t>
            </w:r>
          </w:p>
        </w:tc>
      </w:tr>
      <w:tr w:rsidR="005B3539" w:rsidRPr="005B3539" w14:paraId="7D91EDB4" w14:textId="77777777" w:rsidTr="005B3539">
        <w:trPr>
          <w:tblCellSpacing w:w="7" w:type="dxa"/>
        </w:trPr>
        <w:tc>
          <w:tcPr>
            <w:tcW w:w="4983" w:type="pct"/>
            <w:vAlign w:val="center"/>
            <w:hideMark/>
          </w:tcPr>
          <w:p w14:paraId="6366E5FC" w14:textId="77777777" w:rsidR="005B3539" w:rsidRPr="005B3539" w:rsidRDefault="005B3539" w:rsidP="005B3539">
            <w:pPr>
              <w:ind w:left="720" w:hanging="720"/>
              <w:jc w:val="both"/>
              <w:rPr>
                <w:bCs/>
                <w:lang w:val="es-ES"/>
              </w:rPr>
            </w:pPr>
            <w:proofErr w:type="spellStart"/>
            <w:proofErr w:type="gramStart"/>
            <w:r w:rsidRPr="005B3539">
              <w:rPr>
                <w:bCs/>
                <w:lang w:val="es-ES"/>
              </w:rPr>
              <w:t>SíseVe</w:t>
            </w:r>
            <w:proofErr w:type="spellEnd"/>
            <w:r w:rsidRPr="005B3539">
              <w:rPr>
                <w:bCs/>
                <w:lang w:val="es-ES"/>
              </w:rPr>
              <w:t>.(</w:t>
            </w:r>
            <w:proofErr w:type="gramEnd"/>
            <w:r w:rsidRPr="005B3539">
              <w:rPr>
                <w:bCs/>
                <w:lang w:val="es-ES"/>
              </w:rPr>
              <w:t xml:space="preserve">2019). </w:t>
            </w:r>
            <w:r w:rsidRPr="005B3539">
              <w:rPr>
                <w:bCs/>
                <w:i/>
                <w:iCs/>
                <w:lang w:val="es-ES"/>
              </w:rPr>
              <w:t xml:space="preserve">Estadísticas. Números de casos reportados en el </w:t>
            </w:r>
            <w:proofErr w:type="spellStart"/>
            <w:r w:rsidRPr="005B3539">
              <w:rPr>
                <w:bCs/>
                <w:i/>
                <w:iCs/>
                <w:lang w:val="es-ES"/>
              </w:rPr>
              <w:t>SíseVe</w:t>
            </w:r>
            <w:proofErr w:type="spellEnd"/>
            <w:r w:rsidRPr="005B3539">
              <w:rPr>
                <w:bCs/>
                <w:i/>
                <w:iCs/>
                <w:lang w:val="es-ES"/>
              </w:rPr>
              <w:t xml:space="preserve"> a nivel nacional.</w:t>
            </w:r>
            <w:r w:rsidRPr="005B3539">
              <w:rPr>
                <w:bCs/>
                <w:lang w:val="es-ES"/>
              </w:rPr>
              <w:t xml:space="preserve"> Lima, Perú: </w:t>
            </w:r>
            <w:proofErr w:type="spellStart"/>
            <w:r w:rsidRPr="005B3539">
              <w:rPr>
                <w:bCs/>
                <w:lang w:val="es-ES"/>
              </w:rPr>
              <w:t>SíseVe</w:t>
            </w:r>
            <w:proofErr w:type="spellEnd"/>
            <w:r w:rsidRPr="005B3539">
              <w:rPr>
                <w:bCs/>
                <w:lang w:val="es-ES"/>
              </w:rPr>
              <w:t xml:space="preserve">. </w:t>
            </w:r>
            <w:hyperlink r:id="rId40" w:history="1">
              <w:r w:rsidRPr="005B3539">
                <w:rPr>
                  <w:rStyle w:val="Hipervnculo"/>
                  <w:bCs/>
                  <w:lang w:val="es-ES"/>
                </w:rPr>
                <w:t>http://www.siseve.pe/Web/</w:t>
              </w:r>
            </w:hyperlink>
          </w:p>
        </w:tc>
      </w:tr>
      <w:tr w:rsidR="006F2AA8" w:rsidRPr="005B3539" w14:paraId="43E26F8B" w14:textId="77777777" w:rsidTr="005B3539">
        <w:trPr>
          <w:tblCellSpacing w:w="7" w:type="dxa"/>
        </w:trPr>
        <w:tc>
          <w:tcPr>
            <w:tcW w:w="4983" w:type="pct"/>
            <w:vAlign w:val="center"/>
          </w:tcPr>
          <w:p w14:paraId="76D77CFA" w14:textId="56C7D5BC" w:rsidR="006F2AA8" w:rsidRPr="005B3539" w:rsidRDefault="006F2AA8" w:rsidP="005B3539">
            <w:pPr>
              <w:ind w:left="720" w:hanging="720"/>
              <w:jc w:val="both"/>
              <w:rPr>
                <w:bCs/>
                <w:lang w:val="es-ES"/>
              </w:rPr>
            </w:pPr>
            <w:r>
              <w:rPr>
                <w:bCs/>
                <w:lang w:val="es-ES"/>
              </w:rPr>
              <w:t xml:space="preserve">Thorndike, R., &amp; Hagen, E. (2012). </w:t>
            </w:r>
            <w:r w:rsidRPr="006F2AA8">
              <w:rPr>
                <w:bCs/>
                <w:i/>
                <w:iCs/>
                <w:lang w:val="es-ES"/>
              </w:rPr>
              <w:t>Medición y evaluación en psicología y educación.</w:t>
            </w:r>
            <w:r>
              <w:rPr>
                <w:bCs/>
                <w:lang w:val="es-ES"/>
              </w:rPr>
              <w:t xml:space="preserve"> Editorial Trillas.</w:t>
            </w:r>
          </w:p>
        </w:tc>
      </w:tr>
      <w:tr w:rsidR="005B3539" w:rsidRPr="005B3539" w14:paraId="0C8495E8" w14:textId="77777777" w:rsidTr="005B3539">
        <w:trPr>
          <w:tblCellSpacing w:w="7" w:type="dxa"/>
        </w:trPr>
        <w:tc>
          <w:tcPr>
            <w:tcW w:w="4983" w:type="pct"/>
            <w:vAlign w:val="center"/>
            <w:hideMark/>
          </w:tcPr>
          <w:p w14:paraId="62590794" w14:textId="77777777" w:rsidR="005B3539" w:rsidRPr="005B3539" w:rsidRDefault="005B3539" w:rsidP="005B3539">
            <w:pPr>
              <w:ind w:left="720" w:hanging="720"/>
              <w:jc w:val="both"/>
              <w:rPr>
                <w:bCs/>
                <w:lang w:val="es-ES"/>
              </w:rPr>
            </w:pPr>
            <w:r w:rsidRPr="005B3539">
              <w:rPr>
                <w:bCs/>
                <w:lang w:val="es-ES"/>
              </w:rPr>
              <w:t xml:space="preserve">Torregrosa, M. S., </w:t>
            </w:r>
            <w:proofErr w:type="gramStart"/>
            <w:r w:rsidRPr="005B3539">
              <w:rPr>
                <w:bCs/>
                <w:lang w:val="es-ES"/>
              </w:rPr>
              <w:t>Inglés</w:t>
            </w:r>
            <w:proofErr w:type="gramEnd"/>
            <w:r w:rsidRPr="005B3539">
              <w:rPr>
                <w:bCs/>
                <w:lang w:val="es-ES"/>
              </w:rPr>
              <w:t xml:space="preserve">, C. J., García-Fernández, J. M., Valle, A. &amp; Núñez, J. C. (2012). Relaciones entre conducta agresiva y metas académicas: estudio con una muestra de estudiantes españoles de Educación Secundaria Obligatoria. </w:t>
            </w:r>
            <w:proofErr w:type="spellStart"/>
            <w:r w:rsidRPr="005B3539">
              <w:rPr>
                <w:bCs/>
                <w:i/>
                <w:iCs/>
                <w:lang w:val="es-ES"/>
              </w:rPr>
              <w:t>Universitas</w:t>
            </w:r>
            <w:proofErr w:type="spellEnd"/>
            <w:r w:rsidRPr="005B3539">
              <w:rPr>
                <w:bCs/>
                <w:i/>
                <w:iCs/>
                <w:lang w:val="es-ES"/>
              </w:rPr>
              <w:t xml:space="preserve"> </w:t>
            </w:r>
            <w:proofErr w:type="spellStart"/>
            <w:r w:rsidRPr="005B3539">
              <w:rPr>
                <w:bCs/>
                <w:i/>
                <w:iCs/>
                <w:lang w:val="es-ES"/>
              </w:rPr>
              <w:t>Psychologica</w:t>
            </w:r>
            <w:proofErr w:type="spellEnd"/>
            <w:r w:rsidRPr="005B3539">
              <w:rPr>
                <w:bCs/>
                <w:i/>
                <w:iCs/>
                <w:lang w:val="es-ES"/>
              </w:rPr>
              <w:t>, 11</w:t>
            </w:r>
            <w:r w:rsidRPr="005B3539">
              <w:rPr>
                <w:bCs/>
                <w:lang w:val="es-ES"/>
              </w:rPr>
              <w:t xml:space="preserve">(4), 1303-1315. </w:t>
            </w:r>
            <w:r w:rsidRPr="005B3539">
              <w:rPr>
                <w:bCs/>
                <w:lang w:val="es-ES"/>
              </w:rPr>
              <w:br/>
            </w:r>
            <w:hyperlink r:id="rId41" w:tgtFrame="_blank" w:history="1">
              <w:r w:rsidRPr="005B3539">
                <w:rPr>
                  <w:rStyle w:val="Hipervnculo"/>
                  <w:bCs/>
                  <w:lang w:val="es-ES"/>
                </w:rPr>
                <w:t>https://doi.org/10.11144/Javeriana.upsy11-4.rcam</w:t>
              </w:r>
            </w:hyperlink>
          </w:p>
        </w:tc>
      </w:tr>
      <w:tr w:rsidR="005B3539" w:rsidRPr="005B3539" w14:paraId="66E74AC3" w14:textId="77777777" w:rsidTr="005B3539">
        <w:trPr>
          <w:tblCellSpacing w:w="7" w:type="dxa"/>
        </w:trPr>
        <w:tc>
          <w:tcPr>
            <w:tcW w:w="4983" w:type="pct"/>
            <w:vAlign w:val="center"/>
            <w:hideMark/>
          </w:tcPr>
          <w:p w14:paraId="5577904A" w14:textId="77777777" w:rsidR="005B3539" w:rsidRPr="005B3539" w:rsidRDefault="005B3539" w:rsidP="005B3539">
            <w:pPr>
              <w:ind w:left="720" w:hanging="720"/>
              <w:jc w:val="both"/>
              <w:rPr>
                <w:bCs/>
                <w:lang w:val="es-ES"/>
              </w:rPr>
            </w:pPr>
            <w:r w:rsidRPr="005B3539">
              <w:rPr>
                <w:bCs/>
                <w:lang w:val="es-ES"/>
              </w:rPr>
              <w:t xml:space="preserve">Torregrosa, M. S., </w:t>
            </w:r>
            <w:proofErr w:type="gramStart"/>
            <w:r w:rsidRPr="005B3539">
              <w:rPr>
                <w:bCs/>
                <w:lang w:val="es-ES"/>
              </w:rPr>
              <w:t>Inglés</w:t>
            </w:r>
            <w:proofErr w:type="gramEnd"/>
            <w:r w:rsidRPr="005B3539">
              <w:rPr>
                <w:bCs/>
                <w:lang w:val="es-ES"/>
              </w:rPr>
              <w:t xml:space="preserve">, C. J., García-Fernández, J. M. (2011). El Comportamiento Agresivo como Predictor del Autoconcepto: Estudio con una Muestra de Estudiantes Españoles de Educación Secundaria Obligatoria. </w:t>
            </w:r>
            <w:proofErr w:type="spellStart"/>
            <w:r w:rsidRPr="005B3539">
              <w:rPr>
                <w:bCs/>
                <w:i/>
                <w:iCs/>
                <w:lang w:val="es-ES"/>
              </w:rPr>
              <w:t>Psychosocial</w:t>
            </w:r>
            <w:proofErr w:type="spellEnd"/>
            <w:r w:rsidRPr="005B3539">
              <w:rPr>
                <w:bCs/>
                <w:i/>
                <w:iCs/>
                <w:lang w:val="es-ES"/>
              </w:rPr>
              <w:t xml:space="preserve"> </w:t>
            </w:r>
            <w:proofErr w:type="spellStart"/>
            <w:r w:rsidRPr="005B3539">
              <w:rPr>
                <w:bCs/>
                <w:i/>
                <w:iCs/>
                <w:lang w:val="es-ES"/>
              </w:rPr>
              <w:t>Intervention</w:t>
            </w:r>
            <w:proofErr w:type="spellEnd"/>
            <w:r w:rsidRPr="005B3539">
              <w:rPr>
                <w:bCs/>
                <w:i/>
                <w:iCs/>
                <w:lang w:val="es-ES"/>
              </w:rPr>
              <w:t>, 20</w:t>
            </w:r>
            <w:r w:rsidRPr="005B3539">
              <w:rPr>
                <w:bCs/>
                <w:lang w:val="es-ES"/>
              </w:rPr>
              <w:t xml:space="preserve">(2), 201-212. </w:t>
            </w:r>
            <w:r w:rsidRPr="005B3539">
              <w:rPr>
                <w:bCs/>
                <w:lang w:val="es-ES"/>
              </w:rPr>
              <w:br/>
            </w:r>
            <w:hyperlink r:id="rId42" w:tgtFrame="_blank" w:history="1">
              <w:r w:rsidRPr="005B3539">
                <w:rPr>
                  <w:rStyle w:val="Hipervnculo"/>
                  <w:bCs/>
                  <w:lang w:val="es-ES"/>
                </w:rPr>
                <w:t>https://doi.org/10.5093/in2011v20n2a8</w:t>
              </w:r>
            </w:hyperlink>
          </w:p>
        </w:tc>
      </w:tr>
      <w:tr w:rsidR="005B3539" w:rsidRPr="005B3539" w14:paraId="7C116079" w14:textId="77777777" w:rsidTr="005B3539">
        <w:trPr>
          <w:tblCellSpacing w:w="7" w:type="dxa"/>
        </w:trPr>
        <w:tc>
          <w:tcPr>
            <w:tcW w:w="4983" w:type="pct"/>
            <w:vAlign w:val="center"/>
            <w:hideMark/>
          </w:tcPr>
          <w:p w14:paraId="522BF98C" w14:textId="77777777" w:rsidR="005B3539" w:rsidRPr="005B3539" w:rsidRDefault="005B3539" w:rsidP="005B3539">
            <w:pPr>
              <w:ind w:left="720" w:hanging="720"/>
              <w:jc w:val="both"/>
              <w:rPr>
                <w:bCs/>
                <w:lang w:val="en-US"/>
              </w:rPr>
            </w:pPr>
            <w:r w:rsidRPr="005B3539">
              <w:rPr>
                <w:bCs/>
                <w:lang w:val="es-ES"/>
              </w:rPr>
              <w:t xml:space="preserve">Torregrosa, M. S., </w:t>
            </w:r>
            <w:proofErr w:type="gramStart"/>
            <w:r w:rsidRPr="005B3539">
              <w:rPr>
                <w:bCs/>
                <w:lang w:val="es-ES"/>
              </w:rPr>
              <w:t>Inglés</w:t>
            </w:r>
            <w:proofErr w:type="gramEnd"/>
            <w:r w:rsidRPr="005B3539">
              <w:rPr>
                <w:bCs/>
                <w:lang w:val="es-ES"/>
              </w:rPr>
              <w:t xml:space="preserve">, C. J., García-Fernández, J. M., Ruiz-Esteban, C., López-García, K. S., &amp; Zhou, X. (2010). Diferencias en conducta agresiva entre adolescentes españoles, chinos y mexicanos. </w:t>
            </w:r>
            <w:r w:rsidRPr="005B3539">
              <w:rPr>
                <w:bCs/>
                <w:i/>
                <w:iCs/>
                <w:lang w:val="en-US"/>
              </w:rPr>
              <w:t>European Journal of Education and Psychology, 3</w:t>
            </w:r>
            <w:r w:rsidRPr="005B3539">
              <w:rPr>
                <w:bCs/>
                <w:lang w:val="en-US"/>
              </w:rPr>
              <w:t xml:space="preserve">(2),167-176. </w:t>
            </w:r>
            <w:hyperlink r:id="rId43" w:tgtFrame="_blank" w:history="1">
              <w:r w:rsidRPr="005B3539">
                <w:rPr>
                  <w:rStyle w:val="Hipervnculo"/>
                  <w:bCs/>
                  <w:lang w:val="en-US"/>
                </w:rPr>
                <w:t>https://doi.org/10.30552/ejep.v3i2.41</w:t>
              </w:r>
            </w:hyperlink>
          </w:p>
        </w:tc>
      </w:tr>
      <w:tr w:rsidR="005B3539" w:rsidRPr="005B3539" w14:paraId="71FB5053" w14:textId="77777777" w:rsidTr="005B3539">
        <w:trPr>
          <w:tblCellSpacing w:w="7" w:type="dxa"/>
        </w:trPr>
        <w:tc>
          <w:tcPr>
            <w:tcW w:w="4983" w:type="pct"/>
            <w:vAlign w:val="center"/>
          </w:tcPr>
          <w:p w14:paraId="41AF0262" w14:textId="77777777" w:rsidR="005B3539" w:rsidRPr="005B3539" w:rsidRDefault="005B3539" w:rsidP="005B3539">
            <w:pPr>
              <w:ind w:left="720" w:hanging="720"/>
              <w:jc w:val="both"/>
              <w:rPr>
                <w:bCs/>
                <w:lang w:val="es-ES"/>
              </w:rPr>
            </w:pPr>
            <w:r w:rsidRPr="005B3539">
              <w:rPr>
                <w:bCs/>
                <w:lang w:val="es-ES"/>
              </w:rPr>
              <w:t>V</w:t>
            </w:r>
            <w:r w:rsidRPr="005B3539">
              <w:rPr>
                <w:lang w:val="es-ES"/>
              </w:rPr>
              <w:t xml:space="preserve">ega-Cauich, J., &amp; Zumárraga-García, F. (2019). Variables asociadas al inicio y consumo actual de sustancias en adolescentes en conflicto con la ley. </w:t>
            </w:r>
            <w:r w:rsidRPr="005B3539">
              <w:rPr>
                <w:i/>
                <w:iCs/>
                <w:lang w:val="es-ES"/>
              </w:rPr>
              <w:t>Anuario de Psicología Jurídica</w:t>
            </w:r>
            <w:r w:rsidRPr="005B3539">
              <w:rPr>
                <w:lang w:val="es-ES"/>
              </w:rPr>
              <w:t xml:space="preserve">, </w:t>
            </w:r>
            <w:r w:rsidRPr="005B3539">
              <w:rPr>
                <w:i/>
                <w:iCs/>
                <w:lang w:val="es-ES"/>
              </w:rPr>
              <w:t>29</w:t>
            </w:r>
            <w:r w:rsidRPr="005B3539">
              <w:rPr>
                <w:lang w:val="es-ES"/>
              </w:rPr>
              <w:t xml:space="preserve">(1), 21-29.  </w:t>
            </w:r>
            <w:hyperlink r:id="rId44" w:history="1">
              <w:r w:rsidRPr="005B3539">
                <w:rPr>
                  <w:rStyle w:val="Hipervnculo"/>
                  <w:lang w:val="es-ES"/>
                </w:rPr>
                <w:t>https://doi.org/10.5093/apj2018a13</w:t>
              </w:r>
            </w:hyperlink>
          </w:p>
        </w:tc>
      </w:tr>
      <w:tr w:rsidR="005B3539" w:rsidRPr="005B3539" w14:paraId="728512F0" w14:textId="77777777" w:rsidTr="005B3539">
        <w:trPr>
          <w:tblCellSpacing w:w="7" w:type="dxa"/>
        </w:trPr>
        <w:tc>
          <w:tcPr>
            <w:tcW w:w="4983" w:type="pct"/>
            <w:vAlign w:val="center"/>
            <w:hideMark/>
          </w:tcPr>
          <w:p w14:paraId="5145817A" w14:textId="77777777" w:rsidR="005B3539" w:rsidRPr="005B3539" w:rsidRDefault="005B3539" w:rsidP="005B3539">
            <w:pPr>
              <w:ind w:left="720" w:hanging="720"/>
              <w:jc w:val="both"/>
              <w:rPr>
                <w:bCs/>
                <w:lang w:val="es-ES"/>
              </w:rPr>
            </w:pPr>
            <w:proofErr w:type="spellStart"/>
            <w:r w:rsidRPr="005B3539">
              <w:rPr>
                <w:bCs/>
                <w:lang w:val="en-US"/>
              </w:rPr>
              <w:lastRenderedPageBreak/>
              <w:t>Verdam</w:t>
            </w:r>
            <w:proofErr w:type="spellEnd"/>
            <w:r w:rsidRPr="005B3539">
              <w:rPr>
                <w:bCs/>
                <w:lang w:val="en-US"/>
              </w:rPr>
              <w:t xml:space="preserve">, M. G., Oort, F. J., &amp; Sprangers, M. A. (2016). Using structural equation modeling to detect response shifts and true change in discrete variables: An application to the items of the SF-36. </w:t>
            </w:r>
            <w:proofErr w:type="spellStart"/>
            <w:r w:rsidRPr="005B3539">
              <w:rPr>
                <w:bCs/>
                <w:i/>
                <w:iCs/>
                <w:lang w:val="es-ES"/>
              </w:rPr>
              <w:t>Quality</w:t>
            </w:r>
            <w:proofErr w:type="spellEnd"/>
            <w:r w:rsidRPr="005B3539">
              <w:rPr>
                <w:bCs/>
                <w:i/>
                <w:iCs/>
                <w:lang w:val="es-ES"/>
              </w:rPr>
              <w:t xml:space="preserve"> of </w:t>
            </w:r>
            <w:proofErr w:type="spellStart"/>
            <w:r w:rsidRPr="005B3539">
              <w:rPr>
                <w:bCs/>
                <w:i/>
                <w:iCs/>
                <w:lang w:val="es-ES"/>
              </w:rPr>
              <w:t>Life</w:t>
            </w:r>
            <w:proofErr w:type="spellEnd"/>
            <w:r w:rsidRPr="005B3539">
              <w:rPr>
                <w:bCs/>
                <w:i/>
                <w:iCs/>
                <w:lang w:val="es-ES"/>
              </w:rPr>
              <w:t xml:space="preserve"> </w:t>
            </w:r>
            <w:proofErr w:type="spellStart"/>
            <w:r w:rsidRPr="005B3539">
              <w:rPr>
                <w:bCs/>
                <w:i/>
                <w:iCs/>
                <w:lang w:val="es-ES"/>
              </w:rPr>
              <w:t>Research</w:t>
            </w:r>
            <w:proofErr w:type="spellEnd"/>
            <w:r w:rsidRPr="005B3539">
              <w:rPr>
                <w:bCs/>
                <w:i/>
                <w:iCs/>
                <w:lang w:val="es-ES"/>
              </w:rPr>
              <w:t>, 25</w:t>
            </w:r>
            <w:r w:rsidRPr="005B3539">
              <w:rPr>
                <w:bCs/>
                <w:lang w:val="es-ES"/>
              </w:rPr>
              <w:t xml:space="preserve">(6), 1361-1383. </w:t>
            </w:r>
            <w:hyperlink r:id="rId45" w:tgtFrame="_blank" w:history="1">
              <w:r w:rsidRPr="005B3539">
                <w:rPr>
                  <w:rStyle w:val="Hipervnculo"/>
                  <w:bCs/>
                  <w:lang w:val="es-ES"/>
                </w:rPr>
                <w:t>https://doi.org/10.1007/s11136-015-1195-0</w:t>
              </w:r>
            </w:hyperlink>
          </w:p>
        </w:tc>
      </w:tr>
      <w:tr w:rsidR="005B3539" w:rsidRPr="005B3539" w14:paraId="55D65C59" w14:textId="77777777" w:rsidTr="005B3539">
        <w:trPr>
          <w:tblCellSpacing w:w="7" w:type="dxa"/>
        </w:trPr>
        <w:tc>
          <w:tcPr>
            <w:tcW w:w="4983" w:type="pct"/>
            <w:vAlign w:val="center"/>
            <w:hideMark/>
          </w:tcPr>
          <w:p w14:paraId="7634776C" w14:textId="77777777" w:rsidR="005B3539" w:rsidRPr="005B3539" w:rsidRDefault="005B3539" w:rsidP="005B3539">
            <w:pPr>
              <w:ind w:left="720" w:hanging="720"/>
              <w:jc w:val="both"/>
              <w:rPr>
                <w:bCs/>
                <w:lang w:val="es-ES"/>
              </w:rPr>
            </w:pPr>
            <w:r w:rsidRPr="005B3539">
              <w:rPr>
                <w:bCs/>
                <w:lang w:val="en-US"/>
              </w:rPr>
              <w:t xml:space="preserve">Williams, B., </w:t>
            </w:r>
            <w:proofErr w:type="spellStart"/>
            <w:r w:rsidRPr="005B3539">
              <w:rPr>
                <w:bCs/>
                <w:lang w:val="en-US"/>
              </w:rPr>
              <w:t>Onsman</w:t>
            </w:r>
            <w:proofErr w:type="spellEnd"/>
            <w:r w:rsidRPr="005B3539">
              <w:rPr>
                <w:bCs/>
                <w:lang w:val="en-US"/>
              </w:rPr>
              <w:t xml:space="preserve">, A., &amp; Brown, T. (2010). Exploratory factor analysis: A five-step guide for novices. </w:t>
            </w:r>
            <w:proofErr w:type="spellStart"/>
            <w:r w:rsidRPr="005B3539">
              <w:rPr>
                <w:bCs/>
                <w:i/>
                <w:iCs/>
                <w:lang w:val="es-ES"/>
              </w:rPr>
              <w:t>Australasian</w:t>
            </w:r>
            <w:proofErr w:type="spellEnd"/>
            <w:r w:rsidRPr="005B3539">
              <w:rPr>
                <w:bCs/>
                <w:i/>
                <w:iCs/>
                <w:lang w:val="es-ES"/>
              </w:rPr>
              <w:t xml:space="preserve"> </w:t>
            </w:r>
            <w:proofErr w:type="spellStart"/>
            <w:r w:rsidRPr="005B3539">
              <w:rPr>
                <w:bCs/>
                <w:i/>
                <w:iCs/>
                <w:lang w:val="es-ES"/>
              </w:rPr>
              <w:t>Journal</w:t>
            </w:r>
            <w:proofErr w:type="spellEnd"/>
            <w:r w:rsidRPr="005B3539">
              <w:rPr>
                <w:bCs/>
                <w:i/>
                <w:iCs/>
                <w:lang w:val="es-ES"/>
              </w:rPr>
              <w:t xml:space="preserve"> of </w:t>
            </w:r>
            <w:proofErr w:type="spellStart"/>
            <w:r w:rsidRPr="005B3539">
              <w:rPr>
                <w:bCs/>
                <w:i/>
                <w:iCs/>
                <w:lang w:val="es-ES"/>
              </w:rPr>
              <w:t>Paramedicine</w:t>
            </w:r>
            <w:proofErr w:type="spellEnd"/>
            <w:r w:rsidRPr="005B3539">
              <w:rPr>
                <w:bCs/>
                <w:i/>
                <w:iCs/>
                <w:lang w:val="es-ES"/>
              </w:rPr>
              <w:t>, 8</w:t>
            </w:r>
            <w:r w:rsidRPr="005B3539">
              <w:rPr>
                <w:bCs/>
                <w:lang w:val="es-ES"/>
              </w:rPr>
              <w:t xml:space="preserve">(3), 1-13. </w:t>
            </w:r>
            <w:hyperlink r:id="rId46" w:tgtFrame="_blank" w:history="1">
              <w:r w:rsidRPr="005B3539">
                <w:rPr>
                  <w:rStyle w:val="Hipervnculo"/>
                  <w:bCs/>
                  <w:lang w:val="es-ES"/>
                </w:rPr>
                <w:t>https://doi.org/10.33151/ajp.8.3.93</w:t>
              </w:r>
            </w:hyperlink>
          </w:p>
        </w:tc>
      </w:tr>
      <w:tr w:rsidR="005B3539" w:rsidRPr="005B3539" w14:paraId="259FEB3D" w14:textId="77777777" w:rsidTr="005B3539">
        <w:trPr>
          <w:tblCellSpacing w:w="7" w:type="dxa"/>
        </w:trPr>
        <w:tc>
          <w:tcPr>
            <w:tcW w:w="4983" w:type="pct"/>
            <w:vAlign w:val="center"/>
            <w:hideMark/>
          </w:tcPr>
          <w:p w14:paraId="1BA1B4C0" w14:textId="77777777" w:rsidR="005B3539" w:rsidRPr="005B3539" w:rsidRDefault="005B3539" w:rsidP="005B3539">
            <w:pPr>
              <w:ind w:left="720" w:hanging="720"/>
              <w:jc w:val="both"/>
              <w:rPr>
                <w:bCs/>
                <w:lang w:val="es-ES"/>
              </w:rPr>
            </w:pPr>
            <w:r w:rsidRPr="005B3539">
              <w:rPr>
                <w:bCs/>
                <w:lang w:val="en-US"/>
              </w:rPr>
              <w:t xml:space="preserve">Wu, H., and Estabrook, R. (2016). Identification of confirmatory factor analysis models of different levels of invariance for ordered categorical outcomes. </w:t>
            </w:r>
            <w:proofErr w:type="spellStart"/>
            <w:r w:rsidRPr="005B3539">
              <w:rPr>
                <w:bCs/>
                <w:i/>
                <w:iCs/>
                <w:lang w:val="es-ES"/>
              </w:rPr>
              <w:t>Psychometrika</w:t>
            </w:r>
            <w:proofErr w:type="spellEnd"/>
            <w:r w:rsidRPr="005B3539">
              <w:rPr>
                <w:bCs/>
                <w:i/>
                <w:iCs/>
                <w:lang w:val="es-ES"/>
              </w:rPr>
              <w:t xml:space="preserve"> 81</w:t>
            </w:r>
            <w:r w:rsidRPr="005B3539">
              <w:rPr>
                <w:bCs/>
                <w:lang w:val="es-ES"/>
              </w:rPr>
              <w:t xml:space="preserve">, 1014-1045. </w:t>
            </w:r>
            <w:hyperlink r:id="rId47" w:tgtFrame="_blank" w:history="1">
              <w:r w:rsidRPr="005B3539">
                <w:rPr>
                  <w:rStyle w:val="Hipervnculo"/>
                  <w:bCs/>
                  <w:lang w:val="es-ES"/>
                </w:rPr>
                <w:t>https://doi.org/10.1007/s11336-016-9506-0</w:t>
              </w:r>
            </w:hyperlink>
          </w:p>
        </w:tc>
      </w:tr>
    </w:tbl>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r w:rsidRPr="006F6924">
        <w:rPr>
          <w:i/>
          <w:iCs/>
          <w:sz w:val="20"/>
          <w:szCs w:val="20"/>
          <w:lang w:val="en-US"/>
        </w:rPr>
        <w:t>Received</w:t>
      </w:r>
      <w:r w:rsidRPr="00E25900">
        <w:rPr>
          <w:i/>
          <w:iCs/>
          <w:sz w:val="20"/>
          <w:szCs w:val="20"/>
          <w:lang w:val="pt-BR"/>
        </w:rPr>
        <w:t xml:space="preserve">: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sectPr w:rsidR="00594317" w:rsidRPr="00594317" w:rsidSect="0059034C">
      <w:headerReference w:type="even" r:id="rId48"/>
      <w:headerReference w:type="default" r:id="rId49"/>
      <w:footerReference w:type="even"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91050" w14:textId="77777777" w:rsidR="00DE26C1" w:rsidRDefault="00DE26C1" w:rsidP="00C413D4">
      <w:r>
        <w:separator/>
      </w:r>
    </w:p>
  </w:endnote>
  <w:endnote w:type="continuationSeparator" w:id="0">
    <w:p w14:paraId="630EF160" w14:textId="77777777" w:rsidR="00DE26C1" w:rsidRDefault="00DE26C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B167A2" w:rsidRDefault="00B167A2"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B167A2" w:rsidRDefault="00B167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B167A2" w:rsidRDefault="00B167A2"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B167A2" w:rsidRDefault="00B167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90030" w14:textId="77777777" w:rsidR="00DE26C1" w:rsidRDefault="00DE26C1" w:rsidP="00C413D4">
      <w:r>
        <w:separator/>
      </w:r>
    </w:p>
  </w:footnote>
  <w:footnote w:type="continuationSeparator" w:id="0">
    <w:p w14:paraId="4A047ADC" w14:textId="77777777" w:rsidR="00DE26C1" w:rsidRDefault="00DE26C1"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12332247" w:rsidR="00B167A2" w:rsidRPr="001566F6" w:rsidRDefault="00B167A2"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B167A2" w:rsidRDefault="00B167A2"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4E673DE" w:rsidR="00B167A2" w:rsidRPr="0027261B" w:rsidRDefault="00B167A2"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1604A"/>
    <w:rsid w:val="000365CA"/>
    <w:rsid w:val="00076F0A"/>
    <w:rsid w:val="000D35CD"/>
    <w:rsid w:val="000E3B16"/>
    <w:rsid w:val="00107993"/>
    <w:rsid w:val="001253E7"/>
    <w:rsid w:val="00127870"/>
    <w:rsid w:val="001516ED"/>
    <w:rsid w:val="00153DC5"/>
    <w:rsid w:val="001566F6"/>
    <w:rsid w:val="001F7509"/>
    <w:rsid w:val="00216AFF"/>
    <w:rsid w:val="00234E5C"/>
    <w:rsid w:val="00246D04"/>
    <w:rsid w:val="002576A2"/>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6347F"/>
    <w:rsid w:val="00383E12"/>
    <w:rsid w:val="003909A7"/>
    <w:rsid w:val="003C4AA4"/>
    <w:rsid w:val="003D21B8"/>
    <w:rsid w:val="003E438F"/>
    <w:rsid w:val="003E4B06"/>
    <w:rsid w:val="0042142D"/>
    <w:rsid w:val="00430C97"/>
    <w:rsid w:val="00447E89"/>
    <w:rsid w:val="00475FC0"/>
    <w:rsid w:val="00483D6B"/>
    <w:rsid w:val="0048651A"/>
    <w:rsid w:val="004C0823"/>
    <w:rsid w:val="004D5719"/>
    <w:rsid w:val="00510E52"/>
    <w:rsid w:val="00542090"/>
    <w:rsid w:val="00576894"/>
    <w:rsid w:val="0059034C"/>
    <w:rsid w:val="00594317"/>
    <w:rsid w:val="005B24FF"/>
    <w:rsid w:val="005B3539"/>
    <w:rsid w:val="005B5614"/>
    <w:rsid w:val="0061199D"/>
    <w:rsid w:val="006937D3"/>
    <w:rsid w:val="006A1BA2"/>
    <w:rsid w:val="006B0812"/>
    <w:rsid w:val="006B088F"/>
    <w:rsid w:val="006B294A"/>
    <w:rsid w:val="006C21BC"/>
    <w:rsid w:val="006F2AA8"/>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0F00"/>
    <w:rsid w:val="00872EFD"/>
    <w:rsid w:val="0087383A"/>
    <w:rsid w:val="00880120"/>
    <w:rsid w:val="008B0F10"/>
    <w:rsid w:val="008C409A"/>
    <w:rsid w:val="008C775E"/>
    <w:rsid w:val="008D509E"/>
    <w:rsid w:val="008D54E0"/>
    <w:rsid w:val="009032D5"/>
    <w:rsid w:val="00903DEB"/>
    <w:rsid w:val="00931F00"/>
    <w:rsid w:val="00977250"/>
    <w:rsid w:val="00993241"/>
    <w:rsid w:val="009A583F"/>
    <w:rsid w:val="009B3EF3"/>
    <w:rsid w:val="009D2551"/>
    <w:rsid w:val="009E5B5E"/>
    <w:rsid w:val="00A30790"/>
    <w:rsid w:val="00A457D0"/>
    <w:rsid w:val="00A516C7"/>
    <w:rsid w:val="00A62218"/>
    <w:rsid w:val="00A741BB"/>
    <w:rsid w:val="00A871FB"/>
    <w:rsid w:val="00A96D7A"/>
    <w:rsid w:val="00AC0FD7"/>
    <w:rsid w:val="00AD3238"/>
    <w:rsid w:val="00AE48D4"/>
    <w:rsid w:val="00AE717F"/>
    <w:rsid w:val="00B02133"/>
    <w:rsid w:val="00B06283"/>
    <w:rsid w:val="00B167A2"/>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E7D65"/>
    <w:rsid w:val="00CF4E1F"/>
    <w:rsid w:val="00CF5D21"/>
    <w:rsid w:val="00D609BB"/>
    <w:rsid w:val="00D94A3F"/>
    <w:rsid w:val="00DB4A71"/>
    <w:rsid w:val="00DB6400"/>
    <w:rsid w:val="00DE1119"/>
    <w:rsid w:val="00DE26C1"/>
    <w:rsid w:val="00DE7EB8"/>
    <w:rsid w:val="00E23C9E"/>
    <w:rsid w:val="00E24139"/>
    <w:rsid w:val="00E2491B"/>
    <w:rsid w:val="00E25900"/>
    <w:rsid w:val="00E26883"/>
    <w:rsid w:val="00E3671F"/>
    <w:rsid w:val="00E416F6"/>
    <w:rsid w:val="00E449A9"/>
    <w:rsid w:val="00E55124"/>
    <w:rsid w:val="00E97D42"/>
    <w:rsid w:val="00EA6646"/>
    <w:rsid w:val="00EB213C"/>
    <w:rsid w:val="00ED2663"/>
    <w:rsid w:val="00F21272"/>
    <w:rsid w:val="00F92F1A"/>
    <w:rsid w:val="00FB0419"/>
    <w:rsid w:val="00FB3DE6"/>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5B3539"/>
    <w:pPr>
      <w:spacing w:before="100" w:beforeAutospacing="1" w:after="100" w:afterAutospacing="1" w:line="360" w:lineRule="auto"/>
      <w:ind w:firstLine="720"/>
      <w:jc w:val="both"/>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8D54E0"/>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5B3539"/>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8D54E0"/>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383E12"/>
    <w:rPr>
      <w:sz w:val="16"/>
      <w:szCs w:val="16"/>
    </w:rPr>
  </w:style>
  <w:style w:type="paragraph" w:styleId="Textocomentario">
    <w:name w:val="annotation text"/>
    <w:basedOn w:val="Normal"/>
    <w:link w:val="TextocomentarioCar"/>
    <w:uiPriority w:val="99"/>
    <w:semiHidden/>
    <w:unhideWhenUsed/>
    <w:rsid w:val="00383E12"/>
    <w:pPr>
      <w:spacing w:after="160"/>
    </w:pPr>
    <w:rPr>
      <w:rFonts w:asciiTheme="minorHAnsi" w:eastAsiaTheme="minorHAnsi" w:hAnsiTheme="minorHAnsi" w:cstheme="minorBidi"/>
      <w:sz w:val="20"/>
      <w:szCs w:val="20"/>
      <w:lang w:val="es-ES" w:eastAsia="en-US"/>
    </w:rPr>
  </w:style>
  <w:style w:type="character" w:customStyle="1" w:styleId="TextocomentarioCar">
    <w:name w:val="Texto comentario Car"/>
    <w:basedOn w:val="Fuentedeprrafopredeter"/>
    <w:link w:val="Textocomentario"/>
    <w:uiPriority w:val="99"/>
    <w:semiHidden/>
    <w:rsid w:val="00383E12"/>
    <w:rPr>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0033-2909.88.3.588" TargetMode="External"/><Relationship Id="rId18" Type="http://schemas.openxmlformats.org/officeDocument/2006/relationships/hyperlink" Target="https://doi.org/10.1037/0033-2909.112.1.155" TargetMode="External"/><Relationship Id="rId26" Type="http://schemas.openxmlformats.org/officeDocument/2006/relationships/hyperlink" Target="https://cutt.ly/8kLrwxj" TargetMode="External"/><Relationship Id="rId39" Type="http://schemas.openxmlformats.org/officeDocument/2006/relationships/hyperlink" Target="http://www.psicothema.com/psicothema.asp?id=3772" TargetMode="External"/><Relationship Id="rId21" Type="http://schemas.openxmlformats.org/officeDocument/2006/relationships/hyperlink" Target="https://doi.org/10.21500/19002386.2134" TargetMode="External"/><Relationship Id="rId34" Type="http://schemas.openxmlformats.org/officeDocument/2006/relationships/hyperlink" Target="https://doi.org/10.1016/j.neubiorev.2005.04.015" TargetMode="External"/><Relationship Id="rId42" Type="http://schemas.openxmlformats.org/officeDocument/2006/relationships/hyperlink" Target="https://doi.org/10.5093/in2011v20n2a8" TargetMode="External"/><Relationship Id="rId47" Type="http://schemas.openxmlformats.org/officeDocument/2006/relationships/hyperlink" Target="https://doi.org/10.1007/s11336-016-9506-0"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dalyc.org/articulo.oa?id=3498/349832320023" TargetMode="External"/><Relationship Id="rId29" Type="http://schemas.openxmlformats.org/officeDocument/2006/relationships/hyperlink" Target="http://biblioteca.ucm.es/tesis/19972000/S/4/S4017401.pdf" TargetMode="External"/><Relationship Id="rId11" Type="http://schemas.openxmlformats.org/officeDocument/2006/relationships/hyperlink" Target="https://doi.org/10.5944/rppc.vol.14.num.1.2009.4065" TargetMode="External"/><Relationship Id="rId24" Type="http://schemas.openxmlformats.org/officeDocument/2006/relationships/hyperlink" Target="https://doi.org/10.5093/apj2018a15" TargetMode="External"/><Relationship Id="rId32" Type="http://schemas.openxmlformats.org/officeDocument/2006/relationships/hyperlink" Target="https://doi.org/10.1016/j.dr.2016.06.004" TargetMode="External"/><Relationship Id="rId37" Type="http://schemas.openxmlformats.org/officeDocument/2006/relationships/hyperlink" Target="https://doi.org/10.1016/j.apj.2016.04.002" TargetMode="External"/><Relationship Id="rId40" Type="http://schemas.openxmlformats.org/officeDocument/2006/relationships/hyperlink" Target="http://www.siseve.pe/Web/" TargetMode="External"/><Relationship Id="rId45" Type="http://schemas.openxmlformats.org/officeDocument/2006/relationships/hyperlink" Target="https://doi.org/10.1007/s11136-015-1195-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svg"/><Relationship Id="rId19" Type="http://schemas.openxmlformats.org/officeDocument/2006/relationships/hyperlink" Target="https://doi.org/10.1177/0748175610373459" TargetMode="External"/><Relationship Id="rId31" Type="http://schemas.openxmlformats.org/officeDocument/2006/relationships/hyperlink" Target="https://doi.org/10.1016/j.apj.2014.07.012" TargetMode="External"/><Relationship Id="rId44" Type="http://schemas.openxmlformats.org/officeDocument/2006/relationships/hyperlink" Target="https://doi.org/10.5093/apj2018a1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5209/rev_NOMA.2013.v37.n1.42561" TargetMode="External"/><Relationship Id="rId22" Type="http://schemas.openxmlformats.org/officeDocument/2006/relationships/hyperlink" Target="https://doi.org/10.1177/002224378101800104" TargetMode="External"/><Relationship Id="rId27" Type="http://schemas.openxmlformats.org/officeDocument/2006/relationships/hyperlink" Target="https://bit.ly/3dDI3BR" TargetMode="External"/><Relationship Id="rId30" Type="http://schemas.openxmlformats.org/officeDocument/2006/relationships/hyperlink" Target="https://cutt.ly/1kHTqe6" TargetMode="External"/><Relationship Id="rId35" Type="http://schemas.openxmlformats.org/officeDocument/2006/relationships/hyperlink" Target="https://doi.org/10.5944/rppc.24426" TargetMode="External"/><Relationship Id="rId43" Type="http://schemas.openxmlformats.org/officeDocument/2006/relationships/hyperlink" Target="https://doi.org/10.30552/ejep.v3i2.41" TargetMode="External"/><Relationship Id="rId48" Type="http://schemas.openxmlformats.org/officeDocument/2006/relationships/header" Target="header1.xml"/><Relationship Id="rId8" Type="http://schemas.openxmlformats.org/officeDocument/2006/relationships/hyperlink" Target="https://sipsych.org/"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6018/analesps.29.3.178511" TargetMode="External"/><Relationship Id="rId17" Type="http://schemas.openxmlformats.org/officeDocument/2006/relationships/hyperlink" Target="https://doi.org/10.1080/10705510701301834" TargetMode="External"/><Relationship Id="rId25" Type="http://schemas.openxmlformats.org/officeDocument/2006/relationships/hyperlink" Target="https://cutt.ly/UkLe02R" TargetMode="External"/><Relationship Id="rId33" Type="http://schemas.openxmlformats.org/officeDocument/2006/relationships/hyperlink" Target="https://doi.org/10.1002/ab.20115" TargetMode="External"/><Relationship Id="rId38" Type="http://schemas.openxmlformats.org/officeDocument/2006/relationships/hyperlink" Target="https://doi.org/10.2307/3514607" TargetMode="External"/><Relationship Id="rId46" Type="http://schemas.openxmlformats.org/officeDocument/2006/relationships/hyperlink" Target="https://doi.org/10.33151/ajp.8.3.93" TargetMode="External"/><Relationship Id="rId20" Type="http://schemas.openxmlformats.org/officeDocument/2006/relationships/hyperlink" Target="https://doi.org/10.1037/0022-3514.53.6.1146" TargetMode="External"/><Relationship Id="rId41" Type="http://schemas.openxmlformats.org/officeDocument/2006/relationships/hyperlink" Target="https://doi.org/10.11144/Javeriana.upsy11-4.rca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897/ERR2016.2937" TargetMode="External"/><Relationship Id="rId23" Type="http://schemas.openxmlformats.org/officeDocument/2006/relationships/hyperlink" Target="https://doi.org/10.1016/j.jmva.2009.12.014" TargetMode="External"/><Relationship Id="rId28" Type="http://schemas.openxmlformats.org/officeDocument/2006/relationships/hyperlink" Target="https://www.redalyc.org/pdf/3607/360733606007.pdf" TargetMode="External"/><Relationship Id="rId36" Type="http://schemas.openxmlformats.org/officeDocument/2006/relationships/hyperlink" Target="https://www.redalyc.org/articulo.oa?id=203122516009"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18</Pages>
  <Words>6776</Words>
  <Characters>37271</Characters>
  <Application>Microsoft Office Word</Application>
  <DocSecurity>0</DocSecurity>
  <Lines>310</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Revisor 1</cp:lastModifiedBy>
  <cp:revision>5</cp:revision>
  <cp:lastPrinted>2020-04-16T16:22:00Z</cp:lastPrinted>
  <dcterms:created xsi:type="dcterms:W3CDTF">2021-02-28T18:33:00Z</dcterms:created>
  <dcterms:modified xsi:type="dcterms:W3CDTF">2021-03-03T15:52:00Z</dcterms:modified>
</cp:coreProperties>
</file>