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184FC" w14:textId="1E92F092" w:rsidR="000E111B" w:rsidRDefault="00F177F0" w:rsidP="003E1B52">
      <w:pPr>
        <w:spacing w:line="360" w:lineRule="auto"/>
        <w:jc w:val="center"/>
        <w:rPr>
          <w:sz w:val="22"/>
          <w:szCs w:val="22"/>
        </w:rPr>
      </w:pPr>
      <w:r w:rsidRPr="00F177F0">
        <w:rPr>
          <w:sz w:val="22"/>
          <w:szCs w:val="22"/>
        </w:rPr>
        <w:t xml:space="preserve">Comparison of </w:t>
      </w:r>
      <w:r w:rsidR="00954297">
        <w:rPr>
          <w:sz w:val="22"/>
          <w:szCs w:val="22"/>
        </w:rPr>
        <w:t>measures</w:t>
      </w:r>
      <w:r w:rsidRPr="00F177F0">
        <w:rPr>
          <w:sz w:val="22"/>
          <w:szCs w:val="22"/>
        </w:rPr>
        <w:t xml:space="preserve"> of the Hospital Anxiety and Depression Scale </w:t>
      </w:r>
      <w:r w:rsidR="001015E6" w:rsidRPr="001015E6">
        <w:rPr>
          <w:sz w:val="22"/>
          <w:szCs w:val="22"/>
        </w:rPr>
        <w:t xml:space="preserve">in the Spanish nursing population </w:t>
      </w:r>
      <w:r w:rsidRPr="00F177F0">
        <w:rPr>
          <w:sz w:val="22"/>
          <w:szCs w:val="22"/>
        </w:rPr>
        <w:t>exposed to the COVID-19 pandemic</w:t>
      </w:r>
    </w:p>
    <w:p w14:paraId="07C5FF20" w14:textId="77777777" w:rsidR="00F177F0" w:rsidRDefault="00F177F0" w:rsidP="003E1B52">
      <w:pPr>
        <w:spacing w:line="360" w:lineRule="auto"/>
        <w:jc w:val="both"/>
        <w:rPr>
          <w:sz w:val="22"/>
          <w:szCs w:val="22"/>
        </w:rPr>
      </w:pPr>
    </w:p>
    <w:p w14:paraId="03A3C9CE" w14:textId="77777777" w:rsidR="00691AC9" w:rsidRPr="00DD218F" w:rsidRDefault="00691AC9" w:rsidP="00691AC9">
      <w:pPr>
        <w:spacing w:line="360" w:lineRule="auto"/>
        <w:rPr>
          <w:sz w:val="22"/>
          <w:szCs w:val="22"/>
        </w:rPr>
      </w:pPr>
      <w:r w:rsidRPr="00DD218F">
        <w:rPr>
          <w:sz w:val="22"/>
          <w:szCs w:val="22"/>
        </w:rPr>
        <w:t>Abstract</w:t>
      </w:r>
    </w:p>
    <w:p w14:paraId="08E7761E" w14:textId="5E4C7A45" w:rsidR="00606B2A" w:rsidRDefault="00606B2A" w:rsidP="00691AC9">
      <w:pPr>
        <w:spacing w:line="360" w:lineRule="auto"/>
        <w:rPr>
          <w:sz w:val="22"/>
          <w:szCs w:val="22"/>
        </w:rPr>
      </w:pPr>
      <w:r>
        <w:rPr>
          <w:sz w:val="22"/>
          <w:szCs w:val="22"/>
        </w:rPr>
        <w:t>Aim</w:t>
      </w:r>
      <w:r w:rsidR="00691AC9" w:rsidRPr="00DD218F">
        <w:rPr>
          <w:sz w:val="22"/>
          <w:szCs w:val="22"/>
        </w:rPr>
        <w:t>: The drastic changes i</w:t>
      </w:r>
      <w:r>
        <w:rPr>
          <w:sz w:val="22"/>
          <w:szCs w:val="22"/>
        </w:rPr>
        <w:t>n the lifestyle of individuals</w:t>
      </w:r>
      <w:r w:rsidR="00691AC9" w:rsidRPr="00DD218F">
        <w:rPr>
          <w:sz w:val="22"/>
          <w:szCs w:val="22"/>
        </w:rPr>
        <w:t xml:space="preserve"> associated with </w:t>
      </w:r>
      <w:r w:rsidR="006F2CB5">
        <w:rPr>
          <w:sz w:val="22"/>
          <w:szCs w:val="22"/>
        </w:rPr>
        <w:t xml:space="preserve">the </w:t>
      </w:r>
      <w:r w:rsidR="00691AC9" w:rsidRPr="00DD218F">
        <w:rPr>
          <w:sz w:val="22"/>
          <w:szCs w:val="22"/>
        </w:rPr>
        <w:t xml:space="preserve">COVID-19 act as a stressor/traumatizer for the </w:t>
      </w:r>
      <w:r w:rsidR="001015E6" w:rsidRPr="001015E6">
        <w:rPr>
          <w:sz w:val="22"/>
          <w:szCs w:val="22"/>
        </w:rPr>
        <w:t>Spanish nursing population</w:t>
      </w:r>
      <w:r w:rsidR="00691AC9" w:rsidRPr="00DD218F">
        <w:rPr>
          <w:sz w:val="22"/>
          <w:szCs w:val="22"/>
        </w:rPr>
        <w:t xml:space="preserve"> with effects on the state of mental health, so it is intended to identify an appropriate scoring system of Anxiety and Depression with greater ability to predict self-reported symptoms and identify whether the selected sociodemographic variables are involved in predicting the levels of anxiety and depression. </w:t>
      </w:r>
    </w:p>
    <w:p w14:paraId="20269FD4" w14:textId="547ADFC5" w:rsidR="00606B2A" w:rsidRDefault="00606B2A" w:rsidP="00691AC9">
      <w:pPr>
        <w:spacing w:line="360" w:lineRule="auto"/>
        <w:rPr>
          <w:sz w:val="22"/>
          <w:szCs w:val="22"/>
        </w:rPr>
      </w:pPr>
      <w:r>
        <w:rPr>
          <w:sz w:val="22"/>
          <w:szCs w:val="22"/>
        </w:rPr>
        <w:t>Desing:</w:t>
      </w:r>
      <w:r w:rsidRPr="00606B2A">
        <w:t xml:space="preserve"> </w:t>
      </w:r>
      <w:r w:rsidRPr="00606B2A">
        <w:rPr>
          <w:sz w:val="22"/>
          <w:szCs w:val="22"/>
        </w:rPr>
        <w:t>A simple multivariate regression analysis was applied</w:t>
      </w:r>
      <w:r>
        <w:rPr>
          <w:sz w:val="22"/>
          <w:szCs w:val="22"/>
        </w:rPr>
        <w:t>.</w:t>
      </w:r>
    </w:p>
    <w:p w14:paraId="26B1CCF6" w14:textId="77777777" w:rsidR="00606B2A" w:rsidRDefault="00691AC9" w:rsidP="00691AC9">
      <w:pPr>
        <w:spacing w:line="360" w:lineRule="auto"/>
        <w:rPr>
          <w:sz w:val="22"/>
          <w:szCs w:val="22"/>
        </w:rPr>
      </w:pPr>
      <w:r>
        <w:rPr>
          <w:sz w:val="22"/>
          <w:szCs w:val="22"/>
        </w:rPr>
        <w:t>M</w:t>
      </w:r>
      <w:r w:rsidRPr="00DD218F">
        <w:rPr>
          <w:sz w:val="22"/>
          <w:szCs w:val="22"/>
        </w:rPr>
        <w:t xml:space="preserve">ethods: The Hospital Anxiety and Depression scale was used. The procedure followed was that of an online survey examining the influence of sociodemographic variables on the mental health status of the sample studied. </w:t>
      </w:r>
    </w:p>
    <w:p w14:paraId="3D818A0D" w14:textId="651661C6" w:rsidR="00691AC9" w:rsidRPr="00DD218F" w:rsidRDefault="00691AC9" w:rsidP="00691AC9">
      <w:pPr>
        <w:spacing w:line="360" w:lineRule="auto"/>
        <w:rPr>
          <w:sz w:val="22"/>
          <w:szCs w:val="22"/>
        </w:rPr>
      </w:pPr>
      <w:r w:rsidRPr="00DD218F">
        <w:rPr>
          <w:sz w:val="22"/>
          <w:szCs w:val="22"/>
        </w:rPr>
        <w:t xml:space="preserve">Results: Regression analyses identified a classification system for Anxiety and Depression as the most adjusted in prediction. The sociodemographic variables contributing to the prediction were the sex of the participants and the coexistence with infected or susceptible people. </w:t>
      </w:r>
    </w:p>
    <w:p w14:paraId="2D99E0A0" w14:textId="1898ABFC" w:rsidR="00691AC9" w:rsidRPr="00DD218F" w:rsidRDefault="00691AC9" w:rsidP="00691AC9">
      <w:pPr>
        <w:spacing w:line="360" w:lineRule="auto"/>
        <w:rPr>
          <w:sz w:val="22"/>
          <w:szCs w:val="22"/>
        </w:rPr>
      </w:pPr>
      <w:r w:rsidRPr="00DD218F">
        <w:rPr>
          <w:sz w:val="22"/>
          <w:szCs w:val="22"/>
        </w:rPr>
        <w:t>Keywords: Anxiety; Depr</w:t>
      </w:r>
      <w:r w:rsidR="00606B2A">
        <w:rPr>
          <w:sz w:val="22"/>
          <w:szCs w:val="22"/>
        </w:rPr>
        <w:t>ession; Mental Health; COVID-19; Nursing.</w:t>
      </w:r>
    </w:p>
    <w:p w14:paraId="37AD04F4" w14:textId="77777777" w:rsidR="00691AC9" w:rsidRDefault="00691AC9" w:rsidP="003E1B52">
      <w:pPr>
        <w:spacing w:line="360" w:lineRule="auto"/>
        <w:rPr>
          <w:sz w:val="22"/>
          <w:szCs w:val="22"/>
        </w:rPr>
      </w:pPr>
    </w:p>
    <w:p w14:paraId="22E50E75" w14:textId="248BE681" w:rsidR="00063BC0" w:rsidRDefault="003E1B52" w:rsidP="003E1B52">
      <w:pPr>
        <w:spacing w:line="360" w:lineRule="auto"/>
        <w:rPr>
          <w:sz w:val="22"/>
          <w:szCs w:val="22"/>
        </w:rPr>
      </w:pPr>
      <w:r w:rsidRPr="003E1B52">
        <w:rPr>
          <w:sz w:val="22"/>
          <w:szCs w:val="22"/>
        </w:rPr>
        <w:t>The coronavirus pandemic (COVID-19) began in China as a threat to global health (Mahase, 2020; WHO, 2020; Wang, et al., 2020;). The outbreak was first revealed in late December 2019 in Hubei, China, with the number of cases spreading rapidly. SARS-CoV-2 has been detected in nasopharyngeal</w:t>
      </w:r>
      <w:r w:rsidR="007D2AFF">
        <w:rPr>
          <w:sz w:val="22"/>
          <w:szCs w:val="22"/>
        </w:rPr>
        <w:t xml:space="preserve"> secretions </w:t>
      </w:r>
      <w:r w:rsidRPr="003E1B52">
        <w:rPr>
          <w:sz w:val="22"/>
          <w:szCs w:val="22"/>
        </w:rPr>
        <w:t>(Coronavirus Disease Report, COVID-19 (Health Emergency and Alert Coordination Center, 2020; Holshue, 2020). Since its identification, research with diverse interests such as epidemiological aspects, clinical characteristics (Chen, 2020) or genomic characterization of the COVID-19 virus (Lu, 2020) has developed rapidly.</w:t>
      </w:r>
    </w:p>
    <w:p w14:paraId="1C665EE2" w14:textId="094114A2" w:rsidR="00884A68" w:rsidRDefault="003E1B52" w:rsidP="003E1B52">
      <w:pPr>
        <w:spacing w:line="360" w:lineRule="auto"/>
        <w:rPr>
          <w:sz w:val="22"/>
          <w:szCs w:val="22"/>
        </w:rPr>
      </w:pPr>
      <w:r w:rsidRPr="003E1B52">
        <w:rPr>
          <w:sz w:val="22"/>
          <w:szCs w:val="22"/>
        </w:rPr>
        <w:t xml:space="preserve">Another line relates to the effects on the state of mental health of the population (Liang et al., 2020), identifying symptoms of post-traumatic stress in 14% of Chinese youths, although the presence of psychological disorders was around 40% of the population studied (Wang et al., 2020; Wang, Di, Ye, Wei, 2020). This stressful effect linked to the </w:t>
      </w:r>
      <w:r w:rsidR="001015E6">
        <w:rPr>
          <w:sz w:val="22"/>
          <w:szCs w:val="22"/>
        </w:rPr>
        <w:t>CO</w:t>
      </w:r>
      <w:r w:rsidRPr="003E1B52">
        <w:rPr>
          <w:sz w:val="22"/>
          <w:szCs w:val="22"/>
        </w:rPr>
        <w:t xml:space="preserve">VID-19 pandemic is more intense when the individual perceives insufficient resources to cope with the threat (Xiang, 2020), because people experience fear of illness or death, feelings of helplessness and stigmatization (Wang, Di, Ye, Wei, 2020) with negative emotions predominating in their mental health status. To our knowledge, the psychological impact of the COVID-19 pandemic has not been studied empirically in the </w:t>
      </w:r>
      <w:r w:rsidR="001015E6" w:rsidRPr="001015E6">
        <w:rPr>
          <w:sz w:val="22"/>
          <w:szCs w:val="22"/>
        </w:rPr>
        <w:t>in the Spanish nursing population</w:t>
      </w:r>
      <w:r w:rsidRPr="003E1B52">
        <w:rPr>
          <w:sz w:val="22"/>
          <w:szCs w:val="22"/>
        </w:rPr>
        <w:t xml:space="preserve">. There are many instruments for assessing anxiety and depression in clinical populations. </w:t>
      </w:r>
      <w:r w:rsidR="007D2AFF" w:rsidRPr="007D2AFF">
        <w:rPr>
          <w:sz w:val="22"/>
          <w:szCs w:val="22"/>
        </w:rPr>
        <w:t xml:space="preserve">Studies on health workers predict that they face challenges such as care overload, risk of infection, exposure to family bereavement and ethical dilemmas (Wang, Di, et al., 2020). Similar data have also been reflected in some studies conducted in the general population exposed to </w:t>
      </w:r>
      <w:r w:rsidR="007D2AFF" w:rsidRPr="007D2AFF">
        <w:rPr>
          <w:sz w:val="22"/>
          <w:szCs w:val="22"/>
        </w:rPr>
        <w:lastRenderedPageBreak/>
        <w:t>confinement situations due to the COVID-19 pandemic, highlighting derived psychological problems such as panic disorder, anxiety and depression (Qiu et al., 2020). Another study found a high prevalence of symptoms of depression, anxiety and insomnia (50.4%, 44.6% and 34.0%, respectively) in health professionals. These data increase in the case of women nurses and the most exposed workers (Lai et al., 2020).</w:t>
      </w:r>
      <w:r w:rsidR="007D2AFF">
        <w:rPr>
          <w:sz w:val="22"/>
          <w:szCs w:val="22"/>
        </w:rPr>
        <w:t xml:space="preserve"> </w:t>
      </w:r>
      <w:r w:rsidR="00884A68" w:rsidRPr="00884A68">
        <w:rPr>
          <w:sz w:val="22"/>
          <w:szCs w:val="22"/>
        </w:rPr>
        <w:t>Non-medically trained personnel (Chew et al</w:t>
      </w:r>
      <w:r w:rsidR="00884A68">
        <w:rPr>
          <w:sz w:val="22"/>
          <w:szCs w:val="22"/>
        </w:rPr>
        <w:t>.,</w:t>
      </w:r>
      <w:r w:rsidR="00884A68" w:rsidRPr="00884A68">
        <w:rPr>
          <w:sz w:val="22"/>
          <w:szCs w:val="22"/>
        </w:rPr>
        <w:t xml:space="preserve"> 2020), the presence of physical symptoms (Chew et al</w:t>
      </w:r>
      <w:r w:rsidR="00884A68">
        <w:rPr>
          <w:sz w:val="22"/>
          <w:szCs w:val="22"/>
        </w:rPr>
        <w:t>.,</w:t>
      </w:r>
      <w:r w:rsidR="00884A68" w:rsidRPr="00884A68">
        <w:rPr>
          <w:sz w:val="22"/>
          <w:szCs w:val="22"/>
        </w:rPr>
        <w:t xml:space="preserve"> 2020) and presence of prior medical conditions (Tan et al</w:t>
      </w:r>
      <w:r w:rsidR="00884A68">
        <w:rPr>
          <w:sz w:val="22"/>
          <w:szCs w:val="22"/>
        </w:rPr>
        <w:t>.,</w:t>
      </w:r>
      <w:r w:rsidR="00884A68" w:rsidRPr="00884A68">
        <w:rPr>
          <w:sz w:val="22"/>
          <w:szCs w:val="22"/>
        </w:rPr>
        <w:t xml:space="preserve"> 2020) were independent predictors for depression and anxiety among healthcare workers.</w:t>
      </w:r>
    </w:p>
    <w:p w14:paraId="78EF32D1" w14:textId="628ED3F6" w:rsidR="003E1B52" w:rsidRDefault="003E1B52" w:rsidP="003E1B52">
      <w:pPr>
        <w:spacing w:line="360" w:lineRule="auto"/>
        <w:rPr>
          <w:sz w:val="22"/>
          <w:szCs w:val="22"/>
        </w:rPr>
      </w:pPr>
      <w:r w:rsidRPr="003E1B52">
        <w:rPr>
          <w:sz w:val="22"/>
          <w:szCs w:val="22"/>
        </w:rPr>
        <w:t xml:space="preserve">However, few assess this type of disorder in the </w:t>
      </w:r>
      <w:r w:rsidR="007D2AFF">
        <w:rPr>
          <w:sz w:val="22"/>
          <w:szCs w:val="22"/>
        </w:rPr>
        <w:t>nursing</w:t>
      </w:r>
      <w:r w:rsidRPr="003E1B52">
        <w:rPr>
          <w:sz w:val="22"/>
          <w:szCs w:val="22"/>
        </w:rPr>
        <w:t xml:space="preserve"> </w:t>
      </w:r>
      <w:r w:rsidR="007D2AFF">
        <w:rPr>
          <w:sz w:val="22"/>
          <w:szCs w:val="22"/>
        </w:rPr>
        <w:t xml:space="preserve">Spanish </w:t>
      </w:r>
      <w:r w:rsidRPr="003E1B52">
        <w:rPr>
          <w:sz w:val="22"/>
          <w:szCs w:val="22"/>
        </w:rPr>
        <w:t xml:space="preserve">population exposed </w:t>
      </w:r>
      <w:r w:rsidR="007D2AFF">
        <w:rPr>
          <w:sz w:val="22"/>
          <w:szCs w:val="22"/>
        </w:rPr>
        <w:t>by COVID-19</w:t>
      </w:r>
      <w:r w:rsidR="009D2EF9" w:rsidRPr="009D2EF9">
        <w:rPr>
          <w:sz w:val="22"/>
          <w:szCs w:val="22"/>
        </w:rPr>
        <w:t xml:space="preserve">. </w:t>
      </w:r>
    </w:p>
    <w:p w14:paraId="71D6E6E8" w14:textId="3F5146B8" w:rsidR="00C20E72" w:rsidRDefault="003E1B52" w:rsidP="003E1B52">
      <w:pPr>
        <w:spacing w:line="360" w:lineRule="auto"/>
        <w:rPr>
          <w:sz w:val="22"/>
          <w:szCs w:val="22"/>
        </w:rPr>
      </w:pPr>
      <w:r w:rsidRPr="003E1B52">
        <w:rPr>
          <w:sz w:val="22"/>
          <w:szCs w:val="22"/>
        </w:rPr>
        <w:t>The Hospital Anxiety and Depression Scale (HAD) (Zigmond &amp; Snaith,1983) has been used to identify levels of anxiety and depression. The extensive use of ADH is associated with its good psychometric properties and brevity of application (about 5 minutes). The adaptation of the scale in Spain suggests a factorial structure with two factors (anxiety and depression) and an internal consistency above .70 (Terol-Cantero et al., 2007), although other authors identify three factors (Vallejo et al., 2012), and also differentiated levels of sensitivity and specificity as applied to the general population or university students (Terol-Cantero et al., 2007). A review (Terol-Cantero et al., 2025) of its applicability in various samples of the general population (students/healthy adults) and clinical population (e.g., emotional, psychiatric, physical disorders such as cancer or fibromyalgia) offers good psychometric properties (e.g., reliability and validity) of ADH adapted to Spanish, comparable to those obtained in other countries, and sensitivity and specificity rates above 70%. However, the diversity in the cut-off points used in studies with a Spanish sample (Terol-Cantero et al., 2025) makes a re-evaluation of these cut-off points necessary.</w:t>
      </w:r>
    </w:p>
    <w:p w14:paraId="3070BE81" w14:textId="798FC2C8" w:rsidR="009C3B2F" w:rsidRDefault="003E1B52" w:rsidP="003E1B52">
      <w:pPr>
        <w:spacing w:line="360" w:lineRule="auto"/>
        <w:rPr>
          <w:sz w:val="22"/>
          <w:szCs w:val="22"/>
        </w:rPr>
      </w:pPr>
      <w:r w:rsidRPr="003E1B52">
        <w:rPr>
          <w:sz w:val="22"/>
          <w:szCs w:val="22"/>
        </w:rPr>
        <w:t>This circumstance, together with the lack of knowledge about the functioning of ADH in the context of a possible stressor/traumatic event common to the</w:t>
      </w:r>
      <w:r w:rsidR="001015E6" w:rsidRPr="001015E6">
        <w:rPr>
          <w:sz w:val="22"/>
          <w:szCs w:val="22"/>
        </w:rPr>
        <w:t xml:space="preserve"> Spanish nursing population</w:t>
      </w:r>
      <w:r w:rsidRPr="003E1B52">
        <w:rPr>
          <w:sz w:val="22"/>
          <w:szCs w:val="22"/>
        </w:rPr>
        <w:t xml:space="preserve">, suggests the usefulness of verifying possible changes in the identification of levels of anxiety or depression by applying different cut-off points that would help to enhance its clinical applicability. Thus, it is interesting to contrast the identification of cases with anxiety and/or depression applying the system originally proposed by Zidmond and Snaith (1983) with that obtained by following categorization systems used with healthy population (Terol-Cantero et al., 2007) and population with emotional disorders (Chivite-Lasheras et al., 2007). Therefore, the objectives of this work are to identify an adequate scoring system in Anxiety and Depression using the Hospital Anxiety and Depression Scale (HAD) (Zidmon &amp; Snaith, 1983) with greater ability to predict these self-reported symptoms in a sample subjected to the influence of the </w:t>
      </w:r>
      <w:r>
        <w:rPr>
          <w:sz w:val="22"/>
          <w:szCs w:val="22"/>
        </w:rPr>
        <w:t>COVID</w:t>
      </w:r>
      <w:r w:rsidRPr="003E1B52">
        <w:rPr>
          <w:sz w:val="22"/>
          <w:szCs w:val="22"/>
        </w:rPr>
        <w:t>-19 pandemic and also to identify whether some selected sociodemographic variables (sex and age) participate in the prediction of anxiety and depression levels.</w:t>
      </w:r>
    </w:p>
    <w:p w14:paraId="6EFE67A1" w14:textId="77777777" w:rsidR="003E1B52" w:rsidRDefault="003E1B52" w:rsidP="003E1B52">
      <w:pPr>
        <w:spacing w:line="360" w:lineRule="auto"/>
        <w:jc w:val="center"/>
        <w:rPr>
          <w:sz w:val="22"/>
          <w:szCs w:val="22"/>
          <w:lang w:val="en-US"/>
        </w:rPr>
      </w:pPr>
    </w:p>
    <w:p w14:paraId="5471CFF8" w14:textId="45C69993" w:rsidR="009C3B2F" w:rsidRPr="00DE404D" w:rsidRDefault="009C3B2F" w:rsidP="003E1B52">
      <w:pPr>
        <w:spacing w:line="360" w:lineRule="auto"/>
        <w:jc w:val="center"/>
        <w:rPr>
          <w:sz w:val="22"/>
          <w:szCs w:val="22"/>
          <w:lang w:val="en-US"/>
        </w:rPr>
      </w:pPr>
      <w:r w:rsidRPr="00DE404D">
        <w:rPr>
          <w:sz w:val="22"/>
          <w:szCs w:val="22"/>
          <w:lang w:val="en-US"/>
        </w:rPr>
        <w:t>Method</w:t>
      </w:r>
    </w:p>
    <w:p w14:paraId="2D4435A9" w14:textId="77777777" w:rsidR="009C3B2F" w:rsidRPr="00DE404D" w:rsidRDefault="009C3B2F" w:rsidP="003E1B52">
      <w:pPr>
        <w:spacing w:line="360" w:lineRule="auto"/>
        <w:jc w:val="both"/>
        <w:rPr>
          <w:sz w:val="22"/>
          <w:szCs w:val="22"/>
          <w:lang w:val="en-US"/>
        </w:rPr>
      </w:pPr>
    </w:p>
    <w:p w14:paraId="2CCB62B2" w14:textId="77777777" w:rsidR="009C3B2F" w:rsidRPr="00DE404D" w:rsidRDefault="009C3B2F" w:rsidP="003E1B52">
      <w:pPr>
        <w:spacing w:line="360" w:lineRule="auto"/>
        <w:jc w:val="both"/>
        <w:rPr>
          <w:sz w:val="22"/>
          <w:szCs w:val="22"/>
          <w:lang w:val="en-US"/>
        </w:rPr>
      </w:pPr>
      <w:r w:rsidRPr="00DE404D">
        <w:rPr>
          <w:sz w:val="22"/>
          <w:szCs w:val="22"/>
          <w:lang w:val="en-US"/>
        </w:rPr>
        <w:lastRenderedPageBreak/>
        <w:t>Participants</w:t>
      </w:r>
    </w:p>
    <w:p w14:paraId="11961963" w14:textId="77777777" w:rsidR="009C3B2F" w:rsidRDefault="009C3B2F" w:rsidP="003E1B52">
      <w:pPr>
        <w:spacing w:line="360" w:lineRule="auto"/>
        <w:jc w:val="both"/>
        <w:rPr>
          <w:sz w:val="22"/>
          <w:szCs w:val="22"/>
          <w:lang w:val="en-US"/>
        </w:rPr>
      </w:pPr>
    </w:p>
    <w:p w14:paraId="4658B2D2" w14:textId="18FA3219" w:rsidR="009C3B2F" w:rsidRDefault="00102E22" w:rsidP="003E1B52">
      <w:pPr>
        <w:spacing w:line="360" w:lineRule="auto"/>
        <w:rPr>
          <w:rFonts w:eastAsia="Calibri"/>
          <w:szCs w:val="22"/>
          <w:lang w:val="en-US" w:eastAsia="en-US"/>
        </w:rPr>
      </w:pPr>
      <w:r>
        <w:rPr>
          <w:rFonts w:eastAsia="Calibri"/>
          <w:szCs w:val="22"/>
          <w:lang w:val="en-US" w:eastAsia="en-US"/>
        </w:rPr>
        <w:t>The valid responses were 689</w:t>
      </w:r>
      <w:r w:rsidRPr="00102E22">
        <w:rPr>
          <w:rFonts w:eastAsia="Calibri"/>
          <w:szCs w:val="22"/>
          <w:lang w:val="en-US" w:eastAsia="en-US"/>
        </w:rPr>
        <w:t xml:space="preserve"> </w:t>
      </w:r>
      <w:r w:rsidRPr="0040612C">
        <w:rPr>
          <w:rFonts w:eastAsia="Calibri"/>
          <w:szCs w:val="22"/>
          <w:lang w:val="en-US" w:eastAsia="en-US"/>
        </w:rPr>
        <w:t xml:space="preserve">where </w:t>
      </w:r>
      <w:r>
        <w:rPr>
          <w:rFonts w:eastAsia="Calibri"/>
          <w:szCs w:val="22"/>
          <w:lang w:val="en-US" w:eastAsia="en-US"/>
        </w:rPr>
        <w:t>397</w:t>
      </w:r>
      <w:r w:rsidR="00D60F8F">
        <w:rPr>
          <w:rFonts w:eastAsia="Calibri"/>
          <w:szCs w:val="22"/>
          <w:lang w:val="en-US" w:eastAsia="en-US"/>
        </w:rPr>
        <w:t xml:space="preserve"> </w:t>
      </w:r>
      <w:r w:rsidRPr="0040612C">
        <w:rPr>
          <w:rFonts w:eastAsia="Calibri"/>
          <w:szCs w:val="22"/>
          <w:lang w:val="en-US" w:eastAsia="en-US"/>
        </w:rPr>
        <w:t xml:space="preserve">were women and </w:t>
      </w:r>
      <w:r>
        <w:rPr>
          <w:rFonts w:eastAsia="Calibri"/>
          <w:szCs w:val="22"/>
          <w:lang w:val="en-US" w:eastAsia="en-US"/>
        </w:rPr>
        <w:t>292</w:t>
      </w:r>
      <w:r w:rsidRPr="0040612C">
        <w:rPr>
          <w:rFonts w:eastAsia="Calibri"/>
          <w:szCs w:val="22"/>
          <w:lang w:val="en-US" w:eastAsia="en-US"/>
        </w:rPr>
        <w:t xml:space="preserve"> were men, between 18 and 73 years old (</w:t>
      </w:r>
      <w:r w:rsidRPr="0040612C">
        <w:rPr>
          <w:rFonts w:eastAsia="Calibri"/>
          <w:i/>
          <w:szCs w:val="22"/>
          <w:lang w:val="en-US" w:eastAsia="en-US"/>
        </w:rPr>
        <w:t>M</w:t>
      </w:r>
      <w:r w:rsidRPr="0040612C">
        <w:rPr>
          <w:rFonts w:eastAsia="Calibri"/>
          <w:szCs w:val="22"/>
          <w:lang w:val="en-US" w:eastAsia="en-US"/>
        </w:rPr>
        <w:t xml:space="preserve"> = 27.79; </w:t>
      </w:r>
      <w:r w:rsidRPr="0040612C">
        <w:rPr>
          <w:rFonts w:eastAsia="Calibri"/>
          <w:i/>
          <w:szCs w:val="22"/>
          <w:lang w:val="en-US" w:eastAsia="en-US"/>
        </w:rPr>
        <w:t>SD</w:t>
      </w:r>
      <w:r w:rsidRPr="0040612C">
        <w:rPr>
          <w:rFonts w:eastAsia="Calibri"/>
          <w:szCs w:val="22"/>
          <w:lang w:val="en-US" w:eastAsia="en-US"/>
        </w:rPr>
        <w:t xml:space="preserve"> = 12.68)</w:t>
      </w:r>
      <w:r>
        <w:rPr>
          <w:rFonts w:eastAsia="Calibri"/>
          <w:szCs w:val="22"/>
          <w:lang w:val="en-US" w:eastAsia="en-US"/>
        </w:rPr>
        <w:t>.</w:t>
      </w:r>
      <w:r w:rsidR="009C3B2F" w:rsidRPr="0040612C">
        <w:rPr>
          <w:rFonts w:eastAsia="Calibri"/>
          <w:szCs w:val="22"/>
          <w:lang w:val="en-US" w:eastAsia="en-US"/>
        </w:rPr>
        <w:t xml:space="preserve"> The criteria for inclusion in the study were: 1) </w:t>
      </w:r>
      <w:r>
        <w:rPr>
          <w:rFonts w:eastAsia="Calibri"/>
          <w:szCs w:val="22"/>
          <w:lang w:val="en-US" w:eastAsia="en-US"/>
        </w:rPr>
        <w:t>B</w:t>
      </w:r>
      <w:r w:rsidRPr="00102E22">
        <w:rPr>
          <w:rFonts w:eastAsia="Calibri"/>
          <w:szCs w:val="22"/>
          <w:lang w:val="en-US" w:eastAsia="en-US"/>
        </w:rPr>
        <w:t>e a nurse worker</w:t>
      </w:r>
      <w:r w:rsidR="009C3B2F" w:rsidRPr="0040612C">
        <w:rPr>
          <w:rFonts w:eastAsia="Calibri"/>
          <w:szCs w:val="22"/>
          <w:lang w:val="en-US" w:eastAsia="en-US"/>
        </w:rPr>
        <w:t xml:space="preserve"> and 2) To have completed the questionnaire. The final</w:t>
      </w:r>
      <w:r>
        <w:rPr>
          <w:rFonts w:eastAsia="Calibri"/>
          <w:szCs w:val="22"/>
          <w:lang w:val="en-US" w:eastAsia="en-US"/>
        </w:rPr>
        <w:t xml:space="preserve"> sample consisted of </w:t>
      </w:r>
      <w:r w:rsidRPr="007D2AFF">
        <w:rPr>
          <w:rFonts w:eastAsia="Calibri"/>
          <w:szCs w:val="22"/>
          <w:lang w:val="en-US" w:eastAsia="en-US"/>
        </w:rPr>
        <w:t>689</w:t>
      </w:r>
      <w:r>
        <w:rPr>
          <w:rFonts w:eastAsia="Calibri"/>
          <w:szCs w:val="22"/>
          <w:lang w:val="en-US" w:eastAsia="en-US"/>
        </w:rPr>
        <w:t xml:space="preserve"> people</w:t>
      </w:r>
      <w:r w:rsidR="009C3B2F" w:rsidRPr="0040612C">
        <w:rPr>
          <w:rFonts w:eastAsia="Calibri"/>
          <w:szCs w:val="22"/>
          <w:lang w:val="en-US" w:eastAsia="en-US"/>
        </w:rPr>
        <w:t xml:space="preserve"> (Table 1).</w:t>
      </w:r>
    </w:p>
    <w:p w14:paraId="289E6DB3" w14:textId="77777777" w:rsidR="00102E22" w:rsidRPr="00102E22" w:rsidRDefault="00102E22" w:rsidP="00102E22">
      <w:pPr>
        <w:ind w:left="567" w:hanging="567"/>
        <w:rPr>
          <w:rFonts w:eastAsia="Calibri"/>
          <w:color w:val="000000"/>
          <w:lang w:eastAsia="en-US"/>
        </w:rPr>
      </w:pPr>
      <w:r w:rsidRPr="00102E22">
        <w:rPr>
          <w:rFonts w:eastAsia="Calibri"/>
          <w:color w:val="000000"/>
          <w:lang w:eastAsia="en-US"/>
        </w:rPr>
        <w:t xml:space="preserve">Table 1. </w:t>
      </w:r>
    </w:p>
    <w:p w14:paraId="60E33A40" w14:textId="77777777" w:rsidR="00102E22" w:rsidRPr="00102E22" w:rsidRDefault="00102E22" w:rsidP="00102E22">
      <w:pPr>
        <w:ind w:left="567" w:hanging="567"/>
        <w:rPr>
          <w:rFonts w:eastAsia="Calibri"/>
          <w:szCs w:val="22"/>
          <w:lang w:eastAsia="en-US"/>
        </w:rPr>
      </w:pPr>
      <w:r w:rsidRPr="00102E22">
        <w:rPr>
          <w:rFonts w:eastAsia="Calibri"/>
          <w:color w:val="000000"/>
          <w:lang w:eastAsia="en-US"/>
        </w:rPr>
        <w:t>Description of socio-demographic data of the simple.</w:t>
      </w:r>
    </w:p>
    <w:tbl>
      <w:tblPr>
        <w:tblW w:w="0" w:type="auto"/>
        <w:jc w:val="center"/>
        <w:tblLook w:val="04A0" w:firstRow="1" w:lastRow="0" w:firstColumn="1" w:lastColumn="0" w:noHBand="0" w:noVBand="1"/>
      </w:tblPr>
      <w:tblGrid>
        <w:gridCol w:w="4111"/>
        <w:gridCol w:w="1225"/>
        <w:gridCol w:w="1030"/>
        <w:gridCol w:w="523"/>
        <w:gridCol w:w="466"/>
        <w:gridCol w:w="830"/>
      </w:tblGrid>
      <w:tr w:rsidR="00102E22" w:rsidRPr="00102E22" w14:paraId="79A6B7AF" w14:textId="77777777" w:rsidTr="00102E22">
        <w:trPr>
          <w:jc w:val="center"/>
        </w:trPr>
        <w:tc>
          <w:tcPr>
            <w:tcW w:w="4111" w:type="dxa"/>
            <w:tcBorders>
              <w:top w:val="single" w:sz="4" w:space="0" w:color="auto"/>
              <w:bottom w:val="single" w:sz="4" w:space="0" w:color="auto"/>
            </w:tcBorders>
            <w:shd w:val="clear" w:color="auto" w:fill="auto"/>
            <w:vAlign w:val="center"/>
          </w:tcPr>
          <w:p w14:paraId="083E9B5F" w14:textId="77777777" w:rsidR="00102E22" w:rsidRPr="00102E22" w:rsidRDefault="00102E22" w:rsidP="00102E22">
            <w:pPr>
              <w:jc w:val="both"/>
              <w:rPr>
                <w:rFonts w:eastAsia="Calibri"/>
                <w:sz w:val="20"/>
                <w:szCs w:val="20"/>
                <w:lang w:eastAsia="en-US"/>
              </w:rPr>
            </w:pPr>
          </w:p>
        </w:tc>
        <w:tc>
          <w:tcPr>
            <w:tcW w:w="1225" w:type="dxa"/>
            <w:tcBorders>
              <w:top w:val="single" w:sz="4" w:space="0" w:color="auto"/>
              <w:bottom w:val="single" w:sz="4" w:space="0" w:color="auto"/>
            </w:tcBorders>
            <w:shd w:val="clear" w:color="auto" w:fill="auto"/>
            <w:vAlign w:val="center"/>
          </w:tcPr>
          <w:p w14:paraId="64DB3120" w14:textId="1D4EEC08" w:rsidR="00102E22" w:rsidRPr="00102E22" w:rsidRDefault="00102E22" w:rsidP="00102E22">
            <w:pPr>
              <w:jc w:val="center"/>
              <w:rPr>
                <w:rFonts w:eastAsia="Calibri"/>
                <w:lang w:eastAsia="en-US"/>
              </w:rPr>
            </w:pPr>
            <w:r w:rsidRPr="00102E22">
              <w:rPr>
                <w:rFonts w:eastAsia="Calibri"/>
                <w:i/>
                <w:lang w:eastAsia="en-US"/>
              </w:rPr>
              <w:t>n</w:t>
            </w:r>
          </w:p>
        </w:tc>
        <w:tc>
          <w:tcPr>
            <w:tcW w:w="0" w:type="auto"/>
            <w:tcBorders>
              <w:top w:val="single" w:sz="4" w:space="0" w:color="auto"/>
              <w:bottom w:val="single" w:sz="4" w:space="0" w:color="auto"/>
            </w:tcBorders>
            <w:shd w:val="clear" w:color="auto" w:fill="auto"/>
            <w:vAlign w:val="center"/>
          </w:tcPr>
          <w:p w14:paraId="47F87982" w14:textId="77777777" w:rsidR="00102E22" w:rsidRPr="00102E22" w:rsidRDefault="00102E22" w:rsidP="00102E22">
            <w:pPr>
              <w:jc w:val="both"/>
              <w:rPr>
                <w:rFonts w:eastAsia="Calibri"/>
                <w:lang w:eastAsia="en-US"/>
              </w:rPr>
            </w:pPr>
            <w:r w:rsidRPr="00102E22">
              <w:rPr>
                <w:rFonts w:eastAsia="Calibri"/>
                <w:lang w:eastAsia="en-US"/>
              </w:rPr>
              <w:t>Contrast</w:t>
            </w:r>
          </w:p>
        </w:tc>
        <w:tc>
          <w:tcPr>
            <w:tcW w:w="0" w:type="auto"/>
            <w:tcBorders>
              <w:top w:val="single" w:sz="4" w:space="0" w:color="auto"/>
              <w:bottom w:val="single" w:sz="4" w:space="0" w:color="auto"/>
            </w:tcBorders>
            <w:shd w:val="clear" w:color="auto" w:fill="auto"/>
            <w:vAlign w:val="center"/>
          </w:tcPr>
          <w:p w14:paraId="225A44BF" w14:textId="77777777" w:rsidR="00102E22" w:rsidRPr="00102E22" w:rsidRDefault="00102E22" w:rsidP="00102E22">
            <w:pPr>
              <w:jc w:val="both"/>
              <w:rPr>
                <w:rFonts w:eastAsia="Calibri"/>
                <w:lang w:eastAsia="en-US"/>
              </w:rPr>
            </w:pPr>
            <w:r w:rsidRPr="00102E22">
              <w:rPr>
                <w:rFonts w:eastAsia="Calibri"/>
                <w:lang w:eastAsia="en-US"/>
              </w:rPr>
              <w:t>g.l.</w:t>
            </w:r>
          </w:p>
        </w:tc>
        <w:tc>
          <w:tcPr>
            <w:tcW w:w="0" w:type="auto"/>
            <w:tcBorders>
              <w:top w:val="single" w:sz="4" w:space="0" w:color="auto"/>
              <w:bottom w:val="single" w:sz="4" w:space="0" w:color="auto"/>
            </w:tcBorders>
            <w:shd w:val="clear" w:color="auto" w:fill="auto"/>
            <w:vAlign w:val="center"/>
          </w:tcPr>
          <w:p w14:paraId="7C0C2907" w14:textId="77777777" w:rsidR="00102E22" w:rsidRPr="00102E22" w:rsidRDefault="00102E22" w:rsidP="00102E22">
            <w:pPr>
              <w:jc w:val="center"/>
              <w:rPr>
                <w:lang w:val="es-ES_tradnl" w:eastAsia="es-ES"/>
              </w:rPr>
            </w:pPr>
            <w:r w:rsidRPr="00102E22">
              <w:rPr>
                <w:lang w:val="es-ES_tradnl" w:eastAsia="es-ES"/>
              </w:rPr>
              <w:t>η</w:t>
            </w:r>
            <w:r w:rsidRPr="00102E22">
              <w:rPr>
                <w:vertAlign w:val="superscript"/>
                <w:lang w:val="es-ES_tradnl" w:eastAsia="es-ES"/>
              </w:rPr>
              <w:t>2</w:t>
            </w:r>
          </w:p>
        </w:tc>
        <w:tc>
          <w:tcPr>
            <w:tcW w:w="0" w:type="auto"/>
            <w:tcBorders>
              <w:top w:val="single" w:sz="4" w:space="0" w:color="auto"/>
              <w:bottom w:val="single" w:sz="4" w:space="0" w:color="auto"/>
            </w:tcBorders>
            <w:shd w:val="clear" w:color="auto" w:fill="auto"/>
            <w:vAlign w:val="center"/>
          </w:tcPr>
          <w:p w14:paraId="798EE2FB" w14:textId="77777777" w:rsidR="00102E22" w:rsidRPr="00102E22" w:rsidRDefault="00102E22" w:rsidP="00102E22">
            <w:pPr>
              <w:jc w:val="center"/>
              <w:rPr>
                <w:lang w:val="es-ES_tradnl" w:eastAsia="es-ES"/>
              </w:rPr>
            </w:pPr>
            <w:r w:rsidRPr="00102E22">
              <w:rPr>
                <w:lang w:val="es-ES_tradnl" w:eastAsia="es-ES"/>
              </w:rPr>
              <w:t>Power</w:t>
            </w:r>
          </w:p>
        </w:tc>
      </w:tr>
      <w:tr w:rsidR="00102E22" w:rsidRPr="00102E22" w14:paraId="436E7C48" w14:textId="77777777" w:rsidTr="00102E22">
        <w:trPr>
          <w:jc w:val="center"/>
        </w:trPr>
        <w:tc>
          <w:tcPr>
            <w:tcW w:w="4111" w:type="dxa"/>
            <w:tcBorders>
              <w:top w:val="single" w:sz="4" w:space="0" w:color="auto"/>
            </w:tcBorders>
            <w:shd w:val="clear" w:color="auto" w:fill="auto"/>
            <w:vAlign w:val="center"/>
          </w:tcPr>
          <w:p w14:paraId="0BE1A233" w14:textId="77777777" w:rsidR="00102E22" w:rsidRPr="00102E22" w:rsidRDefault="00102E22" w:rsidP="00102E22">
            <w:pPr>
              <w:jc w:val="both"/>
              <w:rPr>
                <w:rFonts w:eastAsia="Calibri"/>
                <w:sz w:val="20"/>
                <w:szCs w:val="20"/>
                <w:lang w:eastAsia="en-US"/>
              </w:rPr>
            </w:pPr>
            <w:r w:rsidRPr="00102E22">
              <w:rPr>
                <w:rFonts w:eastAsia="Calibri"/>
                <w:sz w:val="20"/>
                <w:szCs w:val="20"/>
                <w:lang w:eastAsia="en-US"/>
              </w:rPr>
              <w:t xml:space="preserve">Gender  </w:t>
            </w:r>
          </w:p>
        </w:tc>
        <w:tc>
          <w:tcPr>
            <w:tcW w:w="1225" w:type="dxa"/>
            <w:tcBorders>
              <w:top w:val="single" w:sz="4" w:space="0" w:color="auto"/>
            </w:tcBorders>
            <w:shd w:val="clear" w:color="auto" w:fill="auto"/>
            <w:vAlign w:val="center"/>
          </w:tcPr>
          <w:p w14:paraId="6A18281C" w14:textId="77777777" w:rsidR="00102E22" w:rsidRPr="00102E22" w:rsidRDefault="00102E22" w:rsidP="00102E22">
            <w:pPr>
              <w:jc w:val="center"/>
              <w:rPr>
                <w:rFonts w:eastAsia="Calibri"/>
                <w:sz w:val="20"/>
                <w:szCs w:val="20"/>
                <w:lang w:eastAsia="en-US"/>
              </w:rPr>
            </w:pPr>
          </w:p>
        </w:tc>
        <w:tc>
          <w:tcPr>
            <w:tcW w:w="0" w:type="auto"/>
            <w:tcBorders>
              <w:top w:val="single" w:sz="4" w:space="0" w:color="auto"/>
            </w:tcBorders>
            <w:shd w:val="clear" w:color="auto" w:fill="auto"/>
            <w:vAlign w:val="center"/>
          </w:tcPr>
          <w:p w14:paraId="3BC7B31B" w14:textId="77777777" w:rsidR="00102E22" w:rsidRPr="00102E22" w:rsidRDefault="00102E22" w:rsidP="00102E22">
            <w:pPr>
              <w:jc w:val="center"/>
              <w:rPr>
                <w:rFonts w:eastAsia="Calibri"/>
                <w:sz w:val="20"/>
                <w:szCs w:val="20"/>
                <w:lang w:eastAsia="en-US"/>
              </w:rPr>
            </w:pPr>
          </w:p>
        </w:tc>
        <w:tc>
          <w:tcPr>
            <w:tcW w:w="0" w:type="auto"/>
            <w:tcBorders>
              <w:top w:val="single" w:sz="4" w:space="0" w:color="auto"/>
            </w:tcBorders>
            <w:shd w:val="clear" w:color="auto" w:fill="auto"/>
            <w:vAlign w:val="center"/>
          </w:tcPr>
          <w:p w14:paraId="772EF317" w14:textId="77777777" w:rsidR="00102E22" w:rsidRPr="00102E22" w:rsidRDefault="00102E22" w:rsidP="00102E22">
            <w:pPr>
              <w:jc w:val="center"/>
              <w:rPr>
                <w:rFonts w:eastAsia="Calibri"/>
                <w:sz w:val="20"/>
                <w:szCs w:val="20"/>
                <w:lang w:eastAsia="en-US"/>
              </w:rPr>
            </w:pPr>
          </w:p>
        </w:tc>
        <w:tc>
          <w:tcPr>
            <w:tcW w:w="0" w:type="auto"/>
            <w:tcBorders>
              <w:top w:val="single" w:sz="4" w:space="0" w:color="auto"/>
            </w:tcBorders>
            <w:shd w:val="clear" w:color="auto" w:fill="auto"/>
            <w:vAlign w:val="center"/>
          </w:tcPr>
          <w:p w14:paraId="5F30A2DA" w14:textId="77777777" w:rsidR="00102E22" w:rsidRPr="00102E22" w:rsidRDefault="00102E22" w:rsidP="00102E22">
            <w:pPr>
              <w:jc w:val="center"/>
              <w:rPr>
                <w:rFonts w:eastAsia="Calibri"/>
                <w:sz w:val="20"/>
                <w:szCs w:val="20"/>
                <w:lang w:eastAsia="en-US"/>
              </w:rPr>
            </w:pPr>
          </w:p>
        </w:tc>
        <w:tc>
          <w:tcPr>
            <w:tcW w:w="0" w:type="auto"/>
            <w:tcBorders>
              <w:top w:val="single" w:sz="4" w:space="0" w:color="auto"/>
            </w:tcBorders>
            <w:shd w:val="clear" w:color="auto" w:fill="auto"/>
            <w:vAlign w:val="center"/>
          </w:tcPr>
          <w:p w14:paraId="67E47BCE" w14:textId="77777777" w:rsidR="00102E22" w:rsidRPr="00102E22" w:rsidRDefault="00102E22" w:rsidP="00102E22">
            <w:pPr>
              <w:jc w:val="center"/>
              <w:rPr>
                <w:rFonts w:eastAsia="Calibri"/>
                <w:sz w:val="20"/>
                <w:szCs w:val="20"/>
                <w:lang w:eastAsia="en-US"/>
              </w:rPr>
            </w:pPr>
          </w:p>
        </w:tc>
      </w:tr>
      <w:tr w:rsidR="00102E22" w:rsidRPr="00102E22" w14:paraId="23FADB2E" w14:textId="77777777" w:rsidTr="00102E22">
        <w:trPr>
          <w:jc w:val="center"/>
        </w:trPr>
        <w:tc>
          <w:tcPr>
            <w:tcW w:w="4111" w:type="dxa"/>
            <w:shd w:val="clear" w:color="auto" w:fill="auto"/>
            <w:vAlign w:val="center"/>
          </w:tcPr>
          <w:p w14:paraId="00A2A5F6" w14:textId="77777777" w:rsidR="00102E22" w:rsidRPr="00102E22" w:rsidRDefault="00102E22" w:rsidP="00102E22">
            <w:pPr>
              <w:jc w:val="both"/>
              <w:rPr>
                <w:rFonts w:eastAsia="Calibri"/>
                <w:sz w:val="20"/>
                <w:szCs w:val="20"/>
                <w:lang w:eastAsia="en-US"/>
              </w:rPr>
            </w:pPr>
            <w:r w:rsidRPr="00102E22">
              <w:rPr>
                <w:rFonts w:eastAsia="Calibri"/>
                <w:sz w:val="20"/>
                <w:szCs w:val="20"/>
                <w:lang w:eastAsia="en-US"/>
              </w:rPr>
              <w:t xml:space="preserve">    Women</w:t>
            </w:r>
          </w:p>
        </w:tc>
        <w:tc>
          <w:tcPr>
            <w:tcW w:w="1225" w:type="dxa"/>
            <w:shd w:val="clear" w:color="auto" w:fill="auto"/>
            <w:vAlign w:val="center"/>
          </w:tcPr>
          <w:p w14:paraId="7AC56CA3" w14:textId="017015D5" w:rsidR="00102E22" w:rsidRPr="00102E22" w:rsidRDefault="00102E22" w:rsidP="00102E22">
            <w:pPr>
              <w:jc w:val="center"/>
              <w:rPr>
                <w:rFonts w:eastAsia="Calibri"/>
                <w:sz w:val="20"/>
                <w:szCs w:val="20"/>
                <w:lang w:eastAsia="en-US"/>
              </w:rPr>
            </w:pPr>
            <w:r>
              <w:rPr>
                <w:rFonts w:eastAsia="Calibri"/>
                <w:sz w:val="20"/>
                <w:szCs w:val="20"/>
                <w:lang w:eastAsia="en-US"/>
              </w:rPr>
              <w:t>397</w:t>
            </w:r>
          </w:p>
        </w:tc>
        <w:tc>
          <w:tcPr>
            <w:tcW w:w="0" w:type="auto"/>
            <w:shd w:val="clear" w:color="auto" w:fill="auto"/>
            <w:vAlign w:val="center"/>
          </w:tcPr>
          <w:p w14:paraId="02E591BF" w14:textId="55B35D27" w:rsidR="00102E22" w:rsidRPr="00102E22" w:rsidRDefault="00102E22" w:rsidP="00102E22">
            <w:pPr>
              <w:jc w:val="center"/>
              <w:rPr>
                <w:rFonts w:eastAsia="Calibri"/>
                <w:sz w:val="20"/>
                <w:szCs w:val="20"/>
                <w:lang w:eastAsia="en-US"/>
              </w:rPr>
            </w:pPr>
            <w:r>
              <w:rPr>
                <w:rFonts w:eastAsia="Calibri"/>
                <w:sz w:val="20"/>
                <w:szCs w:val="20"/>
                <w:lang w:eastAsia="en-US"/>
              </w:rPr>
              <w:t>1</w:t>
            </w:r>
            <w:r w:rsidRPr="00102E22">
              <w:rPr>
                <w:rFonts w:eastAsia="Calibri"/>
                <w:sz w:val="20"/>
                <w:szCs w:val="20"/>
                <w:lang w:eastAsia="en-US"/>
              </w:rPr>
              <w:t>.0</w:t>
            </w:r>
            <w:r>
              <w:rPr>
                <w:rFonts w:eastAsia="Calibri"/>
                <w:sz w:val="20"/>
                <w:szCs w:val="20"/>
                <w:lang w:eastAsia="en-US"/>
              </w:rPr>
              <w:t>8</w:t>
            </w:r>
            <w:r w:rsidRPr="00102E22">
              <w:rPr>
                <w:rFonts w:eastAsia="Calibri"/>
                <w:sz w:val="20"/>
                <w:szCs w:val="20"/>
                <w:lang w:eastAsia="en-US"/>
              </w:rPr>
              <w:t>*</w:t>
            </w:r>
          </w:p>
        </w:tc>
        <w:tc>
          <w:tcPr>
            <w:tcW w:w="0" w:type="auto"/>
            <w:shd w:val="clear" w:color="auto" w:fill="auto"/>
            <w:vAlign w:val="center"/>
          </w:tcPr>
          <w:p w14:paraId="3C14F406" w14:textId="77777777" w:rsidR="00102E22" w:rsidRPr="00102E22" w:rsidRDefault="00102E22" w:rsidP="00102E22">
            <w:pPr>
              <w:jc w:val="center"/>
              <w:rPr>
                <w:rFonts w:eastAsia="Calibri"/>
                <w:sz w:val="20"/>
                <w:szCs w:val="20"/>
                <w:lang w:eastAsia="en-US"/>
              </w:rPr>
            </w:pPr>
            <w:r w:rsidRPr="00102E22">
              <w:rPr>
                <w:rFonts w:eastAsia="Calibri"/>
                <w:sz w:val="20"/>
                <w:szCs w:val="20"/>
                <w:lang w:eastAsia="en-US"/>
              </w:rPr>
              <w:t>1</w:t>
            </w:r>
          </w:p>
        </w:tc>
        <w:tc>
          <w:tcPr>
            <w:tcW w:w="0" w:type="auto"/>
            <w:shd w:val="clear" w:color="auto" w:fill="auto"/>
            <w:vAlign w:val="center"/>
          </w:tcPr>
          <w:p w14:paraId="0AE26765" w14:textId="53C01F5C" w:rsidR="00102E22" w:rsidRPr="00102E22" w:rsidRDefault="00102E22" w:rsidP="00102E22">
            <w:pPr>
              <w:jc w:val="center"/>
              <w:rPr>
                <w:rFonts w:eastAsia="Calibri"/>
                <w:sz w:val="20"/>
                <w:szCs w:val="20"/>
                <w:lang w:eastAsia="en-US"/>
              </w:rPr>
            </w:pPr>
            <w:r w:rsidRPr="00102E22">
              <w:rPr>
                <w:rFonts w:eastAsia="Calibri"/>
                <w:sz w:val="20"/>
                <w:szCs w:val="20"/>
                <w:lang w:eastAsia="en-US"/>
              </w:rPr>
              <w:t>.</w:t>
            </w:r>
            <w:r>
              <w:rPr>
                <w:rFonts w:eastAsia="Calibri"/>
                <w:sz w:val="20"/>
                <w:szCs w:val="20"/>
                <w:lang w:eastAsia="en-US"/>
              </w:rPr>
              <w:t>2</w:t>
            </w:r>
            <w:r w:rsidRPr="00102E22">
              <w:rPr>
                <w:rFonts w:eastAsia="Calibri"/>
                <w:sz w:val="20"/>
                <w:szCs w:val="20"/>
                <w:lang w:eastAsia="en-US"/>
              </w:rPr>
              <w:t>9</w:t>
            </w:r>
          </w:p>
        </w:tc>
        <w:tc>
          <w:tcPr>
            <w:tcW w:w="0" w:type="auto"/>
            <w:shd w:val="clear" w:color="auto" w:fill="auto"/>
            <w:vAlign w:val="center"/>
          </w:tcPr>
          <w:p w14:paraId="2AA556AC" w14:textId="203BBAD4" w:rsidR="00102E22" w:rsidRPr="00102E22" w:rsidRDefault="00102E22" w:rsidP="00102E22">
            <w:pPr>
              <w:jc w:val="center"/>
              <w:rPr>
                <w:rFonts w:eastAsia="Calibri"/>
                <w:sz w:val="20"/>
                <w:szCs w:val="20"/>
                <w:lang w:eastAsia="en-US"/>
              </w:rPr>
            </w:pPr>
            <w:r w:rsidRPr="00102E22">
              <w:rPr>
                <w:rFonts w:eastAsia="Calibri"/>
                <w:sz w:val="20"/>
                <w:szCs w:val="20"/>
                <w:lang w:eastAsia="en-US"/>
              </w:rPr>
              <w:t>.</w:t>
            </w:r>
            <w:r>
              <w:rPr>
                <w:rFonts w:eastAsia="Calibri"/>
                <w:sz w:val="20"/>
                <w:szCs w:val="20"/>
                <w:lang w:eastAsia="en-US"/>
              </w:rPr>
              <w:t>7</w:t>
            </w:r>
            <w:r w:rsidRPr="00102E22">
              <w:rPr>
                <w:rFonts w:eastAsia="Calibri"/>
                <w:sz w:val="20"/>
                <w:szCs w:val="20"/>
                <w:lang w:eastAsia="en-US"/>
              </w:rPr>
              <w:t>9</w:t>
            </w:r>
          </w:p>
        </w:tc>
      </w:tr>
      <w:tr w:rsidR="00102E22" w:rsidRPr="00102E22" w14:paraId="5C0DA871" w14:textId="77777777" w:rsidTr="00102E22">
        <w:trPr>
          <w:jc w:val="center"/>
        </w:trPr>
        <w:tc>
          <w:tcPr>
            <w:tcW w:w="4111" w:type="dxa"/>
            <w:shd w:val="clear" w:color="auto" w:fill="auto"/>
            <w:vAlign w:val="center"/>
          </w:tcPr>
          <w:p w14:paraId="69B72D41" w14:textId="77777777" w:rsidR="00102E22" w:rsidRPr="00102E22" w:rsidRDefault="00102E22" w:rsidP="00102E22">
            <w:pPr>
              <w:jc w:val="both"/>
              <w:rPr>
                <w:rFonts w:eastAsia="Calibri"/>
                <w:sz w:val="20"/>
                <w:szCs w:val="20"/>
                <w:lang w:eastAsia="en-US"/>
              </w:rPr>
            </w:pPr>
            <w:r w:rsidRPr="00102E22">
              <w:rPr>
                <w:rFonts w:eastAsia="Calibri"/>
                <w:sz w:val="20"/>
                <w:szCs w:val="20"/>
                <w:lang w:eastAsia="en-US"/>
              </w:rPr>
              <w:t xml:space="preserve">    Men</w:t>
            </w:r>
          </w:p>
        </w:tc>
        <w:tc>
          <w:tcPr>
            <w:tcW w:w="1225" w:type="dxa"/>
            <w:shd w:val="clear" w:color="auto" w:fill="auto"/>
            <w:vAlign w:val="center"/>
          </w:tcPr>
          <w:p w14:paraId="335003A3" w14:textId="7CE0E417" w:rsidR="00102E22" w:rsidRPr="00102E22" w:rsidRDefault="00102E22" w:rsidP="00102E22">
            <w:pPr>
              <w:jc w:val="center"/>
              <w:rPr>
                <w:rFonts w:eastAsia="Calibri"/>
                <w:sz w:val="20"/>
                <w:szCs w:val="20"/>
                <w:lang w:eastAsia="en-US"/>
              </w:rPr>
            </w:pPr>
            <w:r>
              <w:rPr>
                <w:rFonts w:eastAsia="Calibri"/>
                <w:sz w:val="20"/>
                <w:szCs w:val="20"/>
                <w:lang w:eastAsia="en-US"/>
              </w:rPr>
              <w:t>292</w:t>
            </w:r>
          </w:p>
        </w:tc>
        <w:tc>
          <w:tcPr>
            <w:tcW w:w="0" w:type="auto"/>
            <w:shd w:val="clear" w:color="auto" w:fill="auto"/>
            <w:vAlign w:val="center"/>
          </w:tcPr>
          <w:p w14:paraId="1FA842B5"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1513DFF7"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3683C1C6"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77ADA7DC" w14:textId="77777777" w:rsidR="00102E22" w:rsidRPr="00102E22" w:rsidRDefault="00102E22" w:rsidP="00102E22">
            <w:pPr>
              <w:jc w:val="center"/>
              <w:rPr>
                <w:rFonts w:eastAsia="Calibri"/>
                <w:sz w:val="20"/>
                <w:szCs w:val="20"/>
                <w:lang w:eastAsia="en-US"/>
              </w:rPr>
            </w:pPr>
          </w:p>
        </w:tc>
      </w:tr>
      <w:tr w:rsidR="00102E22" w:rsidRPr="00102E22" w14:paraId="13E7E4E2" w14:textId="77777777" w:rsidTr="00102E22">
        <w:trPr>
          <w:jc w:val="center"/>
        </w:trPr>
        <w:tc>
          <w:tcPr>
            <w:tcW w:w="4111" w:type="dxa"/>
            <w:shd w:val="clear" w:color="auto" w:fill="auto"/>
            <w:vAlign w:val="center"/>
          </w:tcPr>
          <w:p w14:paraId="1303EB45" w14:textId="77777777" w:rsidR="00102E22" w:rsidRPr="00102E22" w:rsidRDefault="00102E22" w:rsidP="00102E22">
            <w:pPr>
              <w:jc w:val="both"/>
              <w:rPr>
                <w:rFonts w:eastAsia="Calibri"/>
                <w:sz w:val="20"/>
                <w:szCs w:val="20"/>
                <w:lang w:eastAsia="en-US"/>
              </w:rPr>
            </w:pPr>
            <w:r w:rsidRPr="00102E22">
              <w:rPr>
                <w:rFonts w:eastAsia="Calibri"/>
                <w:sz w:val="20"/>
                <w:szCs w:val="20"/>
                <w:lang w:eastAsia="en-US"/>
              </w:rPr>
              <w:t>Age</w:t>
            </w:r>
          </w:p>
        </w:tc>
        <w:tc>
          <w:tcPr>
            <w:tcW w:w="1225" w:type="dxa"/>
            <w:shd w:val="clear" w:color="auto" w:fill="auto"/>
            <w:vAlign w:val="center"/>
          </w:tcPr>
          <w:p w14:paraId="18655EFB"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03F97D68"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154CB76E"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3B25B6BA"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30DFC727" w14:textId="77777777" w:rsidR="00102E22" w:rsidRPr="00102E22" w:rsidRDefault="00102E22" w:rsidP="00102E22">
            <w:pPr>
              <w:jc w:val="center"/>
              <w:rPr>
                <w:rFonts w:eastAsia="Calibri"/>
                <w:sz w:val="20"/>
                <w:szCs w:val="20"/>
                <w:lang w:eastAsia="en-US"/>
              </w:rPr>
            </w:pPr>
          </w:p>
        </w:tc>
      </w:tr>
      <w:tr w:rsidR="00102E22" w:rsidRPr="00102E22" w14:paraId="627816B3" w14:textId="77777777" w:rsidTr="00102E22">
        <w:trPr>
          <w:jc w:val="center"/>
        </w:trPr>
        <w:tc>
          <w:tcPr>
            <w:tcW w:w="4111" w:type="dxa"/>
            <w:shd w:val="clear" w:color="auto" w:fill="auto"/>
            <w:vAlign w:val="center"/>
          </w:tcPr>
          <w:p w14:paraId="428FD7FC" w14:textId="77777777" w:rsidR="00102E22" w:rsidRPr="00102E22" w:rsidRDefault="00102E22" w:rsidP="00102E22">
            <w:pPr>
              <w:jc w:val="both"/>
              <w:rPr>
                <w:rFonts w:eastAsia="Calibri"/>
                <w:sz w:val="20"/>
                <w:szCs w:val="20"/>
                <w:lang w:eastAsia="en-US"/>
              </w:rPr>
            </w:pPr>
            <w:r w:rsidRPr="00102E22">
              <w:rPr>
                <w:rFonts w:eastAsia="Calibri"/>
                <w:sz w:val="20"/>
                <w:szCs w:val="20"/>
                <w:lang w:eastAsia="en-US"/>
              </w:rPr>
              <w:t xml:space="preserve">   29-39</w:t>
            </w:r>
          </w:p>
        </w:tc>
        <w:tc>
          <w:tcPr>
            <w:tcW w:w="1225" w:type="dxa"/>
            <w:shd w:val="clear" w:color="auto" w:fill="auto"/>
            <w:vAlign w:val="center"/>
          </w:tcPr>
          <w:p w14:paraId="235DB4F1" w14:textId="3F769998" w:rsidR="00102E22" w:rsidRPr="00102E22" w:rsidRDefault="00102E22" w:rsidP="00102E22">
            <w:pPr>
              <w:jc w:val="center"/>
              <w:rPr>
                <w:rFonts w:eastAsia="Calibri"/>
                <w:sz w:val="20"/>
                <w:szCs w:val="20"/>
                <w:lang w:eastAsia="en-US"/>
              </w:rPr>
            </w:pPr>
            <w:r>
              <w:rPr>
                <w:rFonts w:eastAsia="Calibri"/>
                <w:sz w:val="20"/>
                <w:szCs w:val="20"/>
                <w:lang w:eastAsia="en-US"/>
              </w:rPr>
              <w:t>199</w:t>
            </w:r>
          </w:p>
        </w:tc>
        <w:tc>
          <w:tcPr>
            <w:tcW w:w="0" w:type="auto"/>
            <w:shd w:val="clear" w:color="auto" w:fill="auto"/>
            <w:vAlign w:val="center"/>
          </w:tcPr>
          <w:p w14:paraId="5CF34596"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7BC162A1"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44F1C435"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0A00F9B4" w14:textId="77777777" w:rsidR="00102E22" w:rsidRPr="00102E22" w:rsidRDefault="00102E22" w:rsidP="00102E22">
            <w:pPr>
              <w:jc w:val="center"/>
              <w:rPr>
                <w:rFonts w:eastAsia="Calibri"/>
                <w:sz w:val="20"/>
                <w:szCs w:val="20"/>
                <w:lang w:eastAsia="en-US"/>
              </w:rPr>
            </w:pPr>
          </w:p>
        </w:tc>
      </w:tr>
      <w:tr w:rsidR="00102E22" w:rsidRPr="00102E22" w14:paraId="4D21B105" w14:textId="77777777" w:rsidTr="00102E22">
        <w:trPr>
          <w:jc w:val="center"/>
        </w:trPr>
        <w:tc>
          <w:tcPr>
            <w:tcW w:w="4111" w:type="dxa"/>
            <w:shd w:val="clear" w:color="auto" w:fill="auto"/>
            <w:vAlign w:val="center"/>
          </w:tcPr>
          <w:p w14:paraId="340BC697" w14:textId="77777777" w:rsidR="00102E22" w:rsidRPr="00102E22" w:rsidRDefault="00102E22" w:rsidP="00102E22">
            <w:pPr>
              <w:jc w:val="both"/>
              <w:rPr>
                <w:rFonts w:eastAsia="Calibri"/>
                <w:sz w:val="20"/>
                <w:szCs w:val="20"/>
                <w:lang w:eastAsia="en-US"/>
              </w:rPr>
            </w:pPr>
            <w:r w:rsidRPr="00102E22">
              <w:rPr>
                <w:rFonts w:eastAsia="Calibri"/>
                <w:sz w:val="20"/>
                <w:szCs w:val="20"/>
                <w:lang w:eastAsia="en-US"/>
              </w:rPr>
              <w:t xml:space="preserve">   40-49</w:t>
            </w:r>
          </w:p>
        </w:tc>
        <w:tc>
          <w:tcPr>
            <w:tcW w:w="1225" w:type="dxa"/>
            <w:shd w:val="clear" w:color="auto" w:fill="auto"/>
            <w:vAlign w:val="center"/>
          </w:tcPr>
          <w:p w14:paraId="42CE6878" w14:textId="74ECF7F9" w:rsidR="00102E22" w:rsidRPr="00102E22" w:rsidRDefault="00102E22" w:rsidP="00102E22">
            <w:pPr>
              <w:jc w:val="center"/>
              <w:rPr>
                <w:rFonts w:eastAsia="Calibri"/>
                <w:sz w:val="20"/>
                <w:szCs w:val="20"/>
                <w:lang w:eastAsia="en-US"/>
              </w:rPr>
            </w:pPr>
            <w:r>
              <w:rPr>
                <w:rFonts w:eastAsia="Calibri"/>
                <w:sz w:val="20"/>
                <w:szCs w:val="20"/>
                <w:lang w:eastAsia="en-US"/>
              </w:rPr>
              <w:t>242</w:t>
            </w:r>
          </w:p>
        </w:tc>
        <w:tc>
          <w:tcPr>
            <w:tcW w:w="0" w:type="auto"/>
            <w:shd w:val="clear" w:color="auto" w:fill="auto"/>
            <w:vAlign w:val="center"/>
          </w:tcPr>
          <w:p w14:paraId="038AA6BA" w14:textId="77777777" w:rsidR="00102E22" w:rsidRPr="00102E22" w:rsidRDefault="00102E22" w:rsidP="00102E22">
            <w:pPr>
              <w:jc w:val="center"/>
              <w:rPr>
                <w:rFonts w:eastAsia="Calibri"/>
                <w:sz w:val="20"/>
                <w:szCs w:val="20"/>
                <w:lang w:eastAsia="en-US"/>
              </w:rPr>
            </w:pPr>
            <w:r w:rsidRPr="00102E22">
              <w:rPr>
                <w:rFonts w:eastAsia="Calibri"/>
                <w:sz w:val="20"/>
                <w:szCs w:val="20"/>
                <w:lang w:eastAsia="en-US"/>
              </w:rPr>
              <w:t>3.67</w:t>
            </w:r>
            <w:r w:rsidRPr="00102E22">
              <w:rPr>
                <w:rFonts w:eastAsia="Calibri"/>
                <w:sz w:val="20"/>
                <w:szCs w:val="20"/>
                <w:vertAlign w:val="superscript"/>
                <w:lang w:eastAsia="en-US"/>
              </w:rPr>
              <w:t>ns</w:t>
            </w:r>
          </w:p>
        </w:tc>
        <w:tc>
          <w:tcPr>
            <w:tcW w:w="0" w:type="auto"/>
            <w:shd w:val="clear" w:color="auto" w:fill="auto"/>
            <w:vAlign w:val="center"/>
          </w:tcPr>
          <w:p w14:paraId="792AECF5" w14:textId="120D50A5" w:rsidR="00102E22" w:rsidRPr="00102E22" w:rsidRDefault="00102E22" w:rsidP="00102E22">
            <w:pPr>
              <w:jc w:val="center"/>
              <w:rPr>
                <w:rFonts w:eastAsia="Calibri"/>
                <w:sz w:val="20"/>
                <w:szCs w:val="20"/>
                <w:lang w:eastAsia="en-US"/>
              </w:rPr>
            </w:pPr>
            <w:r>
              <w:rPr>
                <w:rFonts w:eastAsia="Calibri"/>
                <w:sz w:val="20"/>
                <w:szCs w:val="20"/>
                <w:lang w:eastAsia="en-US"/>
              </w:rPr>
              <w:t>2</w:t>
            </w:r>
          </w:p>
        </w:tc>
        <w:tc>
          <w:tcPr>
            <w:tcW w:w="0" w:type="auto"/>
            <w:shd w:val="clear" w:color="auto" w:fill="auto"/>
            <w:vAlign w:val="center"/>
          </w:tcPr>
          <w:p w14:paraId="7ED16677" w14:textId="6B222EF9" w:rsidR="00102E22" w:rsidRPr="00102E22" w:rsidRDefault="00102E22" w:rsidP="00102E22">
            <w:pPr>
              <w:jc w:val="center"/>
              <w:rPr>
                <w:rFonts w:eastAsia="Calibri"/>
                <w:sz w:val="20"/>
                <w:szCs w:val="20"/>
                <w:lang w:eastAsia="en-US"/>
              </w:rPr>
            </w:pPr>
            <w:r w:rsidRPr="00102E22">
              <w:rPr>
                <w:rFonts w:eastAsia="Calibri"/>
                <w:sz w:val="20"/>
                <w:szCs w:val="20"/>
                <w:lang w:eastAsia="en-US"/>
              </w:rPr>
              <w:t>.</w:t>
            </w:r>
            <w:r>
              <w:rPr>
                <w:rFonts w:eastAsia="Calibri"/>
                <w:sz w:val="20"/>
                <w:szCs w:val="20"/>
                <w:lang w:eastAsia="en-US"/>
              </w:rPr>
              <w:t>6</w:t>
            </w:r>
            <w:r w:rsidRPr="00102E22">
              <w:rPr>
                <w:rFonts w:eastAsia="Calibri"/>
                <w:sz w:val="20"/>
                <w:szCs w:val="20"/>
                <w:lang w:eastAsia="en-US"/>
              </w:rPr>
              <w:t>2</w:t>
            </w:r>
          </w:p>
        </w:tc>
        <w:tc>
          <w:tcPr>
            <w:tcW w:w="0" w:type="auto"/>
            <w:shd w:val="clear" w:color="auto" w:fill="auto"/>
            <w:vAlign w:val="center"/>
          </w:tcPr>
          <w:p w14:paraId="4254DFFC" w14:textId="77777777" w:rsidR="00102E22" w:rsidRPr="00102E22" w:rsidRDefault="00102E22" w:rsidP="00102E22">
            <w:pPr>
              <w:jc w:val="center"/>
              <w:rPr>
                <w:rFonts w:eastAsia="Calibri"/>
                <w:sz w:val="20"/>
                <w:szCs w:val="20"/>
                <w:lang w:eastAsia="en-US"/>
              </w:rPr>
            </w:pPr>
            <w:r w:rsidRPr="00102E22">
              <w:rPr>
                <w:rFonts w:eastAsia="Calibri"/>
                <w:sz w:val="20"/>
                <w:szCs w:val="20"/>
                <w:lang w:eastAsia="en-US"/>
              </w:rPr>
              <w:t>.13</w:t>
            </w:r>
          </w:p>
        </w:tc>
      </w:tr>
      <w:tr w:rsidR="00102E22" w:rsidRPr="00102E22" w14:paraId="38E177DD" w14:textId="77777777" w:rsidTr="00102E22">
        <w:trPr>
          <w:jc w:val="center"/>
        </w:trPr>
        <w:tc>
          <w:tcPr>
            <w:tcW w:w="4111" w:type="dxa"/>
            <w:shd w:val="clear" w:color="auto" w:fill="auto"/>
            <w:vAlign w:val="center"/>
          </w:tcPr>
          <w:p w14:paraId="2090EAEE" w14:textId="0F6E0F08" w:rsidR="00102E22" w:rsidRPr="00102E22" w:rsidRDefault="00102E22" w:rsidP="00102E22">
            <w:pPr>
              <w:jc w:val="both"/>
              <w:rPr>
                <w:rFonts w:eastAsia="Calibri"/>
                <w:sz w:val="20"/>
                <w:szCs w:val="20"/>
                <w:lang w:eastAsia="en-US"/>
              </w:rPr>
            </w:pPr>
            <w:r>
              <w:rPr>
                <w:rFonts w:eastAsia="Calibri"/>
                <w:sz w:val="20"/>
                <w:szCs w:val="20"/>
                <w:lang w:eastAsia="en-US"/>
              </w:rPr>
              <w:t xml:space="preserve">   50-or more</w:t>
            </w:r>
          </w:p>
        </w:tc>
        <w:tc>
          <w:tcPr>
            <w:tcW w:w="1225" w:type="dxa"/>
            <w:shd w:val="clear" w:color="auto" w:fill="auto"/>
            <w:vAlign w:val="center"/>
          </w:tcPr>
          <w:p w14:paraId="72916554" w14:textId="7CAAD03D" w:rsidR="00102E22" w:rsidRPr="00102E22" w:rsidRDefault="00102E22" w:rsidP="00102E22">
            <w:pPr>
              <w:jc w:val="center"/>
              <w:rPr>
                <w:rFonts w:eastAsia="Calibri"/>
                <w:sz w:val="20"/>
                <w:szCs w:val="20"/>
                <w:lang w:eastAsia="en-US"/>
              </w:rPr>
            </w:pPr>
            <w:r>
              <w:rPr>
                <w:rFonts w:eastAsia="Calibri"/>
                <w:sz w:val="20"/>
                <w:szCs w:val="20"/>
                <w:lang w:eastAsia="en-US"/>
              </w:rPr>
              <w:t>248</w:t>
            </w:r>
          </w:p>
        </w:tc>
        <w:tc>
          <w:tcPr>
            <w:tcW w:w="0" w:type="auto"/>
            <w:shd w:val="clear" w:color="auto" w:fill="auto"/>
            <w:vAlign w:val="center"/>
          </w:tcPr>
          <w:p w14:paraId="4EE9428C"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65AAD896"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6643E9A0"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566697FC" w14:textId="77777777" w:rsidR="00102E22" w:rsidRPr="00102E22" w:rsidRDefault="00102E22" w:rsidP="00102E22">
            <w:pPr>
              <w:jc w:val="center"/>
              <w:rPr>
                <w:rFonts w:eastAsia="Calibri"/>
                <w:sz w:val="20"/>
                <w:szCs w:val="20"/>
                <w:lang w:eastAsia="en-US"/>
              </w:rPr>
            </w:pPr>
          </w:p>
        </w:tc>
      </w:tr>
      <w:tr w:rsidR="00102E22" w:rsidRPr="00102E22" w14:paraId="27A9A8BD" w14:textId="77777777" w:rsidTr="00102E22">
        <w:trPr>
          <w:jc w:val="center"/>
        </w:trPr>
        <w:tc>
          <w:tcPr>
            <w:tcW w:w="4111" w:type="dxa"/>
            <w:shd w:val="clear" w:color="auto" w:fill="auto"/>
            <w:vAlign w:val="center"/>
          </w:tcPr>
          <w:p w14:paraId="78DC57C5" w14:textId="77777777" w:rsidR="00102E22" w:rsidRPr="00102E22" w:rsidRDefault="00102E22" w:rsidP="00102E22">
            <w:pPr>
              <w:jc w:val="both"/>
              <w:rPr>
                <w:rFonts w:eastAsia="Calibri"/>
                <w:sz w:val="20"/>
                <w:szCs w:val="20"/>
                <w:lang w:eastAsia="en-US"/>
              </w:rPr>
            </w:pPr>
            <w:r w:rsidRPr="00102E22">
              <w:rPr>
                <w:rFonts w:eastAsia="Calibri"/>
                <w:sz w:val="20"/>
                <w:szCs w:val="20"/>
                <w:lang w:eastAsia="en-US"/>
              </w:rPr>
              <w:t>Number of inhabitants place of residence</w:t>
            </w:r>
          </w:p>
        </w:tc>
        <w:tc>
          <w:tcPr>
            <w:tcW w:w="1225" w:type="dxa"/>
            <w:shd w:val="clear" w:color="auto" w:fill="auto"/>
            <w:vAlign w:val="center"/>
          </w:tcPr>
          <w:p w14:paraId="38202916"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44D50908"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3BC86228"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116A61BD"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393454E5" w14:textId="77777777" w:rsidR="00102E22" w:rsidRPr="00102E22" w:rsidRDefault="00102E22" w:rsidP="00102E22">
            <w:pPr>
              <w:jc w:val="center"/>
              <w:rPr>
                <w:rFonts w:eastAsia="Calibri"/>
                <w:sz w:val="20"/>
                <w:szCs w:val="20"/>
                <w:lang w:eastAsia="en-US"/>
              </w:rPr>
            </w:pPr>
          </w:p>
        </w:tc>
      </w:tr>
      <w:tr w:rsidR="00102E22" w:rsidRPr="00102E22" w14:paraId="2E80CFA8" w14:textId="77777777" w:rsidTr="00102E22">
        <w:trPr>
          <w:jc w:val="center"/>
        </w:trPr>
        <w:tc>
          <w:tcPr>
            <w:tcW w:w="4111" w:type="dxa"/>
            <w:shd w:val="clear" w:color="auto" w:fill="auto"/>
            <w:vAlign w:val="center"/>
          </w:tcPr>
          <w:p w14:paraId="5EC0114F" w14:textId="77777777" w:rsidR="00102E22" w:rsidRPr="00102E22" w:rsidRDefault="00102E22" w:rsidP="00102E22">
            <w:pPr>
              <w:jc w:val="both"/>
              <w:rPr>
                <w:rFonts w:eastAsia="Calibri"/>
                <w:sz w:val="20"/>
                <w:szCs w:val="20"/>
                <w:lang w:eastAsia="en-US"/>
              </w:rPr>
            </w:pPr>
            <w:r w:rsidRPr="00102E22">
              <w:rPr>
                <w:sz w:val="20"/>
                <w:szCs w:val="20"/>
                <w:lang w:eastAsia="en-US"/>
              </w:rPr>
              <w:t xml:space="preserve">5.000-24.999 </w:t>
            </w:r>
          </w:p>
        </w:tc>
        <w:tc>
          <w:tcPr>
            <w:tcW w:w="1225" w:type="dxa"/>
            <w:shd w:val="clear" w:color="auto" w:fill="auto"/>
            <w:vAlign w:val="center"/>
          </w:tcPr>
          <w:p w14:paraId="0964DD8B" w14:textId="7CAFB93E" w:rsidR="00102E22" w:rsidRPr="00102E22" w:rsidRDefault="00962F1B" w:rsidP="00102E22">
            <w:pPr>
              <w:jc w:val="center"/>
              <w:rPr>
                <w:rFonts w:eastAsia="Calibri"/>
                <w:sz w:val="20"/>
                <w:szCs w:val="20"/>
                <w:lang w:eastAsia="en-US"/>
              </w:rPr>
            </w:pPr>
            <w:r>
              <w:rPr>
                <w:sz w:val="20"/>
                <w:szCs w:val="20"/>
                <w:lang w:eastAsia="en-US"/>
              </w:rPr>
              <w:t>197</w:t>
            </w:r>
          </w:p>
        </w:tc>
        <w:tc>
          <w:tcPr>
            <w:tcW w:w="0" w:type="auto"/>
            <w:shd w:val="clear" w:color="auto" w:fill="auto"/>
            <w:vAlign w:val="center"/>
          </w:tcPr>
          <w:p w14:paraId="7D93C8CD"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298B603A"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62F75F5E"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4712923C" w14:textId="77777777" w:rsidR="00102E22" w:rsidRPr="00102E22" w:rsidRDefault="00102E22" w:rsidP="00102E22">
            <w:pPr>
              <w:jc w:val="center"/>
              <w:rPr>
                <w:rFonts w:eastAsia="Calibri"/>
                <w:sz w:val="20"/>
                <w:szCs w:val="20"/>
                <w:lang w:eastAsia="en-US"/>
              </w:rPr>
            </w:pPr>
          </w:p>
        </w:tc>
      </w:tr>
      <w:tr w:rsidR="00102E22" w:rsidRPr="00102E22" w14:paraId="6C384945" w14:textId="77777777" w:rsidTr="00102E22">
        <w:trPr>
          <w:jc w:val="center"/>
        </w:trPr>
        <w:tc>
          <w:tcPr>
            <w:tcW w:w="4111" w:type="dxa"/>
            <w:shd w:val="clear" w:color="auto" w:fill="auto"/>
            <w:vAlign w:val="center"/>
          </w:tcPr>
          <w:p w14:paraId="1EAB1AED" w14:textId="77777777" w:rsidR="00102E22" w:rsidRPr="00102E22" w:rsidRDefault="00102E22" w:rsidP="00102E22">
            <w:pPr>
              <w:jc w:val="both"/>
              <w:rPr>
                <w:rFonts w:eastAsia="Calibri"/>
                <w:sz w:val="20"/>
                <w:szCs w:val="20"/>
                <w:lang w:eastAsia="en-US"/>
              </w:rPr>
            </w:pPr>
            <w:r w:rsidRPr="00102E22">
              <w:rPr>
                <w:sz w:val="20"/>
                <w:szCs w:val="20"/>
                <w:lang w:eastAsia="en-US"/>
              </w:rPr>
              <w:t>25.000-49.999</w:t>
            </w:r>
          </w:p>
        </w:tc>
        <w:tc>
          <w:tcPr>
            <w:tcW w:w="1225" w:type="dxa"/>
            <w:shd w:val="clear" w:color="auto" w:fill="auto"/>
            <w:vAlign w:val="center"/>
          </w:tcPr>
          <w:p w14:paraId="2534C719" w14:textId="0159DEF5" w:rsidR="00102E22" w:rsidRPr="00102E22" w:rsidRDefault="00962F1B" w:rsidP="00962F1B">
            <w:pPr>
              <w:jc w:val="center"/>
              <w:rPr>
                <w:rFonts w:eastAsia="Calibri"/>
                <w:sz w:val="20"/>
                <w:szCs w:val="20"/>
                <w:lang w:eastAsia="en-US"/>
              </w:rPr>
            </w:pPr>
            <w:r>
              <w:rPr>
                <w:sz w:val="20"/>
                <w:szCs w:val="20"/>
                <w:lang w:eastAsia="en-US"/>
              </w:rPr>
              <w:t>115</w:t>
            </w:r>
          </w:p>
        </w:tc>
        <w:tc>
          <w:tcPr>
            <w:tcW w:w="0" w:type="auto"/>
            <w:shd w:val="clear" w:color="auto" w:fill="auto"/>
            <w:vAlign w:val="center"/>
          </w:tcPr>
          <w:p w14:paraId="74C6CB1E" w14:textId="77777777" w:rsidR="00102E22" w:rsidRPr="00102E22" w:rsidRDefault="00102E22" w:rsidP="00102E22">
            <w:pPr>
              <w:jc w:val="center"/>
              <w:rPr>
                <w:rFonts w:eastAsia="Calibri"/>
                <w:sz w:val="20"/>
                <w:szCs w:val="20"/>
                <w:lang w:eastAsia="en-US"/>
              </w:rPr>
            </w:pPr>
            <w:r w:rsidRPr="00102E22">
              <w:rPr>
                <w:rFonts w:eastAsia="Calibri"/>
                <w:sz w:val="20"/>
                <w:szCs w:val="20"/>
                <w:lang w:eastAsia="en-US"/>
              </w:rPr>
              <w:t>4.77</w:t>
            </w:r>
            <w:r w:rsidRPr="00102E22">
              <w:rPr>
                <w:rFonts w:eastAsia="Calibri"/>
                <w:sz w:val="20"/>
                <w:szCs w:val="20"/>
                <w:vertAlign w:val="superscript"/>
                <w:lang w:eastAsia="en-US"/>
              </w:rPr>
              <w:t>ns</w:t>
            </w:r>
          </w:p>
        </w:tc>
        <w:tc>
          <w:tcPr>
            <w:tcW w:w="0" w:type="auto"/>
            <w:shd w:val="clear" w:color="auto" w:fill="auto"/>
            <w:vAlign w:val="center"/>
          </w:tcPr>
          <w:p w14:paraId="096B3137" w14:textId="59BA6D95" w:rsidR="00102E22" w:rsidRPr="00102E22" w:rsidRDefault="00962F1B" w:rsidP="00102E22">
            <w:pPr>
              <w:jc w:val="center"/>
              <w:rPr>
                <w:rFonts w:eastAsia="Calibri"/>
                <w:sz w:val="20"/>
                <w:szCs w:val="20"/>
                <w:lang w:eastAsia="en-US"/>
              </w:rPr>
            </w:pPr>
            <w:r>
              <w:rPr>
                <w:rFonts w:eastAsia="Calibri"/>
                <w:sz w:val="20"/>
                <w:szCs w:val="20"/>
                <w:lang w:eastAsia="en-US"/>
              </w:rPr>
              <w:t>3</w:t>
            </w:r>
          </w:p>
        </w:tc>
        <w:tc>
          <w:tcPr>
            <w:tcW w:w="0" w:type="auto"/>
            <w:shd w:val="clear" w:color="auto" w:fill="auto"/>
            <w:vAlign w:val="center"/>
          </w:tcPr>
          <w:p w14:paraId="704BD36F" w14:textId="77777777" w:rsidR="00102E22" w:rsidRPr="00102E22" w:rsidRDefault="00102E22" w:rsidP="00102E22">
            <w:pPr>
              <w:jc w:val="center"/>
              <w:rPr>
                <w:rFonts w:eastAsia="Calibri"/>
                <w:sz w:val="20"/>
                <w:szCs w:val="20"/>
                <w:lang w:eastAsia="en-US"/>
              </w:rPr>
            </w:pPr>
            <w:r w:rsidRPr="00102E22">
              <w:rPr>
                <w:rFonts w:eastAsia="Calibri"/>
                <w:sz w:val="20"/>
                <w:szCs w:val="20"/>
                <w:lang w:eastAsia="en-US"/>
              </w:rPr>
              <w:t>.72</w:t>
            </w:r>
          </w:p>
        </w:tc>
        <w:tc>
          <w:tcPr>
            <w:tcW w:w="0" w:type="auto"/>
            <w:shd w:val="clear" w:color="auto" w:fill="auto"/>
            <w:vAlign w:val="center"/>
          </w:tcPr>
          <w:p w14:paraId="27FB3BF7" w14:textId="77777777" w:rsidR="00102E22" w:rsidRPr="00102E22" w:rsidRDefault="00102E22" w:rsidP="00102E22">
            <w:pPr>
              <w:jc w:val="center"/>
              <w:rPr>
                <w:rFonts w:eastAsia="Calibri"/>
                <w:sz w:val="20"/>
                <w:szCs w:val="20"/>
                <w:lang w:eastAsia="en-US"/>
              </w:rPr>
            </w:pPr>
            <w:r w:rsidRPr="00102E22">
              <w:rPr>
                <w:rFonts w:eastAsia="Calibri"/>
                <w:sz w:val="20"/>
                <w:szCs w:val="20"/>
                <w:lang w:eastAsia="en-US"/>
              </w:rPr>
              <w:t>.42</w:t>
            </w:r>
          </w:p>
        </w:tc>
      </w:tr>
      <w:tr w:rsidR="00102E22" w:rsidRPr="00102E22" w14:paraId="6F4A5093" w14:textId="77777777" w:rsidTr="00102E22">
        <w:trPr>
          <w:jc w:val="center"/>
        </w:trPr>
        <w:tc>
          <w:tcPr>
            <w:tcW w:w="4111" w:type="dxa"/>
            <w:shd w:val="clear" w:color="auto" w:fill="auto"/>
            <w:vAlign w:val="center"/>
          </w:tcPr>
          <w:p w14:paraId="465FD467" w14:textId="77777777" w:rsidR="00102E22" w:rsidRPr="00102E22" w:rsidRDefault="00102E22" w:rsidP="00102E22">
            <w:pPr>
              <w:jc w:val="both"/>
              <w:rPr>
                <w:rFonts w:eastAsia="Calibri"/>
                <w:sz w:val="20"/>
                <w:szCs w:val="20"/>
                <w:lang w:eastAsia="en-US"/>
              </w:rPr>
            </w:pPr>
            <w:r w:rsidRPr="00102E22">
              <w:rPr>
                <w:sz w:val="20"/>
                <w:szCs w:val="20"/>
                <w:lang w:eastAsia="en-US"/>
              </w:rPr>
              <w:t>50.000-100.000</w:t>
            </w:r>
          </w:p>
        </w:tc>
        <w:tc>
          <w:tcPr>
            <w:tcW w:w="1225" w:type="dxa"/>
            <w:shd w:val="clear" w:color="auto" w:fill="auto"/>
            <w:vAlign w:val="center"/>
          </w:tcPr>
          <w:p w14:paraId="65644277" w14:textId="38443536" w:rsidR="00102E22" w:rsidRPr="00102E22" w:rsidRDefault="00962F1B" w:rsidP="00102E22">
            <w:pPr>
              <w:jc w:val="center"/>
              <w:rPr>
                <w:rFonts w:eastAsia="Calibri"/>
                <w:sz w:val="20"/>
                <w:szCs w:val="20"/>
                <w:lang w:eastAsia="en-US"/>
              </w:rPr>
            </w:pPr>
            <w:r>
              <w:rPr>
                <w:rFonts w:eastAsia="Calibri"/>
                <w:sz w:val="20"/>
                <w:szCs w:val="20"/>
                <w:lang w:eastAsia="en-US"/>
              </w:rPr>
              <w:t>242</w:t>
            </w:r>
          </w:p>
        </w:tc>
        <w:tc>
          <w:tcPr>
            <w:tcW w:w="0" w:type="auto"/>
            <w:shd w:val="clear" w:color="auto" w:fill="auto"/>
            <w:vAlign w:val="center"/>
          </w:tcPr>
          <w:p w14:paraId="5256C145"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65415F70"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17F730B2"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0113CA73" w14:textId="77777777" w:rsidR="00102E22" w:rsidRPr="00102E22" w:rsidRDefault="00102E22" w:rsidP="00102E22">
            <w:pPr>
              <w:jc w:val="center"/>
              <w:rPr>
                <w:rFonts w:eastAsia="Calibri"/>
                <w:sz w:val="20"/>
                <w:szCs w:val="20"/>
                <w:lang w:eastAsia="en-US"/>
              </w:rPr>
            </w:pPr>
          </w:p>
        </w:tc>
      </w:tr>
      <w:tr w:rsidR="00102E22" w:rsidRPr="00102E22" w14:paraId="143FBED2" w14:textId="77777777" w:rsidTr="00102E22">
        <w:trPr>
          <w:jc w:val="center"/>
        </w:trPr>
        <w:tc>
          <w:tcPr>
            <w:tcW w:w="4111" w:type="dxa"/>
            <w:shd w:val="clear" w:color="auto" w:fill="auto"/>
            <w:vAlign w:val="center"/>
          </w:tcPr>
          <w:p w14:paraId="11021D74" w14:textId="77777777" w:rsidR="00102E22" w:rsidRPr="00962F1B" w:rsidRDefault="00102E22" w:rsidP="00102E22">
            <w:pPr>
              <w:jc w:val="both"/>
              <w:rPr>
                <w:rFonts w:eastAsia="Calibri"/>
                <w:sz w:val="20"/>
                <w:szCs w:val="20"/>
                <w:lang w:eastAsia="en-US"/>
              </w:rPr>
            </w:pPr>
            <w:r w:rsidRPr="00962F1B">
              <w:rPr>
                <w:sz w:val="20"/>
                <w:szCs w:val="20"/>
                <w:lang w:eastAsia="en-US"/>
              </w:rPr>
              <w:t xml:space="preserve">&gt; 100.000 </w:t>
            </w:r>
          </w:p>
        </w:tc>
        <w:tc>
          <w:tcPr>
            <w:tcW w:w="1225" w:type="dxa"/>
            <w:shd w:val="clear" w:color="auto" w:fill="auto"/>
            <w:vAlign w:val="center"/>
          </w:tcPr>
          <w:p w14:paraId="1930A882" w14:textId="15349720" w:rsidR="00102E22" w:rsidRPr="00102E22" w:rsidRDefault="00102E22" w:rsidP="00102E22">
            <w:pPr>
              <w:jc w:val="center"/>
              <w:rPr>
                <w:rFonts w:eastAsia="Calibri"/>
                <w:sz w:val="20"/>
                <w:szCs w:val="20"/>
                <w:lang w:eastAsia="en-US"/>
              </w:rPr>
            </w:pPr>
            <w:r w:rsidRPr="00102E22">
              <w:rPr>
                <w:sz w:val="20"/>
                <w:szCs w:val="20"/>
                <w:lang w:eastAsia="en-US"/>
              </w:rPr>
              <w:t>135</w:t>
            </w:r>
          </w:p>
        </w:tc>
        <w:tc>
          <w:tcPr>
            <w:tcW w:w="0" w:type="auto"/>
            <w:shd w:val="clear" w:color="auto" w:fill="auto"/>
            <w:vAlign w:val="center"/>
          </w:tcPr>
          <w:p w14:paraId="7ABD53FF"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4C4C567F"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279F1F87"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1E894C45" w14:textId="77777777" w:rsidR="00102E22" w:rsidRPr="00102E22" w:rsidRDefault="00102E22" w:rsidP="00102E22">
            <w:pPr>
              <w:jc w:val="center"/>
              <w:rPr>
                <w:rFonts w:eastAsia="Calibri"/>
                <w:sz w:val="20"/>
                <w:szCs w:val="20"/>
                <w:lang w:eastAsia="en-US"/>
              </w:rPr>
            </w:pPr>
          </w:p>
        </w:tc>
      </w:tr>
      <w:tr w:rsidR="00102E22" w:rsidRPr="00102E22" w14:paraId="36856E43" w14:textId="77777777" w:rsidTr="00102E22">
        <w:trPr>
          <w:jc w:val="center"/>
        </w:trPr>
        <w:tc>
          <w:tcPr>
            <w:tcW w:w="4111" w:type="dxa"/>
            <w:shd w:val="clear" w:color="auto" w:fill="auto"/>
            <w:vAlign w:val="center"/>
          </w:tcPr>
          <w:p w14:paraId="6C884A44" w14:textId="1795F793" w:rsidR="00102E22" w:rsidRPr="00962F1B" w:rsidRDefault="00962F1B" w:rsidP="00102E22">
            <w:pPr>
              <w:jc w:val="both"/>
              <w:rPr>
                <w:rFonts w:eastAsia="Calibri"/>
                <w:sz w:val="20"/>
                <w:szCs w:val="20"/>
                <w:lang w:eastAsia="en-US"/>
              </w:rPr>
            </w:pPr>
            <w:r w:rsidRPr="00962F1B">
              <w:rPr>
                <w:rFonts w:eastAsia="Calibri"/>
                <w:sz w:val="20"/>
                <w:szCs w:val="20"/>
                <w:lang w:eastAsia="en-US"/>
              </w:rPr>
              <w:t>Families with children under 14</w:t>
            </w:r>
            <w:r w:rsidR="002F7C71" w:rsidRPr="002F7C71">
              <w:rPr>
                <w:rFonts w:eastAsia="Calibri"/>
                <w:sz w:val="20"/>
                <w:szCs w:val="20"/>
                <w:lang w:eastAsia="en-US"/>
              </w:rPr>
              <w:t>(CuiMen)</w:t>
            </w:r>
          </w:p>
        </w:tc>
        <w:tc>
          <w:tcPr>
            <w:tcW w:w="1225" w:type="dxa"/>
            <w:shd w:val="clear" w:color="auto" w:fill="auto"/>
            <w:vAlign w:val="center"/>
          </w:tcPr>
          <w:p w14:paraId="4395F396"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6AAE9615"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46C0A69A"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67C44F43" w14:textId="77777777" w:rsidR="00102E22" w:rsidRPr="00102E22" w:rsidRDefault="00102E22" w:rsidP="00102E22">
            <w:pPr>
              <w:jc w:val="center"/>
              <w:rPr>
                <w:rFonts w:eastAsia="Calibri"/>
                <w:sz w:val="20"/>
                <w:szCs w:val="20"/>
                <w:lang w:eastAsia="en-US"/>
              </w:rPr>
            </w:pPr>
          </w:p>
        </w:tc>
        <w:tc>
          <w:tcPr>
            <w:tcW w:w="0" w:type="auto"/>
            <w:shd w:val="clear" w:color="auto" w:fill="auto"/>
            <w:vAlign w:val="center"/>
          </w:tcPr>
          <w:p w14:paraId="7121BE10" w14:textId="77777777" w:rsidR="00102E22" w:rsidRPr="00102E22" w:rsidRDefault="00102E22" w:rsidP="00102E22">
            <w:pPr>
              <w:jc w:val="center"/>
              <w:rPr>
                <w:rFonts w:eastAsia="Calibri"/>
                <w:sz w:val="20"/>
                <w:szCs w:val="20"/>
                <w:lang w:eastAsia="en-US"/>
              </w:rPr>
            </w:pPr>
          </w:p>
        </w:tc>
      </w:tr>
      <w:tr w:rsidR="00962F1B" w:rsidRPr="00102E22" w14:paraId="6C252973" w14:textId="77777777" w:rsidTr="00102E22">
        <w:trPr>
          <w:jc w:val="center"/>
        </w:trPr>
        <w:tc>
          <w:tcPr>
            <w:tcW w:w="4111" w:type="dxa"/>
            <w:shd w:val="clear" w:color="auto" w:fill="auto"/>
            <w:vAlign w:val="center"/>
          </w:tcPr>
          <w:p w14:paraId="37E3E352" w14:textId="720A167C" w:rsidR="00962F1B" w:rsidRPr="00962F1B" w:rsidRDefault="00962F1B" w:rsidP="00962F1B">
            <w:pPr>
              <w:jc w:val="both"/>
              <w:rPr>
                <w:rFonts w:eastAsia="Calibri"/>
                <w:sz w:val="20"/>
                <w:szCs w:val="20"/>
                <w:lang w:eastAsia="en-US"/>
              </w:rPr>
            </w:pPr>
            <w:r w:rsidRPr="00962F1B">
              <w:rPr>
                <w:rFonts w:eastAsia="Calibri"/>
                <w:sz w:val="20"/>
                <w:szCs w:val="20"/>
                <w:lang w:eastAsia="en-US"/>
              </w:rPr>
              <w:t xml:space="preserve">   Yes</w:t>
            </w:r>
          </w:p>
        </w:tc>
        <w:tc>
          <w:tcPr>
            <w:tcW w:w="1225" w:type="dxa"/>
            <w:shd w:val="clear" w:color="auto" w:fill="auto"/>
            <w:vAlign w:val="center"/>
          </w:tcPr>
          <w:p w14:paraId="3C94989B" w14:textId="2B3C8AD1" w:rsidR="00962F1B" w:rsidRPr="00102E22" w:rsidRDefault="00962F1B" w:rsidP="00962F1B">
            <w:pPr>
              <w:jc w:val="center"/>
              <w:rPr>
                <w:rFonts w:eastAsia="Calibri"/>
                <w:sz w:val="20"/>
                <w:szCs w:val="20"/>
                <w:lang w:eastAsia="en-US"/>
              </w:rPr>
            </w:pPr>
            <w:r>
              <w:rPr>
                <w:rFonts w:eastAsia="Calibri"/>
                <w:sz w:val="20"/>
                <w:szCs w:val="20"/>
                <w:lang w:eastAsia="en-US"/>
              </w:rPr>
              <w:t>329</w:t>
            </w:r>
          </w:p>
        </w:tc>
        <w:tc>
          <w:tcPr>
            <w:tcW w:w="0" w:type="auto"/>
            <w:shd w:val="clear" w:color="auto" w:fill="auto"/>
            <w:vAlign w:val="center"/>
          </w:tcPr>
          <w:p w14:paraId="2BAF47A7" w14:textId="6D3F57BA" w:rsidR="00962F1B" w:rsidRPr="00102E22" w:rsidRDefault="00962F1B" w:rsidP="00962F1B">
            <w:pPr>
              <w:jc w:val="center"/>
              <w:rPr>
                <w:rFonts w:eastAsia="Calibri"/>
                <w:sz w:val="20"/>
                <w:szCs w:val="20"/>
                <w:lang w:eastAsia="en-US"/>
              </w:rPr>
            </w:pPr>
            <w:r>
              <w:rPr>
                <w:rFonts w:eastAsia="Calibri"/>
                <w:sz w:val="20"/>
                <w:szCs w:val="20"/>
                <w:lang w:eastAsia="en-US"/>
              </w:rPr>
              <w:t>1</w:t>
            </w:r>
            <w:r w:rsidRPr="00102E22">
              <w:rPr>
                <w:rFonts w:eastAsia="Calibri"/>
                <w:sz w:val="20"/>
                <w:szCs w:val="20"/>
                <w:lang w:eastAsia="en-US"/>
              </w:rPr>
              <w:t>.22</w:t>
            </w:r>
            <w:r w:rsidRPr="00102E22">
              <w:rPr>
                <w:rFonts w:eastAsia="Calibri"/>
                <w:sz w:val="20"/>
                <w:szCs w:val="20"/>
                <w:vertAlign w:val="superscript"/>
                <w:lang w:eastAsia="en-US"/>
              </w:rPr>
              <w:t>ns</w:t>
            </w:r>
          </w:p>
        </w:tc>
        <w:tc>
          <w:tcPr>
            <w:tcW w:w="0" w:type="auto"/>
            <w:shd w:val="clear" w:color="auto" w:fill="auto"/>
            <w:vAlign w:val="center"/>
          </w:tcPr>
          <w:p w14:paraId="7E5CA73C" w14:textId="2C43AB02" w:rsidR="00962F1B" w:rsidRPr="00102E22" w:rsidRDefault="00962F1B" w:rsidP="00962F1B">
            <w:pPr>
              <w:jc w:val="center"/>
              <w:rPr>
                <w:rFonts w:eastAsia="Calibri"/>
                <w:sz w:val="20"/>
                <w:szCs w:val="20"/>
                <w:lang w:eastAsia="en-US"/>
              </w:rPr>
            </w:pPr>
            <w:r>
              <w:rPr>
                <w:rFonts w:eastAsia="Calibri"/>
                <w:sz w:val="20"/>
                <w:szCs w:val="20"/>
                <w:lang w:eastAsia="en-US"/>
              </w:rPr>
              <w:t>1</w:t>
            </w:r>
          </w:p>
        </w:tc>
        <w:tc>
          <w:tcPr>
            <w:tcW w:w="0" w:type="auto"/>
            <w:shd w:val="clear" w:color="auto" w:fill="auto"/>
            <w:vAlign w:val="center"/>
          </w:tcPr>
          <w:p w14:paraId="43889345" w14:textId="79B57679" w:rsidR="00962F1B" w:rsidRPr="00102E22" w:rsidRDefault="00962F1B" w:rsidP="00962F1B">
            <w:pPr>
              <w:jc w:val="center"/>
              <w:rPr>
                <w:rFonts w:eastAsia="Calibri"/>
                <w:sz w:val="20"/>
                <w:szCs w:val="20"/>
                <w:lang w:eastAsia="en-US"/>
              </w:rPr>
            </w:pPr>
            <w:r w:rsidRPr="00102E22">
              <w:rPr>
                <w:rFonts w:eastAsia="Calibri"/>
                <w:sz w:val="20"/>
                <w:szCs w:val="20"/>
                <w:lang w:eastAsia="en-US"/>
              </w:rPr>
              <w:t>.</w:t>
            </w:r>
            <w:r>
              <w:rPr>
                <w:rFonts w:eastAsia="Calibri"/>
                <w:sz w:val="20"/>
                <w:szCs w:val="20"/>
                <w:lang w:eastAsia="en-US"/>
              </w:rPr>
              <w:t>4</w:t>
            </w:r>
            <w:r w:rsidRPr="00102E22">
              <w:rPr>
                <w:rFonts w:eastAsia="Calibri"/>
                <w:sz w:val="20"/>
                <w:szCs w:val="20"/>
                <w:lang w:eastAsia="en-US"/>
              </w:rPr>
              <w:t>2</w:t>
            </w:r>
          </w:p>
        </w:tc>
        <w:tc>
          <w:tcPr>
            <w:tcW w:w="0" w:type="auto"/>
            <w:shd w:val="clear" w:color="auto" w:fill="auto"/>
            <w:vAlign w:val="center"/>
          </w:tcPr>
          <w:p w14:paraId="69869C40" w14:textId="72F31814" w:rsidR="00962F1B" w:rsidRPr="00102E22" w:rsidRDefault="00962F1B" w:rsidP="00962F1B">
            <w:pPr>
              <w:jc w:val="center"/>
              <w:rPr>
                <w:rFonts w:eastAsia="Calibri"/>
                <w:sz w:val="20"/>
                <w:szCs w:val="20"/>
                <w:lang w:eastAsia="en-US"/>
              </w:rPr>
            </w:pPr>
            <w:r w:rsidRPr="00102E22">
              <w:rPr>
                <w:rFonts w:eastAsia="Calibri"/>
                <w:sz w:val="20"/>
                <w:szCs w:val="20"/>
                <w:lang w:eastAsia="en-US"/>
              </w:rPr>
              <w:t>.59</w:t>
            </w:r>
          </w:p>
        </w:tc>
      </w:tr>
      <w:tr w:rsidR="00962F1B" w:rsidRPr="00102E22" w14:paraId="10F66084" w14:textId="77777777" w:rsidTr="00102E22">
        <w:trPr>
          <w:jc w:val="center"/>
        </w:trPr>
        <w:tc>
          <w:tcPr>
            <w:tcW w:w="4111" w:type="dxa"/>
            <w:shd w:val="clear" w:color="auto" w:fill="auto"/>
            <w:vAlign w:val="center"/>
          </w:tcPr>
          <w:p w14:paraId="68B417B0" w14:textId="3D8D95FC" w:rsidR="00962F1B" w:rsidRPr="00962F1B" w:rsidRDefault="00962F1B" w:rsidP="00962F1B">
            <w:pPr>
              <w:jc w:val="both"/>
              <w:rPr>
                <w:rFonts w:eastAsia="Calibri"/>
                <w:sz w:val="20"/>
                <w:szCs w:val="20"/>
                <w:lang w:eastAsia="en-US"/>
              </w:rPr>
            </w:pPr>
            <w:r w:rsidRPr="00962F1B">
              <w:rPr>
                <w:rFonts w:eastAsia="Calibri"/>
                <w:sz w:val="20"/>
                <w:szCs w:val="20"/>
                <w:lang w:eastAsia="en-US"/>
              </w:rPr>
              <w:t xml:space="preserve">   No</w:t>
            </w:r>
          </w:p>
        </w:tc>
        <w:tc>
          <w:tcPr>
            <w:tcW w:w="1225" w:type="dxa"/>
            <w:shd w:val="clear" w:color="auto" w:fill="auto"/>
            <w:vAlign w:val="center"/>
          </w:tcPr>
          <w:p w14:paraId="5FFD9EF7" w14:textId="0B872A94" w:rsidR="00962F1B" w:rsidRPr="00102E22" w:rsidRDefault="00962F1B" w:rsidP="00962F1B">
            <w:pPr>
              <w:jc w:val="center"/>
              <w:rPr>
                <w:rFonts w:eastAsia="Calibri"/>
                <w:sz w:val="20"/>
                <w:szCs w:val="20"/>
                <w:lang w:eastAsia="en-US"/>
              </w:rPr>
            </w:pPr>
            <w:r>
              <w:rPr>
                <w:rFonts w:eastAsia="Calibri"/>
                <w:sz w:val="20"/>
                <w:szCs w:val="20"/>
                <w:lang w:eastAsia="en-US"/>
              </w:rPr>
              <w:t>360</w:t>
            </w:r>
          </w:p>
        </w:tc>
        <w:tc>
          <w:tcPr>
            <w:tcW w:w="0" w:type="auto"/>
            <w:shd w:val="clear" w:color="auto" w:fill="auto"/>
            <w:vAlign w:val="center"/>
          </w:tcPr>
          <w:p w14:paraId="1FC85661" w14:textId="37ACAEF3"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63A68940" w14:textId="6754B4E5"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06EC3711" w14:textId="16D43DD4"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2F094059" w14:textId="37E993B4" w:rsidR="00962F1B" w:rsidRPr="00102E22" w:rsidRDefault="00962F1B" w:rsidP="00962F1B">
            <w:pPr>
              <w:jc w:val="center"/>
              <w:rPr>
                <w:rFonts w:eastAsia="Calibri"/>
                <w:sz w:val="20"/>
                <w:szCs w:val="20"/>
                <w:lang w:eastAsia="en-US"/>
              </w:rPr>
            </w:pPr>
          </w:p>
        </w:tc>
      </w:tr>
      <w:tr w:rsidR="00962F1B" w:rsidRPr="00102E22" w14:paraId="6529841C" w14:textId="77777777" w:rsidTr="00102E22">
        <w:trPr>
          <w:jc w:val="center"/>
        </w:trPr>
        <w:tc>
          <w:tcPr>
            <w:tcW w:w="4111" w:type="dxa"/>
            <w:shd w:val="clear" w:color="auto" w:fill="auto"/>
            <w:vAlign w:val="center"/>
          </w:tcPr>
          <w:p w14:paraId="6CDB1B67" w14:textId="37E8B169" w:rsidR="00962F1B" w:rsidRPr="00962F1B" w:rsidRDefault="00962F1B" w:rsidP="00AC1059">
            <w:pPr>
              <w:jc w:val="both"/>
              <w:rPr>
                <w:rFonts w:eastAsia="Calibri"/>
                <w:sz w:val="20"/>
                <w:szCs w:val="20"/>
                <w:lang w:eastAsia="en-US"/>
              </w:rPr>
            </w:pPr>
            <w:r w:rsidRPr="00962F1B">
              <w:rPr>
                <w:rFonts w:eastAsia="Calibri"/>
                <w:sz w:val="20"/>
                <w:szCs w:val="20"/>
                <w:lang w:eastAsia="en-US"/>
              </w:rPr>
              <w:t xml:space="preserve"> Families with people over 60</w:t>
            </w:r>
            <w:r w:rsidR="00AC1059">
              <w:rPr>
                <w:rFonts w:eastAsia="Calibri"/>
                <w:sz w:val="20"/>
                <w:szCs w:val="20"/>
                <w:lang w:eastAsia="en-US"/>
              </w:rPr>
              <w:t xml:space="preserve"> (Con60)</w:t>
            </w:r>
          </w:p>
        </w:tc>
        <w:tc>
          <w:tcPr>
            <w:tcW w:w="1225" w:type="dxa"/>
            <w:shd w:val="clear" w:color="auto" w:fill="auto"/>
            <w:vAlign w:val="center"/>
          </w:tcPr>
          <w:p w14:paraId="2CB73495"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0B68FCD7"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55B88D3C"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240F1B6D"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729BFC43" w14:textId="77777777" w:rsidR="00962F1B" w:rsidRPr="00102E22" w:rsidRDefault="00962F1B" w:rsidP="00962F1B">
            <w:pPr>
              <w:jc w:val="center"/>
              <w:rPr>
                <w:rFonts w:eastAsia="Calibri"/>
                <w:sz w:val="20"/>
                <w:szCs w:val="20"/>
                <w:lang w:eastAsia="en-US"/>
              </w:rPr>
            </w:pPr>
          </w:p>
        </w:tc>
      </w:tr>
      <w:tr w:rsidR="00962F1B" w:rsidRPr="00102E22" w14:paraId="5E5300E1" w14:textId="77777777" w:rsidTr="00962F1B">
        <w:trPr>
          <w:trHeight w:val="169"/>
          <w:jc w:val="center"/>
        </w:trPr>
        <w:tc>
          <w:tcPr>
            <w:tcW w:w="4111" w:type="dxa"/>
            <w:shd w:val="clear" w:color="auto" w:fill="auto"/>
            <w:vAlign w:val="center"/>
          </w:tcPr>
          <w:p w14:paraId="04BE0410" w14:textId="7A6D4DD2" w:rsidR="00962F1B" w:rsidRPr="00962F1B" w:rsidRDefault="00962F1B" w:rsidP="00962F1B">
            <w:pPr>
              <w:jc w:val="both"/>
              <w:rPr>
                <w:rFonts w:eastAsia="Calibri"/>
                <w:sz w:val="20"/>
                <w:szCs w:val="20"/>
                <w:lang w:eastAsia="en-US"/>
              </w:rPr>
            </w:pPr>
            <w:r w:rsidRPr="00962F1B">
              <w:rPr>
                <w:rFonts w:eastAsia="Calibri"/>
                <w:sz w:val="20"/>
                <w:szCs w:val="20"/>
                <w:lang w:eastAsia="en-US"/>
              </w:rPr>
              <w:t xml:space="preserve">   </w:t>
            </w:r>
            <w:r>
              <w:rPr>
                <w:rFonts w:eastAsia="Calibri"/>
                <w:sz w:val="20"/>
                <w:szCs w:val="20"/>
                <w:lang w:eastAsia="en-US"/>
              </w:rPr>
              <w:t>Yes</w:t>
            </w:r>
          </w:p>
        </w:tc>
        <w:tc>
          <w:tcPr>
            <w:tcW w:w="1225" w:type="dxa"/>
            <w:shd w:val="clear" w:color="auto" w:fill="auto"/>
            <w:vAlign w:val="center"/>
          </w:tcPr>
          <w:p w14:paraId="08AE7DC8" w14:textId="6B282BB8" w:rsidR="00962F1B" w:rsidRPr="00102E22" w:rsidRDefault="00962F1B" w:rsidP="00962F1B">
            <w:pPr>
              <w:jc w:val="center"/>
              <w:rPr>
                <w:rFonts w:eastAsia="Calibri"/>
                <w:sz w:val="20"/>
                <w:szCs w:val="20"/>
                <w:lang w:eastAsia="en-US"/>
              </w:rPr>
            </w:pPr>
            <w:r>
              <w:rPr>
                <w:rFonts w:eastAsia="Calibri"/>
                <w:sz w:val="20"/>
                <w:szCs w:val="20"/>
                <w:lang w:eastAsia="en-US"/>
              </w:rPr>
              <w:t>565</w:t>
            </w:r>
          </w:p>
        </w:tc>
        <w:tc>
          <w:tcPr>
            <w:tcW w:w="0" w:type="auto"/>
            <w:shd w:val="clear" w:color="auto" w:fill="auto"/>
            <w:vAlign w:val="center"/>
          </w:tcPr>
          <w:p w14:paraId="291C1C54"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36777E9C"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2140F413"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53E048BB" w14:textId="77777777" w:rsidR="00962F1B" w:rsidRPr="00102E22" w:rsidRDefault="00962F1B" w:rsidP="00962F1B">
            <w:pPr>
              <w:jc w:val="center"/>
              <w:rPr>
                <w:rFonts w:eastAsia="Calibri"/>
                <w:sz w:val="20"/>
                <w:szCs w:val="20"/>
                <w:lang w:eastAsia="en-US"/>
              </w:rPr>
            </w:pPr>
          </w:p>
        </w:tc>
      </w:tr>
      <w:tr w:rsidR="00962F1B" w:rsidRPr="00102E22" w14:paraId="5583C5B9" w14:textId="77777777" w:rsidTr="00102E22">
        <w:trPr>
          <w:jc w:val="center"/>
        </w:trPr>
        <w:tc>
          <w:tcPr>
            <w:tcW w:w="4111" w:type="dxa"/>
            <w:shd w:val="clear" w:color="auto" w:fill="auto"/>
            <w:vAlign w:val="center"/>
          </w:tcPr>
          <w:p w14:paraId="31559480" w14:textId="46EB9093" w:rsidR="00962F1B" w:rsidRPr="00962F1B" w:rsidRDefault="00962F1B" w:rsidP="00962F1B">
            <w:pPr>
              <w:jc w:val="both"/>
              <w:rPr>
                <w:rFonts w:eastAsia="Calibri"/>
                <w:sz w:val="20"/>
                <w:szCs w:val="20"/>
                <w:lang w:eastAsia="en-US"/>
              </w:rPr>
            </w:pPr>
            <w:r w:rsidRPr="00962F1B">
              <w:rPr>
                <w:rFonts w:eastAsia="Calibri"/>
                <w:sz w:val="20"/>
                <w:szCs w:val="20"/>
                <w:lang w:eastAsia="en-US"/>
              </w:rPr>
              <w:t xml:space="preserve">   </w:t>
            </w:r>
            <w:r>
              <w:rPr>
                <w:rFonts w:eastAsia="Calibri"/>
                <w:sz w:val="20"/>
                <w:szCs w:val="20"/>
                <w:lang w:eastAsia="en-US"/>
              </w:rPr>
              <w:t>No</w:t>
            </w:r>
          </w:p>
        </w:tc>
        <w:tc>
          <w:tcPr>
            <w:tcW w:w="1225" w:type="dxa"/>
            <w:shd w:val="clear" w:color="auto" w:fill="auto"/>
            <w:vAlign w:val="center"/>
          </w:tcPr>
          <w:p w14:paraId="3B2EC765" w14:textId="65D7FCF6" w:rsidR="00962F1B" w:rsidRPr="00102E22" w:rsidRDefault="00962F1B" w:rsidP="00962F1B">
            <w:pPr>
              <w:jc w:val="center"/>
              <w:rPr>
                <w:rFonts w:eastAsia="Calibri"/>
                <w:sz w:val="20"/>
                <w:szCs w:val="20"/>
                <w:lang w:eastAsia="en-US"/>
              </w:rPr>
            </w:pPr>
            <w:r>
              <w:rPr>
                <w:rFonts w:eastAsia="Calibri"/>
                <w:sz w:val="20"/>
                <w:szCs w:val="20"/>
                <w:lang w:eastAsia="en-US"/>
              </w:rPr>
              <w:t>124</w:t>
            </w:r>
          </w:p>
        </w:tc>
        <w:tc>
          <w:tcPr>
            <w:tcW w:w="0" w:type="auto"/>
            <w:shd w:val="clear" w:color="auto" w:fill="auto"/>
            <w:vAlign w:val="center"/>
          </w:tcPr>
          <w:p w14:paraId="0CA43FD1" w14:textId="36A0565A" w:rsidR="00962F1B" w:rsidRPr="00102E22" w:rsidRDefault="00962F1B" w:rsidP="00962F1B">
            <w:pPr>
              <w:jc w:val="center"/>
              <w:rPr>
                <w:rFonts w:eastAsia="Calibri"/>
                <w:sz w:val="20"/>
                <w:szCs w:val="20"/>
                <w:lang w:eastAsia="en-US"/>
              </w:rPr>
            </w:pPr>
            <w:r w:rsidRPr="00102E22">
              <w:rPr>
                <w:rFonts w:eastAsia="Calibri"/>
                <w:sz w:val="20"/>
                <w:szCs w:val="20"/>
                <w:lang w:eastAsia="en-US"/>
              </w:rPr>
              <w:t>3.</w:t>
            </w:r>
            <w:r>
              <w:rPr>
                <w:rFonts w:eastAsia="Calibri"/>
                <w:sz w:val="20"/>
                <w:szCs w:val="20"/>
                <w:lang w:eastAsia="en-US"/>
              </w:rPr>
              <w:t>1</w:t>
            </w:r>
            <w:r w:rsidRPr="00102E22">
              <w:rPr>
                <w:rFonts w:eastAsia="Calibri"/>
                <w:sz w:val="20"/>
                <w:szCs w:val="20"/>
                <w:lang w:eastAsia="en-US"/>
              </w:rPr>
              <w:t>2**</w:t>
            </w:r>
          </w:p>
        </w:tc>
        <w:tc>
          <w:tcPr>
            <w:tcW w:w="0" w:type="auto"/>
            <w:shd w:val="clear" w:color="auto" w:fill="auto"/>
            <w:vAlign w:val="center"/>
          </w:tcPr>
          <w:p w14:paraId="1430EB67" w14:textId="7AAC2295" w:rsidR="00962F1B" w:rsidRPr="00102E22" w:rsidRDefault="00962F1B" w:rsidP="00962F1B">
            <w:pPr>
              <w:jc w:val="center"/>
              <w:rPr>
                <w:rFonts w:eastAsia="Calibri"/>
                <w:sz w:val="20"/>
                <w:szCs w:val="20"/>
                <w:lang w:eastAsia="en-US"/>
              </w:rPr>
            </w:pPr>
            <w:r>
              <w:rPr>
                <w:rFonts w:eastAsia="Calibri"/>
                <w:sz w:val="20"/>
                <w:szCs w:val="20"/>
                <w:lang w:eastAsia="en-US"/>
              </w:rPr>
              <w:t>1</w:t>
            </w:r>
          </w:p>
        </w:tc>
        <w:tc>
          <w:tcPr>
            <w:tcW w:w="0" w:type="auto"/>
            <w:shd w:val="clear" w:color="auto" w:fill="auto"/>
            <w:vAlign w:val="center"/>
          </w:tcPr>
          <w:p w14:paraId="33C383EB" w14:textId="765CB788" w:rsidR="00962F1B" w:rsidRPr="00102E22" w:rsidRDefault="00962F1B" w:rsidP="00962F1B">
            <w:pPr>
              <w:jc w:val="center"/>
              <w:rPr>
                <w:rFonts w:eastAsia="Calibri"/>
                <w:sz w:val="20"/>
                <w:szCs w:val="20"/>
                <w:lang w:eastAsia="en-US"/>
              </w:rPr>
            </w:pPr>
            <w:r w:rsidRPr="00102E22">
              <w:rPr>
                <w:rFonts w:eastAsia="Calibri"/>
                <w:sz w:val="20"/>
                <w:szCs w:val="20"/>
                <w:lang w:eastAsia="en-US"/>
              </w:rPr>
              <w:t>.</w:t>
            </w:r>
            <w:r>
              <w:rPr>
                <w:rFonts w:eastAsia="Calibri"/>
                <w:sz w:val="20"/>
                <w:szCs w:val="20"/>
                <w:lang w:eastAsia="en-US"/>
              </w:rPr>
              <w:t>75</w:t>
            </w:r>
          </w:p>
        </w:tc>
        <w:tc>
          <w:tcPr>
            <w:tcW w:w="0" w:type="auto"/>
            <w:shd w:val="clear" w:color="auto" w:fill="auto"/>
            <w:vAlign w:val="center"/>
          </w:tcPr>
          <w:p w14:paraId="6EA89C5E" w14:textId="538E957E" w:rsidR="00962F1B" w:rsidRPr="00102E22" w:rsidRDefault="00962F1B" w:rsidP="00962F1B">
            <w:pPr>
              <w:jc w:val="center"/>
              <w:rPr>
                <w:rFonts w:eastAsia="Calibri"/>
                <w:sz w:val="20"/>
                <w:szCs w:val="20"/>
                <w:lang w:eastAsia="en-US"/>
              </w:rPr>
            </w:pPr>
            <w:r w:rsidRPr="00102E22">
              <w:rPr>
                <w:rFonts w:eastAsia="Calibri"/>
                <w:sz w:val="20"/>
                <w:szCs w:val="20"/>
                <w:lang w:eastAsia="en-US"/>
              </w:rPr>
              <w:t>.8</w:t>
            </w:r>
            <w:r>
              <w:rPr>
                <w:rFonts w:eastAsia="Calibri"/>
                <w:sz w:val="20"/>
                <w:szCs w:val="20"/>
                <w:lang w:eastAsia="en-US"/>
              </w:rPr>
              <w:t>1</w:t>
            </w:r>
          </w:p>
        </w:tc>
      </w:tr>
      <w:tr w:rsidR="00962F1B" w:rsidRPr="00102E22" w14:paraId="59F62E2D" w14:textId="77777777" w:rsidTr="00102E22">
        <w:trPr>
          <w:jc w:val="center"/>
        </w:trPr>
        <w:tc>
          <w:tcPr>
            <w:tcW w:w="4111" w:type="dxa"/>
            <w:shd w:val="clear" w:color="auto" w:fill="auto"/>
            <w:vAlign w:val="center"/>
          </w:tcPr>
          <w:p w14:paraId="6A8DFED9" w14:textId="215D72A4" w:rsidR="00962F1B" w:rsidRPr="00102E22" w:rsidRDefault="00962F1B" w:rsidP="00962F1B">
            <w:pPr>
              <w:jc w:val="both"/>
              <w:rPr>
                <w:rFonts w:eastAsia="Calibri"/>
                <w:sz w:val="20"/>
                <w:szCs w:val="20"/>
                <w:lang w:eastAsia="en-US"/>
              </w:rPr>
            </w:pPr>
            <w:r w:rsidRPr="00102E22">
              <w:rPr>
                <w:rFonts w:eastAsia="Calibri"/>
                <w:sz w:val="20"/>
                <w:szCs w:val="20"/>
                <w:lang w:eastAsia="en-US"/>
              </w:rPr>
              <w:t>Number of members confined to the same address</w:t>
            </w:r>
            <w:r w:rsidR="002F7C71">
              <w:rPr>
                <w:rFonts w:eastAsia="Calibri"/>
                <w:sz w:val="20"/>
                <w:szCs w:val="20"/>
                <w:lang w:eastAsia="en-US"/>
              </w:rPr>
              <w:t xml:space="preserve"> </w:t>
            </w:r>
            <w:r w:rsidR="002F7C71" w:rsidRPr="002F7C71">
              <w:rPr>
                <w:rFonts w:eastAsia="Calibri"/>
                <w:sz w:val="20"/>
                <w:szCs w:val="20"/>
                <w:lang w:eastAsia="en-US"/>
              </w:rPr>
              <w:t>(MFam)</w:t>
            </w:r>
          </w:p>
        </w:tc>
        <w:tc>
          <w:tcPr>
            <w:tcW w:w="1225" w:type="dxa"/>
            <w:shd w:val="clear" w:color="auto" w:fill="auto"/>
            <w:vAlign w:val="center"/>
          </w:tcPr>
          <w:p w14:paraId="6476CA5C"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3C3E0B1B"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333CE2ED"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41DA68F4"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72F91DB9" w14:textId="77777777" w:rsidR="00962F1B" w:rsidRPr="00102E22" w:rsidRDefault="00962F1B" w:rsidP="00962F1B">
            <w:pPr>
              <w:jc w:val="center"/>
              <w:rPr>
                <w:rFonts w:eastAsia="Calibri"/>
                <w:sz w:val="20"/>
                <w:szCs w:val="20"/>
                <w:lang w:eastAsia="en-US"/>
              </w:rPr>
            </w:pPr>
          </w:p>
        </w:tc>
      </w:tr>
      <w:tr w:rsidR="00962F1B" w:rsidRPr="00102E22" w14:paraId="660085B4" w14:textId="77777777" w:rsidTr="00102E22">
        <w:trPr>
          <w:jc w:val="center"/>
        </w:trPr>
        <w:tc>
          <w:tcPr>
            <w:tcW w:w="4111" w:type="dxa"/>
            <w:shd w:val="clear" w:color="auto" w:fill="auto"/>
            <w:vAlign w:val="center"/>
          </w:tcPr>
          <w:p w14:paraId="30896FF8" w14:textId="77777777" w:rsidR="00962F1B" w:rsidRPr="00102E22" w:rsidRDefault="00962F1B" w:rsidP="00962F1B">
            <w:pPr>
              <w:jc w:val="both"/>
              <w:rPr>
                <w:rFonts w:eastAsia="Calibri"/>
                <w:sz w:val="20"/>
                <w:szCs w:val="20"/>
                <w:lang w:eastAsia="en-US"/>
              </w:rPr>
            </w:pPr>
            <w:r w:rsidRPr="00102E22">
              <w:rPr>
                <w:rFonts w:eastAsia="Calibri"/>
                <w:sz w:val="20"/>
                <w:szCs w:val="20"/>
                <w:lang w:eastAsia="en-US"/>
              </w:rPr>
              <w:t xml:space="preserve">   2 </w:t>
            </w:r>
          </w:p>
        </w:tc>
        <w:tc>
          <w:tcPr>
            <w:tcW w:w="1225" w:type="dxa"/>
            <w:shd w:val="clear" w:color="auto" w:fill="auto"/>
            <w:vAlign w:val="center"/>
          </w:tcPr>
          <w:p w14:paraId="23995762" w14:textId="44BFC27A" w:rsidR="00962F1B" w:rsidRPr="00102E22" w:rsidRDefault="00962F1B" w:rsidP="001D406A">
            <w:pPr>
              <w:jc w:val="center"/>
              <w:rPr>
                <w:rFonts w:eastAsia="Calibri"/>
                <w:sz w:val="20"/>
                <w:szCs w:val="20"/>
                <w:lang w:eastAsia="en-US"/>
              </w:rPr>
            </w:pPr>
            <w:r>
              <w:rPr>
                <w:sz w:val="20"/>
                <w:szCs w:val="20"/>
                <w:lang w:eastAsia="en-US"/>
              </w:rPr>
              <w:t>1</w:t>
            </w:r>
            <w:r w:rsidR="001D406A">
              <w:rPr>
                <w:sz w:val="20"/>
                <w:szCs w:val="20"/>
                <w:lang w:eastAsia="en-US"/>
              </w:rPr>
              <w:t>02</w:t>
            </w:r>
          </w:p>
        </w:tc>
        <w:tc>
          <w:tcPr>
            <w:tcW w:w="0" w:type="auto"/>
            <w:shd w:val="clear" w:color="auto" w:fill="auto"/>
            <w:vAlign w:val="center"/>
          </w:tcPr>
          <w:p w14:paraId="4CBA1FB8"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1B5FBCDF"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42DD877C"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47A37D08" w14:textId="77777777" w:rsidR="00962F1B" w:rsidRPr="00102E22" w:rsidRDefault="00962F1B" w:rsidP="00962F1B">
            <w:pPr>
              <w:jc w:val="center"/>
              <w:rPr>
                <w:rFonts w:eastAsia="Calibri"/>
                <w:sz w:val="20"/>
                <w:szCs w:val="20"/>
                <w:lang w:eastAsia="en-US"/>
              </w:rPr>
            </w:pPr>
          </w:p>
        </w:tc>
      </w:tr>
      <w:tr w:rsidR="00962F1B" w:rsidRPr="00102E22" w14:paraId="46DAA7B2" w14:textId="77777777" w:rsidTr="00102E22">
        <w:trPr>
          <w:jc w:val="center"/>
        </w:trPr>
        <w:tc>
          <w:tcPr>
            <w:tcW w:w="4111" w:type="dxa"/>
            <w:shd w:val="clear" w:color="auto" w:fill="auto"/>
            <w:vAlign w:val="center"/>
          </w:tcPr>
          <w:p w14:paraId="3D163683" w14:textId="77777777" w:rsidR="00962F1B" w:rsidRPr="00102E22" w:rsidRDefault="00962F1B" w:rsidP="00962F1B">
            <w:pPr>
              <w:jc w:val="both"/>
              <w:rPr>
                <w:rFonts w:eastAsia="Calibri"/>
                <w:sz w:val="20"/>
                <w:szCs w:val="20"/>
                <w:lang w:eastAsia="en-US"/>
              </w:rPr>
            </w:pPr>
            <w:r w:rsidRPr="00102E22">
              <w:rPr>
                <w:rFonts w:eastAsia="Calibri"/>
                <w:sz w:val="20"/>
                <w:szCs w:val="20"/>
                <w:lang w:eastAsia="en-US"/>
              </w:rPr>
              <w:t xml:space="preserve">   3</w:t>
            </w:r>
          </w:p>
        </w:tc>
        <w:tc>
          <w:tcPr>
            <w:tcW w:w="1225" w:type="dxa"/>
            <w:shd w:val="clear" w:color="auto" w:fill="auto"/>
            <w:vAlign w:val="center"/>
          </w:tcPr>
          <w:p w14:paraId="18361D8D" w14:textId="0491FFA0" w:rsidR="00962F1B" w:rsidRPr="00102E22" w:rsidRDefault="001D406A" w:rsidP="00962F1B">
            <w:pPr>
              <w:jc w:val="center"/>
              <w:rPr>
                <w:rFonts w:eastAsia="Calibri"/>
                <w:sz w:val="20"/>
                <w:szCs w:val="20"/>
                <w:lang w:eastAsia="en-US"/>
              </w:rPr>
            </w:pPr>
            <w:r>
              <w:rPr>
                <w:sz w:val="20"/>
                <w:szCs w:val="20"/>
                <w:lang w:eastAsia="en-US"/>
              </w:rPr>
              <w:t>206</w:t>
            </w:r>
          </w:p>
        </w:tc>
        <w:tc>
          <w:tcPr>
            <w:tcW w:w="0" w:type="auto"/>
            <w:shd w:val="clear" w:color="auto" w:fill="auto"/>
            <w:vAlign w:val="center"/>
          </w:tcPr>
          <w:p w14:paraId="6F187B84" w14:textId="0995FACB" w:rsidR="00962F1B" w:rsidRPr="00102E22" w:rsidRDefault="00962F1B" w:rsidP="001D406A">
            <w:pPr>
              <w:jc w:val="center"/>
              <w:rPr>
                <w:rFonts w:eastAsia="Calibri"/>
                <w:sz w:val="20"/>
                <w:szCs w:val="20"/>
                <w:lang w:eastAsia="en-US"/>
              </w:rPr>
            </w:pPr>
            <w:r w:rsidRPr="00102E22">
              <w:rPr>
                <w:rFonts w:eastAsia="Calibri"/>
                <w:sz w:val="20"/>
                <w:szCs w:val="20"/>
                <w:lang w:eastAsia="en-US"/>
              </w:rPr>
              <w:t>.3</w:t>
            </w:r>
            <w:r w:rsidR="001D406A">
              <w:rPr>
                <w:rFonts w:eastAsia="Calibri"/>
                <w:sz w:val="20"/>
                <w:szCs w:val="20"/>
                <w:lang w:eastAsia="en-US"/>
              </w:rPr>
              <w:t>4</w:t>
            </w:r>
            <w:r w:rsidRPr="00102E22">
              <w:rPr>
                <w:rFonts w:eastAsia="Calibri"/>
                <w:sz w:val="20"/>
                <w:szCs w:val="20"/>
                <w:vertAlign w:val="superscript"/>
                <w:lang w:eastAsia="en-US"/>
              </w:rPr>
              <w:t xml:space="preserve"> ns</w:t>
            </w:r>
          </w:p>
        </w:tc>
        <w:tc>
          <w:tcPr>
            <w:tcW w:w="0" w:type="auto"/>
            <w:shd w:val="clear" w:color="auto" w:fill="auto"/>
            <w:vAlign w:val="center"/>
          </w:tcPr>
          <w:p w14:paraId="19477A3B" w14:textId="75B98F42" w:rsidR="00962F1B" w:rsidRPr="00102E22" w:rsidRDefault="00962F1B" w:rsidP="00962F1B">
            <w:pPr>
              <w:jc w:val="center"/>
              <w:rPr>
                <w:rFonts w:eastAsia="Calibri"/>
                <w:sz w:val="20"/>
                <w:szCs w:val="20"/>
                <w:lang w:eastAsia="en-US"/>
              </w:rPr>
            </w:pPr>
            <w:r>
              <w:rPr>
                <w:rFonts w:eastAsia="Calibri"/>
                <w:sz w:val="20"/>
                <w:szCs w:val="20"/>
                <w:lang w:eastAsia="en-US"/>
              </w:rPr>
              <w:t>3</w:t>
            </w:r>
          </w:p>
        </w:tc>
        <w:tc>
          <w:tcPr>
            <w:tcW w:w="0" w:type="auto"/>
            <w:shd w:val="clear" w:color="auto" w:fill="auto"/>
            <w:vAlign w:val="center"/>
          </w:tcPr>
          <w:p w14:paraId="6628E5E6" w14:textId="2856563E" w:rsidR="00962F1B" w:rsidRPr="00102E22" w:rsidRDefault="00962F1B" w:rsidP="001D406A">
            <w:pPr>
              <w:jc w:val="center"/>
              <w:rPr>
                <w:rFonts w:eastAsia="Calibri"/>
                <w:sz w:val="20"/>
                <w:szCs w:val="20"/>
                <w:lang w:eastAsia="en-US"/>
              </w:rPr>
            </w:pPr>
            <w:r w:rsidRPr="00102E22">
              <w:rPr>
                <w:rFonts w:eastAsia="Calibri"/>
                <w:sz w:val="20"/>
                <w:szCs w:val="20"/>
                <w:lang w:eastAsia="en-US"/>
              </w:rPr>
              <w:t>.</w:t>
            </w:r>
            <w:r w:rsidR="001D406A">
              <w:rPr>
                <w:rFonts w:eastAsia="Calibri"/>
                <w:sz w:val="20"/>
                <w:szCs w:val="20"/>
                <w:lang w:eastAsia="en-US"/>
              </w:rPr>
              <w:t>4</w:t>
            </w:r>
            <w:r w:rsidRPr="00102E22">
              <w:rPr>
                <w:rFonts w:eastAsia="Calibri"/>
                <w:sz w:val="20"/>
                <w:szCs w:val="20"/>
                <w:lang w:eastAsia="en-US"/>
              </w:rPr>
              <w:t>1</w:t>
            </w:r>
          </w:p>
        </w:tc>
        <w:tc>
          <w:tcPr>
            <w:tcW w:w="0" w:type="auto"/>
            <w:shd w:val="clear" w:color="auto" w:fill="auto"/>
            <w:vAlign w:val="center"/>
          </w:tcPr>
          <w:p w14:paraId="4A0898CC" w14:textId="4825AFD8" w:rsidR="00962F1B" w:rsidRPr="00102E22" w:rsidRDefault="00962F1B" w:rsidP="00962F1B">
            <w:pPr>
              <w:jc w:val="center"/>
              <w:rPr>
                <w:rFonts w:eastAsia="Calibri"/>
                <w:sz w:val="20"/>
                <w:szCs w:val="20"/>
                <w:lang w:eastAsia="en-US"/>
              </w:rPr>
            </w:pPr>
            <w:r w:rsidRPr="00102E22">
              <w:rPr>
                <w:rFonts w:eastAsia="Calibri"/>
                <w:sz w:val="20"/>
                <w:szCs w:val="20"/>
                <w:lang w:eastAsia="en-US"/>
              </w:rPr>
              <w:t>.</w:t>
            </w:r>
            <w:r w:rsidR="001D406A">
              <w:rPr>
                <w:rFonts w:eastAsia="Calibri"/>
                <w:sz w:val="20"/>
                <w:szCs w:val="20"/>
                <w:lang w:eastAsia="en-US"/>
              </w:rPr>
              <w:t>7</w:t>
            </w:r>
            <w:r w:rsidRPr="00102E22">
              <w:rPr>
                <w:rFonts w:eastAsia="Calibri"/>
                <w:sz w:val="20"/>
                <w:szCs w:val="20"/>
                <w:lang w:eastAsia="en-US"/>
              </w:rPr>
              <w:t>3</w:t>
            </w:r>
          </w:p>
        </w:tc>
      </w:tr>
      <w:tr w:rsidR="00962F1B" w:rsidRPr="00102E22" w14:paraId="36A5C3A4" w14:textId="77777777" w:rsidTr="00102E22">
        <w:trPr>
          <w:jc w:val="center"/>
        </w:trPr>
        <w:tc>
          <w:tcPr>
            <w:tcW w:w="4111" w:type="dxa"/>
            <w:shd w:val="clear" w:color="auto" w:fill="auto"/>
            <w:vAlign w:val="center"/>
          </w:tcPr>
          <w:p w14:paraId="4D602C7B" w14:textId="77777777" w:rsidR="00962F1B" w:rsidRPr="00102E22" w:rsidRDefault="00962F1B" w:rsidP="00962F1B">
            <w:pPr>
              <w:jc w:val="both"/>
              <w:rPr>
                <w:rFonts w:eastAsia="Calibri"/>
                <w:sz w:val="20"/>
                <w:szCs w:val="20"/>
                <w:lang w:eastAsia="en-US"/>
              </w:rPr>
            </w:pPr>
            <w:r w:rsidRPr="00102E22">
              <w:rPr>
                <w:rFonts w:eastAsia="Calibri"/>
                <w:sz w:val="20"/>
                <w:szCs w:val="20"/>
                <w:lang w:eastAsia="en-US"/>
              </w:rPr>
              <w:t xml:space="preserve">   4</w:t>
            </w:r>
          </w:p>
        </w:tc>
        <w:tc>
          <w:tcPr>
            <w:tcW w:w="1225" w:type="dxa"/>
            <w:shd w:val="clear" w:color="auto" w:fill="auto"/>
            <w:vAlign w:val="center"/>
          </w:tcPr>
          <w:p w14:paraId="7D975C32" w14:textId="2856F9AB" w:rsidR="00962F1B" w:rsidRPr="00102E22" w:rsidRDefault="001D406A" w:rsidP="00962F1B">
            <w:pPr>
              <w:jc w:val="center"/>
              <w:rPr>
                <w:rFonts w:eastAsia="Calibri"/>
                <w:sz w:val="20"/>
                <w:szCs w:val="20"/>
                <w:lang w:eastAsia="en-US"/>
              </w:rPr>
            </w:pPr>
            <w:r>
              <w:rPr>
                <w:sz w:val="20"/>
                <w:szCs w:val="20"/>
                <w:lang w:eastAsia="en-US"/>
              </w:rPr>
              <w:t>214</w:t>
            </w:r>
          </w:p>
        </w:tc>
        <w:tc>
          <w:tcPr>
            <w:tcW w:w="0" w:type="auto"/>
            <w:shd w:val="clear" w:color="auto" w:fill="auto"/>
            <w:vAlign w:val="center"/>
          </w:tcPr>
          <w:p w14:paraId="32B8F17C"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7C14FDAE"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4C550208"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743BD6A1" w14:textId="77777777" w:rsidR="00962F1B" w:rsidRPr="00102E22" w:rsidRDefault="00962F1B" w:rsidP="00962F1B">
            <w:pPr>
              <w:jc w:val="center"/>
              <w:rPr>
                <w:rFonts w:eastAsia="Calibri"/>
                <w:sz w:val="20"/>
                <w:szCs w:val="20"/>
                <w:lang w:eastAsia="en-US"/>
              </w:rPr>
            </w:pPr>
          </w:p>
        </w:tc>
      </w:tr>
      <w:tr w:rsidR="00962F1B" w:rsidRPr="00102E22" w14:paraId="53D597DD" w14:textId="77777777" w:rsidTr="00102E22">
        <w:trPr>
          <w:jc w:val="center"/>
        </w:trPr>
        <w:tc>
          <w:tcPr>
            <w:tcW w:w="4111" w:type="dxa"/>
            <w:shd w:val="clear" w:color="auto" w:fill="auto"/>
            <w:vAlign w:val="center"/>
          </w:tcPr>
          <w:p w14:paraId="104F4CD0" w14:textId="1FB8EE1C" w:rsidR="00962F1B" w:rsidRPr="00102E22" w:rsidRDefault="00962F1B" w:rsidP="00962F1B">
            <w:pPr>
              <w:jc w:val="both"/>
              <w:rPr>
                <w:rFonts w:eastAsia="Calibri"/>
                <w:sz w:val="20"/>
                <w:szCs w:val="20"/>
                <w:lang w:eastAsia="en-US"/>
              </w:rPr>
            </w:pPr>
            <w:r w:rsidRPr="00102E22">
              <w:rPr>
                <w:rFonts w:eastAsia="Calibri"/>
                <w:sz w:val="20"/>
                <w:szCs w:val="20"/>
                <w:lang w:eastAsia="en-US"/>
              </w:rPr>
              <w:t xml:space="preserve">   5</w:t>
            </w:r>
            <w:r>
              <w:rPr>
                <w:rFonts w:eastAsia="Calibri"/>
                <w:sz w:val="20"/>
                <w:szCs w:val="20"/>
                <w:lang w:eastAsia="en-US"/>
              </w:rPr>
              <w:t xml:space="preserve"> or more</w:t>
            </w:r>
          </w:p>
        </w:tc>
        <w:tc>
          <w:tcPr>
            <w:tcW w:w="1225" w:type="dxa"/>
            <w:shd w:val="clear" w:color="auto" w:fill="auto"/>
            <w:vAlign w:val="center"/>
          </w:tcPr>
          <w:p w14:paraId="4D42800F" w14:textId="432490F9" w:rsidR="00962F1B" w:rsidRPr="00102E22" w:rsidRDefault="00962F1B" w:rsidP="001D406A">
            <w:pPr>
              <w:jc w:val="center"/>
              <w:rPr>
                <w:rFonts w:eastAsia="Calibri"/>
                <w:sz w:val="20"/>
                <w:szCs w:val="20"/>
                <w:lang w:eastAsia="en-US"/>
              </w:rPr>
            </w:pPr>
            <w:r w:rsidRPr="00102E22">
              <w:rPr>
                <w:sz w:val="20"/>
                <w:szCs w:val="20"/>
                <w:lang w:eastAsia="en-US"/>
              </w:rPr>
              <w:t>1</w:t>
            </w:r>
            <w:r w:rsidR="001D406A">
              <w:rPr>
                <w:sz w:val="20"/>
                <w:szCs w:val="20"/>
                <w:lang w:eastAsia="en-US"/>
              </w:rPr>
              <w:t>67</w:t>
            </w:r>
          </w:p>
        </w:tc>
        <w:tc>
          <w:tcPr>
            <w:tcW w:w="0" w:type="auto"/>
            <w:shd w:val="clear" w:color="auto" w:fill="auto"/>
            <w:vAlign w:val="center"/>
          </w:tcPr>
          <w:p w14:paraId="0B3797A5"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6EC14066"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06D07062"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057425AA" w14:textId="77777777" w:rsidR="00962F1B" w:rsidRPr="00102E22" w:rsidRDefault="00962F1B" w:rsidP="00962F1B">
            <w:pPr>
              <w:jc w:val="center"/>
              <w:rPr>
                <w:rFonts w:eastAsia="Calibri"/>
                <w:sz w:val="20"/>
                <w:szCs w:val="20"/>
                <w:lang w:eastAsia="en-US"/>
              </w:rPr>
            </w:pPr>
          </w:p>
        </w:tc>
      </w:tr>
      <w:tr w:rsidR="00962F1B" w:rsidRPr="00102E22" w14:paraId="36A165A0" w14:textId="77777777" w:rsidTr="00102E22">
        <w:trPr>
          <w:jc w:val="center"/>
        </w:trPr>
        <w:tc>
          <w:tcPr>
            <w:tcW w:w="4111" w:type="dxa"/>
            <w:shd w:val="clear" w:color="auto" w:fill="auto"/>
            <w:vAlign w:val="center"/>
          </w:tcPr>
          <w:p w14:paraId="0199BAD2" w14:textId="1F7D71A3" w:rsidR="00962F1B" w:rsidRPr="00102E22" w:rsidRDefault="00AC1059" w:rsidP="00962F1B">
            <w:pPr>
              <w:jc w:val="both"/>
              <w:rPr>
                <w:rFonts w:eastAsia="Calibri"/>
                <w:sz w:val="20"/>
                <w:szCs w:val="20"/>
                <w:lang w:eastAsia="en-US"/>
              </w:rPr>
            </w:pPr>
            <w:r w:rsidRPr="00AC1059">
              <w:rPr>
                <w:rFonts w:eastAsia="Calibri"/>
                <w:sz w:val="20"/>
                <w:szCs w:val="20"/>
                <w:lang w:eastAsia="en-US"/>
              </w:rPr>
              <w:t>Living with Sick People with Covid</w:t>
            </w:r>
            <w:r>
              <w:rPr>
                <w:rFonts w:eastAsia="Calibri"/>
                <w:sz w:val="20"/>
                <w:szCs w:val="20"/>
                <w:lang w:eastAsia="en-US"/>
              </w:rPr>
              <w:t xml:space="preserve"> (ConCo)</w:t>
            </w:r>
          </w:p>
        </w:tc>
        <w:tc>
          <w:tcPr>
            <w:tcW w:w="1225" w:type="dxa"/>
            <w:shd w:val="clear" w:color="auto" w:fill="auto"/>
            <w:vAlign w:val="center"/>
          </w:tcPr>
          <w:p w14:paraId="01A0B261"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0CE7ED8A"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38906BE2"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178796C4"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47AF9985" w14:textId="77777777" w:rsidR="00962F1B" w:rsidRPr="00102E22" w:rsidRDefault="00962F1B" w:rsidP="00962F1B">
            <w:pPr>
              <w:jc w:val="center"/>
              <w:rPr>
                <w:rFonts w:eastAsia="Calibri"/>
                <w:sz w:val="20"/>
                <w:szCs w:val="20"/>
                <w:lang w:eastAsia="en-US"/>
              </w:rPr>
            </w:pPr>
          </w:p>
        </w:tc>
      </w:tr>
      <w:tr w:rsidR="00962F1B" w:rsidRPr="00102E22" w14:paraId="3ED77E00" w14:textId="77777777" w:rsidTr="00102E22">
        <w:trPr>
          <w:jc w:val="center"/>
        </w:trPr>
        <w:tc>
          <w:tcPr>
            <w:tcW w:w="4111" w:type="dxa"/>
            <w:shd w:val="clear" w:color="auto" w:fill="auto"/>
            <w:vAlign w:val="center"/>
          </w:tcPr>
          <w:p w14:paraId="68C46A96" w14:textId="77777777" w:rsidR="00962F1B" w:rsidRPr="00102E22" w:rsidRDefault="00962F1B" w:rsidP="00962F1B">
            <w:pPr>
              <w:jc w:val="both"/>
              <w:rPr>
                <w:rFonts w:eastAsia="Calibri"/>
                <w:sz w:val="20"/>
                <w:szCs w:val="20"/>
                <w:lang w:eastAsia="en-US"/>
              </w:rPr>
            </w:pPr>
            <w:r w:rsidRPr="00102E22">
              <w:rPr>
                <w:rFonts w:eastAsia="Calibri"/>
                <w:sz w:val="20"/>
                <w:szCs w:val="20"/>
                <w:lang w:eastAsia="en-US"/>
              </w:rPr>
              <w:t xml:space="preserve">   Yes</w:t>
            </w:r>
          </w:p>
        </w:tc>
        <w:tc>
          <w:tcPr>
            <w:tcW w:w="1225" w:type="dxa"/>
            <w:shd w:val="clear" w:color="auto" w:fill="auto"/>
            <w:vAlign w:val="center"/>
          </w:tcPr>
          <w:p w14:paraId="5239F6ED" w14:textId="25635B2E" w:rsidR="00962F1B" w:rsidRPr="00102E22" w:rsidRDefault="001D406A" w:rsidP="001D406A">
            <w:pPr>
              <w:jc w:val="center"/>
              <w:rPr>
                <w:rFonts w:eastAsia="Calibri"/>
                <w:sz w:val="20"/>
                <w:szCs w:val="20"/>
                <w:lang w:eastAsia="en-US"/>
              </w:rPr>
            </w:pPr>
            <w:r>
              <w:rPr>
                <w:rFonts w:eastAsia="Calibri"/>
                <w:sz w:val="20"/>
                <w:szCs w:val="20"/>
                <w:lang w:eastAsia="en-US"/>
              </w:rPr>
              <w:t>279</w:t>
            </w:r>
          </w:p>
        </w:tc>
        <w:tc>
          <w:tcPr>
            <w:tcW w:w="0" w:type="auto"/>
            <w:shd w:val="clear" w:color="auto" w:fill="auto"/>
            <w:vAlign w:val="center"/>
          </w:tcPr>
          <w:p w14:paraId="14C2B44C"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0C8B850E"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5F7C1B76"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3736729B" w14:textId="77777777" w:rsidR="00962F1B" w:rsidRPr="00102E22" w:rsidRDefault="00962F1B" w:rsidP="00962F1B">
            <w:pPr>
              <w:jc w:val="center"/>
              <w:rPr>
                <w:rFonts w:eastAsia="Calibri"/>
                <w:sz w:val="20"/>
                <w:szCs w:val="20"/>
                <w:lang w:eastAsia="en-US"/>
              </w:rPr>
            </w:pPr>
          </w:p>
        </w:tc>
      </w:tr>
      <w:tr w:rsidR="00962F1B" w:rsidRPr="00102E22" w14:paraId="1B0F9DEB" w14:textId="77777777" w:rsidTr="00102E22">
        <w:trPr>
          <w:jc w:val="center"/>
        </w:trPr>
        <w:tc>
          <w:tcPr>
            <w:tcW w:w="4111" w:type="dxa"/>
            <w:shd w:val="clear" w:color="auto" w:fill="auto"/>
            <w:vAlign w:val="center"/>
          </w:tcPr>
          <w:p w14:paraId="6C0989BC" w14:textId="77777777" w:rsidR="00962F1B" w:rsidRPr="00102E22" w:rsidRDefault="00962F1B" w:rsidP="00962F1B">
            <w:pPr>
              <w:jc w:val="both"/>
              <w:rPr>
                <w:rFonts w:eastAsia="Calibri"/>
                <w:sz w:val="20"/>
                <w:szCs w:val="20"/>
                <w:lang w:eastAsia="en-US"/>
              </w:rPr>
            </w:pPr>
            <w:r w:rsidRPr="00102E22">
              <w:rPr>
                <w:rFonts w:eastAsia="Calibri"/>
                <w:sz w:val="20"/>
                <w:szCs w:val="20"/>
                <w:lang w:eastAsia="en-US"/>
              </w:rPr>
              <w:t xml:space="preserve">   No</w:t>
            </w:r>
          </w:p>
        </w:tc>
        <w:tc>
          <w:tcPr>
            <w:tcW w:w="1225" w:type="dxa"/>
            <w:shd w:val="clear" w:color="auto" w:fill="auto"/>
            <w:vAlign w:val="center"/>
          </w:tcPr>
          <w:p w14:paraId="44F5D2EE" w14:textId="3BC4BF5B" w:rsidR="00962F1B" w:rsidRPr="00102E22" w:rsidRDefault="001D406A" w:rsidP="00962F1B">
            <w:pPr>
              <w:jc w:val="center"/>
              <w:rPr>
                <w:rFonts w:eastAsia="Calibri"/>
                <w:sz w:val="20"/>
                <w:szCs w:val="20"/>
                <w:lang w:eastAsia="en-US"/>
              </w:rPr>
            </w:pPr>
            <w:r>
              <w:rPr>
                <w:rFonts w:eastAsia="Calibri"/>
                <w:sz w:val="20"/>
                <w:szCs w:val="20"/>
                <w:lang w:eastAsia="en-US"/>
              </w:rPr>
              <w:t>410</w:t>
            </w:r>
          </w:p>
        </w:tc>
        <w:tc>
          <w:tcPr>
            <w:tcW w:w="0" w:type="auto"/>
            <w:shd w:val="clear" w:color="auto" w:fill="auto"/>
            <w:vAlign w:val="center"/>
          </w:tcPr>
          <w:p w14:paraId="25A9C203" w14:textId="0F6606BE" w:rsidR="00962F1B" w:rsidRPr="00102E22" w:rsidRDefault="001D406A" w:rsidP="001D406A">
            <w:pPr>
              <w:jc w:val="center"/>
              <w:rPr>
                <w:rFonts w:eastAsia="Calibri"/>
                <w:sz w:val="20"/>
                <w:szCs w:val="20"/>
                <w:lang w:eastAsia="en-US"/>
              </w:rPr>
            </w:pPr>
            <w:r>
              <w:rPr>
                <w:rFonts w:eastAsia="Calibri"/>
                <w:sz w:val="20"/>
                <w:szCs w:val="20"/>
                <w:lang w:eastAsia="en-US"/>
              </w:rPr>
              <w:t>0</w:t>
            </w:r>
            <w:r w:rsidR="00962F1B" w:rsidRPr="00102E22">
              <w:rPr>
                <w:rFonts w:eastAsia="Calibri"/>
                <w:sz w:val="20"/>
                <w:szCs w:val="20"/>
                <w:lang w:eastAsia="en-US"/>
              </w:rPr>
              <w:t>.23</w:t>
            </w:r>
            <w:r w:rsidR="00962F1B" w:rsidRPr="00102E22">
              <w:rPr>
                <w:rFonts w:eastAsia="Calibri"/>
                <w:sz w:val="20"/>
                <w:szCs w:val="20"/>
                <w:vertAlign w:val="superscript"/>
                <w:lang w:eastAsia="en-US"/>
              </w:rPr>
              <w:t>ns</w:t>
            </w:r>
          </w:p>
        </w:tc>
        <w:tc>
          <w:tcPr>
            <w:tcW w:w="0" w:type="auto"/>
            <w:shd w:val="clear" w:color="auto" w:fill="auto"/>
            <w:vAlign w:val="center"/>
          </w:tcPr>
          <w:p w14:paraId="7C84C6DA" w14:textId="77777777" w:rsidR="00962F1B" w:rsidRPr="00102E22" w:rsidRDefault="00962F1B" w:rsidP="00962F1B">
            <w:pPr>
              <w:jc w:val="center"/>
              <w:rPr>
                <w:rFonts w:eastAsia="Calibri"/>
                <w:sz w:val="20"/>
                <w:szCs w:val="20"/>
                <w:lang w:eastAsia="en-US"/>
              </w:rPr>
            </w:pPr>
            <w:r w:rsidRPr="00102E22">
              <w:rPr>
                <w:rFonts w:eastAsia="Calibri"/>
                <w:sz w:val="20"/>
                <w:szCs w:val="20"/>
                <w:lang w:eastAsia="en-US"/>
              </w:rPr>
              <w:t>1</w:t>
            </w:r>
          </w:p>
        </w:tc>
        <w:tc>
          <w:tcPr>
            <w:tcW w:w="0" w:type="auto"/>
            <w:shd w:val="clear" w:color="auto" w:fill="auto"/>
            <w:vAlign w:val="center"/>
          </w:tcPr>
          <w:p w14:paraId="0CCD8A44" w14:textId="77777777" w:rsidR="00962F1B" w:rsidRPr="00102E22" w:rsidRDefault="00962F1B" w:rsidP="00962F1B">
            <w:pPr>
              <w:jc w:val="center"/>
              <w:rPr>
                <w:rFonts w:eastAsia="Calibri"/>
                <w:sz w:val="20"/>
                <w:szCs w:val="20"/>
                <w:lang w:eastAsia="en-US"/>
              </w:rPr>
            </w:pPr>
            <w:r w:rsidRPr="00102E22">
              <w:rPr>
                <w:rFonts w:eastAsia="Calibri"/>
                <w:sz w:val="20"/>
                <w:szCs w:val="20"/>
                <w:lang w:eastAsia="en-US"/>
              </w:rPr>
              <w:t>.45</w:t>
            </w:r>
          </w:p>
        </w:tc>
        <w:tc>
          <w:tcPr>
            <w:tcW w:w="0" w:type="auto"/>
            <w:shd w:val="clear" w:color="auto" w:fill="auto"/>
            <w:vAlign w:val="center"/>
          </w:tcPr>
          <w:p w14:paraId="443E09ED" w14:textId="79341186" w:rsidR="00962F1B" w:rsidRPr="00102E22" w:rsidRDefault="00962F1B" w:rsidP="001D406A">
            <w:pPr>
              <w:jc w:val="center"/>
              <w:rPr>
                <w:rFonts w:eastAsia="Calibri"/>
                <w:sz w:val="20"/>
                <w:szCs w:val="20"/>
                <w:lang w:eastAsia="en-US"/>
              </w:rPr>
            </w:pPr>
            <w:r w:rsidRPr="00102E22">
              <w:rPr>
                <w:rFonts w:eastAsia="Calibri"/>
                <w:sz w:val="20"/>
                <w:szCs w:val="20"/>
                <w:lang w:eastAsia="en-US"/>
              </w:rPr>
              <w:t>.</w:t>
            </w:r>
            <w:r w:rsidR="001D406A">
              <w:rPr>
                <w:rFonts w:eastAsia="Calibri"/>
                <w:sz w:val="20"/>
                <w:szCs w:val="20"/>
                <w:lang w:eastAsia="en-US"/>
              </w:rPr>
              <w:t>3</w:t>
            </w:r>
            <w:r w:rsidRPr="00102E22">
              <w:rPr>
                <w:rFonts w:eastAsia="Calibri"/>
                <w:sz w:val="20"/>
                <w:szCs w:val="20"/>
                <w:lang w:eastAsia="en-US"/>
              </w:rPr>
              <w:t>3</w:t>
            </w:r>
          </w:p>
        </w:tc>
      </w:tr>
      <w:tr w:rsidR="00962F1B" w:rsidRPr="00102E22" w14:paraId="04C0367A" w14:textId="77777777" w:rsidTr="00102E22">
        <w:trPr>
          <w:jc w:val="center"/>
        </w:trPr>
        <w:tc>
          <w:tcPr>
            <w:tcW w:w="4111" w:type="dxa"/>
            <w:shd w:val="clear" w:color="auto" w:fill="auto"/>
            <w:vAlign w:val="center"/>
          </w:tcPr>
          <w:p w14:paraId="07FAF4CD" w14:textId="77777777" w:rsidR="00962F1B" w:rsidRPr="00102E22" w:rsidRDefault="00962F1B" w:rsidP="00962F1B">
            <w:pPr>
              <w:jc w:val="both"/>
              <w:rPr>
                <w:rFonts w:eastAsia="Calibri"/>
                <w:sz w:val="20"/>
                <w:szCs w:val="20"/>
                <w:lang w:eastAsia="en-US"/>
              </w:rPr>
            </w:pPr>
            <w:r w:rsidRPr="00102E22">
              <w:rPr>
                <w:rFonts w:eastAsia="Calibri"/>
                <w:sz w:val="20"/>
                <w:szCs w:val="20"/>
                <w:lang w:eastAsia="en-US"/>
              </w:rPr>
              <w:t>Type of house</w:t>
            </w:r>
          </w:p>
        </w:tc>
        <w:tc>
          <w:tcPr>
            <w:tcW w:w="1225" w:type="dxa"/>
            <w:shd w:val="clear" w:color="auto" w:fill="auto"/>
            <w:vAlign w:val="center"/>
          </w:tcPr>
          <w:p w14:paraId="418E16FE"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0314E2CC"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534D5B63"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59B7D668"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7CA944C5" w14:textId="77777777" w:rsidR="00962F1B" w:rsidRPr="00102E22" w:rsidRDefault="00962F1B" w:rsidP="00962F1B">
            <w:pPr>
              <w:jc w:val="center"/>
              <w:rPr>
                <w:rFonts w:eastAsia="Calibri"/>
                <w:sz w:val="20"/>
                <w:szCs w:val="20"/>
                <w:lang w:eastAsia="en-US"/>
              </w:rPr>
            </w:pPr>
          </w:p>
        </w:tc>
      </w:tr>
      <w:tr w:rsidR="00962F1B" w:rsidRPr="00102E22" w14:paraId="16B80D4F" w14:textId="77777777" w:rsidTr="00102E22">
        <w:trPr>
          <w:jc w:val="center"/>
        </w:trPr>
        <w:tc>
          <w:tcPr>
            <w:tcW w:w="4111" w:type="dxa"/>
            <w:shd w:val="clear" w:color="auto" w:fill="auto"/>
            <w:vAlign w:val="center"/>
          </w:tcPr>
          <w:p w14:paraId="5CF69201" w14:textId="77777777" w:rsidR="00962F1B" w:rsidRPr="00102E22" w:rsidRDefault="00962F1B" w:rsidP="00962F1B">
            <w:pPr>
              <w:jc w:val="both"/>
              <w:rPr>
                <w:rFonts w:eastAsia="Calibri"/>
                <w:sz w:val="20"/>
                <w:szCs w:val="20"/>
                <w:lang w:eastAsia="en-US"/>
              </w:rPr>
            </w:pPr>
            <w:r w:rsidRPr="00102E22">
              <w:rPr>
                <w:rFonts w:eastAsia="Calibri"/>
                <w:sz w:val="20"/>
                <w:szCs w:val="20"/>
                <w:lang w:eastAsia="en-US"/>
              </w:rPr>
              <w:t xml:space="preserve">   Flat of less than 59 square meters</w:t>
            </w:r>
          </w:p>
        </w:tc>
        <w:tc>
          <w:tcPr>
            <w:tcW w:w="1225" w:type="dxa"/>
            <w:shd w:val="clear" w:color="auto" w:fill="auto"/>
            <w:vAlign w:val="center"/>
          </w:tcPr>
          <w:p w14:paraId="7A4C063A" w14:textId="1A16DFE3" w:rsidR="00962F1B" w:rsidRPr="00102E22" w:rsidRDefault="001D406A" w:rsidP="001D406A">
            <w:pPr>
              <w:jc w:val="center"/>
              <w:rPr>
                <w:rFonts w:eastAsia="Calibri"/>
                <w:sz w:val="20"/>
                <w:szCs w:val="20"/>
                <w:lang w:eastAsia="en-US"/>
              </w:rPr>
            </w:pPr>
            <w:r>
              <w:rPr>
                <w:rFonts w:eastAsia="Calibri"/>
                <w:sz w:val="20"/>
                <w:szCs w:val="20"/>
                <w:lang w:eastAsia="en-US"/>
              </w:rPr>
              <w:t>101</w:t>
            </w:r>
          </w:p>
        </w:tc>
        <w:tc>
          <w:tcPr>
            <w:tcW w:w="0" w:type="auto"/>
            <w:shd w:val="clear" w:color="auto" w:fill="auto"/>
            <w:vAlign w:val="center"/>
          </w:tcPr>
          <w:p w14:paraId="5197E56A"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4B490792"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4BB453BD"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5FFD627C" w14:textId="77777777" w:rsidR="00962F1B" w:rsidRPr="00102E22" w:rsidRDefault="00962F1B" w:rsidP="00962F1B">
            <w:pPr>
              <w:jc w:val="center"/>
              <w:rPr>
                <w:rFonts w:eastAsia="Calibri"/>
                <w:sz w:val="20"/>
                <w:szCs w:val="20"/>
                <w:lang w:eastAsia="en-US"/>
              </w:rPr>
            </w:pPr>
          </w:p>
        </w:tc>
      </w:tr>
      <w:tr w:rsidR="00962F1B" w:rsidRPr="00102E22" w14:paraId="1AE3CF7E" w14:textId="77777777" w:rsidTr="00102E22">
        <w:trPr>
          <w:jc w:val="center"/>
        </w:trPr>
        <w:tc>
          <w:tcPr>
            <w:tcW w:w="4111" w:type="dxa"/>
            <w:shd w:val="clear" w:color="auto" w:fill="auto"/>
            <w:vAlign w:val="center"/>
          </w:tcPr>
          <w:p w14:paraId="2DE35682" w14:textId="77777777" w:rsidR="00962F1B" w:rsidRPr="00102E22" w:rsidRDefault="00962F1B" w:rsidP="00962F1B">
            <w:pPr>
              <w:jc w:val="both"/>
              <w:rPr>
                <w:rFonts w:eastAsia="Calibri"/>
                <w:sz w:val="20"/>
                <w:szCs w:val="20"/>
                <w:lang w:eastAsia="en-US"/>
              </w:rPr>
            </w:pPr>
            <w:r w:rsidRPr="00102E22">
              <w:rPr>
                <w:rFonts w:eastAsia="Calibri"/>
                <w:sz w:val="20"/>
                <w:szCs w:val="20"/>
                <w:lang w:eastAsia="en-US"/>
              </w:rPr>
              <w:t xml:space="preserve">   Flat between 60 and 99 square meters</w:t>
            </w:r>
          </w:p>
        </w:tc>
        <w:tc>
          <w:tcPr>
            <w:tcW w:w="1225" w:type="dxa"/>
            <w:shd w:val="clear" w:color="auto" w:fill="auto"/>
            <w:vAlign w:val="center"/>
          </w:tcPr>
          <w:p w14:paraId="057A85A8" w14:textId="0686E123" w:rsidR="00962F1B" w:rsidRPr="00102E22" w:rsidRDefault="001D406A" w:rsidP="001D406A">
            <w:pPr>
              <w:jc w:val="center"/>
              <w:rPr>
                <w:rFonts w:eastAsia="Calibri"/>
                <w:sz w:val="20"/>
                <w:szCs w:val="20"/>
                <w:lang w:eastAsia="en-US"/>
              </w:rPr>
            </w:pPr>
            <w:r>
              <w:rPr>
                <w:rFonts w:eastAsia="Calibri"/>
                <w:sz w:val="20"/>
                <w:szCs w:val="20"/>
                <w:lang w:eastAsia="en-US"/>
              </w:rPr>
              <w:t>208</w:t>
            </w:r>
          </w:p>
        </w:tc>
        <w:tc>
          <w:tcPr>
            <w:tcW w:w="0" w:type="auto"/>
            <w:shd w:val="clear" w:color="auto" w:fill="auto"/>
            <w:vAlign w:val="center"/>
          </w:tcPr>
          <w:p w14:paraId="48663BFF"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151887CC"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691E4EA3"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4ABB9F87" w14:textId="77777777" w:rsidR="00962F1B" w:rsidRPr="00102E22" w:rsidRDefault="00962F1B" w:rsidP="00962F1B">
            <w:pPr>
              <w:jc w:val="center"/>
              <w:rPr>
                <w:rFonts w:eastAsia="Calibri"/>
                <w:sz w:val="20"/>
                <w:szCs w:val="20"/>
                <w:lang w:eastAsia="en-US"/>
              </w:rPr>
            </w:pPr>
          </w:p>
        </w:tc>
      </w:tr>
      <w:tr w:rsidR="00962F1B" w:rsidRPr="00102E22" w14:paraId="18AD4352" w14:textId="77777777" w:rsidTr="00102E22">
        <w:trPr>
          <w:jc w:val="center"/>
        </w:trPr>
        <w:tc>
          <w:tcPr>
            <w:tcW w:w="4111" w:type="dxa"/>
            <w:shd w:val="clear" w:color="auto" w:fill="auto"/>
            <w:vAlign w:val="center"/>
          </w:tcPr>
          <w:p w14:paraId="309BD942" w14:textId="77777777" w:rsidR="00962F1B" w:rsidRPr="00102E22" w:rsidRDefault="00962F1B" w:rsidP="00962F1B">
            <w:pPr>
              <w:jc w:val="both"/>
              <w:rPr>
                <w:rFonts w:eastAsia="Calibri"/>
                <w:sz w:val="20"/>
                <w:szCs w:val="20"/>
                <w:lang w:eastAsia="en-US"/>
              </w:rPr>
            </w:pPr>
            <w:r w:rsidRPr="00102E22">
              <w:rPr>
                <w:rFonts w:eastAsia="Calibri"/>
                <w:sz w:val="20"/>
                <w:szCs w:val="20"/>
                <w:lang w:eastAsia="en-US"/>
              </w:rPr>
              <w:t xml:space="preserve">   Flat of 100 square meters or more</w:t>
            </w:r>
          </w:p>
        </w:tc>
        <w:tc>
          <w:tcPr>
            <w:tcW w:w="1225" w:type="dxa"/>
            <w:shd w:val="clear" w:color="auto" w:fill="auto"/>
            <w:vAlign w:val="center"/>
          </w:tcPr>
          <w:p w14:paraId="65EA9390" w14:textId="356DE2FF" w:rsidR="00962F1B" w:rsidRPr="00102E22" w:rsidRDefault="001D406A" w:rsidP="001D406A">
            <w:pPr>
              <w:jc w:val="center"/>
              <w:rPr>
                <w:rFonts w:eastAsia="Calibri"/>
                <w:sz w:val="20"/>
                <w:szCs w:val="20"/>
                <w:lang w:eastAsia="en-US"/>
              </w:rPr>
            </w:pPr>
            <w:r>
              <w:rPr>
                <w:rFonts w:eastAsia="Calibri"/>
                <w:sz w:val="20"/>
                <w:szCs w:val="20"/>
                <w:lang w:eastAsia="en-US"/>
              </w:rPr>
              <w:t>176</w:t>
            </w:r>
          </w:p>
        </w:tc>
        <w:tc>
          <w:tcPr>
            <w:tcW w:w="0" w:type="auto"/>
            <w:shd w:val="clear" w:color="auto" w:fill="auto"/>
            <w:vAlign w:val="center"/>
          </w:tcPr>
          <w:p w14:paraId="732BEC4D" w14:textId="700A9D7E" w:rsidR="00962F1B" w:rsidRPr="00102E22" w:rsidRDefault="00962F1B" w:rsidP="00962F1B">
            <w:pPr>
              <w:jc w:val="center"/>
              <w:rPr>
                <w:rFonts w:eastAsia="Calibri"/>
                <w:sz w:val="20"/>
                <w:szCs w:val="20"/>
                <w:lang w:eastAsia="en-US"/>
              </w:rPr>
            </w:pPr>
            <w:r w:rsidRPr="00102E22">
              <w:rPr>
                <w:rFonts w:eastAsia="Calibri"/>
                <w:sz w:val="20"/>
                <w:szCs w:val="20"/>
                <w:lang w:eastAsia="en-US"/>
              </w:rPr>
              <w:t>1</w:t>
            </w:r>
            <w:r w:rsidR="001D406A">
              <w:rPr>
                <w:rFonts w:eastAsia="Calibri"/>
                <w:sz w:val="20"/>
                <w:szCs w:val="20"/>
                <w:lang w:eastAsia="en-US"/>
              </w:rPr>
              <w:t>.61</w:t>
            </w:r>
            <w:r w:rsidRPr="00102E22">
              <w:rPr>
                <w:rFonts w:eastAsia="Calibri"/>
                <w:sz w:val="20"/>
                <w:szCs w:val="20"/>
                <w:vertAlign w:val="superscript"/>
                <w:lang w:eastAsia="en-US"/>
              </w:rPr>
              <w:t>ns</w:t>
            </w:r>
          </w:p>
        </w:tc>
        <w:tc>
          <w:tcPr>
            <w:tcW w:w="0" w:type="auto"/>
            <w:shd w:val="clear" w:color="auto" w:fill="auto"/>
            <w:vAlign w:val="center"/>
          </w:tcPr>
          <w:p w14:paraId="771542E0" w14:textId="77777777" w:rsidR="00962F1B" w:rsidRPr="00102E22" w:rsidRDefault="00962F1B" w:rsidP="00962F1B">
            <w:pPr>
              <w:jc w:val="center"/>
              <w:rPr>
                <w:rFonts w:eastAsia="Calibri"/>
                <w:sz w:val="20"/>
                <w:szCs w:val="20"/>
                <w:lang w:eastAsia="en-US"/>
              </w:rPr>
            </w:pPr>
            <w:r w:rsidRPr="00102E22">
              <w:rPr>
                <w:rFonts w:eastAsia="Calibri"/>
                <w:sz w:val="20"/>
                <w:szCs w:val="20"/>
                <w:lang w:eastAsia="en-US"/>
              </w:rPr>
              <w:t>4</w:t>
            </w:r>
          </w:p>
        </w:tc>
        <w:tc>
          <w:tcPr>
            <w:tcW w:w="0" w:type="auto"/>
            <w:shd w:val="clear" w:color="auto" w:fill="auto"/>
            <w:vAlign w:val="center"/>
          </w:tcPr>
          <w:p w14:paraId="05B383CA" w14:textId="09C02A99" w:rsidR="00962F1B" w:rsidRPr="00102E22" w:rsidRDefault="001D406A" w:rsidP="001D406A">
            <w:pPr>
              <w:jc w:val="center"/>
              <w:rPr>
                <w:rFonts w:eastAsia="Calibri"/>
                <w:sz w:val="20"/>
                <w:szCs w:val="20"/>
                <w:lang w:eastAsia="en-US"/>
              </w:rPr>
            </w:pPr>
            <w:r>
              <w:rPr>
                <w:rFonts w:eastAsia="Calibri"/>
                <w:sz w:val="20"/>
                <w:szCs w:val="20"/>
                <w:lang w:eastAsia="en-US"/>
              </w:rPr>
              <w:t>.64</w:t>
            </w:r>
          </w:p>
        </w:tc>
        <w:tc>
          <w:tcPr>
            <w:tcW w:w="0" w:type="auto"/>
            <w:shd w:val="clear" w:color="auto" w:fill="auto"/>
            <w:vAlign w:val="center"/>
          </w:tcPr>
          <w:p w14:paraId="52D38BF6" w14:textId="46AC9C4B" w:rsidR="00962F1B" w:rsidRPr="00102E22" w:rsidRDefault="00962F1B" w:rsidP="001D406A">
            <w:pPr>
              <w:jc w:val="center"/>
              <w:rPr>
                <w:rFonts w:eastAsia="Calibri"/>
                <w:sz w:val="20"/>
                <w:szCs w:val="20"/>
                <w:lang w:eastAsia="en-US"/>
              </w:rPr>
            </w:pPr>
            <w:r w:rsidRPr="00102E22">
              <w:rPr>
                <w:rFonts w:eastAsia="Calibri"/>
                <w:sz w:val="20"/>
                <w:szCs w:val="20"/>
                <w:lang w:eastAsia="en-US"/>
              </w:rPr>
              <w:t>.</w:t>
            </w:r>
            <w:r w:rsidR="001D406A">
              <w:rPr>
                <w:rFonts w:eastAsia="Calibri"/>
                <w:sz w:val="20"/>
                <w:szCs w:val="20"/>
                <w:lang w:eastAsia="en-US"/>
              </w:rPr>
              <w:t>67</w:t>
            </w:r>
          </w:p>
        </w:tc>
      </w:tr>
      <w:tr w:rsidR="00962F1B" w:rsidRPr="00102E22" w14:paraId="3E638080" w14:textId="77777777" w:rsidTr="00102E22">
        <w:trPr>
          <w:jc w:val="center"/>
        </w:trPr>
        <w:tc>
          <w:tcPr>
            <w:tcW w:w="4111" w:type="dxa"/>
            <w:shd w:val="clear" w:color="auto" w:fill="auto"/>
            <w:vAlign w:val="center"/>
          </w:tcPr>
          <w:p w14:paraId="49FC6A4B" w14:textId="77777777" w:rsidR="00962F1B" w:rsidRPr="00102E22" w:rsidRDefault="00962F1B" w:rsidP="00962F1B">
            <w:pPr>
              <w:jc w:val="both"/>
              <w:rPr>
                <w:rFonts w:eastAsia="Calibri"/>
                <w:sz w:val="20"/>
                <w:szCs w:val="20"/>
                <w:lang w:eastAsia="en-US"/>
              </w:rPr>
            </w:pPr>
            <w:r w:rsidRPr="00102E22">
              <w:rPr>
                <w:rFonts w:eastAsia="Calibri"/>
                <w:sz w:val="20"/>
                <w:szCs w:val="20"/>
                <w:lang w:eastAsia="en-US"/>
              </w:rPr>
              <w:t xml:space="preserve">   One-story house of 100 square meters</w:t>
            </w:r>
          </w:p>
        </w:tc>
        <w:tc>
          <w:tcPr>
            <w:tcW w:w="1225" w:type="dxa"/>
            <w:shd w:val="clear" w:color="auto" w:fill="auto"/>
            <w:vAlign w:val="center"/>
          </w:tcPr>
          <w:p w14:paraId="7386A05A" w14:textId="7427E562" w:rsidR="00962F1B" w:rsidRPr="00102E22" w:rsidRDefault="001D406A" w:rsidP="001D406A">
            <w:pPr>
              <w:jc w:val="center"/>
              <w:rPr>
                <w:rFonts w:eastAsia="Calibri"/>
                <w:sz w:val="20"/>
                <w:szCs w:val="20"/>
                <w:lang w:eastAsia="en-US"/>
              </w:rPr>
            </w:pPr>
            <w:r>
              <w:rPr>
                <w:rFonts w:eastAsia="Calibri"/>
                <w:sz w:val="20"/>
                <w:szCs w:val="20"/>
                <w:lang w:eastAsia="en-US"/>
              </w:rPr>
              <w:t>133</w:t>
            </w:r>
          </w:p>
        </w:tc>
        <w:tc>
          <w:tcPr>
            <w:tcW w:w="0" w:type="auto"/>
            <w:shd w:val="clear" w:color="auto" w:fill="auto"/>
            <w:vAlign w:val="center"/>
          </w:tcPr>
          <w:p w14:paraId="0EC2861F"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57A01C9E"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3476AC92" w14:textId="77777777" w:rsidR="00962F1B" w:rsidRPr="00102E22" w:rsidRDefault="00962F1B" w:rsidP="00962F1B">
            <w:pPr>
              <w:jc w:val="center"/>
              <w:rPr>
                <w:rFonts w:eastAsia="Calibri"/>
                <w:sz w:val="20"/>
                <w:szCs w:val="20"/>
                <w:lang w:eastAsia="en-US"/>
              </w:rPr>
            </w:pPr>
          </w:p>
        </w:tc>
        <w:tc>
          <w:tcPr>
            <w:tcW w:w="0" w:type="auto"/>
            <w:shd w:val="clear" w:color="auto" w:fill="auto"/>
            <w:vAlign w:val="center"/>
          </w:tcPr>
          <w:p w14:paraId="47C72858" w14:textId="77777777" w:rsidR="00962F1B" w:rsidRPr="00102E22" w:rsidRDefault="00962F1B" w:rsidP="00962F1B">
            <w:pPr>
              <w:jc w:val="center"/>
              <w:rPr>
                <w:rFonts w:eastAsia="Calibri"/>
                <w:sz w:val="20"/>
                <w:szCs w:val="20"/>
                <w:lang w:eastAsia="en-US"/>
              </w:rPr>
            </w:pPr>
          </w:p>
        </w:tc>
      </w:tr>
      <w:tr w:rsidR="00962F1B" w:rsidRPr="00102E22" w14:paraId="0574FB27" w14:textId="77777777" w:rsidTr="00102E22">
        <w:trPr>
          <w:jc w:val="center"/>
        </w:trPr>
        <w:tc>
          <w:tcPr>
            <w:tcW w:w="4111" w:type="dxa"/>
            <w:tcBorders>
              <w:bottom w:val="single" w:sz="4" w:space="0" w:color="auto"/>
            </w:tcBorders>
            <w:shd w:val="clear" w:color="auto" w:fill="auto"/>
            <w:vAlign w:val="center"/>
          </w:tcPr>
          <w:p w14:paraId="0A4581C0" w14:textId="77777777" w:rsidR="00962F1B" w:rsidRPr="00102E22" w:rsidRDefault="00962F1B" w:rsidP="00962F1B">
            <w:pPr>
              <w:jc w:val="both"/>
              <w:rPr>
                <w:rFonts w:eastAsia="Calibri"/>
                <w:sz w:val="20"/>
                <w:szCs w:val="20"/>
                <w:lang w:eastAsia="en-US"/>
              </w:rPr>
            </w:pPr>
            <w:r w:rsidRPr="00102E22">
              <w:rPr>
                <w:rFonts w:eastAsia="Calibri"/>
                <w:sz w:val="20"/>
                <w:szCs w:val="20"/>
                <w:lang w:eastAsia="en-US"/>
              </w:rPr>
              <w:t xml:space="preserve">   Two-story house of 100 square meters</w:t>
            </w:r>
          </w:p>
        </w:tc>
        <w:tc>
          <w:tcPr>
            <w:tcW w:w="1225" w:type="dxa"/>
            <w:tcBorders>
              <w:bottom w:val="single" w:sz="4" w:space="0" w:color="auto"/>
            </w:tcBorders>
            <w:shd w:val="clear" w:color="auto" w:fill="auto"/>
            <w:vAlign w:val="center"/>
          </w:tcPr>
          <w:p w14:paraId="278F4EA9" w14:textId="7DD9D9AC" w:rsidR="00962F1B" w:rsidRPr="00102E22" w:rsidRDefault="001D406A" w:rsidP="00962F1B">
            <w:pPr>
              <w:jc w:val="center"/>
              <w:rPr>
                <w:rFonts w:eastAsia="Calibri"/>
                <w:sz w:val="20"/>
                <w:szCs w:val="20"/>
                <w:lang w:eastAsia="en-US"/>
              </w:rPr>
            </w:pPr>
            <w:r>
              <w:rPr>
                <w:rFonts w:eastAsia="Calibri"/>
                <w:sz w:val="20"/>
                <w:szCs w:val="20"/>
                <w:lang w:eastAsia="en-US"/>
              </w:rPr>
              <w:t>80</w:t>
            </w:r>
          </w:p>
        </w:tc>
        <w:tc>
          <w:tcPr>
            <w:tcW w:w="0" w:type="auto"/>
            <w:tcBorders>
              <w:bottom w:val="single" w:sz="4" w:space="0" w:color="auto"/>
            </w:tcBorders>
            <w:shd w:val="clear" w:color="auto" w:fill="auto"/>
            <w:vAlign w:val="center"/>
          </w:tcPr>
          <w:p w14:paraId="3FC96DCE" w14:textId="77777777" w:rsidR="00962F1B" w:rsidRPr="00102E22" w:rsidRDefault="00962F1B" w:rsidP="00962F1B">
            <w:pPr>
              <w:jc w:val="center"/>
              <w:rPr>
                <w:rFonts w:eastAsia="Calibri"/>
                <w:sz w:val="20"/>
                <w:szCs w:val="20"/>
                <w:lang w:eastAsia="en-US"/>
              </w:rPr>
            </w:pPr>
          </w:p>
        </w:tc>
        <w:tc>
          <w:tcPr>
            <w:tcW w:w="0" w:type="auto"/>
            <w:tcBorders>
              <w:bottom w:val="single" w:sz="4" w:space="0" w:color="auto"/>
            </w:tcBorders>
            <w:shd w:val="clear" w:color="auto" w:fill="auto"/>
            <w:vAlign w:val="center"/>
          </w:tcPr>
          <w:p w14:paraId="2D864B75" w14:textId="77777777" w:rsidR="00962F1B" w:rsidRPr="00102E22" w:rsidRDefault="00962F1B" w:rsidP="00962F1B">
            <w:pPr>
              <w:jc w:val="center"/>
              <w:rPr>
                <w:rFonts w:eastAsia="Calibri"/>
                <w:sz w:val="20"/>
                <w:szCs w:val="20"/>
                <w:lang w:eastAsia="en-US"/>
              </w:rPr>
            </w:pPr>
          </w:p>
        </w:tc>
        <w:tc>
          <w:tcPr>
            <w:tcW w:w="0" w:type="auto"/>
            <w:tcBorders>
              <w:bottom w:val="single" w:sz="4" w:space="0" w:color="auto"/>
            </w:tcBorders>
            <w:shd w:val="clear" w:color="auto" w:fill="auto"/>
            <w:vAlign w:val="center"/>
          </w:tcPr>
          <w:p w14:paraId="14099642" w14:textId="77777777" w:rsidR="00962F1B" w:rsidRPr="00102E22" w:rsidRDefault="00962F1B" w:rsidP="00962F1B">
            <w:pPr>
              <w:jc w:val="center"/>
              <w:rPr>
                <w:rFonts w:eastAsia="Calibri"/>
                <w:sz w:val="20"/>
                <w:szCs w:val="20"/>
                <w:lang w:eastAsia="en-US"/>
              </w:rPr>
            </w:pPr>
          </w:p>
        </w:tc>
        <w:tc>
          <w:tcPr>
            <w:tcW w:w="0" w:type="auto"/>
            <w:tcBorders>
              <w:bottom w:val="single" w:sz="4" w:space="0" w:color="auto"/>
            </w:tcBorders>
            <w:shd w:val="clear" w:color="auto" w:fill="auto"/>
            <w:vAlign w:val="center"/>
          </w:tcPr>
          <w:p w14:paraId="4ED611C8" w14:textId="77777777" w:rsidR="00962F1B" w:rsidRPr="00102E22" w:rsidRDefault="00962F1B" w:rsidP="00962F1B">
            <w:pPr>
              <w:jc w:val="center"/>
              <w:rPr>
                <w:rFonts w:eastAsia="Calibri"/>
                <w:sz w:val="20"/>
                <w:szCs w:val="20"/>
                <w:lang w:eastAsia="en-US"/>
              </w:rPr>
            </w:pPr>
          </w:p>
        </w:tc>
      </w:tr>
    </w:tbl>
    <w:p w14:paraId="73D3C44E" w14:textId="77777777" w:rsidR="00102E22" w:rsidRPr="00102E22" w:rsidRDefault="00102E22" w:rsidP="00102E22">
      <w:pPr>
        <w:rPr>
          <w:rFonts w:eastAsia="Calibri"/>
          <w:sz w:val="22"/>
          <w:szCs w:val="22"/>
          <w:lang w:eastAsia="en-US"/>
        </w:rPr>
      </w:pPr>
      <w:r w:rsidRPr="00102E22">
        <w:rPr>
          <w:rFonts w:eastAsia="Calibri"/>
          <w:lang w:eastAsia="en-US"/>
        </w:rPr>
        <w:t xml:space="preserve">Contrast = </w:t>
      </w:r>
      <w:r w:rsidRPr="00102E22">
        <w:rPr>
          <w:rFonts w:eastAsia="Calibri"/>
          <w:i/>
          <w:lang w:eastAsia="en-US"/>
        </w:rPr>
        <w:t>T</w:t>
      </w:r>
      <w:r w:rsidRPr="00102E22">
        <w:rPr>
          <w:rFonts w:eastAsia="Calibri"/>
          <w:lang w:eastAsia="en-US"/>
        </w:rPr>
        <w:t xml:space="preserve">-Student/ Chi-Square; * = </w:t>
      </w:r>
      <w:r w:rsidRPr="00102E22">
        <w:rPr>
          <w:rFonts w:eastAsia="Calibri"/>
          <w:i/>
          <w:lang w:eastAsia="en-US"/>
        </w:rPr>
        <w:t>p</w:t>
      </w:r>
      <w:r w:rsidRPr="00102E22">
        <w:rPr>
          <w:rFonts w:eastAsia="Calibri"/>
          <w:lang w:eastAsia="en-US"/>
        </w:rPr>
        <w:t xml:space="preserve"> &lt;.05; ** = </w:t>
      </w:r>
      <w:r w:rsidRPr="00102E22">
        <w:rPr>
          <w:rFonts w:eastAsia="Calibri"/>
          <w:i/>
          <w:lang w:eastAsia="en-US"/>
        </w:rPr>
        <w:t>p</w:t>
      </w:r>
      <w:r w:rsidRPr="00102E22">
        <w:rPr>
          <w:rFonts w:eastAsia="Calibri"/>
          <w:lang w:eastAsia="en-US"/>
        </w:rPr>
        <w:t xml:space="preserve"> &lt;.01; ns = Not significant; g.l = degree of freedom; η2 = eta square; Power = Power of contrast</w:t>
      </w:r>
    </w:p>
    <w:p w14:paraId="1E1EECEF" w14:textId="77777777" w:rsidR="00102E22" w:rsidRPr="00102E22" w:rsidRDefault="00102E22" w:rsidP="00102E22">
      <w:pPr>
        <w:spacing w:after="160" w:line="360" w:lineRule="auto"/>
        <w:jc w:val="center"/>
        <w:rPr>
          <w:rFonts w:eastAsia="Calibri"/>
          <w:sz w:val="22"/>
          <w:szCs w:val="22"/>
          <w:lang w:eastAsia="en-US"/>
        </w:rPr>
      </w:pPr>
    </w:p>
    <w:p w14:paraId="70554E56" w14:textId="77777777" w:rsidR="009C3B2F" w:rsidRPr="00DE404D" w:rsidRDefault="009C3B2F" w:rsidP="009C3B2F">
      <w:pPr>
        <w:spacing w:line="360" w:lineRule="auto"/>
        <w:jc w:val="both"/>
        <w:rPr>
          <w:sz w:val="22"/>
          <w:szCs w:val="22"/>
          <w:lang w:val="en-US"/>
        </w:rPr>
      </w:pPr>
      <w:r w:rsidRPr="00DE404D">
        <w:rPr>
          <w:sz w:val="22"/>
          <w:szCs w:val="22"/>
          <w:lang w:val="en-US"/>
        </w:rPr>
        <w:t xml:space="preserve">Instruments  </w:t>
      </w:r>
    </w:p>
    <w:p w14:paraId="2A20E3AA" w14:textId="77777777" w:rsidR="009C3B2F" w:rsidRPr="00DE404D" w:rsidRDefault="009C3B2F" w:rsidP="009C3B2F">
      <w:pPr>
        <w:spacing w:line="360" w:lineRule="auto"/>
        <w:ind w:firstLine="708"/>
        <w:jc w:val="both"/>
        <w:rPr>
          <w:sz w:val="22"/>
          <w:szCs w:val="22"/>
          <w:lang w:val="en-US"/>
        </w:rPr>
      </w:pPr>
      <w:r w:rsidRPr="00DE404D">
        <w:rPr>
          <w:sz w:val="22"/>
          <w:szCs w:val="22"/>
          <w:lang w:val="en-US"/>
        </w:rPr>
        <w:t>Socio-demographic data sheet. Fact sheet designed by the authors for this research with information on gender, age</w:t>
      </w:r>
      <w:r w:rsidRPr="00DE404D">
        <w:rPr>
          <w:sz w:val="22"/>
          <w:szCs w:val="22"/>
          <w:lang w:val="en-GB"/>
        </w:rPr>
        <w:t>, the activity</w:t>
      </w:r>
      <w:r w:rsidRPr="00DE404D">
        <w:rPr>
          <w:sz w:val="22"/>
          <w:szCs w:val="22"/>
          <w:lang w:val="en-US"/>
        </w:rPr>
        <w:t xml:space="preserve"> carried out, number of people confined at home, presence of elderly people, presence of under age, living with patients who present symptoms of COVID-19 infection and living with essential service workers. </w:t>
      </w:r>
    </w:p>
    <w:p w14:paraId="4ACAB398" w14:textId="4C24FE53" w:rsidR="009C3B2F" w:rsidRDefault="009C3B2F" w:rsidP="003E1B52">
      <w:pPr>
        <w:spacing w:line="360" w:lineRule="auto"/>
        <w:ind w:firstLine="708"/>
        <w:jc w:val="both"/>
        <w:rPr>
          <w:sz w:val="22"/>
          <w:szCs w:val="22"/>
          <w:lang w:val="en-US"/>
        </w:rPr>
      </w:pPr>
      <w:r w:rsidRPr="00DE404D">
        <w:rPr>
          <w:sz w:val="22"/>
          <w:szCs w:val="22"/>
          <w:lang w:val="en-US"/>
        </w:rPr>
        <w:lastRenderedPageBreak/>
        <w:t xml:space="preserve">Hospital, Anxiety and Depression (HAD-14) by </w:t>
      </w:r>
      <w:r w:rsidRPr="00DE404D">
        <w:rPr>
          <w:sz w:val="22"/>
          <w:szCs w:val="22"/>
        </w:rPr>
        <w:t xml:space="preserve">Zigmond </w:t>
      </w:r>
      <w:r>
        <w:rPr>
          <w:sz w:val="22"/>
          <w:szCs w:val="22"/>
        </w:rPr>
        <w:t xml:space="preserve">and </w:t>
      </w:r>
      <w:r w:rsidRPr="00DE404D">
        <w:rPr>
          <w:sz w:val="22"/>
          <w:szCs w:val="22"/>
        </w:rPr>
        <w:t>Snaith (1983)</w:t>
      </w:r>
      <w:r w:rsidRPr="00DE404D">
        <w:rPr>
          <w:sz w:val="22"/>
          <w:szCs w:val="22"/>
          <w:lang w:val="en-US"/>
        </w:rPr>
        <w:t xml:space="preserve"> in its Spanish version by Herrero, Banch, Peri, De Pablo, Pintor and Balbuena (2003). A 14-items scale was designed for the assessment of anxiety and depression in non-psychiatric outpatient hospital services. It is a state measure containing two scales, one for anxiety (A) and another for depression (D). One of its main strengths is the suppression of somatic symptoms so that it can be assessed independently of the underlying somatic disease. It is a useful instrument validated in our environment, and of special interest and relevance in the context of Primary Care. It presents a subscale of anxiety of 7 items and a subscale of depression of 7 items in a 4 point Likert type format giving the maximum subscale scores of 21 for both depression and anxiety subscales. The questionnaire evaluates the symptoms during the previous week. This scale has a good internal consistency of .90 according to Cronbach's alpha for the full scale; .84 for the depression subscale and .85 for the anxiety subscale (Herrero </w:t>
      </w:r>
      <w:r w:rsidRPr="00DE404D">
        <w:rPr>
          <w:i/>
          <w:sz w:val="22"/>
          <w:szCs w:val="22"/>
          <w:lang w:val="en-US"/>
        </w:rPr>
        <w:t>et al.</w:t>
      </w:r>
      <w:r w:rsidRPr="00DE404D">
        <w:rPr>
          <w:sz w:val="22"/>
          <w:szCs w:val="22"/>
          <w:lang w:val="en-US"/>
        </w:rPr>
        <w:t xml:space="preserve">, 2003; Vallejo </w:t>
      </w:r>
      <w:r w:rsidRPr="00DE404D">
        <w:rPr>
          <w:i/>
          <w:sz w:val="22"/>
          <w:szCs w:val="22"/>
          <w:lang w:val="en-US"/>
        </w:rPr>
        <w:t>et al.</w:t>
      </w:r>
      <w:r w:rsidRPr="00DE404D">
        <w:rPr>
          <w:sz w:val="22"/>
          <w:szCs w:val="22"/>
          <w:lang w:val="en-US"/>
        </w:rPr>
        <w:t>, 2012). In this study, the alpha on the value of the total inventory was .86 and they were also adequate for the remaining sub-dimensions (</w:t>
      </w:r>
      <w:r w:rsidRPr="00DE404D">
        <w:rPr>
          <w:sz w:val="22"/>
          <w:szCs w:val="22"/>
        </w:rPr>
        <w:t>α</w:t>
      </w:r>
      <w:r w:rsidRPr="00DE404D">
        <w:rPr>
          <w:sz w:val="22"/>
          <w:szCs w:val="22"/>
          <w:vertAlign w:val="subscript"/>
          <w:lang w:val="en-US"/>
        </w:rPr>
        <w:t>Anxiety</w:t>
      </w:r>
      <w:r w:rsidRPr="00DE404D">
        <w:rPr>
          <w:sz w:val="22"/>
          <w:szCs w:val="22"/>
          <w:lang w:val="en-US"/>
        </w:rPr>
        <w:t xml:space="preserve"> = .89; </w:t>
      </w:r>
      <w:r w:rsidRPr="00DE404D">
        <w:rPr>
          <w:sz w:val="22"/>
          <w:szCs w:val="22"/>
        </w:rPr>
        <w:t>α</w:t>
      </w:r>
      <w:r w:rsidRPr="00DE404D">
        <w:rPr>
          <w:sz w:val="22"/>
          <w:szCs w:val="22"/>
          <w:vertAlign w:val="subscript"/>
          <w:lang w:val="en-US"/>
        </w:rPr>
        <w:t>Depression</w:t>
      </w:r>
      <w:r w:rsidRPr="00DE404D">
        <w:rPr>
          <w:sz w:val="22"/>
          <w:szCs w:val="22"/>
          <w:lang w:val="en-US"/>
        </w:rPr>
        <w:t xml:space="preserve"> = .83).</w:t>
      </w:r>
    </w:p>
    <w:p w14:paraId="423DA45F" w14:textId="77777777" w:rsidR="009C3B2F" w:rsidRPr="00DE404D" w:rsidRDefault="009C3B2F" w:rsidP="003E1B52">
      <w:pPr>
        <w:spacing w:line="360" w:lineRule="auto"/>
        <w:ind w:firstLine="708"/>
        <w:jc w:val="both"/>
        <w:rPr>
          <w:sz w:val="22"/>
          <w:szCs w:val="22"/>
          <w:lang w:val="en-US"/>
        </w:rPr>
      </w:pPr>
    </w:p>
    <w:p w14:paraId="2EF005B0" w14:textId="77777777" w:rsidR="009C3B2F" w:rsidRPr="00DE404D" w:rsidRDefault="009C3B2F" w:rsidP="003E1B52">
      <w:pPr>
        <w:spacing w:line="360" w:lineRule="auto"/>
        <w:jc w:val="both"/>
        <w:rPr>
          <w:i/>
          <w:iCs/>
          <w:sz w:val="22"/>
          <w:szCs w:val="22"/>
          <w:lang w:val="en-US"/>
        </w:rPr>
      </w:pPr>
      <w:r w:rsidRPr="00DE404D">
        <w:rPr>
          <w:iCs/>
          <w:sz w:val="22"/>
          <w:szCs w:val="22"/>
          <w:lang w:val="en-US"/>
        </w:rPr>
        <w:t>Data Analysis</w:t>
      </w:r>
    </w:p>
    <w:p w14:paraId="0E48600E" w14:textId="1DCB0B58" w:rsidR="009D2EF9" w:rsidRPr="005B4AE2" w:rsidRDefault="002926D2" w:rsidP="003E1B52">
      <w:pPr>
        <w:spacing w:line="360" w:lineRule="auto"/>
        <w:ind w:firstLine="708"/>
        <w:jc w:val="both"/>
        <w:rPr>
          <w:sz w:val="22"/>
          <w:szCs w:val="22"/>
        </w:rPr>
      </w:pPr>
      <w:r w:rsidRPr="002926D2">
        <w:rPr>
          <w:sz w:val="22"/>
          <w:szCs w:val="22"/>
        </w:rPr>
        <w:t>A simple multivariate regression analysis was applied to identify the score system most predictive of the score obtained in the total scale (HADT) and in the anxiety (HADA) and depression (HADD) subscales. The categorization systems examined were those proposed by Zigmond-Snaith (1983), Chivité (2007) and Terol-Cantero (2007).</w:t>
      </w:r>
    </w:p>
    <w:p w14:paraId="18BE4684" w14:textId="00E95E70" w:rsidR="00316BE7" w:rsidRPr="005B4AE2" w:rsidRDefault="002926D2" w:rsidP="003E1B52">
      <w:pPr>
        <w:spacing w:line="360" w:lineRule="auto"/>
        <w:ind w:firstLine="708"/>
        <w:jc w:val="both"/>
        <w:rPr>
          <w:sz w:val="22"/>
          <w:szCs w:val="22"/>
        </w:rPr>
      </w:pPr>
      <w:r w:rsidRPr="002926D2">
        <w:rPr>
          <w:sz w:val="22"/>
          <w:szCs w:val="22"/>
        </w:rPr>
        <w:t>On the other hand, the dependent variables were self-reported symptoms of anxiety and depression (HADT), self-reported symptoms of anxiety (HADA) and self-reported symptoms of depression (HADD). The predictive capacity of the independent sociodemographic variables (Sex, Age, Activity Developed, Family Members Confined Together, Elderly Care, Child Care, Living with Ill People with Symptoms of COVID-19 Infection and Living with Essential Service Workers) was analyzed by means of multivariate regression by successive steps. The statistical analysis of the data was performed with the SPSS statistical package version 24.0 (L</w:t>
      </w:r>
      <w:r>
        <w:rPr>
          <w:sz w:val="22"/>
          <w:szCs w:val="22"/>
        </w:rPr>
        <w:t>icensed by the University of Jae</w:t>
      </w:r>
      <w:r w:rsidRPr="002926D2">
        <w:rPr>
          <w:sz w:val="22"/>
          <w:szCs w:val="22"/>
        </w:rPr>
        <w:t>n).</w:t>
      </w:r>
    </w:p>
    <w:p w14:paraId="56A3E4A2" w14:textId="77777777" w:rsidR="00316BE7" w:rsidRPr="005B4AE2" w:rsidRDefault="00316BE7" w:rsidP="003E1B52">
      <w:pPr>
        <w:spacing w:line="360" w:lineRule="auto"/>
        <w:jc w:val="both"/>
        <w:rPr>
          <w:sz w:val="22"/>
          <w:szCs w:val="22"/>
        </w:rPr>
      </w:pPr>
    </w:p>
    <w:p w14:paraId="6886FAE8" w14:textId="1B719F47" w:rsidR="00E22292" w:rsidRPr="009D2EF9" w:rsidRDefault="00E22292" w:rsidP="003E1B52">
      <w:pPr>
        <w:spacing w:line="360" w:lineRule="auto"/>
        <w:jc w:val="center"/>
        <w:rPr>
          <w:b/>
          <w:bCs/>
          <w:sz w:val="22"/>
          <w:szCs w:val="22"/>
        </w:rPr>
      </w:pPr>
      <w:r w:rsidRPr="009D2EF9">
        <w:rPr>
          <w:b/>
          <w:bCs/>
          <w:sz w:val="22"/>
          <w:szCs w:val="22"/>
        </w:rPr>
        <w:t>R</w:t>
      </w:r>
      <w:r w:rsidR="009D2EF9" w:rsidRPr="009D2EF9">
        <w:rPr>
          <w:b/>
          <w:bCs/>
          <w:sz w:val="22"/>
          <w:szCs w:val="22"/>
        </w:rPr>
        <w:t>ESULTS</w:t>
      </w:r>
    </w:p>
    <w:p w14:paraId="1D54913E" w14:textId="77777777" w:rsidR="00882704" w:rsidRPr="005B4AE2" w:rsidRDefault="00882704" w:rsidP="003E1B52">
      <w:pPr>
        <w:spacing w:line="360" w:lineRule="auto"/>
        <w:jc w:val="both"/>
        <w:rPr>
          <w:sz w:val="22"/>
          <w:szCs w:val="22"/>
        </w:rPr>
      </w:pPr>
    </w:p>
    <w:p w14:paraId="5B9B4BE3" w14:textId="251A696B" w:rsidR="009726AB" w:rsidRDefault="00392F8A" w:rsidP="003E1B52">
      <w:pPr>
        <w:spacing w:line="360" w:lineRule="auto"/>
        <w:jc w:val="both"/>
        <w:rPr>
          <w:sz w:val="22"/>
          <w:szCs w:val="22"/>
        </w:rPr>
      </w:pPr>
      <w:r w:rsidRPr="005B4AE2">
        <w:rPr>
          <w:sz w:val="22"/>
          <w:szCs w:val="22"/>
        </w:rPr>
        <w:tab/>
      </w:r>
      <w:r w:rsidR="002926D2" w:rsidRPr="002926D2">
        <w:rPr>
          <w:sz w:val="22"/>
          <w:szCs w:val="22"/>
        </w:rPr>
        <w:t>Inspection of the data on frequency and associated percentages suggests that detection of cases of anxiety is lower when using the Terol-Cantero system (2007) (3</w:t>
      </w:r>
      <w:r w:rsidR="005C0000">
        <w:rPr>
          <w:sz w:val="22"/>
          <w:szCs w:val="22"/>
        </w:rPr>
        <w:t>2.51</w:t>
      </w:r>
      <w:r w:rsidR="002926D2" w:rsidRPr="002926D2">
        <w:rPr>
          <w:sz w:val="22"/>
          <w:szCs w:val="22"/>
        </w:rPr>
        <w:t>%) compared to identification using the system of Zidmond and Snaith (1983) or Chivité-Lasheras (2007)</w:t>
      </w:r>
      <w:r w:rsidR="005C0000">
        <w:rPr>
          <w:sz w:val="22"/>
          <w:szCs w:val="22"/>
        </w:rPr>
        <w:t xml:space="preserve"> </w:t>
      </w:r>
      <w:r w:rsidR="002926D2" w:rsidRPr="002926D2">
        <w:rPr>
          <w:sz w:val="22"/>
          <w:szCs w:val="22"/>
        </w:rPr>
        <w:t>but higher in the detection of cases of depression (5</w:t>
      </w:r>
      <w:r w:rsidR="005C0000">
        <w:rPr>
          <w:sz w:val="22"/>
          <w:szCs w:val="22"/>
        </w:rPr>
        <w:t>3.85</w:t>
      </w:r>
      <w:r w:rsidR="002926D2" w:rsidRPr="002926D2">
        <w:rPr>
          <w:sz w:val="22"/>
          <w:szCs w:val="22"/>
        </w:rPr>
        <w:t>% in Terol-Cantero</w:t>
      </w:r>
      <w:r w:rsidR="005C0000">
        <w:rPr>
          <w:sz w:val="22"/>
          <w:szCs w:val="22"/>
        </w:rPr>
        <w:t xml:space="preserve">) </w:t>
      </w:r>
      <w:r w:rsidR="002926D2" w:rsidRPr="002926D2">
        <w:rPr>
          <w:sz w:val="22"/>
          <w:szCs w:val="22"/>
        </w:rPr>
        <w:t xml:space="preserve">(Table 2). Using the categorization of Zidmond and Snaith (1993) which assesses different levels of severity of the symptomatology, the incidence of cases is lower when the level of severity increases in both anxiety and depression. </w:t>
      </w:r>
    </w:p>
    <w:p w14:paraId="4199A3D1" w14:textId="77777777" w:rsidR="002926D2" w:rsidRPr="00DE404D" w:rsidRDefault="002926D2" w:rsidP="003E1B52">
      <w:pPr>
        <w:spacing w:line="360" w:lineRule="auto"/>
        <w:rPr>
          <w:i/>
          <w:sz w:val="22"/>
          <w:szCs w:val="22"/>
          <w:lang w:val="en-US"/>
        </w:rPr>
      </w:pPr>
    </w:p>
    <w:p w14:paraId="1564814F" w14:textId="5D712D80" w:rsidR="002926D2" w:rsidRDefault="002926D2" w:rsidP="002926D2">
      <w:pPr>
        <w:rPr>
          <w:sz w:val="22"/>
          <w:szCs w:val="22"/>
          <w:lang w:val="en-US"/>
        </w:rPr>
      </w:pPr>
      <w:r w:rsidRPr="002926D2">
        <w:rPr>
          <w:sz w:val="22"/>
          <w:szCs w:val="22"/>
          <w:lang w:val="en-US"/>
        </w:rPr>
        <w:lastRenderedPageBreak/>
        <w:t>Table 2. Frequency</w:t>
      </w:r>
      <w:r w:rsidRPr="00DE404D">
        <w:rPr>
          <w:sz w:val="22"/>
          <w:szCs w:val="22"/>
          <w:lang w:val="en-US"/>
        </w:rPr>
        <w:t xml:space="preserve"> and percentage of men (M) and women (W) in the groups classified by Zigmond and Snaith (1983), Chivité </w:t>
      </w:r>
      <w:r w:rsidRPr="00DE404D">
        <w:rPr>
          <w:i/>
          <w:sz w:val="22"/>
          <w:szCs w:val="22"/>
          <w:lang w:val="en-US"/>
        </w:rPr>
        <w:t>et al</w:t>
      </w:r>
      <w:r w:rsidRPr="00DE404D">
        <w:rPr>
          <w:sz w:val="22"/>
          <w:szCs w:val="22"/>
          <w:lang w:val="en-US"/>
        </w:rPr>
        <w:t xml:space="preserve">. (2007) and Terol </w:t>
      </w:r>
      <w:r w:rsidRPr="00DE404D">
        <w:rPr>
          <w:i/>
          <w:sz w:val="22"/>
          <w:szCs w:val="22"/>
          <w:lang w:val="en-US"/>
        </w:rPr>
        <w:t>et al</w:t>
      </w:r>
      <w:r w:rsidRPr="00DE404D">
        <w:rPr>
          <w:sz w:val="22"/>
          <w:szCs w:val="22"/>
          <w:lang w:val="en-US"/>
        </w:rPr>
        <w:t>. (2007).</w:t>
      </w:r>
    </w:p>
    <w:p w14:paraId="59EB7B7D" w14:textId="39ED4B25" w:rsidR="00410628" w:rsidRDefault="00410628" w:rsidP="002926D2">
      <w:pPr>
        <w:rPr>
          <w:sz w:val="22"/>
          <w:szCs w:val="22"/>
          <w:lang w:val="en-US"/>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526"/>
        <w:gridCol w:w="882"/>
        <w:gridCol w:w="1023"/>
        <w:gridCol w:w="1155"/>
        <w:gridCol w:w="1182"/>
        <w:gridCol w:w="1155"/>
      </w:tblGrid>
      <w:tr w:rsidR="00061509" w14:paraId="2D30A702" w14:textId="77777777" w:rsidTr="007D2AFF">
        <w:tc>
          <w:tcPr>
            <w:tcW w:w="1526" w:type="dxa"/>
            <w:tcBorders>
              <w:bottom w:val="nil"/>
              <w:right w:val="nil"/>
            </w:tcBorders>
          </w:tcPr>
          <w:p w14:paraId="27B297C8" w14:textId="77777777" w:rsidR="00061509" w:rsidRDefault="00061509" w:rsidP="00410628">
            <w:pPr>
              <w:rPr>
                <w:sz w:val="22"/>
                <w:szCs w:val="22"/>
                <w:lang w:val="en-US"/>
              </w:rPr>
            </w:pPr>
          </w:p>
        </w:tc>
        <w:tc>
          <w:tcPr>
            <w:tcW w:w="882" w:type="dxa"/>
            <w:tcBorders>
              <w:left w:val="nil"/>
              <w:bottom w:val="nil"/>
              <w:right w:val="nil"/>
            </w:tcBorders>
          </w:tcPr>
          <w:p w14:paraId="0975ADF3" w14:textId="3232F491" w:rsidR="00061509" w:rsidRPr="00DE404D" w:rsidRDefault="00061509" w:rsidP="00410628">
            <w:pPr>
              <w:rPr>
                <w:sz w:val="22"/>
                <w:szCs w:val="22"/>
              </w:rPr>
            </w:pPr>
          </w:p>
        </w:tc>
        <w:tc>
          <w:tcPr>
            <w:tcW w:w="1023" w:type="dxa"/>
            <w:tcBorders>
              <w:left w:val="nil"/>
              <w:bottom w:val="nil"/>
              <w:right w:val="nil"/>
            </w:tcBorders>
          </w:tcPr>
          <w:p w14:paraId="79E09114" w14:textId="706A88D2" w:rsidR="00061509" w:rsidRDefault="00061509" w:rsidP="00410628">
            <w:pPr>
              <w:rPr>
                <w:sz w:val="22"/>
                <w:szCs w:val="22"/>
                <w:lang w:val="en-US"/>
              </w:rPr>
            </w:pPr>
            <w:r w:rsidRPr="00DE404D">
              <w:rPr>
                <w:sz w:val="22"/>
                <w:szCs w:val="22"/>
              </w:rPr>
              <w:t>HADA</w:t>
            </w:r>
          </w:p>
        </w:tc>
        <w:tc>
          <w:tcPr>
            <w:tcW w:w="1155" w:type="dxa"/>
            <w:tcBorders>
              <w:left w:val="nil"/>
              <w:bottom w:val="nil"/>
              <w:right w:val="nil"/>
            </w:tcBorders>
          </w:tcPr>
          <w:p w14:paraId="26B803EF" w14:textId="67F80000" w:rsidR="00061509" w:rsidRPr="00DE404D" w:rsidRDefault="00061509" w:rsidP="00410628">
            <w:pPr>
              <w:rPr>
                <w:sz w:val="22"/>
                <w:szCs w:val="22"/>
              </w:rPr>
            </w:pPr>
          </w:p>
        </w:tc>
        <w:tc>
          <w:tcPr>
            <w:tcW w:w="1182" w:type="dxa"/>
            <w:tcBorders>
              <w:left w:val="nil"/>
              <w:bottom w:val="nil"/>
              <w:right w:val="nil"/>
            </w:tcBorders>
          </w:tcPr>
          <w:p w14:paraId="7C7BB84C" w14:textId="3024F291" w:rsidR="00061509" w:rsidRDefault="00061509" w:rsidP="00410628">
            <w:pPr>
              <w:rPr>
                <w:sz w:val="22"/>
                <w:szCs w:val="22"/>
                <w:lang w:val="en-US"/>
              </w:rPr>
            </w:pPr>
            <w:r w:rsidRPr="00DE404D">
              <w:rPr>
                <w:sz w:val="22"/>
                <w:szCs w:val="22"/>
              </w:rPr>
              <w:t>HADD</w:t>
            </w:r>
          </w:p>
        </w:tc>
        <w:tc>
          <w:tcPr>
            <w:tcW w:w="1155" w:type="dxa"/>
            <w:tcBorders>
              <w:left w:val="nil"/>
              <w:bottom w:val="nil"/>
            </w:tcBorders>
          </w:tcPr>
          <w:p w14:paraId="6BE0E150" w14:textId="77777777" w:rsidR="00061509" w:rsidRDefault="00061509" w:rsidP="00410628">
            <w:pPr>
              <w:rPr>
                <w:sz w:val="22"/>
                <w:szCs w:val="22"/>
                <w:lang w:val="en-US"/>
              </w:rPr>
            </w:pPr>
          </w:p>
        </w:tc>
      </w:tr>
      <w:tr w:rsidR="00061509" w14:paraId="2AAFDE99" w14:textId="77777777" w:rsidTr="007D2AFF">
        <w:tc>
          <w:tcPr>
            <w:tcW w:w="1526" w:type="dxa"/>
            <w:tcBorders>
              <w:top w:val="nil"/>
              <w:bottom w:val="single" w:sz="4" w:space="0" w:color="auto"/>
              <w:right w:val="nil"/>
            </w:tcBorders>
          </w:tcPr>
          <w:p w14:paraId="3F213B58" w14:textId="77777777" w:rsidR="00061509" w:rsidRDefault="00061509" w:rsidP="00410628">
            <w:pPr>
              <w:rPr>
                <w:sz w:val="22"/>
                <w:szCs w:val="22"/>
                <w:lang w:val="en-US"/>
              </w:rPr>
            </w:pPr>
          </w:p>
        </w:tc>
        <w:tc>
          <w:tcPr>
            <w:tcW w:w="882" w:type="dxa"/>
            <w:tcBorders>
              <w:top w:val="nil"/>
              <w:left w:val="nil"/>
              <w:bottom w:val="single" w:sz="4" w:space="0" w:color="auto"/>
              <w:right w:val="nil"/>
            </w:tcBorders>
          </w:tcPr>
          <w:p w14:paraId="78EE7249" w14:textId="67DD3404" w:rsidR="00061509" w:rsidRDefault="00061509" w:rsidP="00410628">
            <w:pPr>
              <w:rPr>
                <w:sz w:val="22"/>
                <w:szCs w:val="22"/>
                <w:lang w:val="en-US"/>
              </w:rPr>
            </w:pPr>
          </w:p>
        </w:tc>
        <w:tc>
          <w:tcPr>
            <w:tcW w:w="1023" w:type="dxa"/>
            <w:tcBorders>
              <w:top w:val="nil"/>
              <w:left w:val="nil"/>
              <w:bottom w:val="single" w:sz="4" w:space="0" w:color="auto"/>
              <w:right w:val="nil"/>
            </w:tcBorders>
          </w:tcPr>
          <w:p w14:paraId="7CD0B632" w14:textId="420FC3DE" w:rsidR="00061509" w:rsidRDefault="00061509" w:rsidP="00410628">
            <w:pPr>
              <w:rPr>
                <w:sz w:val="22"/>
                <w:szCs w:val="22"/>
                <w:lang w:val="en-US"/>
              </w:rPr>
            </w:pPr>
            <w:r>
              <w:rPr>
                <w:sz w:val="22"/>
                <w:szCs w:val="22"/>
                <w:lang w:val="en-US"/>
              </w:rPr>
              <w:t>F</w:t>
            </w:r>
          </w:p>
        </w:tc>
        <w:tc>
          <w:tcPr>
            <w:tcW w:w="1155" w:type="dxa"/>
            <w:tcBorders>
              <w:top w:val="nil"/>
              <w:left w:val="nil"/>
              <w:bottom w:val="single" w:sz="4" w:space="0" w:color="auto"/>
              <w:right w:val="nil"/>
            </w:tcBorders>
          </w:tcPr>
          <w:p w14:paraId="0BC53DFE" w14:textId="2665F09A" w:rsidR="00061509" w:rsidRDefault="00061509" w:rsidP="00410628">
            <w:pPr>
              <w:rPr>
                <w:sz w:val="22"/>
                <w:szCs w:val="22"/>
                <w:lang w:val="en-US"/>
              </w:rPr>
            </w:pPr>
            <w:r>
              <w:rPr>
                <w:sz w:val="22"/>
                <w:szCs w:val="22"/>
                <w:lang w:val="en-US"/>
              </w:rPr>
              <w:t>GF/%</w:t>
            </w:r>
          </w:p>
        </w:tc>
        <w:tc>
          <w:tcPr>
            <w:tcW w:w="1182" w:type="dxa"/>
            <w:tcBorders>
              <w:top w:val="nil"/>
              <w:left w:val="nil"/>
              <w:bottom w:val="single" w:sz="4" w:space="0" w:color="auto"/>
              <w:right w:val="nil"/>
            </w:tcBorders>
          </w:tcPr>
          <w:p w14:paraId="28E7EDF3" w14:textId="2FCC122C" w:rsidR="00061509" w:rsidRDefault="00061509" w:rsidP="00410628">
            <w:pPr>
              <w:rPr>
                <w:sz w:val="22"/>
                <w:szCs w:val="22"/>
                <w:lang w:val="en-US"/>
              </w:rPr>
            </w:pPr>
            <w:r>
              <w:rPr>
                <w:sz w:val="22"/>
                <w:szCs w:val="22"/>
                <w:lang w:val="en-US"/>
              </w:rPr>
              <w:t>F</w:t>
            </w:r>
          </w:p>
        </w:tc>
        <w:tc>
          <w:tcPr>
            <w:tcW w:w="1155" w:type="dxa"/>
            <w:tcBorders>
              <w:top w:val="nil"/>
              <w:left w:val="nil"/>
              <w:bottom w:val="single" w:sz="4" w:space="0" w:color="auto"/>
            </w:tcBorders>
          </w:tcPr>
          <w:p w14:paraId="755DCDDF" w14:textId="74E98175" w:rsidR="00061509" w:rsidRDefault="00061509" w:rsidP="00410628">
            <w:pPr>
              <w:rPr>
                <w:sz w:val="22"/>
                <w:szCs w:val="22"/>
                <w:lang w:val="en-US"/>
              </w:rPr>
            </w:pPr>
            <w:r>
              <w:rPr>
                <w:sz w:val="22"/>
                <w:szCs w:val="22"/>
                <w:lang w:val="en-US"/>
              </w:rPr>
              <w:t>GF/%</w:t>
            </w:r>
          </w:p>
        </w:tc>
      </w:tr>
      <w:tr w:rsidR="00061509" w14:paraId="0C251FEC" w14:textId="77777777" w:rsidTr="007D2AFF">
        <w:tc>
          <w:tcPr>
            <w:tcW w:w="1526" w:type="dxa"/>
            <w:tcBorders>
              <w:bottom w:val="nil"/>
              <w:right w:val="nil"/>
            </w:tcBorders>
          </w:tcPr>
          <w:p w14:paraId="37FB4D5A" w14:textId="14FDE770" w:rsidR="00061509" w:rsidRDefault="00061509" w:rsidP="00410628">
            <w:pPr>
              <w:rPr>
                <w:sz w:val="22"/>
                <w:szCs w:val="22"/>
                <w:lang w:val="en-US"/>
              </w:rPr>
            </w:pPr>
            <w:r w:rsidRPr="00DE404D">
              <w:rPr>
                <w:sz w:val="22"/>
                <w:szCs w:val="22"/>
              </w:rPr>
              <w:t>Zigmond and Snaith</w:t>
            </w:r>
          </w:p>
        </w:tc>
        <w:tc>
          <w:tcPr>
            <w:tcW w:w="882" w:type="dxa"/>
            <w:tcBorders>
              <w:left w:val="nil"/>
              <w:bottom w:val="nil"/>
              <w:right w:val="nil"/>
            </w:tcBorders>
          </w:tcPr>
          <w:p w14:paraId="3ED35142" w14:textId="6A840F5C" w:rsidR="00061509" w:rsidRDefault="00061509" w:rsidP="00410628">
            <w:pPr>
              <w:rPr>
                <w:sz w:val="22"/>
                <w:szCs w:val="22"/>
                <w:lang w:val="en-US"/>
              </w:rPr>
            </w:pPr>
          </w:p>
        </w:tc>
        <w:tc>
          <w:tcPr>
            <w:tcW w:w="1023" w:type="dxa"/>
            <w:tcBorders>
              <w:left w:val="nil"/>
              <w:bottom w:val="nil"/>
              <w:right w:val="nil"/>
            </w:tcBorders>
          </w:tcPr>
          <w:p w14:paraId="5E0D21FE" w14:textId="77777777" w:rsidR="00061509" w:rsidRDefault="00061509" w:rsidP="00410628">
            <w:pPr>
              <w:rPr>
                <w:sz w:val="22"/>
                <w:szCs w:val="22"/>
                <w:lang w:val="en-US"/>
              </w:rPr>
            </w:pPr>
          </w:p>
        </w:tc>
        <w:tc>
          <w:tcPr>
            <w:tcW w:w="1155" w:type="dxa"/>
            <w:tcBorders>
              <w:left w:val="nil"/>
              <w:bottom w:val="nil"/>
              <w:right w:val="nil"/>
            </w:tcBorders>
          </w:tcPr>
          <w:p w14:paraId="1800A7EE" w14:textId="77777777" w:rsidR="00061509" w:rsidRDefault="00061509" w:rsidP="00410628">
            <w:pPr>
              <w:rPr>
                <w:sz w:val="22"/>
                <w:szCs w:val="22"/>
                <w:lang w:val="en-US"/>
              </w:rPr>
            </w:pPr>
          </w:p>
        </w:tc>
        <w:tc>
          <w:tcPr>
            <w:tcW w:w="1182" w:type="dxa"/>
            <w:tcBorders>
              <w:left w:val="nil"/>
              <w:bottom w:val="nil"/>
              <w:right w:val="nil"/>
            </w:tcBorders>
          </w:tcPr>
          <w:p w14:paraId="6C3705F0" w14:textId="77777777" w:rsidR="00061509" w:rsidRDefault="00061509" w:rsidP="00410628">
            <w:pPr>
              <w:rPr>
                <w:sz w:val="22"/>
                <w:szCs w:val="22"/>
                <w:lang w:val="en-US"/>
              </w:rPr>
            </w:pPr>
          </w:p>
        </w:tc>
        <w:tc>
          <w:tcPr>
            <w:tcW w:w="1155" w:type="dxa"/>
            <w:tcBorders>
              <w:left w:val="nil"/>
              <w:bottom w:val="nil"/>
            </w:tcBorders>
          </w:tcPr>
          <w:p w14:paraId="0EB335D7" w14:textId="77777777" w:rsidR="00061509" w:rsidRDefault="00061509" w:rsidP="00410628">
            <w:pPr>
              <w:rPr>
                <w:sz w:val="22"/>
                <w:szCs w:val="22"/>
                <w:lang w:val="en-US"/>
              </w:rPr>
            </w:pPr>
          </w:p>
        </w:tc>
      </w:tr>
      <w:tr w:rsidR="00061509" w14:paraId="52C93C30" w14:textId="77777777" w:rsidTr="007D2AFF">
        <w:tc>
          <w:tcPr>
            <w:tcW w:w="1526" w:type="dxa"/>
            <w:tcBorders>
              <w:top w:val="nil"/>
              <w:bottom w:val="nil"/>
              <w:right w:val="nil"/>
            </w:tcBorders>
          </w:tcPr>
          <w:p w14:paraId="074657A9" w14:textId="7699AB30" w:rsidR="00061509" w:rsidRDefault="00061509" w:rsidP="00D60F8F">
            <w:pPr>
              <w:rPr>
                <w:sz w:val="22"/>
                <w:szCs w:val="22"/>
                <w:lang w:val="en-US"/>
              </w:rPr>
            </w:pPr>
            <w:r w:rsidRPr="00DE404D">
              <w:rPr>
                <w:sz w:val="22"/>
                <w:szCs w:val="22"/>
              </w:rPr>
              <w:t xml:space="preserve">G0 </w:t>
            </w:r>
          </w:p>
        </w:tc>
        <w:tc>
          <w:tcPr>
            <w:tcW w:w="882" w:type="dxa"/>
            <w:tcBorders>
              <w:top w:val="nil"/>
              <w:left w:val="nil"/>
              <w:bottom w:val="nil"/>
              <w:right w:val="nil"/>
            </w:tcBorders>
          </w:tcPr>
          <w:p w14:paraId="309DA757" w14:textId="09B6AADA" w:rsidR="00061509" w:rsidRDefault="00061509" w:rsidP="00D60F8F">
            <w:pPr>
              <w:rPr>
                <w:sz w:val="22"/>
                <w:szCs w:val="22"/>
                <w:lang w:val="en-US"/>
              </w:rPr>
            </w:pPr>
            <w:r>
              <w:rPr>
                <w:sz w:val="22"/>
                <w:szCs w:val="22"/>
                <w:lang w:val="en-US"/>
              </w:rPr>
              <w:t>M</w:t>
            </w:r>
          </w:p>
        </w:tc>
        <w:tc>
          <w:tcPr>
            <w:tcW w:w="1023" w:type="dxa"/>
            <w:tcBorders>
              <w:top w:val="nil"/>
              <w:left w:val="nil"/>
              <w:bottom w:val="nil"/>
              <w:right w:val="nil"/>
            </w:tcBorders>
          </w:tcPr>
          <w:p w14:paraId="3664F946" w14:textId="14AEABB8" w:rsidR="00061509" w:rsidRPr="007D2AFF" w:rsidRDefault="00061509" w:rsidP="00D60F8F">
            <w:pPr>
              <w:rPr>
                <w:sz w:val="22"/>
                <w:szCs w:val="22"/>
                <w:lang w:val="en-US"/>
              </w:rPr>
            </w:pPr>
            <w:r w:rsidRPr="007D2AFF">
              <w:rPr>
                <w:sz w:val="22"/>
                <w:szCs w:val="22"/>
              </w:rPr>
              <w:t>209</w:t>
            </w:r>
          </w:p>
        </w:tc>
        <w:tc>
          <w:tcPr>
            <w:tcW w:w="1155" w:type="dxa"/>
            <w:tcBorders>
              <w:top w:val="nil"/>
              <w:left w:val="nil"/>
              <w:bottom w:val="nil"/>
              <w:right w:val="nil"/>
            </w:tcBorders>
          </w:tcPr>
          <w:p w14:paraId="748F79FB" w14:textId="2D73353D" w:rsidR="00061509" w:rsidRPr="007D2AFF" w:rsidRDefault="00061509" w:rsidP="00061509">
            <w:pPr>
              <w:rPr>
                <w:sz w:val="22"/>
                <w:szCs w:val="22"/>
                <w:lang w:val="en-US"/>
              </w:rPr>
            </w:pPr>
            <w:r w:rsidRPr="007D2AFF">
              <w:rPr>
                <w:sz w:val="22"/>
                <w:szCs w:val="22"/>
              </w:rPr>
              <w:t>386/56.02</w:t>
            </w:r>
          </w:p>
        </w:tc>
        <w:tc>
          <w:tcPr>
            <w:tcW w:w="1182" w:type="dxa"/>
            <w:tcBorders>
              <w:top w:val="nil"/>
              <w:left w:val="nil"/>
              <w:bottom w:val="nil"/>
              <w:right w:val="nil"/>
            </w:tcBorders>
          </w:tcPr>
          <w:p w14:paraId="3F477BC2" w14:textId="7685D8F6" w:rsidR="00061509" w:rsidRPr="007D2AFF" w:rsidRDefault="00061509" w:rsidP="00D60F8F">
            <w:pPr>
              <w:rPr>
                <w:sz w:val="22"/>
                <w:szCs w:val="22"/>
                <w:lang w:val="en-US"/>
              </w:rPr>
            </w:pPr>
            <w:r w:rsidRPr="007D2AFF">
              <w:rPr>
                <w:sz w:val="22"/>
                <w:szCs w:val="22"/>
              </w:rPr>
              <w:t>252</w:t>
            </w:r>
          </w:p>
        </w:tc>
        <w:tc>
          <w:tcPr>
            <w:tcW w:w="1155" w:type="dxa"/>
            <w:tcBorders>
              <w:top w:val="nil"/>
              <w:left w:val="nil"/>
              <w:bottom w:val="nil"/>
            </w:tcBorders>
          </w:tcPr>
          <w:p w14:paraId="6BE8887E" w14:textId="1C69FC80" w:rsidR="00061509" w:rsidRDefault="00061509" w:rsidP="005C0000">
            <w:pPr>
              <w:rPr>
                <w:sz w:val="22"/>
                <w:szCs w:val="22"/>
                <w:lang w:val="en-US"/>
              </w:rPr>
            </w:pPr>
            <w:r w:rsidRPr="00DE404D">
              <w:rPr>
                <w:sz w:val="22"/>
                <w:szCs w:val="22"/>
              </w:rPr>
              <w:t>5</w:t>
            </w:r>
            <w:r w:rsidR="005C0000">
              <w:rPr>
                <w:sz w:val="22"/>
                <w:szCs w:val="22"/>
              </w:rPr>
              <w:t>09</w:t>
            </w:r>
            <w:r w:rsidRPr="00DE404D">
              <w:rPr>
                <w:sz w:val="22"/>
                <w:szCs w:val="22"/>
              </w:rPr>
              <w:t>/</w:t>
            </w:r>
            <w:r w:rsidR="005C0000">
              <w:rPr>
                <w:sz w:val="22"/>
                <w:szCs w:val="22"/>
              </w:rPr>
              <w:t>73.87</w:t>
            </w:r>
          </w:p>
        </w:tc>
      </w:tr>
      <w:tr w:rsidR="00061509" w14:paraId="7BCD94A1" w14:textId="77777777" w:rsidTr="007D2AFF">
        <w:tc>
          <w:tcPr>
            <w:tcW w:w="1526" w:type="dxa"/>
            <w:tcBorders>
              <w:top w:val="nil"/>
              <w:bottom w:val="nil"/>
              <w:right w:val="nil"/>
            </w:tcBorders>
          </w:tcPr>
          <w:p w14:paraId="206EE97C" w14:textId="77777777" w:rsidR="00061509" w:rsidRPr="00DE404D" w:rsidRDefault="00061509" w:rsidP="00D60F8F">
            <w:pPr>
              <w:rPr>
                <w:sz w:val="22"/>
                <w:szCs w:val="22"/>
              </w:rPr>
            </w:pPr>
          </w:p>
        </w:tc>
        <w:tc>
          <w:tcPr>
            <w:tcW w:w="882" w:type="dxa"/>
            <w:tcBorders>
              <w:top w:val="nil"/>
              <w:left w:val="nil"/>
              <w:bottom w:val="nil"/>
              <w:right w:val="nil"/>
            </w:tcBorders>
          </w:tcPr>
          <w:p w14:paraId="59FFF803" w14:textId="3FC521A5" w:rsidR="00061509" w:rsidRDefault="00061509" w:rsidP="00D60F8F">
            <w:pPr>
              <w:rPr>
                <w:sz w:val="22"/>
                <w:szCs w:val="22"/>
                <w:lang w:val="en-US"/>
              </w:rPr>
            </w:pPr>
            <w:r>
              <w:rPr>
                <w:sz w:val="22"/>
                <w:szCs w:val="22"/>
                <w:lang w:val="en-US"/>
              </w:rPr>
              <w:t>W</w:t>
            </w:r>
          </w:p>
        </w:tc>
        <w:tc>
          <w:tcPr>
            <w:tcW w:w="1023" w:type="dxa"/>
            <w:tcBorders>
              <w:top w:val="nil"/>
              <w:left w:val="nil"/>
              <w:bottom w:val="nil"/>
              <w:right w:val="nil"/>
            </w:tcBorders>
          </w:tcPr>
          <w:p w14:paraId="4BDA6D3F" w14:textId="5E8EC5A8" w:rsidR="00061509" w:rsidRPr="007D2AFF" w:rsidRDefault="00061509" w:rsidP="00D60F8F">
            <w:pPr>
              <w:rPr>
                <w:sz w:val="22"/>
                <w:szCs w:val="22"/>
                <w:lang w:val="en-US"/>
              </w:rPr>
            </w:pPr>
            <w:r w:rsidRPr="007D2AFF">
              <w:rPr>
                <w:sz w:val="22"/>
                <w:szCs w:val="22"/>
              </w:rPr>
              <w:t>177</w:t>
            </w:r>
          </w:p>
        </w:tc>
        <w:tc>
          <w:tcPr>
            <w:tcW w:w="1155" w:type="dxa"/>
            <w:tcBorders>
              <w:top w:val="nil"/>
              <w:left w:val="nil"/>
              <w:bottom w:val="nil"/>
              <w:right w:val="nil"/>
            </w:tcBorders>
          </w:tcPr>
          <w:p w14:paraId="64EB6B9A" w14:textId="77777777" w:rsidR="00061509" w:rsidRPr="007D2AFF" w:rsidRDefault="00061509" w:rsidP="00D60F8F">
            <w:pPr>
              <w:rPr>
                <w:sz w:val="22"/>
                <w:szCs w:val="22"/>
                <w:lang w:val="en-US"/>
              </w:rPr>
            </w:pPr>
          </w:p>
        </w:tc>
        <w:tc>
          <w:tcPr>
            <w:tcW w:w="1182" w:type="dxa"/>
            <w:tcBorders>
              <w:top w:val="nil"/>
              <w:left w:val="nil"/>
              <w:bottom w:val="nil"/>
              <w:right w:val="nil"/>
            </w:tcBorders>
          </w:tcPr>
          <w:p w14:paraId="368BEAC2" w14:textId="73D3D746" w:rsidR="00061509" w:rsidRPr="007D2AFF" w:rsidRDefault="00061509" w:rsidP="00D60F8F">
            <w:pPr>
              <w:rPr>
                <w:sz w:val="22"/>
                <w:szCs w:val="22"/>
                <w:lang w:val="en-US"/>
              </w:rPr>
            </w:pPr>
            <w:r w:rsidRPr="007D2AFF">
              <w:rPr>
                <w:sz w:val="22"/>
                <w:szCs w:val="22"/>
              </w:rPr>
              <w:t>257</w:t>
            </w:r>
          </w:p>
        </w:tc>
        <w:tc>
          <w:tcPr>
            <w:tcW w:w="1155" w:type="dxa"/>
            <w:tcBorders>
              <w:top w:val="nil"/>
              <w:left w:val="nil"/>
              <w:bottom w:val="nil"/>
            </w:tcBorders>
          </w:tcPr>
          <w:p w14:paraId="64C52FF4" w14:textId="77777777" w:rsidR="00061509" w:rsidRDefault="00061509" w:rsidP="00D60F8F">
            <w:pPr>
              <w:rPr>
                <w:sz w:val="22"/>
                <w:szCs w:val="22"/>
                <w:lang w:val="en-US"/>
              </w:rPr>
            </w:pPr>
          </w:p>
        </w:tc>
      </w:tr>
      <w:tr w:rsidR="00061509" w14:paraId="1B41BCC7" w14:textId="77777777" w:rsidTr="007D2AFF">
        <w:tc>
          <w:tcPr>
            <w:tcW w:w="1526" w:type="dxa"/>
            <w:tcBorders>
              <w:top w:val="nil"/>
              <w:bottom w:val="nil"/>
              <w:right w:val="nil"/>
            </w:tcBorders>
          </w:tcPr>
          <w:p w14:paraId="0D16E55E" w14:textId="0DDDB90B" w:rsidR="00061509" w:rsidRDefault="00061509" w:rsidP="00D60F8F">
            <w:pPr>
              <w:rPr>
                <w:sz w:val="22"/>
                <w:szCs w:val="22"/>
                <w:lang w:val="en-US"/>
              </w:rPr>
            </w:pPr>
            <w:r w:rsidRPr="00DE404D">
              <w:rPr>
                <w:sz w:val="22"/>
                <w:szCs w:val="22"/>
              </w:rPr>
              <w:t>G1</w:t>
            </w:r>
          </w:p>
        </w:tc>
        <w:tc>
          <w:tcPr>
            <w:tcW w:w="882" w:type="dxa"/>
            <w:tcBorders>
              <w:top w:val="nil"/>
              <w:left w:val="nil"/>
              <w:bottom w:val="nil"/>
              <w:right w:val="nil"/>
            </w:tcBorders>
          </w:tcPr>
          <w:p w14:paraId="4269F827" w14:textId="08A8967B" w:rsidR="00061509" w:rsidRDefault="00061509" w:rsidP="00D60F8F">
            <w:pPr>
              <w:rPr>
                <w:sz w:val="22"/>
                <w:szCs w:val="22"/>
                <w:lang w:val="en-US"/>
              </w:rPr>
            </w:pPr>
            <w:r>
              <w:rPr>
                <w:sz w:val="22"/>
                <w:szCs w:val="22"/>
                <w:lang w:val="en-US"/>
              </w:rPr>
              <w:t>M</w:t>
            </w:r>
          </w:p>
        </w:tc>
        <w:tc>
          <w:tcPr>
            <w:tcW w:w="1023" w:type="dxa"/>
            <w:tcBorders>
              <w:top w:val="nil"/>
              <w:left w:val="nil"/>
              <w:bottom w:val="nil"/>
              <w:right w:val="nil"/>
            </w:tcBorders>
          </w:tcPr>
          <w:p w14:paraId="705C12F6" w14:textId="171607DC" w:rsidR="00061509" w:rsidRPr="007D2AFF" w:rsidRDefault="00061509" w:rsidP="00D60F8F">
            <w:pPr>
              <w:rPr>
                <w:sz w:val="22"/>
                <w:szCs w:val="22"/>
                <w:lang w:val="en-US"/>
              </w:rPr>
            </w:pPr>
            <w:r w:rsidRPr="007D2AFF">
              <w:rPr>
                <w:sz w:val="22"/>
                <w:szCs w:val="22"/>
              </w:rPr>
              <w:t>50</w:t>
            </w:r>
          </w:p>
        </w:tc>
        <w:tc>
          <w:tcPr>
            <w:tcW w:w="1155" w:type="dxa"/>
            <w:tcBorders>
              <w:top w:val="nil"/>
              <w:left w:val="nil"/>
              <w:bottom w:val="nil"/>
              <w:right w:val="nil"/>
            </w:tcBorders>
          </w:tcPr>
          <w:p w14:paraId="1F5ECE1C" w14:textId="50C61F76" w:rsidR="00061509" w:rsidRPr="007D2AFF" w:rsidRDefault="00061509" w:rsidP="00061509">
            <w:pPr>
              <w:rPr>
                <w:sz w:val="22"/>
                <w:szCs w:val="22"/>
                <w:lang w:val="en-US"/>
              </w:rPr>
            </w:pPr>
            <w:r w:rsidRPr="007D2AFF">
              <w:rPr>
                <w:sz w:val="22"/>
                <w:szCs w:val="22"/>
              </w:rPr>
              <w:t>155/22.49</w:t>
            </w:r>
          </w:p>
        </w:tc>
        <w:tc>
          <w:tcPr>
            <w:tcW w:w="1182" w:type="dxa"/>
            <w:tcBorders>
              <w:top w:val="nil"/>
              <w:left w:val="nil"/>
              <w:bottom w:val="nil"/>
              <w:right w:val="nil"/>
            </w:tcBorders>
          </w:tcPr>
          <w:p w14:paraId="1315CA09" w14:textId="08CBE8C5" w:rsidR="00061509" w:rsidRPr="007D2AFF" w:rsidRDefault="00061509" w:rsidP="00D60F8F">
            <w:pPr>
              <w:rPr>
                <w:sz w:val="22"/>
                <w:szCs w:val="22"/>
                <w:lang w:val="en-US"/>
              </w:rPr>
            </w:pPr>
            <w:r w:rsidRPr="007D2AFF">
              <w:rPr>
                <w:sz w:val="22"/>
                <w:szCs w:val="22"/>
              </w:rPr>
              <w:t>19</w:t>
            </w:r>
          </w:p>
        </w:tc>
        <w:tc>
          <w:tcPr>
            <w:tcW w:w="1155" w:type="dxa"/>
            <w:tcBorders>
              <w:top w:val="nil"/>
              <w:left w:val="nil"/>
              <w:bottom w:val="nil"/>
            </w:tcBorders>
          </w:tcPr>
          <w:p w14:paraId="5117DB37" w14:textId="6C1929D6" w:rsidR="00061509" w:rsidRDefault="00061509" w:rsidP="00D60F8F">
            <w:pPr>
              <w:rPr>
                <w:sz w:val="22"/>
                <w:szCs w:val="22"/>
                <w:lang w:val="en-US"/>
              </w:rPr>
            </w:pPr>
            <w:r w:rsidRPr="00DE404D">
              <w:rPr>
                <w:sz w:val="22"/>
                <w:szCs w:val="22"/>
              </w:rPr>
              <w:t>96/13.75</w:t>
            </w:r>
          </w:p>
        </w:tc>
      </w:tr>
      <w:tr w:rsidR="00061509" w14:paraId="620AA5B0" w14:textId="77777777" w:rsidTr="007D2AFF">
        <w:tc>
          <w:tcPr>
            <w:tcW w:w="1526" w:type="dxa"/>
            <w:tcBorders>
              <w:top w:val="nil"/>
              <w:bottom w:val="nil"/>
              <w:right w:val="nil"/>
            </w:tcBorders>
          </w:tcPr>
          <w:p w14:paraId="217CF4EE" w14:textId="77777777" w:rsidR="00061509" w:rsidRPr="00DE404D" w:rsidRDefault="00061509" w:rsidP="00D60F8F">
            <w:pPr>
              <w:rPr>
                <w:sz w:val="22"/>
                <w:szCs w:val="22"/>
              </w:rPr>
            </w:pPr>
          </w:p>
        </w:tc>
        <w:tc>
          <w:tcPr>
            <w:tcW w:w="882" w:type="dxa"/>
            <w:tcBorders>
              <w:top w:val="nil"/>
              <w:left w:val="nil"/>
              <w:bottom w:val="nil"/>
              <w:right w:val="nil"/>
            </w:tcBorders>
          </w:tcPr>
          <w:p w14:paraId="51CD1AE3" w14:textId="46A19080" w:rsidR="00061509" w:rsidRDefault="00061509" w:rsidP="00D60F8F">
            <w:pPr>
              <w:rPr>
                <w:sz w:val="22"/>
                <w:szCs w:val="22"/>
                <w:lang w:val="en-US"/>
              </w:rPr>
            </w:pPr>
            <w:r>
              <w:rPr>
                <w:sz w:val="22"/>
                <w:szCs w:val="22"/>
                <w:lang w:val="en-US"/>
              </w:rPr>
              <w:t>W</w:t>
            </w:r>
          </w:p>
        </w:tc>
        <w:tc>
          <w:tcPr>
            <w:tcW w:w="1023" w:type="dxa"/>
            <w:tcBorders>
              <w:top w:val="nil"/>
              <w:left w:val="nil"/>
              <w:bottom w:val="nil"/>
              <w:right w:val="nil"/>
            </w:tcBorders>
          </w:tcPr>
          <w:p w14:paraId="448D5ACB" w14:textId="3FE445F5" w:rsidR="00061509" w:rsidRPr="007D2AFF" w:rsidRDefault="00061509" w:rsidP="00D60F8F">
            <w:pPr>
              <w:rPr>
                <w:sz w:val="22"/>
                <w:szCs w:val="22"/>
                <w:lang w:val="en-US"/>
              </w:rPr>
            </w:pPr>
            <w:r w:rsidRPr="007D2AFF">
              <w:rPr>
                <w:sz w:val="22"/>
                <w:szCs w:val="22"/>
              </w:rPr>
              <w:t>105</w:t>
            </w:r>
          </w:p>
        </w:tc>
        <w:tc>
          <w:tcPr>
            <w:tcW w:w="1155" w:type="dxa"/>
            <w:tcBorders>
              <w:top w:val="nil"/>
              <w:left w:val="nil"/>
              <w:bottom w:val="nil"/>
              <w:right w:val="nil"/>
            </w:tcBorders>
          </w:tcPr>
          <w:p w14:paraId="3BC618CF" w14:textId="77777777" w:rsidR="00061509" w:rsidRPr="007D2AFF" w:rsidRDefault="00061509" w:rsidP="00D60F8F">
            <w:pPr>
              <w:rPr>
                <w:sz w:val="22"/>
                <w:szCs w:val="22"/>
                <w:lang w:val="en-US"/>
              </w:rPr>
            </w:pPr>
          </w:p>
        </w:tc>
        <w:tc>
          <w:tcPr>
            <w:tcW w:w="1182" w:type="dxa"/>
            <w:tcBorders>
              <w:top w:val="nil"/>
              <w:left w:val="nil"/>
              <w:bottom w:val="nil"/>
              <w:right w:val="nil"/>
            </w:tcBorders>
          </w:tcPr>
          <w:p w14:paraId="39B29996" w14:textId="11AD7A14" w:rsidR="00061509" w:rsidRPr="007D2AFF" w:rsidRDefault="00061509" w:rsidP="00D60F8F">
            <w:pPr>
              <w:rPr>
                <w:sz w:val="22"/>
                <w:szCs w:val="22"/>
                <w:lang w:val="en-US"/>
              </w:rPr>
            </w:pPr>
            <w:r w:rsidRPr="007D2AFF">
              <w:rPr>
                <w:sz w:val="22"/>
                <w:szCs w:val="22"/>
              </w:rPr>
              <w:t>77</w:t>
            </w:r>
          </w:p>
        </w:tc>
        <w:tc>
          <w:tcPr>
            <w:tcW w:w="1155" w:type="dxa"/>
            <w:tcBorders>
              <w:top w:val="nil"/>
              <w:left w:val="nil"/>
              <w:bottom w:val="nil"/>
            </w:tcBorders>
          </w:tcPr>
          <w:p w14:paraId="045F9603" w14:textId="77777777" w:rsidR="00061509" w:rsidRDefault="00061509" w:rsidP="00D60F8F">
            <w:pPr>
              <w:rPr>
                <w:sz w:val="22"/>
                <w:szCs w:val="22"/>
                <w:lang w:val="en-US"/>
              </w:rPr>
            </w:pPr>
          </w:p>
        </w:tc>
      </w:tr>
      <w:tr w:rsidR="00061509" w14:paraId="4D0BB8C7" w14:textId="77777777" w:rsidTr="007D2AFF">
        <w:tc>
          <w:tcPr>
            <w:tcW w:w="1526" w:type="dxa"/>
            <w:tcBorders>
              <w:top w:val="nil"/>
              <w:bottom w:val="nil"/>
              <w:right w:val="nil"/>
            </w:tcBorders>
          </w:tcPr>
          <w:p w14:paraId="43F3D212" w14:textId="7F5F61C4" w:rsidR="00061509" w:rsidRDefault="00061509" w:rsidP="00D60F8F">
            <w:pPr>
              <w:rPr>
                <w:sz w:val="22"/>
                <w:szCs w:val="22"/>
                <w:lang w:val="en-US"/>
              </w:rPr>
            </w:pPr>
            <w:r w:rsidRPr="00DE404D">
              <w:rPr>
                <w:sz w:val="22"/>
                <w:szCs w:val="22"/>
              </w:rPr>
              <w:t>G2</w:t>
            </w:r>
          </w:p>
        </w:tc>
        <w:tc>
          <w:tcPr>
            <w:tcW w:w="882" w:type="dxa"/>
            <w:tcBorders>
              <w:top w:val="nil"/>
              <w:left w:val="nil"/>
              <w:bottom w:val="nil"/>
              <w:right w:val="nil"/>
            </w:tcBorders>
          </w:tcPr>
          <w:p w14:paraId="7BCEC3B8" w14:textId="3F315199" w:rsidR="00061509" w:rsidRDefault="00061509" w:rsidP="00D60F8F">
            <w:pPr>
              <w:rPr>
                <w:sz w:val="22"/>
                <w:szCs w:val="22"/>
                <w:lang w:val="en-US"/>
              </w:rPr>
            </w:pPr>
            <w:r>
              <w:rPr>
                <w:sz w:val="22"/>
                <w:szCs w:val="22"/>
                <w:lang w:val="en-US"/>
              </w:rPr>
              <w:t>M</w:t>
            </w:r>
          </w:p>
        </w:tc>
        <w:tc>
          <w:tcPr>
            <w:tcW w:w="1023" w:type="dxa"/>
            <w:tcBorders>
              <w:top w:val="nil"/>
              <w:left w:val="nil"/>
              <w:bottom w:val="nil"/>
              <w:right w:val="nil"/>
            </w:tcBorders>
          </w:tcPr>
          <w:p w14:paraId="0182AAB9" w14:textId="60AB0048" w:rsidR="00061509" w:rsidRPr="007D2AFF" w:rsidRDefault="00061509" w:rsidP="00D60F8F">
            <w:pPr>
              <w:rPr>
                <w:sz w:val="22"/>
                <w:szCs w:val="22"/>
                <w:lang w:val="en-US"/>
              </w:rPr>
            </w:pPr>
            <w:r w:rsidRPr="007D2AFF">
              <w:rPr>
                <w:sz w:val="22"/>
                <w:szCs w:val="22"/>
              </w:rPr>
              <w:t>23</w:t>
            </w:r>
          </w:p>
        </w:tc>
        <w:tc>
          <w:tcPr>
            <w:tcW w:w="1155" w:type="dxa"/>
            <w:tcBorders>
              <w:top w:val="nil"/>
              <w:left w:val="nil"/>
              <w:bottom w:val="nil"/>
              <w:right w:val="nil"/>
            </w:tcBorders>
          </w:tcPr>
          <w:p w14:paraId="54627D55" w14:textId="55B8F3E2" w:rsidR="00061509" w:rsidRPr="007D2AFF" w:rsidRDefault="00061509" w:rsidP="00061509">
            <w:pPr>
              <w:rPr>
                <w:sz w:val="22"/>
                <w:szCs w:val="22"/>
                <w:lang w:val="en-US"/>
              </w:rPr>
            </w:pPr>
            <w:r w:rsidRPr="007D2AFF">
              <w:rPr>
                <w:sz w:val="22"/>
                <w:szCs w:val="22"/>
              </w:rPr>
              <w:t>129/15.82</w:t>
            </w:r>
          </w:p>
        </w:tc>
        <w:tc>
          <w:tcPr>
            <w:tcW w:w="1182" w:type="dxa"/>
            <w:tcBorders>
              <w:top w:val="nil"/>
              <w:left w:val="nil"/>
              <w:bottom w:val="nil"/>
              <w:right w:val="nil"/>
            </w:tcBorders>
          </w:tcPr>
          <w:p w14:paraId="616F10E0" w14:textId="473100B2" w:rsidR="00061509" w:rsidRPr="007D2AFF" w:rsidRDefault="00061509" w:rsidP="00D60F8F">
            <w:pPr>
              <w:rPr>
                <w:sz w:val="22"/>
                <w:szCs w:val="22"/>
                <w:lang w:val="en-US"/>
              </w:rPr>
            </w:pPr>
            <w:r w:rsidRPr="007D2AFF">
              <w:rPr>
                <w:sz w:val="22"/>
                <w:szCs w:val="22"/>
              </w:rPr>
              <w:t>17</w:t>
            </w:r>
          </w:p>
        </w:tc>
        <w:tc>
          <w:tcPr>
            <w:tcW w:w="1155" w:type="dxa"/>
            <w:tcBorders>
              <w:top w:val="nil"/>
              <w:left w:val="nil"/>
              <w:bottom w:val="nil"/>
            </w:tcBorders>
          </w:tcPr>
          <w:p w14:paraId="500AE54E" w14:textId="1C66DDFF" w:rsidR="00061509" w:rsidRDefault="00061509" w:rsidP="00D60F8F">
            <w:pPr>
              <w:rPr>
                <w:sz w:val="22"/>
                <w:szCs w:val="22"/>
                <w:lang w:val="en-US"/>
              </w:rPr>
            </w:pPr>
            <w:r w:rsidRPr="00DE404D">
              <w:rPr>
                <w:sz w:val="22"/>
                <w:szCs w:val="22"/>
              </w:rPr>
              <w:t>66/9.45</w:t>
            </w:r>
          </w:p>
        </w:tc>
      </w:tr>
      <w:tr w:rsidR="00061509" w14:paraId="15DADD6D" w14:textId="77777777" w:rsidTr="007D2AFF">
        <w:tc>
          <w:tcPr>
            <w:tcW w:w="1526" w:type="dxa"/>
            <w:tcBorders>
              <w:top w:val="nil"/>
              <w:bottom w:val="nil"/>
              <w:right w:val="nil"/>
            </w:tcBorders>
          </w:tcPr>
          <w:p w14:paraId="40E2C29C" w14:textId="77777777" w:rsidR="00061509" w:rsidRPr="00DE404D" w:rsidRDefault="00061509" w:rsidP="00D60F8F">
            <w:pPr>
              <w:rPr>
                <w:sz w:val="22"/>
                <w:szCs w:val="22"/>
              </w:rPr>
            </w:pPr>
          </w:p>
        </w:tc>
        <w:tc>
          <w:tcPr>
            <w:tcW w:w="882" w:type="dxa"/>
            <w:tcBorders>
              <w:top w:val="nil"/>
              <w:left w:val="nil"/>
              <w:bottom w:val="nil"/>
              <w:right w:val="nil"/>
            </w:tcBorders>
          </w:tcPr>
          <w:p w14:paraId="5650A466" w14:textId="62141EEA" w:rsidR="00061509" w:rsidRDefault="00061509" w:rsidP="00D60F8F">
            <w:pPr>
              <w:rPr>
                <w:sz w:val="22"/>
                <w:szCs w:val="22"/>
                <w:lang w:val="en-US"/>
              </w:rPr>
            </w:pPr>
            <w:r>
              <w:rPr>
                <w:sz w:val="22"/>
                <w:szCs w:val="22"/>
                <w:lang w:val="en-US"/>
              </w:rPr>
              <w:t>W</w:t>
            </w:r>
          </w:p>
        </w:tc>
        <w:tc>
          <w:tcPr>
            <w:tcW w:w="1023" w:type="dxa"/>
            <w:tcBorders>
              <w:top w:val="nil"/>
              <w:left w:val="nil"/>
              <w:bottom w:val="nil"/>
              <w:right w:val="nil"/>
            </w:tcBorders>
          </w:tcPr>
          <w:p w14:paraId="6EBFD310" w14:textId="603A70D3" w:rsidR="00061509" w:rsidRPr="007D2AFF" w:rsidRDefault="00061509" w:rsidP="00D60F8F">
            <w:pPr>
              <w:rPr>
                <w:sz w:val="22"/>
                <w:szCs w:val="22"/>
                <w:lang w:val="en-US"/>
              </w:rPr>
            </w:pPr>
            <w:r w:rsidRPr="007D2AFF">
              <w:rPr>
                <w:sz w:val="22"/>
                <w:szCs w:val="22"/>
              </w:rPr>
              <w:t>86</w:t>
            </w:r>
          </w:p>
        </w:tc>
        <w:tc>
          <w:tcPr>
            <w:tcW w:w="1155" w:type="dxa"/>
            <w:tcBorders>
              <w:top w:val="nil"/>
              <w:left w:val="nil"/>
              <w:bottom w:val="nil"/>
              <w:right w:val="nil"/>
            </w:tcBorders>
          </w:tcPr>
          <w:p w14:paraId="39A8BEB7" w14:textId="77777777" w:rsidR="00061509" w:rsidRPr="007D2AFF" w:rsidRDefault="00061509" w:rsidP="00D60F8F">
            <w:pPr>
              <w:rPr>
                <w:sz w:val="22"/>
                <w:szCs w:val="22"/>
                <w:lang w:val="en-US"/>
              </w:rPr>
            </w:pPr>
          </w:p>
        </w:tc>
        <w:tc>
          <w:tcPr>
            <w:tcW w:w="1182" w:type="dxa"/>
            <w:tcBorders>
              <w:top w:val="nil"/>
              <w:left w:val="nil"/>
              <w:bottom w:val="nil"/>
              <w:right w:val="nil"/>
            </w:tcBorders>
          </w:tcPr>
          <w:p w14:paraId="19A9420F" w14:textId="3DF485AE" w:rsidR="00061509" w:rsidRPr="007D2AFF" w:rsidRDefault="00061509" w:rsidP="00D60F8F">
            <w:pPr>
              <w:rPr>
                <w:sz w:val="22"/>
                <w:szCs w:val="22"/>
                <w:lang w:val="en-US"/>
              </w:rPr>
            </w:pPr>
            <w:r w:rsidRPr="007D2AFF">
              <w:rPr>
                <w:sz w:val="22"/>
                <w:szCs w:val="22"/>
              </w:rPr>
              <w:t>49</w:t>
            </w:r>
          </w:p>
        </w:tc>
        <w:tc>
          <w:tcPr>
            <w:tcW w:w="1155" w:type="dxa"/>
            <w:tcBorders>
              <w:top w:val="nil"/>
              <w:left w:val="nil"/>
              <w:bottom w:val="nil"/>
            </w:tcBorders>
          </w:tcPr>
          <w:p w14:paraId="0099583D" w14:textId="77777777" w:rsidR="00061509" w:rsidRDefault="00061509" w:rsidP="00D60F8F">
            <w:pPr>
              <w:rPr>
                <w:sz w:val="22"/>
                <w:szCs w:val="22"/>
                <w:lang w:val="en-US"/>
              </w:rPr>
            </w:pPr>
          </w:p>
        </w:tc>
      </w:tr>
      <w:tr w:rsidR="00061509" w14:paraId="45AE0A79" w14:textId="77777777" w:rsidTr="007D2AFF">
        <w:tc>
          <w:tcPr>
            <w:tcW w:w="1526" w:type="dxa"/>
            <w:tcBorders>
              <w:top w:val="nil"/>
              <w:bottom w:val="nil"/>
              <w:right w:val="nil"/>
            </w:tcBorders>
          </w:tcPr>
          <w:p w14:paraId="55BC8328" w14:textId="202FC928" w:rsidR="00061509" w:rsidRDefault="00061509" w:rsidP="00D60F8F">
            <w:pPr>
              <w:rPr>
                <w:sz w:val="22"/>
                <w:szCs w:val="22"/>
                <w:lang w:val="en-US"/>
              </w:rPr>
            </w:pPr>
            <w:r w:rsidRPr="00DE404D">
              <w:rPr>
                <w:sz w:val="22"/>
                <w:szCs w:val="22"/>
              </w:rPr>
              <w:t>G3</w:t>
            </w:r>
          </w:p>
        </w:tc>
        <w:tc>
          <w:tcPr>
            <w:tcW w:w="882" w:type="dxa"/>
            <w:tcBorders>
              <w:top w:val="nil"/>
              <w:left w:val="nil"/>
              <w:bottom w:val="nil"/>
              <w:right w:val="nil"/>
            </w:tcBorders>
          </w:tcPr>
          <w:p w14:paraId="3C007FB5" w14:textId="38F2EA06" w:rsidR="00061509" w:rsidRDefault="00061509" w:rsidP="00D60F8F">
            <w:pPr>
              <w:rPr>
                <w:sz w:val="22"/>
                <w:szCs w:val="22"/>
                <w:lang w:val="en-US"/>
              </w:rPr>
            </w:pPr>
            <w:r>
              <w:rPr>
                <w:sz w:val="22"/>
                <w:szCs w:val="22"/>
                <w:lang w:val="en-US"/>
              </w:rPr>
              <w:t>M</w:t>
            </w:r>
          </w:p>
        </w:tc>
        <w:tc>
          <w:tcPr>
            <w:tcW w:w="1023" w:type="dxa"/>
            <w:tcBorders>
              <w:top w:val="nil"/>
              <w:left w:val="nil"/>
              <w:bottom w:val="nil"/>
              <w:right w:val="nil"/>
            </w:tcBorders>
          </w:tcPr>
          <w:p w14:paraId="75766710" w14:textId="1E2F31EB" w:rsidR="00061509" w:rsidRPr="007D2AFF" w:rsidRDefault="00061509" w:rsidP="00D60F8F">
            <w:pPr>
              <w:rPr>
                <w:sz w:val="22"/>
                <w:szCs w:val="22"/>
                <w:lang w:val="en-US"/>
              </w:rPr>
            </w:pPr>
            <w:r w:rsidRPr="007D2AFF">
              <w:rPr>
                <w:sz w:val="22"/>
                <w:szCs w:val="22"/>
              </w:rPr>
              <w:t>10</w:t>
            </w:r>
          </w:p>
        </w:tc>
        <w:tc>
          <w:tcPr>
            <w:tcW w:w="1155" w:type="dxa"/>
            <w:tcBorders>
              <w:top w:val="nil"/>
              <w:left w:val="nil"/>
              <w:bottom w:val="nil"/>
              <w:right w:val="nil"/>
            </w:tcBorders>
          </w:tcPr>
          <w:p w14:paraId="1F3C4DA1" w14:textId="6DB82E15" w:rsidR="00061509" w:rsidRPr="007D2AFF" w:rsidRDefault="00061509" w:rsidP="00061509">
            <w:pPr>
              <w:rPr>
                <w:sz w:val="22"/>
                <w:szCs w:val="22"/>
                <w:lang w:val="en-US"/>
              </w:rPr>
            </w:pPr>
            <w:r w:rsidRPr="007D2AFF">
              <w:rPr>
                <w:sz w:val="22"/>
                <w:szCs w:val="22"/>
              </w:rPr>
              <w:t>39/5.66</w:t>
            </w:r>
          </w:p>
        </w:tc>
        <w:tc>
          <w:tcPr>
            <w:tcW w:w="1182" w:type="dxa"/>
            <w:tcBorders>
              <w:top w:val="nil"/>
              <w:left w:val="nil"/>
              <w:bottom w:val="nil"/>
              <w:right w:val="nil"/>
            </w:tcBorders>
          </w:tcPr>
          <w:p w14:paraId="677AECBB" w14:textId="68B935F5" w:rsidR="00061509" w:rsidRPr="007D2AFF" w:rsidRDefault="00061509" w:rsidP="00D60F8F">
            <w:pPr>
              <w:rPr>
                <w:sz w:val="22"/>
                <w:szCs w:val="22"/>
                <w:lang w:val="en-US"/>
              </w:rPr>
            </w:pPr>
            <w:r w:rsidRPr="007D2AFF">
              <w:rPr>
                <w:sz w:val="22"/>
                <w:szCs w:val="22"/>
              </w:rPr>
              <w:t>4</w:t>
            </w:r>
          </w:p>
        </w:tc>
        <w:tc>
          <w:tcPr>
            <w:tcW w:w="1155" w:type="dxa"/>
            <w:tcBorders>
              <w:top w:val="nil"/>
              <w:left w:val="nil"/>
              <w:bottom w:val="nil"/>
            </w:tcBorders>
          </w:tcPr>
          <w:p w14:paraId="227A3773" w14:textId="315F3ECD" w:rsidR="00061509" w:rsidRDefault="00061509" w:rsidP="00D60F8F">
            <w:pPr>
              <w:rPr>
                <w:sz w:val="22"/>
                <w:szCs w:val="22"/>
                <w:lang w:val="en-US"/>
              </w:rPr>
            </w:pPr>
            <w:r w:rsidRPr="00DE404D">
              <w:rPr>
                <w:sz w:val="22"/>
                <w:szCs w:val="22"/>
              </w:rPr>
              <w:t>18/2.57</w:t>
            </w:r>
          </w:p>
        </w:tc>
      </w:tr>
      <w:tr w:rsidR="00061509" w14:paraId="4219FC0E" w14:textId="77777777" w:rsidTr="007D2AFF">
        <w:tc>
          <w:tcPr>
            <w:tcW w:w="1526" w:type="dxa"/>
            <w:tcBorders>
              <w:top w:val="nil"/>
              <w:bottom w:val="nil"/>
              <w:right w:val="nil"/>
            </w:tcBorders>
          </w:tcPr>
          <w:p w14:paraId="1D79D531" w14:textId="77777777" w:rsidR="00061509" w:rsidRPr="00DE404D" w:rsidRDefault="00061509" w:rsidP="00D60F8F">
            <w:pPr>
              <w:rPr>
                <w:sz w:val="22"/>
                <w:szCs w:val="22"/>
              </w:rPr>
            </w:pPr>
          </w:p>
        </w:tc>
        <w:tc>
          <w:tcPr>
            <w:tcW w:w="882" w:type="dxa"/>
            <w:tcBorders>
              <w:top w:val="nil"/>
              <w:left w:val="nil"/>
              <w:bottom w:val="nil"/>
              <w:right w:val="nil"/>
            </w:tcBorders>
          </w:tcPr>
          <w:p w14:paraId="65F46814" w14:textId="5A08BB0D" w:rsidR="00061509" w:rsidRDefault="00061509" w:rsidP="00D60F8F">
            <w:pPr>
              <w:rPr>
                <w:sz w:val="22"/>
                <w:szCs w:val="22"/>
                <w:lang w:val="en-US"/>
              </w:rPr>
            </w:pPr>
            <w:r>
              <w:rPr>
                <w:sz w:val="22"/>
                <w:szCs w:val="22"/>
                <w:lang w:val="en-US"/>
              </w:rPr>
              <w:t>W</w:t>
            </w:r>
          </w:p>
        </w:tc>
        <w:tc>
          <w:tcPr>
            <w:tcW w:w="1023" w:type="dxa"/>
            <w:tcBorders>
              <w:top w:val="nil"/>
              <w:left w:val="nil"/>
              <w:bottom w:val="nil"/>
              <w:right w:val="nil"/>
            </w:tcBorders>
          </w:tcPr>
          <w:p w14:paraId="6C49B8B4" w14:textId="2E1F6C97" w:rsidR="00061509" w:rsidRPr="007D2AFF" w:rsidRDefault="00061509" w:rsidP="00D60F8F">
            <w:pPr>
              <w:rPr>
                <w:sz w:val="22"/>
                <w:szCs w:val="22"/>
                <w:lang w:val="en-US"/>
              </w:rPr>
            </w:pPr>
            <w:r w:rsidRPr="007D2AFF">
              <w:rPr>
                <w:sz w:val="22"/>
                <w:szCs w:val="22"/>
              </w:rPr>
              <w:t>29</w:t>
            </w:r>
          </w:p>
        </w:tc>
        <w:tc>
          <w:tcPr>
            <w:tcW w:w="1155" w:type="dxa"/>
            <w:tcBorders>
              <w:top w:val="nil"/>
              <w:left w:val="nil"/>
              <w:bottom w:val="nil"/>
              <w:right w:val="nil"/>
            </w:tcBorders>
          </w:tcPr>
          <w:p w14:paraId="225E45B6" w14:textId="77777777" w:rsidR="00061509" w:rsidRPr="007D2AFF" w:rsidRDefault="00061509" w:rsidP="00D60F8F">
            <w:pPr>
              <w:rPr>
                <w:sz w:val="22"/>
                <w:szCs w:val="22"/>
                <w:lang w:val="en-US"/>
              </w:rPr>
            </w:pPr>
          </w:p>
        </w:tc>
        <w:tc>
          <w:tcPr>
            <w:tcW w:w="1182" w:type="dxa"/>
            <w:tcBorders>
              <w:top w:val="nil"/>
              <w:left w:val="nil"/>
              <w:bottom w:val="nil"/>
              <w:right w:val="nil"/>
            </w:tcBorders>
          </w:tcPr>
          <w:p w14:paraId="15A508DF" w14:textId="2457D85D" w:rsidR="00061509" w:rsidRPr="007D2AFF" w:rsidRDefault="00061509" w:rsidP="00D60F8F">
            <w:pPr>
              <w:rPr>
                <w:sz w:val="22"/>
                <w:szCs w:val="22"/>
                <w:lang w:val="en-US"/>
              </w:rPr>
            </w:pPr>
            <w:r w:rsidRPr="007D2AFF">
              <w:rPr>
                <w:sz w:val="22"/>
                <w:szCs w:val="22"/>
              </w:rPr>
              <w:t>14</w:t>
            </w:r>
          </w:p>
        </w:tc>
        <w:tc>
          <w:tcPr>
            <w:tcW w:w="1155" w:type="dxa"/>
            <w:tcBorders>
              <w:top w:val="nil"/>
              <w:left w:val="nil"/>
              <w:bottom w:val="nil"/>
            </w:tcBorders>
          </w:tcPr>
          <w:p w14:paraId="245092BC" w14:textId="77777777" w:rsidR="00061509" w:rsidRDefault="00061509" w:rsidP="00D60F8F">
            <w:pPr>
              <w:rPr>
                <w:sz w:val="22"/>
                <w:szCs w:val="22"/>
                <w:lang w:val="en-US"/>
              </w:rPr>
            </w:pPr>
          </w:p>
        </w:tc>
      </w:tr>
      <w:tr w:rsidR="00061509" w14:paraId="39B7CC3E" w14:textId="77777777" w:rsidTr="007D2AFF">
        <w:tc>
          <w:tcPr>
            <w:tcW w:w="1526" w:type="dxa"/>
            <w:tcBorders>
              <w:top w:val="nil"/>
              <w:bottom w:val="nil"/>
              <w:right w:val="nil"/>
            </w:tcBorders>
          </w:tcPr>
          <w:p w14:paraId="40D499AD" w14:textId="7C34A993" w:rsidR="00061509" w:rsidRDefault="00061509" w:rsidP="00D60F8F">
            <w:pPr>
              <w:rPr>
                <w:sz w:val="22"/>
                <w:szCs w:val="22"/>
                <w:lang w:val="en-US"/>
              </w:rPr>
            </w:pPr>
            <w:r w:rsidRPr="00DE404D">
              <w:rPr>
                <w:sz w:val="22"/>
                <w:szCs w:val="22"/>
              </w:rPr>
              <w:t xml:space="preserve">Chivité </w:t>
            </w:r>
            <w:r>
              <w:rPr>
                <w:sz w:val="22"/>
                <w:szCs w:val="22"/>
              </w:rPr>
              <w:t>et al.</w:t>
            </w:r>
          </w:p>
        </w:tc>
        <w:tc>
          <w:tcPr>
            <w:tcW w:w="882" w:type="dxa"/>
            <w:tcBorders>
              <w:top w:val="nil"/>
              <w:left w:val="nil"/>
              <w:bottom w:val="nil"/>
              <w:right w:val="nil"/>
            </w:tcBorders>
          </w:tcPr>
          <w:p w14:paraId="371853E5" w14:textId="67C4231D" w:rsidR="00061509" w:rsidRDefault="00061509" w:rsidP="00D60F8F">
            <w:pPr>
              <w:rPr>
                <w:sz w:val="22"/>
                <w:szCs w:val="22"/>
                <w:lang w:val="en-US"/>
              </w:rPr>
            </w:pPr>
          </w:p>
        </w:tc>
        <w:tc>
          <w:tcPr>
            <w:tcW w:w="1023" w:type="dxa"/>
            <w:tcBorders>
              <w:top w:val="nil"/>
              <w:left w:val="nil"/>
              <w:bottom w:val="nil"/>
              <w:right w:val="nil"/>
            </w:tcBorders>
          </w:tcPr>
          <w:p w14:paraId="367F0015" w14:textId="77777777" w:rsidR="00061509" w:rsidRDefault="00061509" w:rsidP="00D60F8F">
            <w:pPr>
              <w:rPr>
                <w:sz w:val="22"/>
                <w:szCs w:val="22"/>
                <w:lang w:val="en-US"/>
              </w:rPr>
            </w:pPr>
          </w:p>
        </w:tc>
        <w:tc>
          <w:tcPr>
            <w:tcW w:w="1155" w:type="dxa"/>
            <w:tcBorders>
              <w:top w:val="nil"/>
              <w:left w:val="nil"/>
              <w:bottom w:val="nil"/>
              <w:right w:val="nil"/>
            </w:tcBorders>
          </w:tcPr>
          <w:p w14:paraId="1F5A756F" w14:textId="77777777" w:rsidR="00061509" w:rsidRDefault="00061509" w:rsidP="00D60F8F">
            <w:pPr>
              <w:rPr>
                <w:sz w:val="22"/>
                <w:szCs w:val="22"/>
                <w:lang w:val="en-US"/>
              </w:rPr>
            </w:pPr>
          </w:p>
        </w:tc>
        <w:tc>
          <w:tcPr>
            <w:tcW w:w="1182" w:type="dxa"/>
            <w:tcBorders>
              <w:top w:val="nil"/>
              <w:left w:val="nil"/>
              <w:bottom w:val="nil"/>
              <w:right w:val="nil"/>
            </w:tcBorders>
          </w:tcPr>
          <w:p w14:paraId="6C57F0F3" w14:textId="77777777" w:rsidR="00061509" w:rsidRDefault="00061509" w:rsidP="00D60F8F">
            <w:pPr>
              <w:rPr>
                <w:sz w:val="22"/>
                <w:szCs w:val="22"/>
                <w:lang w:val="en-US"/>
              </w:rPr>
            </w:pPr>
          </w:p>
        </w:tc>
        <w:tc>
          <w:tcPr>
            <w:tcW w:w="1155" w:type="dxa"/>
            <w:tcBorders>
              <w:top w:val="nil"/>
              <w:left w:val="nil"/>
              <w:bottom w:val="nil"/>
            </w:tcBorders>
          </w:tcPr>
          <w:p w14:paraId="5A52E8BF" w14:textId="77777777" w:rsidR="00061509" w:rsidRDefault="00061509" w:rsidP="00D60F8F">
            <w:pPr>
              <w:rPr>
                <w:sz w:val="22"/>
                <w:szCs w:val="22"/>
                <w:lang w:val="en-US"/>
              </w:rPr>
            </w:pPr>
          </w:p>
        </w:tc>
      </w:tr>
      <w:tr w:rsidR="00061509" w14:paraId="7CC7058C" w14:textId="77777777" w:rsidTr="007D2AFF">
        <w:tc>
          <w:tcPr>
            <w:tcW w:w="1526" w:type="dxa"/>
            <w:tcBorders>
              <w:top w:val="nil"/>
              <w:bottom w:val="nil"/>
              <w:right w:val="nil"/>
            </w:tcBorders>
          </w:tcPr>
          <w:p w14:paraId="5B232CBB" w14:textId="19E41139" w:rsidR="00061509" w:rsidRDefault="00061509" w:rsidP="00D60F8F">
            <w:pPr>
              <w:rPr>
                <w:sz w:val="22"/>
                <w:szCs w:val="22"/>
                <w:lang w:val="en-US"/>
              </w:rPr>
            </w:pPr>
            <w:r>
              <w:rPr>
                <w:sz w:val="22"/>
                <w:szCs w:val="22"/>
                <w:lang w:val="en-US"/>
              </w:rPr>
              <w:t>No case</w:t>
            </w:r>
          </w:p>
        </w:tc>
        <w:tc>
          <w:tcPr>
            <w:tcW w:w="882" w:type="dxa"/>
            <w:tcBorders>
              <w:top w:val="nil"/>
              <w:left w:val="nil"/>
              <w:bottom w:val="nil"/>
              <w:right w:val="nil"/>
            </w:tcBorders>
          </w:tcPr>
          <w:p w14:paraId="6F77E356" w14:textId="1BFCB785" w:rsidR="00061509" w:rsidRDefault="00061509" w:rsidP="00D60F8F">
            <w:pPr>
              <w:rPr>
                <w:sz w:val="22"/>
                <w:szCs w:val="22"/>
                <w:lang w:val="en-US"/>
              </w:rPr>
            </w:pPr>
            <w:r>
              <w:rPr>
                <w:sz w:val="22"/>
                <w:szCs w:val="22"/>
                <w:lang w:val="en-US"/>
              </w:rPr>
              <w:t>M</w:t>
            </w:r>
          </w:p>
        </w:tc>
        <w:tc>
          <w:tcPr>
            <w:tcW w:w="1023" w:type="dxa"/>
            <w:tcBorders>
              <w:top w:val="nil"/>
              <w:left w:val="nil"/>
              <w:bottom w:val="nil"/>
              <w:right w:val="nil"/>
            </w:tcBorders>
          </w:tcPr>
          <w:p w14:paraId="58D93A4C" w14:textId="70985B3E" w:rsidR="00061509" w:rsidRDefault="00061509" w:rsidP="00D60F8F">
            <w:pPr>
              <w:rPr>
                <w:sz w:val="22"/>
                <w:szCs w:val="22"/>
                <w:lang w:val="en-US"/>
              </w:rPr>
            </w:pPr>
            <w:r>
              <w:rPr>
                <w:sz w:val="22"/>
                <w:szCs w:val="22"/>
              </w:rPr>
              <w:t>209</w:t>
            </w:r>
          </w:p>
        </w:tc>
        <w:tc>
          <w:tcPr>
            <w:tcW w:w="1155" w:type="dxa"/>
            <w:tcBorders>
              <w:top w:val="nil"/>
              <w:left w:val="nil"/>
              <w:bottom w:val="nil"/>
              <w:right w:val="nil"/>
            </w:tcBorders>
          </w:tcPr>
          <w:p w14:paraId="30B3105E" w14:textId="01840919" w:rsidR="00061509" w:rsidRDefault="00061509" w:rsidP="00061509">
            <w:pPr>
              <w:rPr>
                <w:sz w:val="22"/>
                <w:szCs w:val="22"/>
                <w:lang w:val="en-US"/>
              </w:rPr>
            </w:pPr>
            <w:r>
              <w:rPr>
                <w:sz w:val="22"/>
                <w:szCs w:val="22"/>
              </w:rPr>
              <w:t>422</w:t>
            </w:r>
            <w:r w:rsidRPr="00DE404D">
              <w:rPr>
                <w:sz w:val="22"/>
                <w:szCs w:val="22"/>
              </w:rPr>
              <w:t>/</w:t>
            </w:r>
            <w:r>
              <w:rPr>
                <w:sz w:val="22"/>
                <w:szCs w:val="22"/>
              </w:rPr>
              <w:t>61.24</w:t>
            </w:r>
          </w:p>
        </w:tc>
        <w:tc>
          <w:tcPr>
            <w:tcW w:w="1182" w:type="dxa"/>
            <w:tcBorders>
              <w:top w:val="nil"/>
              <w:left w:val="nil"/>
              <w:bottom w:val="nil"/>
              <w:right w:val="nil"/>
            </w:tcBorders>
          </w:tcPr>
          <w:p w14:paraId="6087BAD1" w14:textId="373918D8" w:rsidR="00061509" w:rsidRDefault="00061509" w:rsidP="00D60F8F">
            <w:pPr>
              <w:rPr>
                <w:sz w:val="22"/>
                <w:szCs w:val="22"/>
                <w:lang w:val="en-US"/>
              </w:rPr>
            </w:pPr>
            <w:r w:rsidRPr="00DE404D">
              <w:rPr>
                <w:sz w:val="22"/>
                <w:szCs w:val="22"/>
              </w:rPr>
              <w:t>154</w:t>
            </w:r>
          </w:p>
        </w:tc>
        <w:tc>
          <w:tcPr>
            <w:tcW w:w="1155" w:type="dxa"/>
            <w:tcBorders>
              <w:top w:val="nil"/>
              <w:left w:val="nil"/>
              <w:bottom w:val="nil"/>
            </w:tcBorders>
          </w:tcPr>
          <w:p w14:paraId="4EF08910" w14:textId="16C5E94F" w:rsidR="00061509" w:rsidRDefault="00061509" w:rsidP="005C0000">
            <w:pPr>
              <w:rPr>
                <w:sz w:val="22"/>
                <w:szCs w:val="22"/>
                <w:lang w:val="en-US"/>
              </w:rPr>
            </w:pPr>
            <w:r w:rsidRPr="00DE404D">
              <w:rPr>
                <w:sz w:val="22"/>
                <w:szCs w:val="22"/>
              </w:rPr>
              <w:t>5</w:t>
            </w:r>
            <w:r w:rsidR="005C0000">
              <w:rPr>
                <w:sz w:val="22"/>
                <w:szCs w:val="22"/>
              </w:rPr>
              <w:t>09/73.87</w:t>
            </w:r>
          </w:p>
        </w:tc>
      </w:tr>
      <w:tr w:rsidR="00061509" w14:paraId="6125D7C5" w14:textId="77777777" w:rsidTr="007D2AFF">
        <w:tc>
          <w:tcPr>
            <w:tcW w:w="1526" w:type="dxa"/>
            <w:tcBorders>
              <w:top w:val="nil"/>
              <w:bottom w:val="nil"/>
              <w:right w:val="nil"/>
            </w:tcBorders>
          </w:tcPr>
          <w:p w14:paraId="15629CAA" w14:textId="77777777" w:rsidR="00061509" w:rsidRDefault="00061509" w:rsidP="00D60F8F">
            <w:pPr>
              <w:rPr>
                <w:sz w:val="22"/>
                <w:szCs w:val="22"/>
                <w:lang w:val="en-US"/>
              </w:rPr>
            </w:pPr>
          </w:p>
        </w:tc>
        <w:tc>
          <w:tcPr>
            <w:tcW w:w="882" w:type="dxa"/>
            <w:tcBorders>
              <w:top w:val="nil"/>
              <w:left w:val="nil"/>
              <w:bottom w:val="nil"/>
              <w:right w:val="nil"/>
            </w:tcBorders>
          </w:tcPr>
          <w:p w14:paraId="0320ED8B" w14:textId="7A3C7A76" w:rsidR="00061509" w:rsidRDefault="00061509" w:rsidP="00D60F8F">
            <w:pPr>
              <w:rPr>
                <w:sz w:val="22"/>
                <w:szCs w:val="22"/>
                <w:lang w:val="en-US"/>
              </w:rPr>
            </w:pPr>
            <w:r>
              <w:rPr>
                <w:sz w:val="22"/>
                <w:szCs w:val="22"/>
                <w:lang w:val="en-US"/>
              </w:rPr>
              <w:t>W</w:t>
            </w:r>
          </w:p>
        </w:tc>
        <w:tc>
          <w:tcPr>
            <w:tcW w:w="1023" w:type="dxa"/>
            <w:tcBorders>
              <w:top w:val="nil"/>
              <w:left w:val="nil"/>
              <w:bottom w:val="nil"/>
              <w:right w:val="nil"/>
            </w:tcBorders>
          </w:tcPr>
          <w:p w14:paraId="2145A16C" w14:textId="025FDA80" w:rsidR="00061509" w:rsidRDefault="00061509" w:rsidP="00D60F8F">
            <w:pPr>
              <w:rPr>
                <w:sz w:val="22"/>
                <w:szCs w:val="22"/>
                <w:lang w:val="en-US"/>
              </w:rPr>
            </w:pPr>
            <w:r w:rsidRPr="00DE404D">
              <w:rPr>
                <w:sz w:val="22"/>
                <w:szCs w:val="22"/>
              </w:rPr>
              <w:t>213</w:t>
            </w:r>
          </w:p>
        </w:tc>
        <w:tc>
          <w:tcPr>
            <w:tcW w:w="1155" w:type="dxa"/>
            <w:tcBorders>
              <w:top w:val="nil"/>
              <w:left w:val="nil"/>
              <w:bottom w:val="nil"/>
              <w:right w:val="nil"/>
            </w:tcBorders>
          </w:tcPr>
          <w:p w14:paraId="69C557B9" w14:textId="77777777" w:rsidR="00061509" w:rsidRDefault="00061509" w:rsidP="00D60F8F">
            <w:pPr>
              <w:rPr>
                <w:sz w:val="22"/>
                <w:szCs w:val="22"/>
                <w:lang w:val="en-US"/>
              </w:rPr>
            </w:pPr>
          </w:p>
        </w:tc>
        <w:tc>
          <w:tcPr>
            <w:tcW w:w="1182" w:type="dxa"/>
            <w:tcBorders>
              <w:top w:val="nil"/>
              <w:left w:val="nil"/>
              <w:bottom w:val="nil"/>
              <w:right w:val="nil"/>
            </w:tcBorders>
          </w:tcPr>
          <w:p w14:paraId="52C341FA" w14:textId="4A4A4428" w:rsidR="00061509" w:rsidRDefault="005C0000" w:rsidP="00D60F8F">
            <w:pPr>
              <w:rPr>
                <w:sz w:val="22"/>
                <w:szCs w:val="22"/>
                <w:lang w:val="en-US"/>
              </w:rPr>
            </w:pPr>
            <w:r>
              <w:rPr>
                <w:sz w:val="22"/>
                <w:szCs w:val="22"/>
              </w:rPr>
              <w:t>355</w:t>
            </w:r>
          </w:p>
        </w:tc>
        <w:tc>
          <w:tcPr>
            <w:tcW w:w="1155" w:type="dxa"/>
            <w:tcBorders>
              <w:top w:val="nil"/>
              <w:left w:val="nil"/>
              <w:bottom w:val="nil"/>
            </w:tcBorders>
          </w:tcPr>
          <w:p w14:paraId="16309737" w14:textId="77777777" w:rsidR="00061509" w:rsidRDefault="00061509" w:rsidP="00D60F8F">
            <w:pPr>
              <w:rPr>
                <w:sz w:val="22"/>
                <w:szCs w:val="22"/>
                <w:lang w:val="en-US"/>
              </w:rPr>
            </w:pPr>
          </w:p>
        </w:tc>
      </w:tr>
      <w:tr w:rsidR="00061509" w14:paraId="1E655518" w14:textId="77777777" w:rsidTr="007D2AFF">
        <w:tc>
          <w:tcPr>
            <w:tcW w:w="1526" w:type="dxa"/>
            <w:tcBorders>
              <w:top w:val="nil"/>
              <w:bottom w:val="nil"/>
              <w:right w:val="nil"/>
            </w:tcBorders>
          </w:tcPr>
          <w:p w14:paraId="764085E4" w14:textId="32D39E30" w:rsidR="00061509" w:rsidRDefault="00061509" w:rsidP="00D60F8F">
            <w:pPr>
              <w:rPr>
                <w:sz w:val="22"/>
                <w:szCs w:val="22"/>
                <w:lang w:val="en-US"/>
              </w:rPr>
            </w:pPr>
            <w:r>
              <w:rPr>
                <w:sz w:val="22"/>
                <w:szCs w:val="22"/>
                <w:lang w:val="en-US"/>
              </w:rPr>
              <w:t>Case</w:t>
            </w:r>
          </w:p>
        </w:tc>
        <w:tc>
          <w:tcPr>
            <w:tcW w:w="882" w:type="dxa"/>
            <w:tcBorders>
              <w:top w:val="nil"/>
              <w:left w:val="nil"/>
              <w:bottom w:val="nil"/>
              <w:right w:val="nil"/>
            </w:tcBorders>
          </w:tcPr>
          <w:p w14:paraId="245D72E4" w14:textId="7D32F155" w:rsidR="00061509" w:rsidRDefault="00061509" w:rsidP="00D60F8F">
            <w:pPr>
              <w:rPr>
                <w:sz w:val="22"/>
                <w:szCs w:val="22"/>
                <w:lang w:val="en-US"/>
              </w:rPr>
            </w:pPr>
            <w:r>
              <w:rPr>
                <w:sz w:val="22"/>
                <w:szCs w:val="22"/>
                <w:lang w:val="en-US"/>
              </w:rPr>
              <w:t>M</w:t>
            </w:r>
          </w:p>
        </w:tc>
        <w:tc>
          <w:tcPr>
            <w:tcW w:w="1023" w:type="dxa"/>
            <w:tcBorders>
              <w:top w:val="nil"/>
              <w:left w:val="nil"/>
              <w:bottom w:val="nil"/>
              <w:right w:val="nil"/>
            </w:tcBorders>
          </w:tcPr>
          <w:p w14:paraId="73C8270B" w14:textId="324E0E48" w:rsidR="00061509" w:rsidRDefault="00061509" w:rsidP="00D60F8F">
            <w:pPr>
              <w:rPr>
                <w:sz w:val="22"/>
                <w:szCs w:val="22"/>
                <w:lang w:val="en-US"/>
              </w:rPr>
            </w:pPr>
            <w:r w:rsidRPr="00DE404D">
              <w:rPr>
                <w:sz w:val="22"/>
                <w:szCs w:val="22"/>
              </w:rPr>
              <w:t>83</w:t>
            </w:r>
          </w:p>
        </w:tc>
        <w:tc>
          <w:tcPr>
            <w:tcW w:w="1155" w:type="dxa"/>
            <w:tcBorders>
              <w:top w:val="nil"/>
              <w:left w:val="nil"/>
              <w:bottom w:val="nil"/>
              <w:right w:val="nil"/>
            </w:tcBorders>
          </w:tcPr>
          <w:p w14:paraId="0C39405E" w14:textId="2E681EEE" w:rsidR="00061509" w:rsidRDefault="00061509" w:rsidP="00061509">
            <w:pPr>
              <w:rPr>
                <w:sz w:val="22"/>
                <w:szCs w:val="22"/>
                <w:lang w:val="en-US"/>
              </w:rPr>
            </w:pPr>
            <w:r>
              <w:rPr>
                <w:sz w:val="22"/>
                <w:szCs w:val="22"/>
              </w:rPr>
              <w:t>267</w:t>
            </w:r>
            <w:r w:rsidRPr="00DE404D">
              <w:rPr>
                <w:sz w:val="22"/>
                <w:szCs w:val="22"/>
              </w:rPr>
              <w:t>/</w:t>
            </w:r>
            <w:r>
              <w:rPr>
                <w:sz w:val="22"/>
                <w:szCs w:val="22"/>
              </w:rPr>
              <w:t>38.75</w:t>
            </w:r>
          </w:p>
        </w:tc>
        <w:tc>
          <w:tcPr>
            <w:tcW w:w="1182" w:type="dxa"/>
            <w:tcBorders>
              <w:top w:val="nil"/>
              <w:left w:val="nil"/>
              <w:bottom w:val="nil"/>
              <w:right w:val="nil"/>
            </w:tcBorders>
          </w:tcPr>
          <w:p w14:paraId="0B6718EA" w14:textId="1B85B5A1" w:rsidR="00061509" w:rsidRDefault="00061509" w:rsidP="00D60F8F">
            <w:pPr>
              <w:rPr>
                <w:sz w:val="22"/>
                <w:szCs w:val="22"/>
                <w:lang w:val="en-US"/>
              </w:rPr>
            </w:pPr>
            <w:r w:rsidRPr="00DE404D">
              <w:rPr>
                <w:sz w:val="22"/>
                <w:szCs w:val="22"/>
              </w:rPr>
              <w:t>40</w:t>
            </w:r>
          </w:p>
        </w:tc>
        <w:tc>
          <w:tcPr>
            <w:tcW w:w="1155" w:type="dxa"/>
            <w:tcBorders>
              <w:top w:val="nil"/>
              <w:left w:val="nil"/>
              <w:bottom w:val="nil"/>
            </w:tcBorders>
          </w:tcPr>
          <w:p w14:paraId="0A529D33" w14:textId="6D84E73A" w:rsidR="00061509" w:rsidRDefault="00061509" w:rsidP="005C0000">
            <w:pPr>
              <w:rPr>
                <w:sz w:val="22"/>
                <w:szCs w:val="22"/>
                <w:lang w:val="en-US"/>
              </w:rPr>
            </w:pPr>
            <w:r w:rsidRPr="00DE404D">
              <w:rPr>
                <w:sz w:val="22"/>
                <w:szCs w:val="22"/>
              </w:rPr>
              <w:t>180/</w:t>
            </w:r>
            <w:r w:rsidR="005C0000">
              <w:rPr>
                <w:sz w:val="22"/>
                <w:szCs w:val="22"/>
              </w:rPr>
              <w:t>26.12</w:t>
            </w:r>
          </w:p>
        </w:tc>
      </w:tr>
      <w:tr w:rsidR="00061509" w14:paraId="171C1CE1" w14:textId="77777777" w:rsidTr="007D2AFF">
        <w:tc>
          <w:tcPr>
            <w:tcW w:w="1526" w:type="dxa"/>
            <w:tcBorders>
              <w:top w:val="nil"/>
              <w:bottom w:val="nil"/>
              <w:right w:val="nil"/>
            </w:tcBorders>
          </w:tcPr>
          <w:p w14:paraId="63681D76" w14:textId="77777777" w:rsidR="00061509" w:rsidRDefault="00061509" w:rsidP="00D60F8F">
            <w:pPr>
              <w:rPr>
                <w:sz w:val="22"/>
                <w:szCs w:val="22"/>
                <w:lang w:val="en-US"/>
              </w:rPr>
            </w:pPr>
          </w:p>
        </w:tc>
        <w:tc>
          <w:tcPr>
            <w:tcW w:w="882" w:type="dxa"/>
            <w:tcBorders>
              <w:top w:val="nil"/>
              <w:left w:val="nil"/>
              <w:bottom w:val="nil"/>
              <w:right w:val="nil"/>
            </w:tcBorders>
          </w:tcPr>
          <w:p w14:paraId="2C3F1FA5" w14:textId="26613C72" w:rsidR="00061509" w:rsidRDefault="00061509" w:rsidP="00D60F8F">
            <w:pPr>
              <w:rPr>
                <w:sz w:val="22"/>
                <w:szCs w:val="22"/>
                <w:lang w:val="en-US"/>
              </w:rPr>
            </w:pPr>
            <w:r>
              <w:rPr>
                <w:sz w:val="22"/>
                <w:szCs w:val="22"/>
                <w:lang w:val="en-US"/>
              </w:rPr>
              <w:t>W</w:t>
            </w:r>
          </w:p>
        </w:tc>
        <w:tc>
          <w:tcPr>
            <w:tcW w:w="1023" w:type="dxa"/>
            <w:tcBorders>
              <w:top w:val="nil"/>
              <w:left w:val="nil"/>
              <w:bottom w:val="nil"/>
              <w:right w:val="nil"/>
            </w:tcBorders>
          </w:tcPr>
          <w:p w14:paraId="0CADC660" w14:textId="3CE0BFDB" w:rsidR="00061509" w:rsidRDefault="00061509" w:rsidP="00D60F8F">
            <w:pPr>
              <w:rPr>
                <w:sz w:val="22"/>
                <w:szCs w:val="22"/>
                <w:lang w:val="en-US"/>
              </w:rPr>
            </w:pPr>
            <w:r>
              <w:rPr>
                <w:sz w:val="22"/>
                <w:szCs w:val="22"/>
              </w:rPr>
              <w:t>184</w:t>
            </w:r>
          </w:p>
        </w:tc>
        <w:tc>
          <w:tcPr>
            <w:tcW w:w="1155" w:type="dxa"/>
            <w:tcBorders>
              <w:top w:val="nil"/>
              <w:left w:val="nil"/>
              <w:bottom w:val="nil"/>
              <w:right w:val="nil"/>
            </w:tcBorders>
          </w:tcPr>
          <w:p w14:paraId="72DF41D9" w14:textId="77777777" w:rsidR="00061509" w:rsidRDefault="00061509" w:rsidP="00D60F8F">
            <w:pPr>
              <w:rPr>
                <w:sz w:val="22"/>
                <w:szCs w:val="22"/>
                <w:lang w:val="en-US"/>
              </w:rPr>
            </w:pPr>
          </w:p>
        </w:tc>
        <w:tc>
          <w:tcPr>
            <w:tcW w:w="1182" w:type="dxa"/>
            <w:tcBorders>
              <w:top w:val="nil"/>
              <w:left w:val="nil"/>
              <w:bottom w:val="nil"/>
              <w:right w:val="nil"/>
            </w:tcBorders>
          </w:tcPr>
          <w:p w14:paraId="79EE1119" w14:textId="688C0C76" w:rsidR="00061509" w:rsidRDefault="00061509" w:rsidP="00D60F8F">
            <w:pPr>
              <w:rPr>
                <w:sz w:val="22"/>
                <w:szCs w:val="22"/>
                <w:lang w:val="en-US"/>
              </w:rPr>
            </w:pPr>
            <w:r w:rsidRPr="00DE404D">
              <w:rPr>
                <w:sz w:val="22"/>
                <w:szCs w:val="22"/>
              </w:rPr>
              <w:t>140</w:t>
            </w:r>
          </w:p>
        </w:tc>
        <w:tc>
          <w:tcPr>
            <w:tcW w:w="1155" w:type="dxa"/>
            <w:tcBorders>
              <w:top w:val="nil"/>
              <w:left w:val="nil"/>
              <w:bottom w:val="nil"/>
            </w:tcBorders>
          </w:tcPr>
          <w:p w14:paraId="1A38FBAF" w14:textId="77777777" w:rsidR="00061509" w:rsidRDefault="00061509" w:rsidP="00D60F8F">
            <w:pPr>
              <w:rPr>
                <w:sz w:val="22"/>
                <w:szCs w:val="22"/>
                <w:lang w:val="en-US"/>
              </w:rPr>
            </w:pPr>
          </w:p>
        </w:tc>
      </w:tr>
      <w:tr w:rsidR="00061509" w14:paraId="2BE87DF0" w14:textId="77777777" w:rsidTr="007D2AFF">
        <w:tc>
          <w:tcPr>
            <w:tcW w:w="1526" w:type="dxa"/>
            <w:tcBorders>
              <w:top w:val="nil"/>
              <w:bottom w:val="nil"/>
              <w:right w:val="nil"/>
            </w:tcBorders>
          </w:tcPr>
          <w:p w14:paraId="374DEFFC" w14:textId="4523A864" w:rsidR="00061509" w:rsidRDefault="00061509" w:rsidP="00D60F8F">
            <w:pPr>
              <w:rPr>
                <w:sz w:val="22"/>
                <w:szCs w:val="22"/>
                <w:lang w:val="en-US"/>
              </w:rPr>
            </w:pPr>
            <w:r>
              <w:rPr>
                <w:sz w:val="22"/>
                <w:szCs w:val="22"/>
              </w:rPr>
              <w:t>Terol et al.</w:t>
            </w:r>
          </w:p>
        </w:tc>
        <w:tc>
          <w:tcPr>
            <w:tcW w:w="882" w:type="dxa"/>
            <w:tcBorders>
              <w:top w:val="nil"/>
              <w:left w:val="nil"/>
              <w:bottom w:val="nil"/>
              <w:right w:val="nil"/>
            </w:tcBorders>
          </w:tcPr>
          <w:p w14:paraId="43FC5723" w14:textId="6563D044" w:rsidR="00061509" w:rsidRDefault="00061509" w:rsidP="00D60F8F">
            <w:pPr>
              <w:rPr>
                <w:sz w:val="22"/>
                <w:szCs w:val="22"/>
                <w:lang w:val="en-US"/>
              </w:rPr>
            </w:pPr>
          </w:p>
        </w:tc>
        <w:tc>
          <w:tcPr>
            <w:tcW w:w="1023" w:type="dxa"/>
            <w:tcBorders>
              <w:top w:val="nil"/>
              <w:left w:val="nil"/>
              <w:bottom w:val="nil"/>
              <w:right w:val="nil"/>
            </w:tcBorders>
          </w:tcPr>
          <w:p w14:paraId="5EEBA6A7" w14:textId="77777777" w:rsidR="00061509" w:rsidRDefault="00061509" w:rsidP="00D60F8F">
            <w:pPr>
              <w:rPr>
                <w:sz w:val="22"/>
                <w:szCs w:val="22"/>
                <w:lang w:val="en-US"/>
              </w:rPr>
            </w:pPr>
          </w:p>
        </w:tc>
        <w:tc>
          <w:tcPr>
            <w:tcW w:w="1155" w:type="dxa"/>
            <w:tcBorders>
              <w:top w:val="nil"/>
              <w:left w:val="nil"/>
              <w:bottom w:val="nil"/>
              <w:right w:val="nil"/>
            </w:tcBorders>
          </w:tcPr>
          <w:p w14:paraId="342D7C74" w14:textId="77777777" w:rsidR="00061509" w:rsidRDefault="00061509" w:rsidP="00D60F8F">
            <w:pPr>
              <w:rPr>
                <w:sz w:val="22"/>
                <w:szCs w:val="22"/>
                <w:lang w:val="en-US"/>
              </w:rPr>
            </w:pPr>
          </w:p>
        </w:tc>
        <w:tc>
          <w:tcPr>
            <w:tcW w:w="1182" w:type="dxa"/>
            <w:tcBorders>
              <w:top w:val="nil"/>
              <w:left w:val="nil"/>
              <w:bottom w:val="nil"/>
              <w:right w:val="nil"/>
            </w:tcBorders>
          </w:tcPr>
          <w:p w14:paraId="500C3133" w14:textId="77777777" w:rsidR="00061509" w:rsidRDefault="00061509" w:rsidP="00D60F8F">
            <w:pPr>
              <w:rPr>
                <w:sz w:val="22"/>
                <w:szCs w:val="22"/>
                <w:lang w:val="en-US"/>
              </w:rPr>
            </w:pPr>
          </w:p>
        </w:tc>
        <w:tc>
          <w:tcPr>
            <w:tcW w:w="1155" w:type="dxa"/>
            <w:tcBorders>
              <w:top w:val="nil"/>
              <w:left w:val="nil"/>
              <w:bottom w:val="nil"/>
            </w:tcBorders>
          </w:tcPr>
          <w:p w14:paraId="6844A12F" w14:textId="77777777" w:rsidR="00061509" w:rsidRDefault="00061509" w:rsidP="00D60F8F">
            <w:pPr>
              <w:rPr>
                <w:sz w:val="22"/>
                <w:szCs w:val="22"/>
                <w:lang w:val="en-US"/>
              </w:rPr>
            </w:pPr>
          </w:p>
        </w:tc>
      </w:tr>
      <w:tr w:rsidR="00061509" w14:paraId="62DECC92" w14:textId="77777777" w:rsidTr="007D2AFF">
        <w:tc>
          <w:tcPr>
            <w:tcW w:w="1526" w:type="dxa"/>
            <w:tcBorders>
              <w:top w:val="nil"/>
              <w:bottom w:val="nil"/>
              <w:right w:val="nil"/>
            </w:tcBorders>
          </w:tcPr>
          <w:p w14:paraId="15DF8121" w14:textId="73D63C53" w:rsidR="00061509" w:rsidRDefault="00061509" w:rsidP="00D60F8F">
            <w:pPr>
              <w:rPr>
                <w:sz w:val="22"/>
                <w:szCs w:val="22"/>
                <w:lang w:val="en-US"/>
              </w:rPr>
            </w:pPr>
            <w:r>
              <w:rPr>
                <w:sz w:val="22"/>
                <w:szCs w:val="22"/>
                <w:lang w:val="en-US"/>
              </w:rPr>
              <w:t>No case</w:t>
            </w:r>
          </w:p>
        </w:tc>
        <w:tc>
          <w:tcPr>
            <w:tcW w:w="882" w:type="dxa"/>
            <w:tcBorders>
              <w:top w:val="nil"/>
              <w:left w:val="nil"/>
              <w:bottom w:val="nil"/>
              <w:right w:val="nil"/>
            </w:tcBorders>
          </w:tcPr>
          <w:p w14:paraId="3A698D7B" w14:textId="7B58B0E9" w:rsidR="00061509" w:rsidRDefault="00061509" w:rsidP="00D60F8F">
            <w:pPr>
              <w:rPr>
                <w:sz w:val="22"/>
                <w:szCs w:val="22"/>
                <w:lang w:val="en-US"/>
              </w:rPr>
            </w:pPr>
            <w:r>
              <w:rPr>
                <w:sz w:val="22"/>
                <w:szCs w:val="22"/>
                <w:lang w:val="en-US"/>
              </w:rPr>
              <w:t>M</w:t>
            </w:r>
          </w:p>
        </w:tc>
        <w:tc>
          <w:tcPr>
            <w:tcW w:w="1023" w:type="dxa"/>
            <w:tcBorders>
              <w:top w:val="nil"/>
              <w:left w:val="nil"/>
              <w:bottom w:val="nil"/>
              <w:right w:val="nil"/>
            </w:tcBorders>
          </w:tcPr>
          <w:p w14:paraId="759B7605" w14:textId="46C0E576" w:rsidR="00061509" w:rsidRDefault="00061509" w:rsidP="00687ABC">
            <w:pPr>
              <w:rPr>
                <w:sz w:val="22"/>
                <w:szCs w:val="22"/>
                <w:lang w:val="en-US"/>
              </w:rPr>
            </w:pPr>
            <w:r>
              <w:rPr>
                <w:sz w:val="22"/>
                <w:szCs w:val="22"/>
              </w:rPr>
              <w:t>224</w:t>
            </w:r>
          </w:p>
        </w:tc>
        <w:tc>
          <w:tcPr>
            <w:tcW w:w="1155" w:type="dxa"/>
            <w:tcBorders>
              <w:top w:val="nil"/>
              <w:left w:val="nil"/>
              <w:bottom w:val="nil"/>
              <w:right w:val="nil"/>
            </w:tcBorders>
          </w:tcPr>
          <w:p w14:paraId="1435A53D" w14:textId="6833A571" w:rsidR="00061509" w:rsidRDefault="00061509" w:rsidP="00061509">
            <w:pPr>
              <w:rPr>
                <w:sz w:val="22"/>
                <w:szCs w:val="22"/>
                <w:lang w:val="en-US"/>
              </w:rPr>
            </w:pPr>
            <w:r w:rsidRPr="00DE404D">
              <w:rPr>
                <w:sz w:val="22"/>
                <w:szCs w:val="22"/>
              </w:rPr>
              <w:t>4</w:t>
            </w:r>
            <w:r>
              <w:rPr>
                <w:sz w:val="22"/>
                <w:szCs w:val="22"/>
              </w:rPr>
              <w:t>65</w:t>
            </w:r>
            <w:r w:rsidRPr="00DE404D">
              <w:rPr>
                <w:sz w:val="22"/>
                <w:szCs w:val="22"/>
              </w:rPr>
              <w:t>/</w:t>
            </w:r>
            <w:r>
              <w:rPr>
                <w:sz w:val="22"/>
                <w:szCs w:val="22"/>
              </w:rPr>
              <w:t>67.48</w:t>
            </w:r>
          </w:p>
        </w:tc>
        <w:tc>
          <w:tcPr>
            <w:tcW w:w="1182" w:type="dxa"/>
            <w:tcBorders>
              <w:top w:val="nil"/>
              <w:left w:val="nil"/>
              <w:bottom w:val="nil"/>
              <w:right w:val="nil"/>
            </w:tcBorders>
          </w:tcPr>
          <w:p w14:paraId="6910CDBB" w14:textId="425A180D" w:rsidR="00061509" w:rsidRDefault="00061509" w:rsidP="00D60F8F">
            <w:pPr>
              <w:rPr>
                <w:sz w:val="22"/>
                <w:szCs w:val="22"/>
                <w:lang w:val="en-US"/>
              </w:rPr>
            </w:pPr>
            <w:r w:rsidRPr="00DE404D">
              <w:rPr>
                <w:sz w:val="22"/>
                <w:szCs w:val="22"/>
              </w:rPr>
              <w:t>120</w:t>
            </w:r>
          </w:p>
        </w:tc>
        <w:tc>
          <w:tcPr>
            <w:tcW w:w="1155" w:type="dxa"/>
            <w:tcBorders>
              <w:top w:val="nil"/>
              <w:left w:val="nil"/>
              <w:bottom w:val="nil"/>
            </w:tcBorders>
          </w:tcPr>
          <w:p w14:paraId="63738C6B" w14:textId="160D9A1D" w:rsidR="00061509" w:rsidRDefault="00061509" w:rsidP="005C0000">
            <w:pPr>
              <w:rPr>
                <w:sz w:val="22"/>
                <w:szCs w:val="22"/>
                <w:lang w:val="en-US"/>
              </w:rPr>
            </w:pPr>
            <w:r w:rsidRPr="00DE404D">
              <w:rPr>
                <w:sz w:val="22"/>
                <w:szCs w:val="22"/>
              </w:rPr>
              <w:t>3</w:t>
            </w:r>
            <w:r w:rsidR="005C0000">
              <w:rPr>
                <w:sz w:val="22"/>
                <w:szCs w:val="22"/>
              </w:rPr>
              <w:t>1</w:t>
            </w:r>
            <w:r w:rsidRPr="00DE404D">
              <w:rPr>
                <w:sz w:val="22"/>
                <w:szCs w:val="22"/>
              </w:rPr>
              <w:t>8/46.</w:t>
            </w:r>
            <w:r w:rsidR="005C0000">
              <w:rPr>
                <w:sz w:val="22"/>
                <w:szCs w:val="22"/>
              </w:rPr>
              <w:t>15</w:t>
            </w:r>
          </w:p>
        </w:tc>
      </w:tr>
      <w:tr w:rsidR="00061509" w14:paraId="4530A4DB" w14:textId="77777777" w:rsidTr="007D2AFF">
        <w:tc>
          <w:tcPr>
            <w:tcW w:w="1526" w:type="dxa"/>
            <w:tcBorders>
              <w:top w:val="nil"/>
              <w:bottom w:val="nil"/>
              <w:right w:val="nil"/>
            </w:tcBorders>
          </w:tcPr>
          <w:p w14:paraId="5543681F" w14:textId="77777777" w:rsidR="00061509" w:rsidRDefault="00061509" w:rsidP="00D60F8F">
            <w:pPr>
              <w:rPr>
                <w:sz w:val="22"/>
                <w:szCs w:val="22"/>
                <w:lang w:val="en-US"/>
              </w:rPr>
            </w:pPr>
          </w:p>
        </w:tc>
        <w:tc>
          <w:tcPr>
            <w:tcW w:w="882" w:type="dxa"/>
            <w:tcBorders>
              <w:top w:val="nil"/>
              <w:left w:val="nil"/>
              <w:bottom w:val="nil"/>
              <w:right w:val="nil"/>
            </w:tcBorders>
          </w:tcPr>
          <w:p w14:paraId="15FE6021" w14:textId="1487D023" w:rsidR="00061509" w:rsidRDefault="00061509" w:rsidP="00D60F8F">
            <w:pPr>
              <w:rPr>
                <w:sz w:val="22"/>
                <w:szCs w:val="22"/>
                <w:lang w:val="en-US"/>
              </w:rPr>
            </w:pPr>
            <w:r>
              <w:rPr>
                <w:sz w:val="22"/>
                <w:szCs w:val="22"/>
                <w:lang w:val="en-US"/>
              </w:rPr>
              <w:t>W</w:t>
            </w:r>
          </w:p>
        </w:tc>
        <w:tc>
          <w:tcPr>
            <w:tcW w:w="1023" w:type="dxa"/>
            <w:tcBorders>
              <w:top w:val="nil"/>
              <w:left w:val="nil"/>
              <w:bottom w:val="nil"/>
              <w:right w:val="nil"/>
            </w:tcBorders>
          </w:tcPr>
          <w:p w14:paraId="5ABA96EC" w14:textId="6FF9D1E2" w:rsidR="00061509" w:rsidRDefault="00061509" w:rsidP="00D60F8F">
            <w:pPr>
              <w:rPr>
                <w:sz w:val="22"/>
                <w:szCs w:val="22"/>
                <w:lang w:val="en-US"/>
              </w:rPr>
            </w:pPr>
            <w:r>
              <w:rPr>
                <w:sz w:val="22"/>
                <w:szCs w:val="22"/>
              </w:rPr>
              <w:t>241</w:t>
            </w:r>
          </w:p>
        </w:tc>
        <w:tc>
          <w:tcPr>
            <w:tcW w:w="1155" w:type="dxa"/>
            <w:tcBorders>
              <w:top w:val="nil"/>
              <w:left w:val="nil"/>
              <w:bottom w:val="nil"/>
              <w:right w:val="nil"/>
            </w:tcBorders>
          </w:tcPr>
          <w:p w14:paraId="0BAF92D6" w14:textId="77777777" w:rsidR="00061509" w:rsidRDefault="00061509" w:rsidP="00D60F8F">
            <w:pPr>
              <w:rPr>
                <w:sz w:val="22"/>
                <w:szCs w:val="22"/>
                <w:lang w:val="en-US"/>
              </w:rPr>
            </w:pPr>
          </w:p>
        </w:tc>
        <w:tc>
          <w:tcPr>
            <w:tcW w:w="1182" w:type="dxa"/>
            <w:tcBorders>
              <w:top w:val="nil"/>
              <w:left w:val="nil"/>
              <w:bottom w:val="nil"/>
              <w:right w:val="nil"/>
            </w:tcBorders>
          </w:tcPr>
          <w:p w14:paraId="69A0CE2B" w14:textId="7C09DAC3" w:rsidR="00061509" w:rsidRDefault="005C0000" w:rsidP="00D60F8F">
            <w:pPr>
              <w:rPr>
                <w:sz w:val="22"/>
                <w:szCs w:val="22"/>
                <w:lang w:val="en-US"/>
              </w:rPr>
            </w:pPr>
            <w:r>
              <w:rPr>
                <w:sz w:val="22"/>
                <w:szCs w:val="22"/>
              </w:rPr>
              <w:t>198</w:t>
            </w:r>
          </w:p>
        </w:tc>
        <w:tc>
          <w:tcPr>
            <w:tcW w:w="1155" w:type="dxa"/>
            <w:tcBorders>
              <w:top w:val="nil"/>
              <w:left w:val="nil"/>
              <w:bottom w:val="nil"/>
            </w:tcBorders>
          </w:tcPr>
          <w:p w14:paraId="2901CD60" w14:textId="77777777" w:rsidR="00061509" w:rsidRDefault="00061509" w:rsidP="00D60F8F">
            <w:pPr>
              <w:rPr>
                <w:sz w:val="22"/>
                <w:szCs w:val="22"/>
                <w:lang w:val="en-US"/>
              </w:rPr>
            </w:pPr>
          </w:p>
        </w:tc>
      </w:tr>
      <w:tr w:rsidR="00061509" w14:paraId="5705A991" w14:textId="77777777" w:rsidTr="007D2AFF">
        <w:tc>
          <w:tcPr>
            <w:tcW w:w="1526" w:type="dxa"/>
            <w:tcBorders>
              <w:top w:val="nil"/>
              <w:bottom w:val="nil"/>
              <w:right w:val="nil"/>
            </w:tcBorders>
          </w:tcPr>
          <w:p w14:paraId="0985A527" w14:textId="273508B5" w:rsidR="00061509" w:rsidRDefault="00061509" w:rsidP="00D60F8F">
            <w:pPr>
              <w:rPr>
                <w:sz w:val="22"/>
                <w:szCs w:val="22"/>
                <w:lang w:val="en-US"/>
              </w:rPr>
            </w:pPr>
            <w:r>
              <w:rPr>
                <w:sz w:val="22"/>
                <w:szCs w:val="22"/>
                <w:lang w:val="en-US"/>
              </w:rPr>
              <w:t>Case</w:t>
            </w:r>
          </w:p>
        </w:tc>
        <w:tc>
          <w:tcPr>
            <w:tcW w:w="882" w:type="dxa"/>
            <w:tcBorders>
              <w:top w:val="nil"/>
              <w:left w:val="nil"/>
              <w:bottom w:val="nil"/>
              <w:right w:val="nil"/>
            </w:tcBorders>
          </w:tcPr>
          <w:p w14:paraId="671D86D5" w14:textId="39487B00" w:rsidR="00061509" w:rsidRDefault="00061509" w:rsidP="00D60F8F">
            <w:pPr>
              <w:rPr>
                <w:sz w:val="22"/>
                <w:szCs w:val="22"/>
                <w:lang w:val="en-US"/>
              </w:rPr>
            </w:pPr>
            <w:r>
              <w:rPr>
                <w:sz w:val="22"/>
                <w:szCs w:val="22"/>
                <w:lang w:val="en-US"/>
              </w:rPr>
              <w:t>M</w:t>
            </w:r>
          </w:p>
        </w:tc>
        <w:tc>
          <w:tcPr>
            <w:tcW w:w="1023" w:type="dxa"/>
            <w:tcBorders>
              <w:top w:val="nil"/>
              <w:left w:val="nil"/>
              <w:bottom w:val="nil"/>
              <w:right w:val="nil"/>
            </w:tcBorders>
          </w:tcPr>
          <w:p w14:paraId="1F136A80" w14:textId="75B966F3" w:rsidR="00061509" w:rsidRDefault="00061509" w:rsidP="00D60F8F">
            <w:pPr>
              <w:rPr>
                <w:sz w:val="22"/>
                <w:szCs w:val="22"/>
                <w:lang w:val="en-US"/>
              </w:rPr>
            </w:pPr>
            <w:r>
              <w:rPr>
                <w:sz w:val="22"/>
                <w:szCs w:val="22"/>
              </w:rPr>
              <w:t>68</w:t>
            </w:r>
          </w:p>
        </w:tc>
        <w:tc>
          <w:tcPr>
            <w:tcW w:w="1155" w:type="dxa"/>
            <w:tcBorders>
              <w:top w:val="nil"/>
              <w:left w:val="nil"/>
              <w:bottom w:val="nil"/>
              <w:right w:val="nil"/>
            </w:tcBorders>
          </w:tcPr>
          <w:p w14:paraId="5E847C8E" w14:textId="10FE4FE3" w:rsidR="00061509" w:rsidRDefault="00061509" w:rsidP="00061509">
            <w:pPr>
              <w:rPr>
                <w:sz w:val="22"/>
                <w:szCs w:val="22"/>
                <w:lang w:val="en-US"/>
              </w:rPr>
            </w:pPr>
            <w:r w:rsidRPr="00DE404D">
              <w:rPr>
                <w:sz w:val="22"/>
                <w:szCs w:val="22"/>
              </w:rPr>
              <w:t>244/3</w:t>
            </w:r>
            <w:r>
              <w:rPr>
                <w:sz w:val="22"/>
                <w:szCs w:val="22"/>
              </w:rPr>
              <w:t>2.51</w:t>
            </w:r>
          </w:p>
        </w:tc>
        <w:tc>
          <w:tcPr>
            <w:tcW w:w="1182" w:type="dxa"/>
            <w:tcBorders>
              <w:top w:val="nil"/>
              <w:left w:val="nil"/>
              <w:bottom w:val="nil"/>
              <w:right w:val="nil"/>
            </w:tcBorders>
          </w:tcPr>
          <w:p w14:paraId="1BAB2E7A" w14:textId="2FE978C1" w:rsidR="00061509" w:rsidRDefault="00061509" w:rsidP="00D60F8F">
            <w:pPr>
              <w:rPr>
                <w:sz w:val="22"/>
                <w:szCs w:val="22"/>
                <w:lang w:val="en-US"/>
              </w:rPr>
            </w:pPr>
            <w:r w:rsidRPr="00DE404D">
              <w:rPr>
                <w:sz w:val="22"/>
                <w:szCs w:val="22"/>
              </w:rPr>
              <w:t>74</w:t>
            </w:r>
          </w:p>
        </w:tc>
        <w:tc>
          <w:tcPr>
            <w:tcW w:w="1155" w:type="dxa"/>
            <w:tcBorders>
              <w:top w:val="nil"/>
              <w:left w:val="nil"/>
              <w:bottom w:val="nil"/>
            </w:tcBorders>
          </w:tcPr>
          <w:p w14:paraId="7CF17AEC" w14:textId="2CA53A39" w:rsidR="00061509" w:rsidRDefault="005C0000" w:rsidP="00D60F8F">
            <w:pPr>
              <w:rPr>
                <w:sz w:val="22"/>
                <w:szCs w:val="22"/>
                <w:lang w:val="en-US"/>
              </w:rPr>
            </w:pPr>
            <w:r>
              <w:rPr>
                <w:sz w:val="22"/>
                <w:szCs w:val="22"/>
              </w:rPr>
              <w:t>371/53.85</w:t>
            </w:r>
          </w:p>
        </w:tc>
      </w:tr>
      <w:tr w:rsidR="00061509" w14:paraId="1CB292CE" w14:textId="77777777" w:rsidTr="007D2AFF">
        <w:tc>
          <w:tcPr>
            <w:tcW w:w="1526" w:type="dxa"/>
            <w:tcBorders>
              <w:top w:val="nil"/>
              <w:right w:val="nil"/>
            </w:tcBorders>
          </w:tcPr>
          <w:p w14:paraId="35BA0011" w14:textId="77777777" w:rsidR="00061509" w:rsidRDefault="00061509" w:rsidP="00D60F8F">
            <w:pPr>
              <w:rPr>
                <w:sz w:val="22"/>
                <w:szCs w:val="22"/>
                <w:lang w:val="en-US"/>
              </w:rPr>
            </w:pPr>
          </w:p>
        </w:tc>
        <w:tc>
          <w:tcPr>
            <w:tcW w:w="882" w:type="dxa"/>
            <w:tcBorders>
              <w:top w:val="nil"/>
              <w:left w:val="nil"/>
              <w:right w:val="nil"/>
            </w:tcBorders>
          </w:tcPr>
          <w:p w14:paraId="3BA14D97" w14:textId="2CA36FE4" w:rsidR="00061509" w:rsidRDefault="00061509" w:rsidP="00D60F8F">
            <w:pPr>
              <w:rPr>
                <w:sz w:val="22"/>
                <w:szCs w:val="22"/>
                <w:lang w:val="en-US"/>
              </w:rPr>
            </w:pPr>
            <w:r>
              <w:rPr>
                <w:sz w:val="22"/>
                <w:szCs w:val="22"/>
                <w:lang w:val="en-US"/>
              </w:rPr>
              <w:t>W</w:t>
            </w:r>
          </w:p>
        </w:tc>
        <w:tc>
          <w:tcPr>
            <w:tcW w:w="1023" w:type="dxa"/>
            <w:tcBorders>
              <w:top w:val="nil"/>
              <w:left w:val="nil"/>
              <w:right w:val="nil"/>
            </w:tcBorders>
          </w:tcPr>
          <w:p w14:paraId="362A6349" w14:textId="2237AFFE" w:rsidR="00061509" w:rsidRDefault="00061509" w:rsidP="00D60F8F">
            <w:pPr>
              <w:rPr>
                <w:sz w:val="22"/>
                <w:szCs w:val="22"/>
                <w:lang w:val="en-US"/>
              </w:rPr>
            </w:pPr>
            <w:r>
              <w:rPr>
                <w:sz w:val="22"/>
                <w:szCs w:val="22"/>
              </w:rPr>
              <w:t>156</w:t>
            </w:r>
          </w:p>
        </w:tc>
        <w:tc>
          <w:tcPr>
            <w:tcW w:w="1155" w:type="dxa"/>
            <w:tcBorders>
              <w:top w:val="nil"/>
              <w:left w:val="nil"/>
              <w:right w:val="nil"/>
            </w:tcBorders>
          </w:tcPr>
          <w:p w14:paraId="2A253794" w14:textId="77777777" w:rsidR="00061509" w:rsidRDefault="00061509" w:rsidP="00D60F8F">
            <w:pPr>
              <w:rPr>
                <w:sz w:val="22"/>
                <w:szCs w:val="22"/>
                <w:lang w:val="en-US"/>
              </w:rPr>
            </w:pPr>
          </w:p>
        </w:tc>
        <w:tc>
          <w:tcPr>
            <w:tcW w:w="1182" w:type="dxa"/>
            <w:tcBorders>
              <w:top w:val="nil"/>
              <w:left w:val="nil"/>
              <w:right w:val="nil"/>
            </w:tcBorders>
          </w:tcPr>
          <w:p w14:paraId="70D1F1AB" w14:textId="03E79989" w:rsidR="00061509" w:rsidRDefault="00061509" w:rsidP="00D60F8F">
            <w:pPr>
              <w:rPr>
                <w:sz w:val="22"/>
                <w:szCs w:val="22"/>
                <w:lang w:val="en-US"/>
              </w:rPr>
            </w:pPr>
            <w:r w:rsidRPr="00DE404D">
              <w:rPr>
                <w:sz w:val="22"/>
                <w:szCs w:val="22"/>
              </w:rPr>
              <w:t>297</w:t>
            </w:r>
          </w:p>
        </w:tc>
        <w:tc>
          <w:tcPr>
            <w:tcW w:w="1155" w:type="dxa"/>
            <w:tcBorders>
              <w:top w:val="nil"/>
              <w:left w:val="nil"/>
            </w:tcBorders>
          </w:tcPr>
          <w:p w14:paraId="15208C49" w14:textId="77777777" w:rsidR="00061509" w:rsidRDefault="00061509" w:rsidP="00D60F8F">
            <w:pPr>
              <w:rPr>
                <w:sz w:val="22"/>
                <w:szCs w:val="22"/>
                <w:lang w:val="en-US"/>
              </w:rPr>
            </w:pPr>
          </w:p>
        </w:tc>
      </w:tr>
    </w:tbl>
    <w:p w14:paraId="296B1442" w14:textId="425B7B4F" w:rsidR="002926D2" w:rsidRPr="00DE404D" w:rsidRDefault="002926D2" w:rsidP="002926D2">
      <w:pPr>
        <w:rPr>
          <w:sz w:val="22"/>
          <w:szCs w:val="22"/>
          <w:lang w:val="en-US"/>
        </w:rPr>
      </w:pPr>
      <w:r w:rsidRPr="00DE404D">
        <w:rPr>
          <w:sz w:val="22"/>
          <w:szCs w:val="22"/>
          <w:lang w:val="en-US"/>
        </w:rPr>
        <w:t>HADA= anxiety subscale score; HADD= depressión subscale score; G0</w:t>
      </w:r>
      <w:r w:rsidRPr="00DE404D">
        <w:rPr>
          <w:i/>
          <w:sz w:val="22"/>
          <w:szCs w:val="22"/>
          <w:lang w:val="en-US"/>
        </w:rPr>
        <w:t xml:space="preserve">= </w:t>
      </w:r>
      <w:r w:rsidRPr="00DE404D">
        <w:rPr>
          <w:sz w:val="22"/>
          <w:szCs w:val="22"/>
          <w:lang w:val="en-US"/>
        </w:rPr>
        <w:t>group with scores below the cut-off point;</w:t>
      </w:r>
      <w:r w:rsidRPr="00DE404D">
        <w:rPr>
          <w:i/>
          <w:sz w:val="22"/>
          <w:szCs w:val="22"/>
          <w:lang w:val="en-US"/>
        </w:rPr>
        <w:t xml:space="preserve"> </w:t>
      </w:r>
      <w:r w:rsidRPr="00DE404D">
        <w:rPr>
          <w:sz w:val="22"/>
          <w:szCs w:val="22"/>
          <w:lang w:val="en-US"/>
        </w:rPr>
        <w:t>G1= group with scores between 8 and 10; G2= group with scores between 11 and 14; G3= group with scores of 15 or more; Case= group with scores above the cut-off point; No Case= group with scores below the cut-off point; F = frequency; % = percentage; GF = group Frequency.</w:t>
      </w:r>
    </w:p>
    <w:p w14:paraId="0BF4EBDD" w14:textId="77777777" w:rsidR="002926D2" w:rsidRPr="00DE404D" w:rsidRDefault="002926D2" w:rsidP="002926D2">
      <w:pPr>
        <w:rPr>
          <w:sz w:val="22"/>
          <w:szCs w:val="22"/>
          <w:lang w:val="en-US"/>
        </w:rPr>
      </w:pPr>
      <w:r w:rsidRPr="00DE404D">
        <w:rPr>
          <w:sz w:val="22"/>
          <w:szCs w:val="22"/>
          <w:lang w:val="en-US"/>
        </w:rPr>
        <w:tab/>
      </w:r>
    </w:p>
    <w:p w14:paraId="4E09467D" w14:textId="77777777" w:rsidR="002926D2" w:rsidRPr="00DE404D" w:rsidRDefault="002926D2" w:rsidP="003E1B52">
      <w:pPr>
        <w:spacing w:line="360" w:lineRule="auto"/>
        <w:ind w:firstLine="708"/>
        <w:rPr>
          <w:sz w:val="22"/>
          <w:szCs w:val="22"/>
          <w:lang w:val="en-US"/>
        </w:rPr>
      </w:pPr>
      <w:r w:rsidRPr="00DE404D">
        <w:rPr>
          <w:sz w:val="22"/>
          <w:szCs w:val="22"/>
          <w:lang w:val="en-US"/>
        </w:rPr>
        <w:t xml:space="preserve">Once the interviewees were assigned to the groups applying the criteria established by their authors (Zigmond and Snaith (1983), Chivité </w:t>
      </w:r>
      <w:r w:rsidRPr="00DE404D">
        <w:rPr>
          <w:i/>
          <w:sz w:val="22"/>
          <w:szCs w:val="22"/>
          <w:lang w:val="en-US"/>
        </w:rPr>
        <w:t>et al</w:t>
      </w:r>
      <w:r w:rsidRPr="00DE404D">
        <w:rPr>
          <w:sz w:val="22"/>
          <w:szCs w:val="22"/>
          <w:lang w:val="en-US"/>
        </w:rPr>
        <w:t xml:space="preserve">. (2007), Terol </w:t>
      </w:r>
      <w:r w:rsidRPr="00DE404D">
        <w:rPr>
          <w:i/>
          <w:sz w:val="22"/>
          <w:szCs w:val="22"/>
          <w:lang w:val="en-US"/>
        </w:rPr>
        <w:t>et al</w:t>
      </w:r>
      <w:r w:rsidRPr="00DE404D">
        <w:rPr>
          <w:sz w:val="22"/>
          <w:szCs w:val="22"/>
          <w:lang w:val="en-US"/>
        </w:rPr>
        <w:t xml:space="preserve">. (2007), simple regression analysis examined the predictive capacity of these systems on the level of anxiety or depression in the sample of this study, participants subjected during the evaluation period to the situation of pandemic containment of COVID-19. The analyses were performed with each of the independent variables of interest (e.g., scoring system) to avoid problems of collinearity between the Zigmond and Snaith´s (1983) and Chivité </w:t>
      </w:r>
      <w:r w:rsidRPr="00DE404D">
        <w:rPr>
          <w:i/>
          <w:sz w:val="22"/>
          <w:szCs w:val="22"/>
          <w:lang w:val="en-US"/>
        </w:rPr>
        <w:t>et al</w:t>
      </w:r>
      <w:r w:rsidRPr="00DE404D">
        <w:rPr>
          <w:sz w:val="22"/>
          <w:szCs w:val="22"/>
          <w:lang w:val="en-US"/>
        </w:rPr>
        <w:t xml:space="preserve">.´s (2007) systems by both using the same cut-off point to define the No Case group (less than 8). The contrast between the systems was made by comparing the Beta index obtained in the regression models. Goodness of fit was previously evaluated, confirming compliance with the assumptions of non-multicollinearity (&lt;5, VIF= 1.00; Kleinbaum, Kupper and Muller, 1988) and tolerance values for anxiety/depression subscales at 1.086/2.016, 1.897/1.963, 1.936/1.997 for the Zigmond and Snaith´s (1983), Chivité </w:t>
      </w:r>
      <w:r w:rsidRPr="00DE404D">
        <w:rPr>
          <w:i/>
          <w:sz w:val="22"/>
          <w:szCs w:val="22"/>
          <w:lang w:val="en-US"/>
        </w:rPr>
        <w:t>et al</w:t>
      </w:r>
      <w:r w:rsidRPr="00DE404D">
        <w:rPr>
          <w:sz w:val="22"/>
          <w:szCs w:val="22"/>
          <w:lang w:val="en-US"/>
        </w:rPr>
        <w:t xml:space="preserve">.´s (2007) and Terol </w:t>
      </w:r>
      <w:r w:rsidRPr="00DE404D">
        <w:rPr>
          <w:i/>
          <w:sz w:val="22"/>
          <w:szCs w:val="22"/>
          <w:lang w:val="en-US"/>
        </w:rPr>
        <w:t>et al</w:t>
      </w:r>
      <w:r w:rsidRPr="00DE404D">
        <w:rPr>
          <w:sz w:val="22"/>
          <w:szCs w:val="22"/>
          <w:lang w:val="en-US"/>
        </w:rPr>
        <w:t xml:space="preserve">.´s (2007) systems, respectively) with values close to 2. The results obtained can be generalized to the general population (Yoo </w:t>
      </w:r>
      <w:r w:rsidRPr="00DE404D">
        <w:rPr>
          <w:i/>
          <w:sz w:val="22"/>
          <w:szCs w:val="22"/>
          <w:lang w:val="en-US"/>
        </w:rPr>
        <w:t>et al</w:t>
      </w:r>
      <w:r w:rsidRPr="00DE404D">
        <w:rPr>
          <w:sz w:val="22"/>
          <w:szCs w:val="22"/>
          <w:lang w:val="en-US"/>
        </w:rPr>
        <w:t>., 2014).</w:t>
      </w:r>
    </w:p>
    <w:p w14:paraId="039681EE" w14:textId="5E8D7F2E" w:rsidR="002926D2" w:rsidRDefault="002C572C" w:rsidP="003E1B52">
      <w:pPr>
        <w:spacing w:line="360" w:lineRule="auto"/>
        <w:ind w:firstLine="708"/>
        <w:jc w:val="both"/>
        <w:rPr>
          <w:bCs/>
          <w:sz w:val="22"/>
          <w:szCs w:val="22"/>
        </w:rPr>
      </w:pPr>
      <w:r w:rsidRPr="005B4AE2">
        <w:rPr>
          <w:bCs/>
          <w:sz w:val="22"/>
          <w:szCs w:val="22"/>
        </w:rPr>
        <w:t xml:space="preserve"> </w:t>
      </w:r>
      <w:r w:rsidR="002926D2" w:rsidRPr="002926D2">
        <w:rPr>
          <w:bCs/>
          <w:sz w:val="22"/>
          <w:szCs w:val="22"/>
        </w:rPr>
        <w:t xml:space="preserve">All the models obtained in the regression analyses were significant and explanatory (see Table 3). The score on the anxiety subscale was explained at 86% by the system of Zigmond and Snaith (1983) </w:t>
      </w:r>
      <w:r w:rsidR="00395B56" w:rsidRPr="005B4AE2">
        <w:rPr>
          <w:bCs/>
          <w:sz w:val="22"/>
          <w:szCs w:val="22"/>
        </w:rPr>
        <w:t>(</w:t>
      </w:r>
      <w:r w:rsidR="00395B56" w:rsidRPr="005B4AE2">
        <w:rPr>
          <w:sz w:val="22"/>
          <w:szCs w:val="22"/>
        </w:rPr>
        <w:t>R</w:t>
      </w:r>
      <w:r w:rsidR="00395B56" w:rsidRPr="005B4AE2">
        <w:rPr>
          <w:sz w:val="22"/>
          <w:szCs w:val="22"/>
          <w:vertAlign w:val="superscript"/>
        </w:rPr>
        <w:t>2</w:t>
      </w:r>
      <w:r w:rsidR="00395B56" w:rsidRPr="005B4AE2">
        <w:rPr>
          <w:sz w:val="22"/>
          <w:szCs w:val="22"/>
        </w:rPr>
        <w:t xml:space="preserve"> = .861; </w:t>
      </w:r>
      <w:r w:rsidR="00395B56" w:rsidRPr="005B4AE2">
        <w:rPr>
          <w:i/>
          <w:iCs/>
          <w:sz w:val="22"/>
          <w:szCs w:val="22"/>
        </w:rPr>
        <w:t>F</w:t>
      </w:r>
      <w:r w:rsidR="00AC1059">
        <w:rPr>
          <w:sz w:val="22"/>
          <w:szCs w:val="22"/>
          <w:vertAlign w:val="subscript"/>
        </w:rPr>
        <w:t>(1,68</w:t>
      </w:r>
      <w:r w:rsidR="00395B56" w:rsidRPr="005B4AE2">
        <w:rPr>
          <w:sz w:val="22"/>
          <w:szCs w:val="22"/>
          <w:vertAlign w:val="subscript"/>
        </w:rPr>
        <w:t>7)</w:t>
      </w:r>
      <w:r w:rsidR="00395B56" w:rsidRPr="005B4AE2">
        <w:rPr>
          <w:sz w:val="22"/>
          <w:szCs w:val="22"/>
        </w:rPr>
        <w:t xml:space="preserve"> =431</w:t>
      </w:r>
      <w:r w:rsidR="00B86594" w:rsidRPr="005B4AE2">
        <w:rPr>
          <w:sz w:val="22"/>
          <w:szCs w:val="22"/>
        </w:rPr>
        <w:t>6</w:t>
      </w:r>
      <w:r w:rsidR="00395B56" w:rsidRPr="005B4AE2">
        <w:rPr>
          <w:sz w:val="22"/>
          <w:szCs w:val="22"/>
        </w:rPr>
        <w:t xml:space="preserve">.803; </w:t>
      </w:r>
      <w:r w:rsidR="00395B56" w:rsidRPr="005B4AE2">
        <w:rPr>
          <w:i/>
          <w:iCs/>
          <w:sz w:val="22"/>
          <w:szCs w:val="22"/>
        </w:rPr>
        <w:t>p</w:t>
      </w:r>
      <w:r w:rsidR="00395B56" w:rsidRPr="005B4AE2">
        <w:rPr>
          <w:sz w:val="22"/>
          <w:szCs w:val="22"/>
        </w:rPr>
        <w:t xml:space="preserve">&lt;.001); </w:t>
      </w:r>
      <w:r w:rsidR="002926D2" w:rsidRPr="002926D2">
        <w:rPr>
          <w:bCs/>
          <w:sz w:val="22"/>
          <w:szCs w:val="22"/>
        </w:rPr>
        <w:t>at 62. 1% with Chivité-Lasheras (2007)</w:t>
      </w:r>
      <w:r w:rsidR="002429A1">
        <w:rPr>
          <w:bCs/>
          <w:sz w:val="22"/>
          <w:szCs w:val="22"/>
        </w:rPr>
        <w:t xml:space="preserve"> </w:t>
      </w:r>
      <w:r w:rsidR="00395B56" w:rsidRPr="005B4AE2">
        <w:rPr>
          <w:bCs/>
          <w:sz w:val="22"/>
          <w:szCs w:val="22"/>
        </w:rPr>
        <w:t>(</w:t>
      </w:r>
      <w:r w:rsidR="00395B56" w:rsidRPr="005B4AE2">
        <w:rPr>
          <w:sz w:val="22"/>
          <w:szCs w:val="22"/>
        </w:rPr>
        <w:t>R</w:t>
      </w:r>
      <w:r w:rsidR="00395B56" w:rsidRPr="005B4AE2">
        <w:rPr>
          <w:sz w:val="22"/>
          <w:szCs w:val="22"/>
          <w:vertAlign w:val="superscript"/>
        </w:rPr>
        <w:t>2</w:t>
      </w:r>
      <w:r w:rsidR="00395B56" w:rsidRPr="005B4AE2">
        <w:rPr>
          <w:sz w:val="22"/>
          <w:szCs w:val="22"/>
        </w:rPr>
        <w:t xml:space="preserve"> = .620; </w:t>
      </w:r>
      <w:r w:rsidR="00395B56" w:rsidRPr="005B4AE2">
        <w:rPr>
          <w:i/>
          <w:iCs/>
          <w:sz w:val="22"/>
          <w:szCs w:val="22"/>
        </w:rPr>
        <w:t>F</w:t>
      </w:r>
      <w:r w:rsidR="00AC1059">
        <w:rPr>
          <w:sz w:val="22"/>
          <w:szCs w:val="22"/>
          <w:vertAlign w:val="subscript"/>
        </w:rPr>
        <w:t>(1,68</w:t>
      </w:r>
      <w:r w:rsidR="00395B56" w:rsidRPr="005B4AE2">
        <w:rPr>
          <w:sz w:val="22"/>
          <w:szCs w:val="22"/>
          <w:vertAlign w:val="subscript"/>
        </w:rPr>
        <w:t>7)</w:t>
      </w:r>
      <w:r w:rsidR="00395B56" w:rsidRPr="005B4AE2">
        <w:rPr>
          <w:sz w:val="22"/>
          <w:szCs w:val="22"/>
        </w:rPr>
        <w:t xml:space="preserve"> </w:t>
      </w:r>
      <w:r w:rsidR="00395B56" w:rsidRPr="005B4AE2">
        <w:rPr>
          <w:sz w:val="22"/>
          <w:szCs w:val="22"/>
        </w:rPr>
        <w:lastRenderedPageBreak/>
        <w:t xml:space="preserve">=1142.036; </w:t>
      </w:r>
      <w:r w:rsidR="00395B56" w:rsidRPr="005B4AE2">
        <w:rPr>
          <w:i/>
          <w:iCs/>
          <w:sz w:val="22"/>
          <w:szCs w:val="22"/>
        </w:rPr>
        <w:t>p</w:t>
      </w:r>
      <w:r w:rsidR="00395B56" w:rsidRPr="005B4AE2">
        <w:rPr>
          <w:sz w:val="22"/>
          <w:szCs w:val="22"/>
        </w:rPr>
        <w:t xml:space="preserve">&lt;.001) </w:t>
      </w:r>
      <w:r w:rsidR="002926D2" w:rsidRPr="002926D2">
        <w:rPr>
          <w:bCs/>
          <w:sz w:val="22"/>
          <w:szCs w:val="22"/>
        </w:rPr>
        <w:t xml:space="preserve">and at 66.1% with Terol-Cantero (2007) </w:t>
      </w:r>
      <w:r w:rsidR="00395B56" w:rsidRPr="005B4AE2">
        <w:rPr>
          <w:bCs/>
          <w:sz w:val="22"/>
          <w:szCs w:val="22"/>
        </w:rPr>
        <w:t>(</w:t>
      </w:r>
      <w:r w:rsidR="00395B56" w:rsidRPr="005B4AE2">
        <w:rPr>
          <w:sz w:val="22"/>
          <w:szCs w:val="22"/>
        </w:rPr>
        <w:t>R</w:t>
      </w:r>
      <w:r w:rsidR="00395B56" w:rsidRPr="005B4AE2">
        <w:rPr>
          <w:sz w:val="22"/>
          <w:szCs w:val="22"/>
          <w:vertAlign w:val="superscript"/>
        </w:rPr>
        <w:t>2</w:t>
      </w:r>
      <w:r w:rsidR="00395B56" w:rsidRPr="005B4AE2">
        <w:rPr>
          <w:sz w:val="22"/>
          <w:szCs w:val="22"/>
        </w:rPr>
        <w:t xml:space="preserve"> = .661; </w:t>
      </w:r>
      <w:r w:rsidR="00395B56" w:rsidRPr="005B4AE2">
        <w:rPr>
          <w:i/>
          <w:iCs/>
          <w:sz w:val="22"/>
          <w:szCs w:val="22"/>
        </w:rPr>
        <w:t>F</w:t>
      </w:r>
      <w:r w:rsidR="00AC1059">
        <w:rPr>
          <w:sz w:val="22"/>
          <w:szCs w:val="22"/>
          <w:vertAlign w:val="subscript"/>
        </w:rPr>
        <w:t>(1,68</w:t>
      </w:r>
      <w:r w:rsidR="00395B56" w:rsidRPr="005B4AE2">
        <w:rPr>
          <w:sz w:val="22"/>
          <w:szCs w:val="22"/>
          <w:vertAlign w:val="subscript"/>
        </w:rPr>
        <w:t>7)</w:t>
      </w:r>
      <w:r w:rsidR="00395B56" w:rsidRPr="005B4AE2">
        <w:rPr>
          <w:sz w:val="22"/>
          <w:szCs w:val="22"/>
        </w:rPr>
        <w:t xml:space="preserve"> =1363.613; </w:t>
      </w:r>
      <w:r w:rsidR="00395B56" w:rsidRPr="005B4AE2">
        <w:rPr>
          <w:i/>
          <w:iCs/>
          <w:sz w:val="22"/>
          <w:szCs w:val="22"/>
        </w:rPr>
        <w:t>p</w:t>
      </w:r>
      <w:r w:rsidR="00395B56" w:rsidRPr="005B4AE2">
        <w:rPr>
          <w:sz w:val="22"/>
          <w:szCs w:val="22"/>
        </w:rPr>
        <w:t>&lt;.001)</w:t>
      </w:r>
      <w:r w:rsidR="00EB216E" w:rsidRPr="005B4AE2">
        <w:rPr>
          <w:bCs/>
          <w:sz w:val="22"/>
          <w:szCs w:val="22"/>
        </w:rPr>
        <w:t xml:space="preserve">. </w:t>
      </w:r>
      <w:r w:rsidR="002926D2" w:rsidRPr="002926D2">
        <w:rPr>
          <w:bCs/>
          <w:sz w:val="22"/>
          <w:szCs w:val="22"/>
        </w:rPr>
        <w:t>If we attend to the depressive symptomatology, the model associated to the system of Zigmond and Snaith (1983) explains 73.4%</w:t>
      </w:r>
      <w:r w:rsidR="002926D2">
        <w:rPr>
          <w:bCs/>
          <w:sz w:val="22"/>
          <w:szCs w:val="22"/>
        </w:rPr>
        <w:t xml:space="preserve"> </w:t>
      </w:r>
      <w:r w:rsidR="00395B56" w:rsidRPr="005B4AE2">
        <w:rPr>
          <w:bCs/>
          <w:sz w:val="22"/>
          <w:szCs w:val="22"/>
        </w:rPr>
        <w:t>(</w:t>
      </w:r>
      <w:r w:rsidR="00395B56" w:rsidRPr="005B4AE2">
        <w:rPr>
          <w:sz w:val="22"/>
          <w:szCs w:val="22"/>
        </w:rPr>
        <w:t>R</w:t>
      </w:r>
      <w:r w:rsidR="00395B56" w:rsidRPr="005B4AE2">
        <w:rPr>
          <w:sz w:val="22"/>
          <w:szCs w:val="22"/>
          <w:vertAlign w:val="superscript"/>
        </w:rPr>
        <w:t>2</w:t>
      </w:r>
      <w:r w:rsidR="00395B56" w:rsidRPr="005B4AE2">
        <w:rPr>
          <w:sz w:val="22"/>
          <w:szCs w:val="22"/>
        </w:rPr>
        <w:t xml:space="preserve"> = .73</w:t>
      </w:r>
      <w:r w:rsidR="00FC48CA" w:rsidRPr="005B4AE2">
        <w:rPr>
          <w:sz w:val="22"/>
          <w:szCs w:val="22"/>
        </w:rPr>
        <w:t>4</w:t>
      </w:r>
      <w:r w:rsidR="00395B56" w:rsidRPr="005B4AE2">
        <w:rPr>
          <w:sz w:val="22"/>
          <w:szCs w:val="22"/>
        </w:rPr>
        <w:t xml:space="preserve">; </w:t>
      </w:r>
      <w:r w:rsidR="00395B56" w:rsidRPr="005B4AE2">
        <w:rPr>
          <w:i/>
          <w:iCs/>
          <w:sz w:val="22"/>
          <w:szCs w:val="22"/>
        </w:rPr>
        <w:t>F</w:t>
      </w:r>
      <w:r w:rsidR="00AC1059">
        <w:rPr>
          <w:sz w:val="22"/>
          <w:szCs w:val="22"/>
          <w:vertAlign w:val="subscript"/>
        </w:rPr>
        <w:t>(1,68</w:t>
      </w:r>
      <w:r w:rsidR="00395B56" w:rsidRPr="005B4AE2">
        <w:rPr>
          <w:sz w:val="22"/>
          <w:szCs w:val="22"/>
          <w:vertAlign w:val="subscript"/>
        </w:rPr>
        <w:t>7)</w:t>
      </w:r>
      <w:r w:rsidR="00395B56" w:rsidRPr="005B4AE2">
        <w:rPr>
          <w:sz w:val="22"/>
          <w:szCs w:val="22"/>
        </w:rPr>
        <w:t xml:space="preserve"> =1931.246; </w:t>
      </w:r>
      <w:r w:rsidR="00395B56" w:rsidRPr="005B4AE2">
        <w:rPr>
          <w:i/>
          <w:iCs/>
          <w:sz w:val="22"/>
          <w:szCs w:val="22"/>
        </w:rPr>
        <w:t>p</w:t>
      </w:r>
      <w:r w:rsidR="00395B56" w:rsidRPr="005B4AE2">
        <w:rPr>
          <w:sz w:val="22"/>
          <w:szCs w:val="22"/>
        </w:rPr>
        <w:t>&lt;.001)</w:t>
      </w:r>
      <w:r w:rsidR="00EB216E" w:rsidRPr="005B4AE2">
        <w:rPr>
          <w:bCs/>
          <w:sz w:val="22"/>
          <w:szCs w:val="22"/>
        </w:rPr>
        <w:t xml:space="preserve"> </w:t>
      </w:r>
      <w:r w:rsidR="002926D2" w:rsidRPr="002926D2">
        <w:rPr>
          <w:bCs/>
          <w:sz w:val="22"/>
          <w:szCs w:val="22"/>
        </w:rPr>
        <w:t>and reaches 63% when using the proposed criteria of Chivité-Lasheras14 (2007)</w:t>
      </w:r>
      <w:r w:rsidR="00395B56" w:rsidRPr="005B4AE2">
        <w:rPr>
          <w:bCs/>
          <w:sz w:val="22"/>
          <w:szCs w:val="22"/>
        </w:rPr>
        <w:t xml:space="preserve"> (</w:t>
      </w:r>
      <w:r w:rsidR="00395B56" w:rsidRPr="005B4AE2">
        <w:rPr>
          <w:sz w:val="22"/>
          <w:szCs w:val="22"/>
        </w:rPr>
        <w:t>R</w:t>
      </w:r>
      <w:r w:rsidR="00395B56" w:rsidRPr="005B4AE2">
        <w:rPr>
          <w:sz w:val="22"/>
          <w:szCs w:val="22"/>
          <w:vertAlign w:val="superscript"/>
        </w:rPr>
        <w:t>2</w:t>
      </w:r>
      <w:r w:rsidR="00395B56" w:rsidRPr="005B4AE2">
        <w:rPr>
          <w:sz w:val="22"/>
          <w:szCs w:val="22"/>
        </w:rPr>
        <w:t xml:space="preserve"> = .6</w:t>
      </w:r>
      <w:r w:rsidR="00B86594" w:rsidRPr="005B4AE2">
        <w:rPr>
          <w:sz w:val="22"/>
          <w:szCs w:val="22"/>
        </w:rPr>
        <w:t>29</w:t>
      </w:r>
      <w:r w:rsidR="00395B56" w:rsidRPr="005B4AE2">
        <w:rPr>
          <w:sz w:val="22"/>
          <w:szCs w:val="22"/>
        </w:rPr>
        <w:t xml:space="preserve">; </w:t>
      </w:r>
      <w:r w:rsidR="00395B56" w:rsidRPr="005B4AE2">
        <w:rPr>
          <w:i/>
          <w:iCs/>
          <w:sz w:val="22"/>
          <w:szCs w:val="22"/>
        </w:rPr>
        <w:t>F</w:t>
      </w:r>
      <w:r w:rsidR="00AC1059">
        <w:rPr>
          <w:sz w:val="22"/>
          <w:szCs w:val="22"/>
          <w:vertAlign w:val="subscript"/>
        </w:rPr>
        <w:t>(1,68</w:t>
      </w:r>
      <w:r w:rsidR="00395B56" w:rsidRPr="005B4AE2">
        <w:rPr>
          <w:sz w:val="22"/>
          <w:szCs w:val="22"/>
          <w:vertAlign w:val="subscript"/>
        </w:rPr>
        <w:t>7)</w:t>
      </w:r>
      <w:r w:rsidR="00395B56" w:rsidRPr="005B4AE2">
        <w:rPr>
          <w:sz w:val="22"/>
          <w:szCs w:val="22"/>
        </w:rPr>
        <w:t xml:space="preserve"> =1184.418; </w:t>
      </w:r>
      <w:r w:rsidR="00395B56" w:rsidRPr="005B4AE2">
        <w:rPr>
          <w:i/>
          <w:iCs/>
          <w:sz w:val="22"/>
          <w:szCs w:val="22"/>
        </w:rPr>
        <w:t>p</w:t>
      </w:r>
      <w:r w:rsidR="00395B56" w:rsidRPr="005B4AE2">
        <w:rPr>
          <w:sz w:val="22"/>
          <w:szCs w:val="22"/>
        </w:rPr>
        <w:t>&lt;.001)</w:t>
      </w:r>
      <w:r w:rsidR="00EB216E" w:rsidRPr="005B4AE2">
        <w:rPr>
          <w:bCs/>
          <w:sz w:val="22"/>
          <w:szCs w:val="22"/>
        </w:rPr>
        <w:t xml:space="preserve"> o</w:t>
      </w:r>
      <w:r w:rsidR="002926D2">
        <w:rPr>
          <w:bCs/>
          <w:sz w:val="22"/>
          <w:szCs w:val="22"/>
        </w:rPr>
        <w:t>r</w:t>
      </w:r>
      <w:r w:rsidR="00EB216E" w:rsidRPr="005B4AE2">
        <w:rPr>
          <w:bCs/>
          <w:sz w:val="22"/>
          <w:szCs w:val="22"/>
        </w:rPr>
        <w:t xml:space="preserve"> </w:t>
      </w:r>
      <w:r w:rsidRPr="005B4AE2">
        <w:rPr>
          <w:bCs/>
          <w:sz w:val="22"/>
          <w:szCs w:val="22"/>
        </w:rPr>
        <w:t>Terol</w:t>
      </w:r>
      <w:r>
        <w:rPr>
          <w:bCs/>
          <w:sz w:val="22"/>
          <w:szCs w:val="22"/>
        </w:rPr>
        <w:t>-Cantero</w:t>
      </w:r>
      <w:r w:rsidR="002429A1">
        <w:rPr>
          <w:bCs/>
          <w:sz w:val="22"/>
          <w:szCs w:val="22"/>
        </w:rPr>
        <w:t xml:space="preserve"> (2007)</w:t>
      </w:r>
      <w:r w:rsidRPr="005B4AE2">
        <w:rPr>
          <w:bCs/>
          <w:sz w:val="22"/>
          <w:szCs w:val="22"/>
        </w:rPr>
        <w:t xml:space="preserve"> </w:t>
      </w:r>
      <w:r w:rsidR="00395B56" w:rsidRPr="005B4AE2">
        <w:rPr>
          <w:sz w:val="22"/>
          <w:szCs w:val="22"/>
        </w:rPr>
        <w:t>(R</w:t>
      </w:r>
      <w:r w:rsidR="00395B56" w:rsidRPr="005B4AE2">
        <w:rPr>
          <w:sz w:val="22"/>
          <w:szCs w:val="22"/>
          <w:vertAlign w:val="superscript"/>
        </w:rPr>
        <w:t>2</w:t>
      </w:r>
      <w:r w:rsidR="00395B56" w:rsidRPr="005B4AE2">
        <w:rPr>
          <w:sz w:val="22"/>
          <w:szCs w:val="22"/>
        </w:rPr>
        <w:t xml:space="preserve"> = .62</w:t>
      </w:r>
      <w:r w:rsidR="00B86594" w:rsidRPr="005B4AE2">
        <w:rPr>
          <w:sz w:val="22"/>
          <w:szCs w:val="22"/>
        </w:rPr>
        <w:t>0</w:t>
      </w:r>
      <w:r w:rsidR="00395B56" w:rsidRPr="005B4AE2">
        <w:rPr>
          <w:sz w:val="22"/>
          <w:szCs w:val="22"/>
        </w:rPr>
        <w:t xml:space="preserve">; </w:t>
      </w:r>
      <w:r w:rsidR="00395B56" w:rsidRPr="005B4AE2">
        <w:rPr>
          <w:i/>
          <w:iCs/>
          <w:sz w:val="22"/>
          <w:szCs w:val="22"/>
        </w:rPr>
        <w:t>F</w:t>
      </w:r>
      <w:r w:rsidR="00AC1059">
        <w:rPr>
          <w:sz w:val="22"/>
          <w:szCs w:val="22"/>
          <w:vertAlign w:val="subscript"/>
        </w:rPr>
        <w:t>(1,68</w:t>
      </w:r>
      <w:r w:rsidR="00395B56" w:rsidRPr="005B4AE2">
        <w:rPr>
          <w:sz w:val="22"/>
          <w:szCs w:val="22"/>
          <w:vertAlign w:val="subscript"/>
        </w:rPr>
        <w:t>7)</w:t>
      </w:r>
      <w:r w:rsidR="00395B56" w:rsidRPr="005B4AE2">
        <w:rPr>
          <w:sz w:val="22"/>
          <w:szCs w:val="22"/>
        </w:rPr>
        <w:t xml:space="preserve"> =1140.500; </w:t>
      </w:r>
      <w:r w:rsidR="00395B56" w:rsidRPr="005B4AE2">
        <w:rPr>
          <w:i/>
          <w:iCs/>
          <w:sz w:val="22"/>
          <w:szCs w:val="22"/>
        </w:rPr>
        <w:t>p</w:t>
      </w:r>
      <w:r w:rsidR="00395B56" w:rsidRPr="005B4AE2">
        <w:rPr>
          <w:sz w:val="22"/>
          <w:szCs w:val="22"/>
        </w:rPr>
        <w:t>&lt;.001)</w:t>
      </w:r>
      <w:r w:rsidR="0074773F" w:rsidRPr="005B4AE2">
        <w:rPr>
          <w:bCs/>
          <w:sz w:val="22"/>
          <w:szCs w:val="22"/>
        </w:rPr>
        <w:t>.</w:t>
      </w:r>
      <w:r w:rsidR="00EB216E" w:rsidRPr="005B4AE2">
        <w:rPr>
          <w:bCs/>
          <w:sz w:val="22"/>
          <w:szCs w:val="22"/>
        </w:rPr>
        <w:t xml:space="preserve"> </w:t>
      </w:r>
      <w:r w:rsidR="002926D2" w:rsidRPr="002926D2">
        <w:rPr>
          <w:bCs/>
          <w:sz w:val="22"/>
          <w:szCs w:val="22"/>
        </w:rPr>
        <w:t>Furthermore, Zigmond and Snaith's (1983) categorization presents the highest Beta weight in both predicting the score on the anxiety subscale (.928) and the depression subscale (.857) of the HAD scale.</w:t>
      </w:r>
    </w:p>
    <w:p w14:paraId="026F3CFD" w14:textId="77777777" w:rsidR="002A1CEF" w:rsidRPr="005B4AE2" w:rsidRDefault="002A1CEF" w:rsidP="003E1B52">
      <w:pPr>
        <w:pStyle w:val="Default"/>
        <w:spacing w:line="360" w:lineRule="auto"/>
        <w:jc w:val="both"/>
        <w:rPr>
          <w:rFonts w:ascii="Times New Roman" w:hAnsi="Times New Roman" w:cs="Times New Roman"/>
          <w:bCs/>
          <w:i/>
          <w:color w:val="auto"/>
          <w:sz w:val="22"/>
          <w:szCs w:val="22"/>
        </w:rPr>
      </w:pPr>
    </w:p>
    <w:p w14:paraId="4D72A319" w14:textId="77777777" w:rsidR="00A8311D" w:rsidRPr="00DE404D" w:rsidRDefault="00A8311D" w:rsidP="00A8311D">
      <w:pPr>
        <w:rPr>
          <w:i/>
          <w:sz w:val="22"/>
          <w:szCs w:val="22"/>
          <w:lang w:val="en-US"/>
        </w:rPr>
      </w:pPr>
      <w:r w:rsidRPr="00DE404D">
        <w:rPr>
          <w:i/>
          <w:sz w:val="22"/>
          <w:szCs w:val="22"/>
          <w:lang w:val="en-US"/>
        </w:rPr>
        <w:t xml:space="preserve">Table </w:t>
      </w:r>
      <w:r>
        <w:rPr>
          <w:i/>
          <w:sz w:val="22"/>
          <w:szCs w:val="22"/>
          <w:lang w:val="en-US"/>
        </w:rPr>
        <w:t>3</w:t>
      </w:r>
      <w:r w:rsidRPr="00DE404D">
        <w:rPr>
          <w:i/>
          <w:sz w:val="22"/>
          <w:szCs w:val="22"/>
          <w:lang w:val="en-US"/>
        </w:rPr>
        <w:t>.</w:t>
      </w:r>
    </w:p>
    <w:p w14:paraId="41E7E606" w14:textId="77777777" w:rsidR="00A8311D" w:rsidRPr="00DE404D" w:rsidRDefault="00A8311D" w:rsidP="00A8311D">
      <w:pPr>
        <w:rPr>
          <w:sz w:val="22"/>
          <w:szCs w:val="22"/>
          <w:lang w:val="en-US"/>
        </w:rPr>
      </w:pPr>
      <w:r w:rsidRPr="00DE404D">
        <w:rPr>
          <w:sz w:val="22"/>
          <w:szCs w:val="22"/>
          <w:lang w:val="en-US"/>
        </w:rPr>
        <w:t>Values of the</w:t>
      </w:r>
      <w:r w:rsidRPr="00DE404D">
        <w:rPr>
          <w:sz w:val="22"/>
          <w:szCs w:val="22"/>
          <w:u w:val="single"/>
          <w:lang w:val="en-US"/>
        </w:rPr>
        <w:t xml:space="preserve"> </w:t>
      </w:r>
      <w:r w:rsidRPr="00DE404D">
        <w:rPr>
          <w:sz w:val="22"/>
          <w:szCs w:val="22"/>
          <w:lang w:val="en-US"/>
        </w:rPr>
        <w:t>regression equation for the prediction of the score on the HAD subscale of anxiety and depression according to the scoring system.</w:t>
      </w:r>
    </w:p>
    <w:tbl>
      <w:tblPr>
        <w:tblpPr w:leftFromText="141" w:rightFromText="141" w:vertAnchor="text" w:tblpXSpec="center" w:tblpY="1"/>
        <w:tblOverlap w:val="never"/>
        <w:tblW w:w="9072" w:type="dxa"/>
        <w:tblLayout w:type="fixed"/>
        <w:tblCellMar>
          <w:left w:w="0" w:type="dxa"/>
          <w:right w:w="0" w:type="dxa"/>
        </w:tblCellMar>
        <w:tblLook w:val="0000" w:firstRow="0" w:lastRow="0" w:firstColumn="0" w:lastColumn="0" w:noHBand="0" w:noVBand="0"/>
      </w:tblPr>
      <w:tblGrid>
        <w:gridCol w:w="1828"/>
        <w:gridCol w:w="440"/>
        <w:gridCol w:w="1276"/>
        <w:gridCol w:w="660"/>
        <w:gridCol w:w="616"/>
        <w:gridCol w:w="992"/>
        <w:gridCol w:w="851"/>
        <w:gridCol w:w="708"/>
        <w:gridCol w:w="709"/>
        <w:gridCol w:w="992"/>
      </w:tblGrid>
      <w:tr w:rsidR="00A8311D" w:rsidRPr="00DE404D" w14:paraId="5102793C" w14:textId="77777777" w:rsidTr="00713023">
        <w:trPr>
          <w:cantSplit/>
          <w:trHeight w:val="439"/>
        </w:trPr>
        <w:tc>
          <w:tcPr>
            <w:tcW w:w="1828" w:type="dxa"/>
            <w:vMerge w:val="restart"/>
            <w:tcBorders>
              <w:top w:val="single" w:sz="4" w:space="0" w:color="auto"/>
            </w:tcBorders>
            <w:shd w:val="clear" w:color="auto" w:fill="FFFFFF"/>
            <w:vAlign w:val="center"/>
          </w:tcPr>
          <w:p w14:paraId="78705C41" w14:textId="77777777" w:rsidR="00A8311D" w:rsidRPr="00DE404D" w:rsidRDefault="00A8311D" w:rsidP="00713023">
            <w:pPr>
              <w:autoSpaceDE w:val="0"/>
              <w:autoSpaceDN w:val="0"/>
              <w:adjustRightInd w:val="0"/>
              <w:jc w:val="both"/>
              <w:rPr>
                <w:sz w:val="22"/>
                <w:szCs w:val="22"/>
                <w:lang w:val="en-US"/>
              </w:rPr>
            </w:pPr>
          </w:p>
        </w:tc>
        <w:tc>
          <w:tcPr>
            <w:tcW w:w="440" w:type="dxa"/>
            <w:vMerge w:val="restart"/>
            <w:tcBorders>
              <w:top w:val="single" w:sz="4" w:space="0" w:color="auto"/>
            </w:tcBorders>
            <w:shd w:val="clear" w:color="auto" w:fill="FFFFFF"/>
            <w:vAlign w:val="center"/>
          </w:tcPr>
          <w:p w14:paraId="09900EEC" w14:textId="77777777" w:rsidR="00A8311D" w:rsidRPr="00DE404D" w:rsidRDefault="00A8311D" w:rsidP="00713023">
            <w:pPr>
              <w:jc w:val="both"/>
              <w:rPr>
                <w:sz w:val="22"/>
                <w:szCs w:val="22"/>
                <w:vertAlign w:val="superscript"/>
              </w:rPr>
            </w:pPr>
            <w:r w:rsidRPr="00DE404D">
              <w:rPr>
                <w:i/>
                <w:sz w:val="22"/>
                <w:szCs w:val="22"/>
              </w:rPr>
              <w:t>R</w:t>
            </w:r>
            <w:r w:rsidRPr="00DE404D">
              <w:rPr>
                <w:sz w:val="22"/>
                <w:szCs w:val="22"/>
                <w:vertAlign w:val="superscript"/>
              </w:rPr>
              <w:t>2</w:t>
            </w:r>
          </w:p>
        </w:tc>
        <w:tc>
          <w:tcPr>
            <w:tcW w:w="1276" w:type="dxa"/>
            <w:vMerge w:val="restart"/>
            <w:tcBorders>
              <w:top w:val="single" w:sz="4" w:space="0" w:color="auto"/>
            </w:tcBorders>
            <w:shd w:val="clear" w:color="auto" w:fill="FFFFFF"/>
            <w:vAlign w:val="center"/>
          </w:tcPr>
          <w:p w14:paraId="76991706" w14:textId="77777777" w:rsidR="00A8311D" w:rsidRPr="00DE404D" w:rsidRDefault="00A8311D" w:rsidP="00713023">
            <w:pPr>
              <w:jc w:val="both"/>
              <w:rPr>
                <w:i/>
                <w:iCs/>
                <w:sz w:val="22"/>
                <w:szCs w:val="22"/>
              </w:rPr>
            </w:pPr>
            <w:r w:rsidRPr="00DE404D">
              <w:rPr>
                <w:i/>
                <w:iCs/>
                <w:sz w:val="22"/>
                <w:szCs w:val="22"/>
              </w:rPr>
              <w:t>F</w:t>
            </w:r>
          </w:p>
        </w:tc>
        <w:tc>
          <w:tcPr>
            <w:tcW w:w="660" w:type="dxa"/>
            <w:vMerge w:val="restart"/>
            <w:tcBorders>
              <w:top w:val="single" w:sz="4" w:space="0" w:color="auto"/>
            </w:tcBorders>
            <w:shd w:val="clear" w:color="auto" w:fill="FFFFFF"/>
            <w:vAlign w:val="center"/>
          </w:tcPr>
          <w:p w14:paraId="6A153039" w14:textId="77777777" w:rsidR="00A8311D" w:rsidRPr="00DE404D" w:rsidRDefault="00A8311D" w:rsidP="00713023">
            <w:pPr>
              <w:jc w:val="both"/>
              <w:rPr>
                <w:i/>
                <w:sz w:val="22"/>
                <w:szCs w:val="22"/>
              </w:rPr>
            </w:pPr>
            <w:r w:rsidRPr="00DE404D">
              <w:rPr>
                <w:i/>
                <w:sz w:val="22"/>
                <w:szCs w:val="22"/>
              </w:rPr>
              <w:t xml:space="preserve">B </w:t>
            </w:r>
          </w:p>
        </w:tc>
        <w:tc>
          <w:tcPr>
            <w:tcW w:w="616" w:type="dxa"/>
            <w:vMerge w:val="restart"/>
            <w:tcBorders>
              <w:top w:val="single" w:sz="4" w:space="0" w:color="auto"/>
            </w:tcBorders>
            <w:shd w:val="clear" w:color="auto" w:fill="FFFFFF"/>
            <w:vAlign w:val="center"/>
          </w:tcPr>
          <w:p w14:paraId="49E7DC0A" w14:textId="77777777" w:rsidR="00A8311D" w:rsidRPr="00DE404D" w:rsidRDefault="00A8311D" w:rsidP="00713023">
            <w:pPr>
              <w:jc w:val="both"/>
              <w:rPr>
                <w:sz w:val="22"/>
                <w:szCs w:val="22"/>
              </w:rPr>
            </w:pPr>
            <w:r w:rsidRPr="00DE404D">
              <w:rPr>
                <w:sz w:val="22"/>
                <w:szCs w:val="22"/>
              </w:rPr>
              <w:t>SE</w:t>
            </w:r>
          </w:p>
        </w:tc>
        <w:tc>
          <w:tcPr>
            <w:tcW w:w="992" w:type="dxa"/>
            <w:vMerge w:val="restart"/>
            <w:tcBorders>
              <w:top w:val="single" w:sz="4" w:space="0" w:color="auto"/>
            </w:tcBorders>
            <w:shd w:val="clear" w:color="auto" w:fill="FFFFFF"/>
            <w:vAlign w:val="center"/>
          </w:tcPr>
          <w:p w14:paraId="5EF14399" w14:textId="77777777" w:rsidR="00A8311D" w:rsidRPr="00DE404D" w:rsidRDefault="00A8311D" w:rsidP="00713023">
            <w:pPr>
              <w:jc w:val="both"/>
              <w:rPr>
                <w:i/>
                <w:sz w:val="22"/>
                <w:szCs w:val="22"/>
              </w:rPr>
            </w:pPr>
            <w:r w:rsidRPr="00DE404D">
              <w:rPr>
                <w:i/>
                <w:sz w:val="22"/>
                <w:szCs w:val="22"/>
              </w:rPr>
              <w:t>t</w:t>
            </w:r>
          </w:p>
        </w:tc>
        <w:tc>
          <w:tcPr>
            <w:tcW w:w="851" w:type="dxa"/>
            <w:vMerge w:val="restart"/>
            <w:tcBorders>
              <w:top w:val="single" w:sz="4" w:space="0" w:color="auto"/>
            </w:tcBorders>
            <w:shd w:val="clear" w:color="auto" w:fill="FFFFFF"/>
          </w:tcPr>
          <w:p w14:paraId="68BB27DC" w14:textId="77777777" w:rsidR="00A8311D" w:rsidRPr="00DE404D" w:rsidRDefault="00A8311D" w:rsidP="00713023">
            <w:pPr>
              <w:jc w:val="both"/>
              <w:rPr>
                <w:sz w:val="22"/>
                <w:szCs w:val="22"/>
              </w:rPr>
            </w:pPr>
          </w:p>
          <w:p w14:paraId="6EF5169C" w14:textId="77777777" w:rsidR="00A8311D" w:rsidRPr="00DE404D" w:rsidRDefault="00A8311D" w:rsidP="00713023">
            <w:pPr>
              <w:jc w:val="both"/>
              <w:rPr>
                <w:sz w:val="22"/>
                <w:szCs w:val="22"/>
              </w:rPr>
            </w:pPr>
            <w:r w:rsidRPr="00DE404D">
              <w:rPr>
                <w:sz w:val="22"/>
                <w:szCs w:val="22"/>
              </w:rPr>
              <w:t>g.l.</w:t>
            </w:r>
          </w:p>
        </w:tc>
        <w:tc>
          <w:tcPr>
            <w:tcW w:w="708" w:type="dxa"/>
            <w:vMerge w:val="restart"/>
            <w:tcBorders>
              <w:top w:val="single" w:sz="4" w:space="0" w:color="auto"/>
            </w:tcBorders>
            <w:shd w:val="clear" w:color="auto" w:fill="FFFFFF"/>
            <w:vAlign w:val="center"/>
          </w:tcPr>
          <w:p w14:paraId="4B7149E5" w14:textId="77777777" w:rsidR="00A8311D" w:rsidRPr="00DE404D" w:rsidRDefault="00A8311D" w:rsidP="00713023">
            <w:pPr>
              <w:jc w:val="both"/>
              <w:rPr>
                <w:sz w:val="22"/>
                <w:szCs w:val="22"/>
              </w:rPr>
            </w:pPr>
            <w:r w:rsidRPr="00DE404D">
              <w:rPr>
                <w:sz w:val="22"/>
                <w:szCs w:val="22"/>
              </w:rPr>
              <w:t>Β</w:t>
            </w:r>
          </w:p>
        </w:tc>
        <w:tc>
          <w:tcPr>
            <w:tcW w:w="1701" w:type="dxa"/>
            <w:gridSpan w:val="2"/>
            <w:tcBorders>
              <w:top w:val="single" w:sz="4" w:space="0" w:color="auto"/>
              <w:bottom w:val="single" w:sz="4" w:space="0" w:color="auto"/>
            </w:tcBorders>
            <w:shd w:val="clear" w:color="auto" w:fill="FFFFFF"/>
            <w:vAlign w:val="center"/>
          </w:tcPr>
          <w:p w14:paraId="542CAD55" w14:textId="0E515B84" w:rsidR="00A8311D" w:rsidRPr="00DE404D" w:rsidRDefault="00A8311D" w:rsidP="00A8311D">
            <w:pPr>
              <w:jc w:val="both"/>
              <w:rPr>
                <w:sz w:val="22"/>
                <w:szCs w:val="22"/>
              </w:rPr>
            </w:pPr>
            <w:r w:rsidRPr="00DE404D">
              <w:rPr>
                <w:sz w:val="22"/>
                <w:szCs w:val="22"/>
              </w:rPr>
              <w:t xml:space="preserve">I.C. (95%) </w:t>
            </w:r>
            <w:r>
              <w:rPr>
                <w:sz w:val="22"/>
                <w:szCs w:val="22"/>
              </w:rPr>
              <w:t>for</w:t>
            </w:r>
            <w:r w:rsidRPr="00DE404D">
              <w:rPr>
                <w:sz w:val="22"/>
                <w:szCs w:val="22"/>
              </w:rPr>
              <w:t xml:space="preserve"> B</w:t>
            </w:r>
          </w:p>
        </w:tc>
      </w:tr>
      <w:tr w:rsidR="00A8311D" w:rsidRPr="00DE404D" w14:paraId="4BFF383D" w14:textId="77777777" w:rsidTr="00713023">
        <w:trPr>
          <w:cantSplit/>
          <w:trHeight w:val="51"/>
        </w:trPr>
        <w:tc>
          <w:tcPr>
            <w:tcW w:w="1828" w:type="dxa"/>
            <w:vMerge/>
            <w:tcBorders>
              <w:bottom w:val="single" w:sz="4" w:space="0" w:color="auto"/>
            </w:tcBorders>
            <w:shd w:val="clear" w:color="auto" w:fill="FFFFFF"/>
            <w:vAlign w:val="center"/>
          </w:tcPr>
          <w:p w14:paraId="66F1C717" w14:textId="77777777" w:rsidR="00A8311D" w:rsidRPr="00DE404D" w:rsidRDefault="00A8311D" w:rsidP="00713023">
            <w:pPr>
              <w:autoSpaceDE w:val="0"/>
              <w:autoSpaceDN w:val="0"/>
              <w:adjustRightInd w:val="0"/>
              <w:jc w:val="both"/>
              <w:rPr>
                <w:sz w:val="22"/>
                <w:szCs w:val="22"/>
              </w:rPr>
            </w:pPr>
          </w:p>
        </w:tc>
        <w:tc>
          <w:tcPr>
            <w:tcW w:w="440" w:type="dxa"/>
            <w:vMerge/>
            <w:tcBorders>
              <w:bottom w:val="single" w:sz="4" w:space="0" w:color="auto"/>
            </w:tcBorders>
            <w:shd w:val="clear" w:color="auto" w:fill="FFFFFF"/>
            <w:vAlign w:val="center"/>
          </w:tcPr>
          <w:p w14:paraId="646FA474" w14:textId="77777777" w:rsidR="00A8311D" w:rsidRPr="00DE404D" w:rsidRDefault="00A8311D" w:rsidP="00713023">
            <w:pPr>
              <w:autoSpaceDE w:val="0"/>
              <w:autoSpaceDN w:val="0"/>
              <w:adjustRightInd w:val="0"/>
              <w:jc w:val="both"/>
              <w:rPr>
                <w:sz w:val="22"/>
                <w:szCs w:val="22"/>
              </w:rPr>
            </w:pPr>
          </w:p>
        </w:tc>
        <w:tc>
          <w:tcPr>
            <w:tcW w:w="1276" w:type="dxa"/>
            <w:vMerge/>
            <w:tcBorders>
              <w:bottom w:val="single" w:sz="4" w:space="0" w:color="auto"/>
            </w:tcBorders>
            <w:shd w:val="clear" w:color="auto" w:fill="FFFFFF"/>
            <w:vAlign w:val="center"/>
          </w:tcPr>
          <w:p w14:paraId="2A04F3F2" w14:textId="77777777" w:rsidR="00A8311D" w:rsidRPr="00DE404D" w:rsidRDefault="00A8311D" w:rsidP="00713023">
            <w:pPr>
              <w:autoSpaceDE w:val="0"/>
              <w:autoSpaceDN w:val="0"/>
              <w:adjustRightInd w:val="0"/>
              <w:jc w:val="both"/>
              <w:rPr>
                <w:sz w:val="22"/>
                <w:szCs w:val="22"/>
              </w:rPr>
            </w:pPr>
          </w:p>
        </w:tc>
        <w:tc>
          <w:tcPr>
            <w:tcW w:w="660" w:type="dxa"/>
            <w:vMerge/>
            <w:tcBorders>
              <w:bottom w:val="single" w:sz="4" w:space="0" w:color="auto"/>
            </w:tcBorders>
            <w:shd w:val="clear" w:color="auto" w:fill="FFFFFF"/>
            <w:vAlign w:val="center"/>
          </w:tcPr>
          <w:p w14:paraId="1B0F63C8" w14:textId="77777777" w:rsidR="00A8311D" w:rsidRPr="00DE404D" w:rsidRDefault="00A8311D" w:rsidP="00713023">
            <w:pPr>
              <w:autoSpaceDE w:val="0"/>
              <w:autoSpaceDN w:val="0"/>
              <w:adjustRightInd w:val="0"/>
              <w:jc w:val="both"/>
              <w:rPr>
                <w:sz w:val="22"/>
                <w:szCs w:val="22"/>
              </w:rPr>
            </w:pPr>
          </w:p>
        </w:tc>
        <w:tc>
          <w:tcPr>
            <w:tcW w:w="616" w:type="dxa"/>
            <w:vMerge/>
            <w:tcBorders>
              <w:bottom w:val="single" w:sz="4" w:space="0" w:color="auto"/>
            </w:tcBorders>
            <w:shd w:val="clear" w:color="auto" w:fill="FFFFFF"/>
            <w:vAlign w:val="center"/>
          </w:tcPr>
          <w:p w14:paraId="3873B378" w14:textId="77777777" w:rsidR="00A8311D" w:rsidRPr="00DE404D" w:rsidRDefault="00A8311D" w:rsidP="00713023">
            <w:pPr>
              <w:autoSpaceDE w:val="0"/>
              <w:autoSpaceDN w:val="0"/>
              <w:adjustRightInd w:val="0"/>
              <w:jc w:val="both"/>
              <w:rPr>
                <w:sz w:val="22"/>
                <w:szCs w:val="22"/>
              </w:rPr>
            </w:pPr>
          </w:p>
        </w:tc>
        <w:tc>
          <w:tcPr>
            <w:tcW w:w="992" w:type="dxa"/>
            <w:vMerge/>
            <w:tcBorders>
              <w:bottom w:val="single" w:sz="4" w:space="0" w:color="auto"/>
            </w:tcBorders>
            <w:shd w:val="clear" w:color="auto" w:fill="FFFFFF"/>
            <w:vAlign w:val="center"/>
          </w:tcPr>
          <w:p w14:paraId="49B8C4D5" w14:textId="77777777" w:rsidR="00A8311D" w:rsidRPr="00DE404D" w:rsidRDefault="00A8311D" w:rsidP="00713023">
            <w:pPr>
              <w:autoSpaceDE w:val="0"/>
              <w:autoSpaceDN w:val="0"/>
              <w:adjustRightInd w:val="0"/>
              <w:jc w:val="both"/>
              <w:rPr>
                <w:sz w:val="22"/>
                <w:szCs w:val="22"/>
              </w:rPr>
            </w:pPr>
          </w:p>
        </w:tc>
        <w:tc>
          <w:tcPr>
            <w:tcW w:w="851" w:type="dxa"/>
            <w:vMerge/>
            <w:tcBorders>
              <w:bottom w:val="single" w:sz="4" w:space="0" w:color="auto"/>
            </w:tcBorders>
            <w:shd w:val="clear" w:color="auto" w:fill="FFFFFF"/>
          </w:tcPr>
          <w:p w14:paraId="5063E8BC" w14:textId="77777777" w:rsidR="00A8311D" w:rsidRPr="00DE404D" w:rsidRDefault="00A8311D" w:rsidP="00713023">
            <w:pPr>
              <w:autoSpaceDE w:val="0"/>
              <w:autoSpaceDN w:val="0"/>
              <w:adjustRightInd w:val="0"/>
              <w:jc w:val="both"/>
              <w:rPr>
                <w:sz w:val="22"/>
                <w:szCs w:val="22"/>
              </w:rPr>
            </w:pPr>
          </w:p>
        </w:tc>
        <w:tc>
          <w:tcPr>
            <w:tcW w:w="708" w:type="dxa"/>
            <w:vMerge/>
            <w:tcBorders>
              <w:bottom w:val="single" w:sz="4" w:space="0" w:color="auto"/>
            </w:tcBorders>
            <w:shd w:val="clear" w:color="auto" w:fill="FFFFFF"/>
            <w:vAlign w:val="center"/>
          </w:tcPr>
          <w:p w14:paraId="23E44778" w14:textId="77777777" w:rsidR="00A8311D" w:rsidRPr="00DE404D" w:rsidRDefault="00A8311D" w:rsidP="00713023">
            <w:pPr>
              <w:autoSpaceDE w:val="0"/>
              <w:autoSpaceDN w:val="0"/>
              <w:adjustRightInd w:val="0"/>
              <w:jc w:val="both"/>
              <w:rPr>
                <w:sz w:val="22"/>
                <w:szCs w:val="22"/>
              </w:rPr>
            </w:pPr>
          </w:p>
        </w:tc>
        <w:tc>
          <w:tcPr>
            <w:tcW w:w="709" w:type="dxa"/>
            <w:tcBorders>
              <w:top w:val="single" w:sz="4" w:space="0" w:color="auto"/>
              <w:bottom w:val="single" w:sz="4" w:space="0" w:color="auto"/>
            </w:tcBorders>
            <w:shd w:val="clear" w:color="auto" w:fill="FFFFFF"/>
            <w:vAlign w:val="center"/>
          </w:tcPr>
          <w:p w14:paraId="079691E7" w14:textId="77777777" w:rsidR="00A8311D" w:rsidRPr="00DE404D" w:rsidRDefault="00A8311D" w:rsidP="00713023">
            <w:pPr>
              <w:autoSpaceDE w:val="0"/>
              <w:autoSpaceDN w:val="0"/>
              <w:adjustRightInd w:val="0"/>
              <w:jc w:val="both"/>
              <w:rPr>
                <w:sz w:val="22"/>
                <w:szCs w:val="22"/>
              </w:rPr>
            </w:pPr>
            <w:r w:rsidRPr="00DE404D">
              <w:rPr>
                <w:sz w:val="22"/>
                <w:szCs w:val="22"/>
              </w:rPr>
              <w:t>L.I.</w:t>
            </w:r>
          </w:p>
        </w:tc>
        <w:tc>
          <w:tcPr>
            <w:tcW w:w="992" w:type="dxa"/>
            <w:tcBorders>
              <w:top w:val="single" w:sz="4" w:space="0" w:color="auto"/>
              <w:bottom w:val="single" w:sz="4" w:space="0" w:color="auto"/>
            </w:tcBorders>
            <w:shd w:val="clear" w:color="auto" w:fill="FFFFFF"/>
            <w:vAlign w:val="center"/>
          </w:tcPr>
          <w:p w14:paraId="3667ED16" w14:textId="77777777" w:rsidR="00A8311D" w:rsidRPr="00DE404D" w:rsidRDefault="00A8311D" w:rsidP="00713023">
            <w:pPr>
              <w:autoSpaceDE w:val="0"/>
              <w:autoSpaceDN w:val="0"/>
              <w:adjustRightInd w:val="0"/>
              <w:jc w:val="both"/>
              <w:rPr>
                <w:sz w:val="22"/>
                <w:szCs w:val="22"/>
              </w:rPr>
            </w:pPr>
            <w:r w:rsidRPr="00DE404D">
              <w:rPr>
                <w:sz w:val="22"/>
                <w:szCs w:val="22"/>
              </w:rPr>
              <w:t>L.S.</w:t>
            </w:r>
          </w:p>
        </w:tc>
      </w:tr>
      <w:tr w:rsidR="00A8311D" w:rsidRPr="00DE404D" w14:paraId="1B0B7338" w14:textId="77777777" w:rsidTr="00713023">
        <w:trPr>
          <w:cantSplit/>
          <w:trHeight w:hRule="exact" w:val="340"/>
        </w:trPr>
        <w:tc>
          <w:tcPr>
            <w:tcW w:w="1828" w:type="dxa"/>
            <w:shd w:val="clear" w:color="auto" w:fill="FFFFFF"/>
            <w:vAlign w:val="center"/>
          </w:tcPr>
          <w:p w14:paraId="191D4E6F" w14:textId="77777777" w:rsidR="00A8311D" w:rsidRPr="00DE404D" w:rsidRDefault="00A8311D" w:rsidP="00713023">
            <w:pPr>
              <w:jc w:val="both"/>
              <w:rPr>
                <w:b/>
                <w:sz w:val="22"/>
                <w:szCs w:val="22"/>
              </w:rPr>
            </w:pPr>
            <w:r w:rsidRPr="00DE404D">
              <w:rPr>
                <w:b/>
                <w:sz w:val="22"/>
                <w:szCs w:val="22"/>
              </w:rPr>
              <w:t>Anxiety</w:t>
            </w:r>
          </w:p>
        </w:tc>
        <w:tc>
          <w:tcPr>
            <w:tcW w:w="440" w:type="dxa"/>
            <w:shd w:val="clear" w:color="auto" w:fill="FFFFFF"/>
            <w:vAlign w:val="center"/>
          </w:tcPr>
          <w:p w14:paraId="1456BCBD" w14:textId="77777777" w:rsidR="00A8311D" w:rsidRPr="00DE404D" w:rsidRDefault="00A8311D" w:rsidP="00713023">
            <w:pPr>
              <w:autoSpaceDE w:val="0"/>
              <w:autoSpaceDN w:val="0"/>
              <w:adjustRightInd w:val="0"/>
              <w:jc w:val="both"/>
              <w:rPr>
                <w:sz w:val="22"/>
                <w:szCs w:val="22"/>
              </w:rPr>
            </w:pPr>
          </w:p>
        </w:tc>
        <w:tc>
          <w:tcPr>
            <w:tcW w:w="1276" w:type="dxa"/>
            <w:shd w:val="clear" w:color="auto" w:fill="FFFFFF"/>
            <w:vAlign w:val="center"/>
          </w:tcPr>
          <w:p w14:paraId="5E934BEA" w14:textId="77777777" w:rsidR="00A8311D" w:rsidRPr="00DE404D" w:rsidRDefault="00A8311D" w:rsidP="00713023">
            <w:pPr>
              <w:autoSpaceDE w:val="0"/>
              <w:autoSpaceDN w:val="0"/>
              <w:adjustRightInd w:val="0"/>
              <w:jc w:val="both"/>
              <w:rPr>
                <w:sz w:val="22"/>
                <w:szCs w:val="22"/>
              </w:rPr>
            </w:pPr>
          </w:p>
        </w:tc>
        <w:tc>
          <w:tcPr>
            <w:tcW w:w="660" w:type="dxa"/>
            <w:shd w:val="clear" w:color="auto" w:fill="FFFFFF"/>
            <w:vAlign w:val="center"/>
          </w:tcPr>
          <w:p w14:paraId="53D4451F" w14:textId="77777777" w:rsidR="00A8311D" w:rsidRPr="00DE404D" w:rsidRDefault="00A8311D" w:rsidP="00713023">
            <w:pPr>
              <w:autoSpaceDE w:val="0"/>
              <w:autoSpaceDN w:val="0"/>
              <w:adjustRightInd w:val="0"/>
              <w:jc w:val="both"/>
              <w:rPr>
                <w:sz w:val="22"/>
                <w:szCs w:val="22"/>
              </w:rPr>
            </w:pPr>
          </w:p>
        </w:tc>
        <w:tc>
          <w:tcPr>
            <w:tcW w:w="616" w:type="dxa"/>
            <w:shd w:val="clear" w:color="auto" w:fill="FFFFFF"/>
            <w:vAlign w:val="center"/>
          </w:tcPr>
          <w:p w14:paraId="116C8C6F"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0C542D75" w14:textId="77777777" w:rsidR="00A8311D" w:rsidRPr="00DE404D" w:rsidRDefault="00A8311D" w:rsidP="00713023">
            <w:pPr>
              <w:autoSpaceDE w:val="0"/>
              <w:autoSpaceDN w:val="0"/>
              <w:adjustRightInd w:val="0"/>
              <w:jc w:val="both"/>
              <w:rPr>
                <w:sz w:val="22"/>
                <w:szCs w:val="22"/>
              </w:rPr>
            </w:pPr>
          </w:p>
        </w:tc>
        <w:tc>
          <w:tcPr>
            <w:tcW w:w="851" w:type="dxa"/>
            <w:shd w:val="clear" w:color="auto" w:fill="FFFFFF"/>
          </w:tcPr>
          <w:p w14:paraId="14609EA6" w14:textId="77777777" w:rsidR="00A8311D" w:rsidRPr="00DE404D" w:rsidRDefault="00A8311D" w:rsidP="00713023">
            <w:pPr>
              <w:autoSpaceDE w:val="0"/>
              <w:autoSpaceDN w:val="0"/>
              <w:adjustRightInd w:val="0"/>
              <w:jc w:val="both"/>
              <w:rPr>
                <w:sz w:val="22"/>
                <w:szCs w:val="22"/>
              </w:rPr>
            </w:pPr>
          </w:p>
        </w:tc>
        <w:tc>
          <w:tcPr>
            <w:tcW w:w="708" w:type="dxa"/>
            <w:shd w:val="clear" w:color="auto" w:fill="FFFFFF"/>
            <w:vAlign w:val="center"/>
          </w:tcPr>
          <w:p w14:paraId="59B3022C" w14:textId="77777777" w:rsidR="00A8311D" w:rsidRPr="00DE404D" w:rsidRDefault="00A8311D" w:rsidP="00713023">
            <w:pPr>
              <w:autoSpaceDE w:val="0"/>
              <w:autoSpaceDN w:val="0"/>
              <w:adjustRightInd w:val="0"/>
              <w:jc w:val="both"/>
              <w:rPr>
                <w:sz w:val="22"/>
                <w:szCs w:val="22"/>
              </w:rPr>
            </w:pPr>
          </w:p>
        </w:tc>
        <w:tc>
          <w:tcPr>
            <w:tcW w:w="709" w:type="dxa"/>
            <w:shd w:val="clear" w:color="auto" w:fill="FFFFFF"/>
            <w:vAlign w:val="center"/>
          </w:tcPr>
          <w:p w14:paraId="436730D8"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68C9A6A8" w14:textId="77777777" w:rsidR="00A8311D" w:rsidRPr="00DE404D" w:rsidRDefault="00A8311D" w:rsidP="00713023">
            <w:pPr>
              <w:autoSpaceDE w:val="0"/>
              <w:autoSpaceDN w:val="0"/>
              <w:adjustRightInd w:val="0"/>
              <w:jc w:val="both"/>
              <w:rPr>
                <w:sz w:val="22"/>
                <w:szCs w:val="22"/>
              </w:rPr>
            </w:pPr>
          </w:p>
        </w:tc>
      </w:tr>
      <w:tr w:rsidR="00A8311D" w:rsidRPr="00DE404D" w14:paraId="68EFAD32" w14:textId="77777777" w:rsidTr="00713023">
        <w:trPr>
          <w:cantSplit/>
          <w:trHeight w:hRule="exact" w:val="340"/>
        </w:trPr>
        <w:tc>
          <w:tcPr>
            <w:tcW w:w="1828" w:type="dxa"/>
            <w:shd w:val="clear" w:color="auto" w:fill="FFFFFF"/>
            <w:vAlign w:val="center"/>
          </w:tcPr>
          <w:p w14:paraId="214FEC4F" w14:textId="77777777" w:rsidR="00A8311D" w:rsidRPr="00DE404D" w:rsidRDefault="00A8311D" w:rsidP="00713023">
            <w:pPr>
              <w:jc w:val="both"/>
              <w:rPr>
                <w:sz w:val="22"/>
                <w:szCs w:val="22"/>
              </w:rPr>
            </w:pPr>
            <w:r w:rsidRPr="00DE404D">
              <w:rPr>
                <w:sz w:val="22"/>
                <w:szCs w:val="22"/>
              </w:rPr>
              <w:t>Model 1</w:t>
            </w:r>
          </w:p>
          <w:p w14:paraId="122958AF" w14:textId="77777777" w:rsidR="00A8311D" w:rsidRPr="00DE404D" w:rsidRDefault="00A8311D" w:rsidP="00713023">
            <w:pPr>
              <w:jc w:val="both"/>
              <w:rPr>
                <w:sz w:val="22"/>
                <w:szCs w:val="22"/>
              </w:rPr>
            </w:pPr>
          </w:p>
          <w:p w14:paraId="573BFE13" w14:textId="77777777" w:rsidR="00A8311D" w:rsidRPr="00DE404D" w:rsidRDefault="00A8311D" w:rsidP="00713023">
            <w:pPr>
              <w:jc w:val="both"/>
              <w:rPr>
                <w:sz w:val="22"/>
                <w:szCs w:val="22"/>
              </w:rPr>
            </w:pPr>
          </w:p>
          <w:p w14:paraId="338F0A33" w14:textId="77777777" w:rsidR="00A8311D" w:rsidRPr="00DE404D" w:rsidRDefault="00A8311D" w:rsidP="00713023">
            <w:pPr>
              <w:jc w:val="both"/>
              <w:rPr>
                <w:sz w:val="22"/>
                <w:szCs w:val="22"/>
              </w:rPr>
            </w:pPr>
            <w:r w:rsidRPr="00DE404D">
              <w:rPr>
                <w:sz w:val="22"/>
                <w:szCs w:val="22"/>
              </w:rPr>
              <w:t>Zigmond</w:t>
            </w:r>
          </w:p>
        </w:tc>
        <w:tc>
          <w:tcPr>
            <w:tcW w:w="440" w:type="dxa"/>
            <w:shd w:val="clear" w:color="auto" w:fill="FFFFFF"/>
            <w:vAlign w:val="center"/>
          </w:tcPr>
          <w:p w14:paraId="11872491" w14:textId="77777777" w:rsidR="00A8311D" w:rsidRPr="00DE404D" w:rsidRDefault="00A8311D" w:rsidP="00713023">
            <w:pPr>
              <w:autoSpaceDE w:val="0"/>
              <w:autoSpaceDN w:val="0"/>
              <w:adjustRightInd w:val="0"/>
              <w:jc w:val="both"/>
              <w:rPr>
                <w:sz w:val="22"/>
                <w:szCs w:val="22"/>
              </w:rPr>
            </w:pPr>
            <w:r w:rsidRPr="00DE404D">
              <w:rPr>
                <w:sz w:val="22"/>
                <w:szCs w:val="22"/>
              </w:rPr>
              <w:t>.861</w:t>
            </w:r>
          </w:p>
        </w:tc>
        <w:tc>
          <w:tcPr>
            <w:tcW w:w="1276" w:type="dxa"/>
            <w:shd w:val="clear" w:color="auto" w:fill="FFFFFF"/>
            <w:vAlign w:val="center"/>
          </w:tcPr>
          <w:p w14:paraId="08928095" w14:textId="77777777" w:rsidR="00A8311D" w:rsidRPr="00DE404D" w:rsidRDefault="00A8311D" w:rsidP="00713023">
            <w:pPr>
              <w:autoSpaceDE w:val="0"/>
              <w:autoSpaceDN w:val="0"/>
              <w:adjustRightInd w:val="0"/>
              <w:jc w:val="both"/>
              <w:rPr>
                <w:sz w:val="22"/>
                <w:szCs w:val="22"/>
              </w:rPr>
            </w:pPr>
            <w:r w:rsidRPr="00DE404D">
              <w:rPr>
                <w:sz w:val="22"/>
                <w:szCs w:val="22"/>
              </w:rPr>
              <w:t>4318.80**</w:t>
            </w:r>
          </w:p>
        </w:tc>
        <w:tc>
          <w:tcPr>
            <w:tcW w:w="660" w:type="dxa"/>
            <w:shd w:val="clear" w:color="auto" w:fill="FFFFFF"/>
            <w:vAlign w:val="center"/>
          </w:tcPr>
          <w:p w14:paraId="775B868D" w14:textId="77777777" w:rsidR="00A8311D" w:rsidRPr="00DE404D" w:rsidRDefault="00A8311D" w:rsidP="00713023">
            <w:pPr>
              <w:autoSpaceDE w:val="0"/>
              <w:autoSpaceDN w:val="0"/>
              <w:adjustRightInd w:val="0"/>
              <w:jc w:val="both"/>
              <w:rPr>
                <w:sz w:val="22"/>
                <w:szCs w:val="22"/>
              </w:rPr>
            </w:pPr>
          </w:p>
        </w:tc>
        <w:tc>
          <w:tcPr>
            <w:tcW w:w="616" w:type="dxa"/>
            <w:shd w:val="clear" w:color="auto" w:fill="FFFFFF"/>
            <w:vAlign w:val="center"/>
          </w:tcPr>
          <w:p w14:paraId="0D45D8CB"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4B9AAA1A" w14:textId="77777777" w:rsidR="00A8311D" w:rsidRPr="00DE404D" w:rsidRDefault="00A8311D" w:rsidP="00713023">
            <w:pPr>
              <w:autoSpaceDE w:val="0"/>
              <w:autoSpaceDN w:val="0"/>
              <w:adjustRightInd w:val="0"/>
              <w:jc w:val="both"/>
              <w:rPr>
                <w:sz w:val="22"/>
                <w:szCs w:val="22"/>
              </w:rPr>
            </w:pPr>
          </w:p>
        </w:tc>
        <w:tc>
          <w:tcPr>
            <w:tcW w:w="851" w:type="dxa"/>
            <w:shd w:val="clear" w:color="auto" w:fill="FFFFFF"/>
          </w:tcPr>
          <w:p w14:paraId="077C96CB" w14:textId="77777777" w:rsidR="00A8311D" w:rsidRPr="00DE404D" w:rsidRDefault="00A8311D" w:rsidP="00713023">
            <w:pPr>
              <w:autoSpaceDE w:val="0"/>
              <w:autoSpaceDN w:val="0"/>
              <w:adjustRightInd w:val="0"/>
              <w:jc w:val="both"/>
              <w:rPr>
                <w:sz w:val="22"/>
                <w:szCs w:val="22"/>
              </w:rPr>
            </w:pPr>
          </w:p>
        </w:tc>
        <w:tc>
          <w:tcPr>
            <w:tcW w:w="708" w:type="dxa"/>
            <w:shd w:val="clear" w:color="auto" w:fill="FFFFFF"/>
            <w:vAlign w:val="center"/>
          </w:tcPr>
          <w:p w14:paraId="51B19A13" w14:textId="77777777" w:rsidR="00A8311D" w:rsidRPr="00DE404D" w:rsidRDefault="00A8311D" w:rsidP="00713023">
            <w:pPr>
              <w:autoSpaceDE w:val="0"/>
              <w:autoSpaceDN w:val="0"/>
              <w:adjustRightInd w:val="0"/>
              <w:jc w:val="both"/>
              <w:rPr>
                <w:sz w:val="22"/>
                <w:szCs w:val="22"/>
              </w:rPr>
            </w:pPr>
          </w:p>
        </w:tc>
        <w:tc>
          <w:tcPr>
            <w:tcW w:w="709" w:type="dxa"/>
            <w:shd w:val="clear" w:color="auto" w:fill="FFFFFF"/>
            <w:vAlign w:val="center"/>
          </w:tcPr>
          <w:p w14:paraId="2570AAD0"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6E55B438" w14:textId="77777777" w:rsidR="00A8311D" w:rsidRPr="00DE404D" w:rsidRDefault="00A8311D" w:rsidP="00713023">
            <w:pPr>
              <w:autoSpaceDE w:val="0"/>
              <w:autoSpaceDN w:val="0"/>
              <w:adjustRightInd w:val="0"/>
              <w:jc w:val="both"/>
              <w:rPr>
                <w:sz w:val="22"/>
                <w:szCs w:val="22"/>
              </w:rPr>
            </w:pPr>
          </w:p>
        </w:tc>
      </w:tr>
      <w:tr w:rsidR="00A8311D" w:rsidRPr="00DE404D" w14:paraId="1952F4CC" w14:textId="77777777" w:rsidTr="00713023">
        <w:trPr>
          <w:cantSplit/>
          <w:trHeight w:hRule="exact" w:val="340"/>
        </w:trPr>
        <w:tc>
          <w:tcPr>
            <w:tcW w:w="1828" w:type="dxa"/>
            <w:shd w:val="clear" w:color="auto" w:fill="FFFFFF"/>
            <w:vAlign w:val="center"/>
          </w:tcPr>
          <w:p w14:paraId="4DD443E2" w14:textId="77777777" w:rsidR="00A8311D" w:rsidRPr="00DE404D" w:rsidRDefault="00A8311D" w:rsidP="00713023">
            <w:pPr>
              <w:jc w:val="both"/>
              <w:rPr>
                <w:sz w:val="22"/>
                <w:szCs w:val="22"/>
              </w:rPr>
            </w:pPr>
            <w:r w:rsidRPr="00DE404D">
              <w:rPr>
                <w:sz w:val="22"/>
                <w:szCs w:val="22"/>
              </w:rPr>
              <w:t>Zigmond and Snaith</w:t>
            </w:r>
          </w:p>
        </w:tc>
        <w:tc>
          <w:tcPr>
            <w:tcW w:w="440" w:type="dxa"/>
            <w:shd w:val="clear" w:color="auto" w:fill="FFFFFF"/>
            <w:vAlign w:val="center"/>
          </w:tcPr>
          <w:p w14:paraId="633D2471" w14:textId="77777777" w:rsidR="00A8311D" w:rsidRPr="00DE404D" w:rsidRDefault="00A8311D" w:rsidP="00713023">
            <w:pPr>
              <w:autoSpaceDE w:val="0"/>
              <w:autoSpaceDN w:val="0"/>
              <w:adjustRightInd w:val="0"/>
              <w:jc w:val="both"/>
              <w:rPr>
                <w:sz w:val="22"/>
                <w:szCs w:val="22"/>
              </w:rPr>
            </w:pPr>
          </w:p>
        </w:tc>
        <w:tc>
          <w:tcPr>
            <w:tcW w:w="1276" w:type="dxa"/>
            <w:shd w:val="clear" w:color="auto" w:fill="FFFFFF"/>
            <w:vAlign w:val="center"/>
          </w:tcPr>
          <w:p w14:paraId="3BAC001B" w14:textId="77777777" w:rsidR="00A8311D" w:rsidRPr="00DE404D" w:rsidRDefault="00A8311D" w:rsidP="00713023">
            <w:pPr>
              <w:autoSpaceDE w:val="0"/>
              <w:autoSpaceDN w:val="0"/>
              <w:adjustRightInd w:val="0"/>
              <w:jc w:val="both"/>
              <w:rPr>
                <w:sz w:val="22"/>
                <w:szCs w:val="22"/>
              </w:rPr>
            </w:pPr>
          </w:p>
        </w:tc>
        <w:tc>
          <w:tcPr>
            <w:tcW w:w="660" w:type="dxa"/>
            <w:shd w:val="clear" w:color="auto" w:fill="FFFFFF"/>
            <w:vAlign w:val="center"/>
          </w:tcPr>
          <w:p w14:paraId="508CEBB7" w14:textId="77777777" w:rsidR="00A8311D" w:rsidRPr="00DE404D" w:rsidRDefault="00A8311D" w:rsidP="00713023">
            <w:pPr>
              <w:autoSpaceDE w:val="0"/>
              <w:autoSpaceDN w:val="0"/>
              <w:adjustRightInd w:val="0"/>
              <w:jc w:val="both"/>
              <w:rPr>
                <w:sz w:val="22"/>
                <w:szCs w:val="22"/>
              </w:rPr>
            </w:pPr>
            <w:r w:rsidRPr="00DE404D">
              <w:rPr>
                <w:sz w:val="22"/>
                <w:szCs w:val="22"/>
              </w:rPr>
              <w:t>3.924</w:t>
            </w:r>
          </w:p>
        </w:tc>
        <w:tc>
          <w:tcPr>
            <w:tcW w:w="616" w:type="dxa"/>
            <w:shd w:val="clear" w:color="auto" w:fill="FFFFFF"/>
            <w:vAlign w:val="center"/>
          </w:tcPr>
          <w:p w14:paraId="493BB880" w14:textId="77777777" w:rsidR="00A8311D" w:rsidRPr="00DE404D" w:rsidRDefault="00A8311D" w:rsidP="00713023">
            <w:pPr>
              <w:autoSpaceDE w:val="0"/>
              <w:autoSpaceDN w:val="0"/>
              <w:adjustRightInd w:val="0"/>
              <w:jc w:val="both"/>
              <w:rPr>
                <w:sz w:val="22"/>
                <w:szCs w:val="22"/>
              </w:rPr>
            </w:pPr>
            <w:r w:rsidRPr="00DE404D">
              <w:rPr>
                <w:sz w:val="22"/>
                <w:szCs w:val="22"/>
              </w:rPr>
              <w:t>.060</w:t>
            </w:r>
          </w:p>
        </w:tc>
        <w:tc>
          <w:tcPr>
            <w:tcW w:w="992" w:type="dxa"/>
            <w:shd w:val="clear" w:color="auto" w:fill="FFFFFF"/>
            <w:vAlign w:val="center"/>
          </w:tcPr>
          <w:p w14:paraId="1321EB5B" w14:textId="77777777" w:rsidR="00A8311D" w:rsidRPr="00DE404D" w:rsidRDefault="00A8311D" w:rsidP="00713023">
            <w:pPr>
              <w:autoSpaceDE w:val="0"/>
              <w:autoSpaceDN w:val="0"/>
              <w:adjustRightInd w:val="0"/>
              <w:jc w:val="both"/>
              <w:rPr>
                <w:sz w:val="22"/>
                <w:szCs w:val="22"/>
              </w:rPr>
            </w:pPr>
            <w:r w:rsidRPr="00DE404D">
              <w:rPr>
                <w:sz w:val="22"/>
                <w:szCs w:val="22"/>
              </w:rPr>
              <w:t>65.702**</w:t>
            </w:r>
          </w:p>
        </w:tc>
        <w:tc>
          <w:tcPr>
            <w:tcW w:w="851" w:type="dxa"/>
            <w:shd w:val="clear" w:color="auto" w:fill="FFFFFF"/>
          </w:tcPr>
          <w:p w14:paraId="174EC845" w14:textId="0709E3F8" w:rsidR="00A8311D" w:rsidRPr="00DE404D" w:rsidRDefault="00AC1059" w:rsidP="00713023">
            <w:pPr>
              <w:autoSpaceDE w:val="0"/>
              <w:autoSpaceDN w:val="0"/>
              <w:adjustRightInd w:val="0"/>
              <w:jc w:val="both"/>
              <w:rPr>
                <w:sz w:val="22"/>
                <w:szCs w:val="22"/>
              </w:rPr>
            </w:pPr>
            <w:r>
              <w:rPr>
                <w:sz w:val="22"/>
                <w:szCs w:val="22"/>
              </w:rPr>
              <w:t>1, 68</w:t>
            </w:r>
            <w:r w:rsidR="00A8311D" w:rsidRPr="00DE404D">
              <w:rPr>
                <w:sz w:val="22"/>
                <w:szCs w:val="22"/>
              </w:rPr>
              <w:t>7</w:t>
            </w:r>
          </w:p>
        </w:tc>
        <w:tc>
          <w:tcPr>
            <w:tcW w:w="708" w:type="dxa"/>
            <w:shd w:val="clear" w:color="auto" w:fill="FFFFFF"/>
            <w:vAlign w:val="center"/>
          </w:tcPr>
          <w:p w14:paraId="4465BA1C" w14:textId="77777777" w:rsidR="00A8311D" w:rsidRPr="00DE404D" w:rsidRDefault="00A8311D" w:rsidP="00713023">
            <w:pPr>
              <w:autoSpaceDE w:val="0"/>
              <w:autoSpaceDN w:val="0"/>
              <w:adjustRightInd w:val="0"/>
              <w:jc w:val="both"/>
              <w:rPr>
                <w:sz w:val="22"/>
                <w:szCs w:val="22"/>
              </w:rPr>
            </w:pPr>
            <w:r w:rsidRPr="00DE404D">
              <w:rPr>
                <w:sz w:val="22"/>
                <w:szCs w:val="22"/>
              </w:rPr>
              <w:t>.928</w:t>
            </w:r>
          </w:p>
        </w:tc>
        <w:tc>
          <w:tcPr>
            <w:tcW w:w="709" w:type="dxa"/>
            <w:shd w:val="clear" w:color="auto" w:fill="FFFFFF"/>
            <w:vAlign w:val="center"/>
          </w:tcPr>
          <w:p w14:paraId="0DA1A31C" w14:textId="77777777" w:rsidR="00A8311D" w:rsidRPr="00DE404D" w:rsidRDefault="00A8311D" w:rsidP="00713023">
            <w:pPr>
              <w:autoSpaceDE w:val="0"/>
              <w:autoSpaceDN w:val="0"/>
              <w:adjustRightInd w:val="0"/>
              <w:jc w:val="both"/>
              <w:rPr>
                <w:sz w:val="22"/>
                <w:szCs w:val="22"/>
              </w:rPr>
            </w:pPr>
            <w:r w:rsidRPr="00DE404D">
              <w:rPr>
                <w:sz w:val="22"/>
                <w:szCs w:val="22"/>
              </w:rPr>
              <w:t>3.81</w:t>
            </w:r>
          </w:p>
        </w:tc>
        <w:tc>
          <w:tcPr>
            <w:tcW w:w="992" w:type="dxa"/>
            <w:shd w:val="clear" w:color="auto" w:fill="FFFFFF"/>
            <w:vAlign w:val="center"/>
          </w:tcPr>
          <w:p w14:paraId="0CFB21F9" w14:textId="77777777" w:rsidR="00A8311D" w:rsidRPr="00DE404D" w:rsidRDefault="00A8311D" w:rsidP="00713023">
            <w:pPr>
              <w:autoSpaceDE w:val="0"/>
              <w:autoSpaceDN w:val="0"/>
              <w:adjustRightInd w:val="0"/>
              <w:jc w:val="both"/>
              <w:rPr>
                <w:sz w:val="22"/>
                <w:szCs w:val="22"/>
              </w:rPr>
            </w:pPr>
            <w:r w:rsidRPr="00DE404D">
              <w:rPr>
                <w:sz w:val="22"/>
                <w:szCs w:val="22"/>
              </w:rPr>
              <w:t>4.04</w:t>
            </w:r>
          </w:p>
        </w:tc>
      </w:tr>
      <w:tr w:rsidR="00A8311D" w:rsidRPr="00DE404D" w14:paraId="3D74CD7F" w14:textId="77777777" w:rsidTr="00713023">
        <w:trPr>
          <w:cantSplit/>
          <w:trHeight w:hRule="exact" w:val="340"/>
        </w:trPr>
        <w:tc>
          <w:tcPr>
            <w:tcW w:w="1828" w:type="dxa"/>
            <w:shd w:val="clear" w:color="auto" w:fill="FFFFFF"/>
            <w:vAlign w:val="center"/>
          </w:tcPr>
          <w:p w14:paraId="1E85F773" w14:textId="77777777" w:rsidR="00A8311D" w:rsidRPr="00DE404D" w:rsidRDefault="00A8311D" w:rsidP="00713023">
            <w:pPr>
              <w:jc w:val="both"/>
              <w:rPr>
                <w:sz w:val="22"/>
                <w:szCs w:val="22"/>
              </w:rPr>
            </w:pPr>
            <w:r w:rsidRPr="00DE404D">
              <w:rPr>
                <w:sz w:val="22"/>
                <w:szCs w:val="22"/>
              </w:rPr>
              <w:t>Model 1</w:t>
            </w:r>
          </w:p>
        </w:tc>
        <w:tc>
          <w:tcPr>
            <w:tcW w:w="440" w:type="dxa"/>
            <w:shd w:val="clear" w:color="auto" w:fill="FFFFFF"/>
            <w:vAlign w:val="center"/>
          </w:tcPr>
          <w:p w14:paraId="1472B93E" w14:textId="77777777" w:rsidR="00A8311D" w:rsidRPr="00DE404D" w:rsidRDefault="00A8311D" w:rsidP="00713023">
            <w:pPr>
              <w:autoSpaceDE w:val="0"/>
              <w:autoSpaceDN w:val="0"/>
              <w:adjustRightInd w:val="0"/>
              <w:jc w:val="both"/>
              <w:rPr>
                <w:sz w:val="22"/>
                <w:szCs w:val="22"/>
              </w:rPr>
            </w:pPr>
            <w:r w:rsidRPr="00DE404D">
              <w:rPr>
                <w:sz w:val="22"/>
                <w:szCs w:val="22"/>
              </w:rPr>
              <w:t>.621</w:t>
            </w:r>
          </w:p>
        </w:tc>
        <w:tc>
          <w:tcPr>
            <w:tcW w:w="1276" w:type="dxa"/>
            <w:shd w:val="clear" w:color="auto" w:fill="FFFFFF"/>
            <w:vAlign w:val="center"/>
          </w:tcPr>
          <w:p w14:paraId="1039376C" w14:textId="77777777" w:rsidR="00A8311D" w:rsidRPr="00DE404D" w:rsidRDefault="00A8311D" w:rsidP="00713023">
            <w:pPr>
              <w:autoSpaceDE w:val="0"/>
              <w:autoSpaceDN w:val="0"/>
              <w:adjustRightInd w:val="0"/>
              <w:jc w:val="both"/>
              <w:rPr>
                <w:sz w:val="22"/>
                <w:szCs w:val="22"/>
              </w:rPr>
            </w:pPr>
            <w:r w:rsidRPr="00DE404D">
              <w:rPr>
                <w:sz w:val="22"/>
                <w:szCs w:val="22"/>
              </w:rPr>
              <w:t>1142.03**</w:t>
            </w:r>
          </w:p>
        </w:tc>
        <w:tc>
          <w:tcPr>
            <w:tcW w:w="660" w:type="dxa"/>
            <w:shd w:val="clear" w:color="auto" w:fill="FFFFFF"/>
            <w:vAlign w:val="center"/>
          </w:tcPr>
          <w:p w14:paraId="7E0FF10A" w14:textId="77777777" w:rsidR="00A8311D" w:rsidRPr="00DE404D" w:rsidRDefault="00A8311D" w:rsidP="00713023">
            <w:pPr>
              <w:autoSpaceDE w:val="0"/>
              <w:autoSpaceDN w:val="0"/>
              <w:adjustRightInd w:val="0"/>
              <w:jc w:val="both"/>
              <w:rPr>
                <w:sz w:val="22"/>
                <w:szCs w:val="22"/>
              </w:rPr>
            </w:pPr>
          </w:p>
        </w:tc>
        <w:tc>
          <w:tcPr>
            <w:tcW w:w="616" w:type="dxa"/>
            <w:shd w:val="clear" w:color="auto" w:fill="FFFFFF"/>
            <w:vAlign w:val="center"/>
          </w:tcPr>
          <w:p w14:paraId="449EFF6C"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22B9B691" w14:textId="77777777" w:rsidR="00A8311D" w:rsidRPr="00DE404D" w:rsidRDefault="00A8311D" w:rsidP="00713023">
            <w:pPr>
              <w:autoSpaceDE w:val="0"/>
              <w:autoSpaceDN w:val="0"/>
              <w:adjustRightInd w:val="0"/>
              <w:jc w:val="both"/>
              <w:rPr>
                <w:sz w:val="22"/>
                <w:szCs w:val="22"/>
              </w:rPr>
            </w:pPr>
          </w:p>
        </w:tc>
        <w:tc>
          <w:tcPr>
            <w:tcW w:w="851" w:type="dxa"/>
            <w:shd w:val="clear" w:color="auto" w:fill="FFFFFF"/>
          </w:tcPr>
          <w:p w14:paraId="499D9478" w14:textId="77777777" w:rsidR="00A8311D" w:rsidRPr="00DE404D" w:rsidRDefault="00A8311D" w:rsidP="00713023">
            <w:pPr>
              <w:autoSpaceDE w:val="0"/>
              <w:autoSpaceDN w:val="0"/>
              <w:adjustRightInd w:val="0"/>
              <w:jc w:val="both"/>
              <w:rPr>
                <w:sz w:val="22"/>
                <w:szCs w:val="22"/>
              </w:rPr>
            </w:pPr>
          </w:p>
        </w:tc>
        <w:tc>
          <w:tcPr>
            <w:tcW w:w="708" w:type="dxa"/>
            <w:shd w:val="clear" w:color="auto" w:fill="FFFFFF"/>
            <w:vAlign w:val="center"/>
          </w:tcPr>
          <w:p w14:paraId="3D55977C" w14:textId="77777777" w:rsidR="00A8311D" w:rsidRPr="00DE404D" w:rsidRDefault="00A8311D" w:rsidP="00713023">
            <w:pPr>
              <w:autoSpaceDE w:val="0"/>
              <w:autoSpaceDN w:val="0"/>
              <w:adjustRightInd w:val="0"/>
              <w:jc w:val="both"/>
              <w:rPr>
                <w:sz w:val="22"/>
                <w:szCs w:val="22"/>
              </w:rPr>
            </w:pPr>
          </w:p>
        </w:tc>
        <w:tc>
          <w:tcPr>
            <w:tcW w:w="709" w:type="dxa"/>
            <w:shd w:val="clear" w:color="auto" w:fill="FFFFFF"/>
            <w:vAlign w:val="center"/>
          </w:tcPr>
          <w:p w14:paraId="17A14C5C"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21FB36DF" w14:textId="77777777" w:rsidR="00A8311D" w:rsidRPr="00DE404D" w:rsidRDefault="00A8311D" w:rsidP="00713023">
            <w:pPr>
              <w:autoSpaceDE w:val="0"/>
              <w:autoSpaceDN w:val="0"/>
              <w:adjustRightInd w:val="0"/>
              <w:jc w:val="both"/>
              <w:rPr>
                <w:sz w:val="22"/>
                <w:szCs w:val="22"/>
              </w:rPr>
            </w:pPr>
          </w:p>
        </w:tc>
      </w:tr>
      <w:tr w:rsidR="00A8311D" w:rsidRPr="00DE404D" w14:paraId="74F1636F" w14:textId="77777777" w:rsidTr="00713023">
        <w:trPr>
          <w:cantSplit/>
          <w:trHeight w:hRule="exact" w:val="340"/>
        </w:trPr>
        <w:tc>
          <w:tcPr>
            <w:tcW w:w="1828" w:type="dxa"/>
            <w:shd w:val="clear" w:color="auto" w:fill="FFFFFF"/>
            <w:vAlign w:val="center"/>
          </w:tcPr>
          <w:p w14:paraId="44FC5BBA" w14:textId="77777777" w:rsidR="00A8311D" w:rsidRPr="00DE404D" w:rsidRDefault="00A8311D" w:rsidP="00713023">
            <w:pPr>
              <w:jc w:val="both"/>
              <w:rPr>
                <w:sz w:val="22"/>
                <w:szCs w:val="22"/>
              </w:rPr>
            </w:pPr>
            <w:r w:rsidRPr="00DE404D">
              <w:rPr>
                <w:sz w:val="22"/>
                <w:szCs w:val="22"/>
              </w:rPr>
              <w:t>Chivité et al</w:t>
            </w:r>
          </w:p>
        </w:tc>
        <w:tc>
          <w:tcPr>
            <w:tcW w:w="440" w:type="dxa"/>
            <w:shd w:val="clear" w:color="auto" w:fill="FFFFFF"/>
            <w:vAlign w:val="center"/>
          </w:tcPr>
          <w:p w14:paraId="2057B933" w14:textId="77777777" w:rsidR="00A8311D" w:rsidRPr="00DE404D" w:rsidRDefault="00A8311D" w:rsidP="00713023">
            <w:pPr>
              <w:autoSpaceDE w:val="0"/>
              <w:autoSpaceDN w:val="0"/>
              <w:adjustRightInd w:val="0"/>
              <w:jc w:val="both"/>
              <w:rPr>
                <w:sz w:val="22"/>
                <w:szCs w:val="22"/>
              </w:rPr>
            </w:pPr>
          </w:p>
        </w:tc>
        <w:tc>
          <w:tcPr>
            <w:tcW w:w="1276" w:type="dxa"/>
            <w:shd w:val="clear" w:color="auto" w:fill="FFFFFF"/>
            <w:vAlign w:val="center"/>
          </w:tcPr>
          <w:p w14:paraId="6068B011" w14:textId="77777777" w:rsidR="00A8311D" w:rsidRPr="00DE404D" w:rsidRDefault="00A8311D" w:rsidP="00713023">
            <w:pPr>
              <w:autoSpaceDE w:val="0"/>
              <w:autoSpaceDN w:val="0"/>
              <w:adjustRightInd w:val="0"/>
              <w:jc w:val="both"/>
              <w:rPr>
                <w:sz w:val="22"/>
                <w:szCs w:val="22"/>
              </w:rPr>
            </w:pPr>
          </w:p>
        </w:tc>
        <w:tc>
          <w:tcPr>
            <w:tcW w:w="660" w:type="dxa"/>
            <w:shd w:val="clear" w:color="auto" w:fill="FFFFFF"/>
            <w:vAlign w:val="center"/>
          </w:tcPr>
          <w:p w14:paraId="2B377483" w14:textId="77777777" w:rsidR="00A8311D" w:rsidRPr="00DE404D" w:rsidRDefault="00A8311D" w:rsidP="00713023">
            <w:pPr>
              <w:autoSpaceDE w:val="0"/>
              <w:autoSpaceDN w:val="0"/>
              <w:adjustRightInd w:val="0"/>
              <w:jc w:val="both"/>
              <w:rPr>
                <w:sz w:val="22"/>
                <w:szCs w:val="22"/>
              </w:rPr>
            </w:pPr>
            <w:r w:rsidRPr="00DE404D">
              <w:rPr>
                <w:sz w:val="22"/>
                <w:szCs w:val="22"/>
              </w:rPr>
              <w:t>6.721</w:t>
            </w:r>
          </w:p>
        </w:tc>
        <w:tc>
          <w:tcPr>
            <w:tcW w:w="616" w:type="dxa"/>
            <w:shd w:val="clear" w:color="auto" w:fill="FFFFFF"/>
            <w:vAlign w:val="center"/>
          </w:tcPr>
          <w:p w14:paraId="097D947E" w14:textId="77777777" w:rsidR="00A8311D" w:rsidRPr="00DE404D" w:rsidRDefault="00A8311D" w:rsidP="00713023">
            <w:pPr>
              <w:autoSpaceDE w:val="0"/>
              <w:autoSpaceDN w:val="0"/>
              <w:adjustRightInd w:val="0"/>
              <w:jc w:val="both"/>
              <w:rPr>
                <w:sz w:val="22"/>
                <w:szCs w:val="22"/>
              </w:rPr>
            </w:pPr>
            <w:r w:rsidRPr="00DE404D">
              <w:rPr>
                <w:sz w:val="22"/>
                <w:szCs w:val="22"/>
              </w:rPr>
              <w:t>.199</w:t>
            </w:r>
          </w:p>
        </w:tc>
        <w:tc>
          <w:tcPr>
            <w:tcW w:w="992" w:type="dxa"/>
            <w:shd w:val="clear" w:color="auto" w:fill="FFFFFF"/>
            <w:vAlign w:val="center"/>
          </w:tcPr>
          <w:p w14:paraId="31B66384" w14:textId="77777777" w:rsidR="00A8311D" w:rsidRPr="00DE404D" w:rsidRDefault="00A8311D" w:rsidP="00713023">
            <w:pPr>
              <w:autoSpaceDE w:val="0"/>
              <w:autoSpaceDN w:val="0"/>
              <w:adjustRightInd w:val="0"/>
              <w:jc w:val="both"/>
              <w:rPr>
                <w:sz w:val="22"/>
                <w:szCs w:val="22"/>
              </w:rPr>
            </w:pPr>
            <w:r w:rsidRPr="00DE404D">
              <w:rPr>
                <w:sz w:val="22"/>
                <w:szCs w:val="22"/>
              </w:rPr>
              <w:t>33.794**</w:t>
            </w:r>
          </w:p>
        </w:tc>
        <w:tc>
          <w:tcPr>
            <w:tcW w:w="851" w:type="dxa"/>
            <w:shd w:val="clear" w:color="auto" w:fill="FFFFFF"/>
          </w:tcPr>
          <w:p w14:paraId="3D148C34" w14:textId="19B77FC9" w:rsidR="00A8311D" w:rsidRPr="00DE404D" w:rsidRDefault="00AC1059" w:rsidP="00713023">
            <w:pPr>
              <w:autoSpaceDE w:val="0"/>
              <w:autoSpaceDN w:val="0"/>
              <w:adjustRightInd w:val="0"/>
              <w:jc w:val="both"/>
              <w:rPr>
                <w:sz w:val="22"/>
                <w:szCs w:val="22"/>
              </w:rPr>
            </w:pPr>
            <w:r>
              <w:rPr>
                <w:sz w:val="22"/>
                <w:szCs w:val="22"/>
              </w:rPr>
              <w:t>1,68</w:t>
            </w:r>
            <w:r w:rsidR="00A8311D" w:rsidRPr="00DE404D">
              <w:rPr>
                <w:sz w:val="22"/>
                <w:szCs w:val="22"/>
              </w:rPr>
              <w:t>7</w:t>
            </w:r>
          </w:p>
        </w:tc>
        <w:tc>
          <w:tcPr>
            <w:tcW w:w="708" w:type="dxa"/>
            <w:shd w:val="clear" w:color="auto" w:fill="FFFFFF"/>
            <w:vAlign w:val="center"/>
          </w:tcPr>
          <w:p w14:paraId="58538B25" w14:textId="77777777" w:rsidR="00A8311D" w:rsidRPr="00DE404D" w:rsidRDefault="00A8311D" w:rsidP="00713023">
            <w:pPr>
              <w:autoSpaceDE w:val="0"/>
              <w:autoSpaceDN w:val="0"/>
              <w:adjustRightInd w:val="0"/>
              <w:jc w:val="both"/>
              <w:rPr>
                <w:sz w:val="22"/>
                <w:szCs w:val="22"/>
              </w:rPr>
            </w:pPr>
            <w:r w:rsidRPr="00DE404D">
              <w:rPr>
                <w:sz w:val="22"/>
                <w:szCs w:val="22"/>
              </w:rPr>
              <w:t>.788</w:t>
            </w:r>
          </w:p>
        </w:tc>
        <w:tc>
          <w:tcPr>
            <w:tcW w:w="709" w:type="dxa"/>
            <w:shd w:val="clear" w:color="auto" w:fill="FFFFFF"/>
            <w:vAlign w:val="center"/>
          </w:tcPr>
          <w:p w14:paraId="180DE5A2" w14:textId="77777777" w:rsidR="00A8311D" w:rsidRPr="00DE404D" w:rsidRDefault="00A8311D" w:rsidP="00713023">
            <w:pPr>
              <w:autoSpaceDE w:val="0"/>
              <w:autoSpaceDN w:val="0"/>
              <w:adjustRightInd w:val="0"/>
              <w:jc w:val="both"/>
              <w:rPr>
                <w:sz w:val="22"/>
                <w:szCs w:val="22"/>
              </w:rPr>
            </w:pPr>
            <w:r w:rsidRPr="00DE404D">
              <w:rPr>
                <w:sz w:val="22"/>
                <w:szCs w:val="22"/>
              </w:rPr>
              <w:t>6.33</w:t>
            </w:r>
          </w:p>
        </w:tc>
        <w:tc>
          <w:tcPr>
            <w:tcW w:w="992" w:type="dxa"/>
            <w:shd w:val="clear" w:color="auto" w:fill="FFFFFF"/>
            <w:vAlign w:val="center"/>
          </w:tcPr>
          <w:p w14:paraId="682F2D80" w14:textId="77777777" w:rsidR="00A8311D" w:rsidRPr="00DE404D" w:rsidRDefault="00A8311D" w:rsidP="00713023">
            <w:pPr>
              <w:autoSpaceDE w:val="0"/>
              <w:autoSpaceDN w:val="0"/>
              <w:adjustRightInd w:val="0"/>
              <w:jc w:val="both"/>
              <w:rPr>
                <w:sz w:val="22"/>
                <w:szCs w:val="22"/>
              </w:rPr>
            </w:pPr>
            <w:r w:rsidRPr="00DE404D">
              <w:rPr>
                <w:sz w:val="22"/>
                <w:szCs w:val="22"/>
              </w:rPr>
              <w:t>7.11</w:t>
            </w:r>
          </w:p>
        </w:tc>
      </w:tr>
      <w:tr w:rsidR="00A8311D" w:rsidRPr="00DE404D" w14:paraId="1B532D6E" w14:textId="77777777" w:rsidTr="00713023">
        <w:trPr>
          <w:cantSplit/>
          <w:trHeight w:hRule="exact" w:val="340"/>
        </w:trPr>
        <w:tc>
          <w:tcPr>
            <w:tcW w:w="1828" w:type="dxa"/>
            <w:shd w:val="clear" w:color="auto" w:fill="FFFFFF"/>
            <w:vAlign w:val="center"/>
          </w:tcPr>
          <w:p w14:paraId="6B8094A7" w14:textId="77777777" w:rsidR="00A8311D" w:rsidRPr="00DE404D" w:rsidRDefault="00A8311D" w:rsidP="00713023">
            <w:pPr>
              <w:jc w:val="both"/>
              <w:rPr>
                <w:sz w:val="22"/>
                <w:szCs w:val="22"/>
              </w:rPr>
            </w:pPr>
            <w:r w:rsidRPr="00DE404D">
              <w:rPr>
                <w:sz w:val="22"/>
                <w:szCs w:val="22"/>
              </w:rPr>
              <w:t>Model 1</w:t>
            </w:r>
          </w:p>
        </w:tc>
        <w:tc>
          <w:tcPr>
            <w:tcW w:w="440" w:type="dxa"/>
            <w:shd w:val="clear" w:color="auto" w:fill="FFFFFF"/>
            <w:vAlign w:val="center"/>
          </w:tcPr>
          <w:p w14:paraId="3ED3CA45" w14:textId="77777777" w:rsidR="00A8311D" w:rsidRPr="00DE404D" w:rsidRDefault="00A8311D" w:rsidP="00713023">
            <w:pPr>
              <w:autoSpaceDE w:val="0"/>
              <w:autoSpaceDN w:val="0"/>
              <w:adjustRightInd w:val="0"/>
              <w:jc w:val="both"/>
              <w:rPr>
                <w:sz w:val="22"/>
                <w:szCs w:val="22"/>
              </w:rPr>
            </w:pPr>
            <w:r w:rsidRPr="00DE404D">
              <w:rPr>
                <w:sz w:val="22"/>
                <w:szCs w:val="22"/>
              </w:rPr>
              <w:t>.661</w:t>
            </w:r>
          </w:p>
        </w:tc>
        <w:tc>
          <w:tcPr>
            <w:tcW w:w="1276" w:type="dxa"/>
            <w:shd w:val="clear" w:color="auto" w:fill="FFFFFF"/>
            <w:vAlign w:val="center"/>
          </w:tcPr>
          <w:p w14:paraId="5E039FCB" w14:textId="77777777" w:rsidR="00A8311D" w:rsidRPr="00DE404D" w:rsidRDefault="00A8311D" w:rsidP="00713023">
            <w:pPr>
              <w:autoSpaceDE w:val="0"/>
              <w:autoSpaceDN w:val="0"/>
              <w:adjustRightInd w:val="0"/>
              <w:jc w:val="both"/>
              <w:rPr>
                <w:sz w:val="22"/>
                <w:szCs w:val="22"/>
              </w:rPr>
            </w:pPr>
            <w:r w:rsidRPr="00DE404D">
              <w:rPr>
                <w:sz w:val="22"/>
                <w:szCs w:val="22"/>
              </w:rPr>
              <w:t>1363.613**</w:t>
            </w:r>
          </w:p>
        </w:tc>
        <w:tc>
          <w:tcPr>
            <w:tcW w:w="660" w:type="dxa"/>
            <w:shd w:val="clear" w:color="auto" w:fill="FFFFFF"/>
            <w:vAlign w:val="center"/>
          </w:tcPr>
          <w:p w14:paraId="4C1609B5" w14:textId="77777777" w:rsidR="00A8311D" w:rsidRPr="00DE404D" w:rsidRDefault="00A8311D" w:rsidP="00713023">
            <w:pPr>
              <w:autoSpaceDE w:val="0"/>
              <w:autoSpaceDN w:val="0"/>
              <w:adjustRightInd w:val="0"/>
              <w:jc w:val="both"/>
              <w:rPr>
                <w:sz w:val="22"/>
                <w:szCs w:val="22"/>
              </w:rPr>
            </w:pPr>
          </w:p>
        </w:tc>
        <w:tc>
          <w:tcPr>
            <w:tcW w:w="616" w:type="dxa"/>
            <w:shd w:val="clear" w:color="auto" w:fill="FFFFFF"/>
            <w:vAlign w:val="center"/>
          </w:tcPr>
          <w:p w14:paraId="047F523A"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23823D02" w14:textId="77777777" w:rsidR="00A8311D" w:rsidRPr="00DE404D" w:rsidRDefault="00A8311D" w:rsidP="00713023">
            <w:pPr>
              <w:autoSpaceDE w:val="0"/>
              <w:autoSpaceDN w:val="0"/>
              <w:adjustRightInd w:val="0"/>
              <w:jc w:val="both"/>
              <w:rPr>
                <w:sz w:val="22"/>
                <w:szCs w:val="22"/>
              </w:rPr>
            </w:pPr>
          </w:p>
        </w:tc>
        <w:tc>
          <w:tcPr>
            <w:tcW w:w="851" w:type="dxa"/>
            <w:shd w:val="clear" w:color="auto" w:fill="FFFFFF"/>
          </w:tcPr>
          <w:p w14:paraId="566B4992" w14:textId="77777777" w:rsidR="00A8311D" w:rsidRPr="00DE404D" w:rsidRDefault="00A8311D" w:rsidP="00713023">
            <w:pPr>
              <w:autoSpaceDE w:val="0"/>
              <w:autoSpaceDN w:val="0"/>
              <w:adjustRightInd w:val="0"/>
              <w:jc w:val="both"/>
              <w:rPr>
                <w:sz w:val="22"/>
                <w:szCs w:val="22"/>
              </w:rPr>
            </w:pPr>
          </w:p>
        </w:tc>
        <w:tc>
          <w:tcPr>
            <w:tcW w:w="708" w:type="dxa"/>
            <w:shd w:val="clear" w:color="auto" w:fill="FFFFFF"/>
            <w:vAlign w:val="center"/>
          </w:tcPr>
          <w:p w14:paraId="6CF249B1" w14:textId="77777777" w:rsidR="00A8311D" w:rsidRPr="00DE404D" w:rsidRDefault="00A8311D" w:rsidP="00713023">
            <w:pPr>
              <w:autoSpaceDE w:val="0"/>
              <w:autoSpaceDN w:val="0"/>
              <w:adjustRightInd w:val="0"/>
              <w:jc w:val="both"/>
              <w:rPr>
                <w:sz w:val="22"/>
                <w:szCs w:val="22"/>
              </w:rPr>
            </w:pPr>
          </w:p>
        </w:tc>
        <w:tc>
          <w:tcPr>
            <w:tcW w:w="709" w:type="dxa"/>
            <w:shd w:val="clear" w:color="auto" w:fill="FFFFFF"/>
            <w:vAlign w:val="center"/>
          </w:tcPr>
          <w:p w14:paraId="2601FB78"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35190149" w14:textId="77777777" w:rsidR="00A8311D" w:rsidRPr="00DE404D" w:rsidRDefault="00A8311D" w:rsidP="00713023">
            <w:pPr>
              <w:autoSpaceDE w:val="0"/>
              <w:autoSpaceDN w:val="0"/>
              <w:adjustRightInd w:val="0"/>
              <w:jc w:val="both"/>
              <w:rPr>
                <w:sz w:val="22"/>
                <w:szCs w:val="22"/>
              </w:rPr>
            </w:pPr>
          </w:p>
        </w:tc>
      </w:tr>
      <w:tr w:rsidR="00A8311D" w:rsidRPr="00DE404D" w14:paraId="5408927F" w14:textId="77777777" w:rsidTr="00713023">
        <w:trPr>
          <w:cantSplit/>
          <w:trHeight w:hRule="exact" w:val="340"/>
        </w:trPr>
        <w:tc>
          <w:tcPr>
            <w:tcW w:w="1828" w:type="dxa"/>
            <w:shd w:val="clear" w:color="auto" w:fill="FFFFFF"/>
            <w:vAlign w:val="center"/>
          </w:tcPr>
          <w:p w14:paraId="61029B9E" w14:textId="77777777" w:rsidR="00A8311D" w:rsidRPr="00DE404D" w:rsidRDefault="00A8311D" w:rsidP="00713023">
            <w:pPr>
              <w:jc w:val="both"/>
              <w:rPr>
                <w:b/>
                <w:sz w:val="22"/>
                <w:szCs w:val="22"/>
              </w:rPr>
            </w:pPr>
            <w:r w:rsidRPr="00DE404D">
              <w:rPr>
                <w:sz w:val="22"/>
                <w:szCs w:val="22"/>
              </w:rPr>
              <w:t xml:space="preserve">Terol-Cantero </w:t>
            </w:r>
            <w:r w:rsidRPr="00DE404D">
              <w:rPr>
                <w:i/>
                <w:sz w:val="22"/>
                <w:szCs w:val="22"/>
              </w:rPr>
              <w:t>et al</w:t>
            </w:r>
            <w:r w:rsidRPr="00DE404D">
              <w:rPr>
                <w:sz w:val="22"/>
                <w:szCs w:val="22"/>
              </w:rPr>
              <w:t>.</w:t>
            </w:r>
          </w:p>
        </w:tc>
        <w:tc>
          <w:tcPr>
            <w:tcW w:w="440" w:type="dxa"/>
            <w:shd w:val="clear" w:color="auto" w:fill="FFFFFF"/>
            <w:vAlign w:val="center"/>
          </w:tcPr>
          <w:p w14:paraId="3C18E141" w14:textId="77777777" w:rsidR="00A8311D" w:rsidRPr="00DE404D" w:rsidRDefault="00A8311D" w:rsidP="00713023">
            <w:pPr>
              <w:autoSpaceDE w:val="0"/>
              <w:autoSpaceDN w:val="0"/>
              <w:adjustRightInd w:val="0"/>
              <w:jc w:val="both"/>
              <w:rPr>
                <w:sz w:val="22"/>
                <w:szCs w:val="22"/>
              </w:rPr>
            </w:pPr>
          </w:p>
        </w:tc>
        <w:tc>
          <w:tcPr>
            <w:tcW w:w="1276" w:type="dxa"/>
            <w:shd w:val="clear" w:color="auto" w:fill="FFFFFF"/>
            <w:vAlign w:val="center"/>
          </w:tcPr>
          <w:p w14:paraId="218640D3" w14:textId="77777777" w:rsidR="00A8311D" w:rsidRPr="00DE404D" w:rsidRDefault="00A8311D" w:rsidP="00713023">
            <w:pPr>
              <w:autoSpaceDE w:val="0"/>
              <w:autoSpaceDN w:val="0"/>
              <w:adjustRightInd w:val="0"/>
              <w:jc w:val="both"/>
              <w:rPr>
                <w:sz w:val="22"/>
                <w:szCs w:val="22"/>
              </w:rPr>
            </w:pPr>
          </w:p>
        </w:tc>
        <w:tc>
          <w:tcPr>
            <w:tcW w:w="660" w:type="dxa"/>
            <w:shd w:val="clear" w:color="auto" w:fill="FFFFFF"/>
            <w:vAlign w:val="center"/>
          </w:tcPr>
          <w:p w14:paraId="367199B2" w14:textId="77777777" w:rsidR="00A8311D" w:rsidRPr="00DE404D" w:rsidRDefault="00A8311D" w:rsidP="00713023">
            <w:pPr>
              <w:autoSpaceDE w:val="0"/>
              <w:autoSpaceDN w:val="0"/>
              <w:adjustRightInd w:val="0"/>
              <w:jc w:val="both"/>
              <w:rPr>
                <w:sz w:val="22"/>
                <w:szCs w:val="22"/>
              </w:rPr>
            </w:pPr>
            <w:r w:rsidRPr="00DE404D">
              <w:rPr>
                <w:sz w:val="22"/>
                <w:szCs w:val="22"/>
              </w:rPr>
              <w:t>7.258</w:t>
            </w:r>
          </w:p>
        </w:tc>
        <w:tc>
          <w:tcPr>
            <w:tcW w:w="616" w:type="dxa"/>
            <w:shd w:val="clear" w:color="auto" w:fill="FFFFFF"/>
            <w:vAlign w:val="center"/>
          </w:tcPr>
          <w:p w14:paraId="3F222099" w14:textId="77777777" w:rsidR="00A8311D" w:rsidRPr="00DE404D" w:rsidRDefault="00A8311D" w:rsidP="00713023">
            <w:pPr>
              <w:autoSpaceDE w:val="0"/>
              <w:autoSpaceDN w:val="0"/>
              <w:adjustRightInd w:val="0"/>
              <w:jc w:val="both"/>
              <w:rPr>
                <w:sz w:val="22"/>
                <w:szCs w:val="22"/>
              </w:rPr>
            </w:pPr>
            <w:r w:rsidRPr="00DE404D">
              <w:rPr>
                <w:sz w:val="22"/>
                <w:szCs w:val="22"/>
              </w:rPr>
              <w:t>.197</w:t>
            </w:r>
          </w:p>
        </w:tc>
        <w:tc>
          <w:tcPr>
            <w:tcW w:w="992" w:type="dxa"/>
            <w:shd w:val="clear" w:color="auto" w:fill="FFFFFF"/>
            <w:vAlign w:val="center"/>
          </w:tcPr>
          <w:p w14:paraId="1B496CBE" w14:textId="77777777" w:rsidR="00A8311D" w:rsidRPr="00DE404D" w:rsidRDefault="00A8311D" w:rsidP="00713023">
            <w:pPr>
              <w:autoSpaceDE w:val="0"/>
              <w:autoSpaceDN w:val="0"/>
              <w:adjustRightInd w:val="0"/>
              <w:jc w:val="both"/>
              <w:rPr>
                <w:sz w:val="22"/>
                <w:szCs w:val="22"/>
              </w:rPr>
            </w:pPr>
            <w:r w:rsidRPr="00DE404D">
              <w:rPr>
                <w:sz w:val="22"/>
                <w:szCs w:val="22"/>
              </w:rPr>
              <w:t>36.927**</w:t>
            </w:r>
          </w:p>
        </w:tc>
        <w:tc>
          <w:tcPr>
            <w:tcW w:w="851" w:type="dxa"/>
            <w:shd w:val="clear" w:color="auto" w:fill="FFFFFF"/>
          </w:tcPr>
          <w:p w14:paraId="6ADD82B9" w14:textId="5A8F2EDD" w:rsidR="00A8311D" w:rsidRPr="00DE404D" w:rsidRDefault="00AC1059" w:rsidP="00713023">
            <w:pPr>
              <w:autoSpaceDE w:val="0"/>
              <w:autoSpaceDN w:val="0"/>
              <w:adjustRightInd w:val="0"/>
              <w:jc w:val="both"/>
              <w:rPr>
                <w:sz w:val="22"/>
                <w:szCs w:val="22"/>
              </w:rPr>
            </w:pPr>
            <w:r>
              <w:rPr>
                <w:sz w:val="22"/>
                <w:szCs w:val="22"/>
              </w:rPr>
              <w:t>1,68</w:t>
            </w:r>
            <w:r w:rsidR="00A8311D" w:rsidRPr="00DE404D">
              <w:rPr>
                <w:sz w:val="22"/>
                <w:szCs w:val="22"/>
              </w:rPr>
              <w:t>7</w:t>
            </w:r>
          </w:p>
        </w:tc>
        <w:tc>
          <w:tcPr>
            <w:tcW w:w="708" w:type="dxa"/>
            <w:shd w:val="clear" w:color="auto" w:fill="FFFFFF"/>
            <w:vAlign w:val="center"/>
          </w:tcPr>
          <w:p w14:paraId="4EECDAE8" w14:textId="77777777" w:rsidR="00A8311D" w:rsidRPr="00DE404D" w:rsidRDefault="00A8311D" w:rsidP="00713023">
            <w:pPr>
              <w:autoSpaceDE w:val="0"/>
              <w:autoSpaceDN w:val="0"/>
              <w:adjustRightInd w:val="0"/>
              <w:jc w:val="both"/>
              <w:rPr>
                <w:sz w:val="22"/>
                <w:szCs w:val="22"/>
              </w:rPr>
            </w:pPr>
            <w:r w:rsidRPr="00DE404D">
              <w:rPr>
                <w:sz w:val="22"/>
                <w:szCs w:val="22"/>
              </w:rPr>
              <w:t>.813</w:t>
            </w:r>
          </w:p>
        </w:tc>
        <w:tc>
          <w:tcPr>
            <w:tcW w:w="709" w:type="dxa"/>
            <w:shd w:val="clear" w:color="auto" w:fill="FFFFFF"/>
            <w:vAlign w:val="center"/>
          </w:tcPr>
          <w:p w14:paraId="6F96DF1A" w14:textId="77777777" w:rsidR="00A8311D" w:rsidRPr="00DE404D" w:rsidRDefault="00A8311D" w:rsidP="00713023">
            <w:pPr>
              <w:autoSpaceDE w:val="0"/>
              <w:autoSpaceDN w:val="0"/>
              <w:adjustRightInd w:val="0"/>
              <w:jc w:val="both"/>
              <w:rPr>
                <w:sz w:val="22"/>
                <w:szCs w:val="22"/>
              </w:rPr>
            </w:pPr>
            <w:r w:rsidRPr="00DE404D">
              <w:rPr>
                <w:sz w:val="22"/>
                <w:szCs w:val="22"/>
              </w:rPr>
              <w:t>6.87</w:t>
            </w:r>
          </w:p>
        </w:tc>
        <w:tc>
          <w:tcPr>
            <w:tcW w:w="992" w:type="dxa"/>
            <w:shd w:val="clear" w:color="auto" w:fill="FFFFFF"/>
            <w:vAlign w:val="center"/>
          </w:tcPr>
          <w:p w14:paraId="09F9ED12" w14:textId="77777777" w:rsidR="00A8311D" w:rsidRPr="00DE404D" w:rsidRDefault="00A8311D" w:rsidP="00713023">
            <w:pPr>
              <w:autoSpaceDE w:val="0"/>
              <w:autoSpaceDN w:val="0"/>
              <w:adjustRightInd w:val="0"/>
              <w:jc w:val="both"/>
              <w:rPr>
                <w:sz w:val="22"/>
                <w:szCs w:val="22"/>
              </w:rPr>
            </w:pPr>
            <w:r w:rsidRPr="00DE404D">
              <w:rPr>
                <w:sz w:val="22"/>
                <w:szCs w:val="22"/>
              </w:rPr>
              <w:t>7.64</w:t>
            </w:r>
          </w:p>
        </w:tc>
      </w:tr>
      <w:tr w:rsidR="00A8311D" w:rsidRPr="00DE404D" w14:paraId="7801D16A" w14:textId="77777777" w:rsidTr="00713023">
        <w:trPr>
          <w:cantSplit/>
          <w:trHeight w:hRule="exact" w:val="340"/>
        </w:trPr>
        <w:tc>
          <w:tcPr>
            <w:tcW w:w="1828" w:type="dxa"/>
            <w:shd w:val="clear" w:color="auto" w:fill="FFFFFF"/>
            <w:vAlign w:val="center"/>
          </w:tcPr>
          <w:p w14:paraId="67E8EC80" w14:textId="77777777" w:rsidR="00A8311D" w:rsidRPr="00DE404D" w:rsidRDefault="00A8311D" w:rsidP="00713023">
            <w:pPr>
              <w:jc w:val="both"/>
              <w:rPr>
                <w:b/>
                <w:sz w:val="22"/>
                <w:szCs w:val="22"/>
              </w:rPr>
            </w:pPr>
          </w:p>
        </w:tc>
        <w:tc>
          <w:tcPr>
            <w:tcW w:w="440" w:type="dxa"/>
            <w:shd w:val="clear" w:color="auto" w:fill="FFFFFF"/>
            <w:vAlign w:val="center"/>
          </w:tcPr>
          <w:p w14:paraId="6DC5C696" w14:textId="77777777" w:rsidR="00A8311D" w:rsidRPr="00DE404D" w:rsidRDefault="00A8311D" w:rsidP="00713023">
            <w:pPr>
              <w:autoSpaceDE w:val="0"/>
              <w:autoSpaceDN w:val="0"/>
              <w:adjustRightInd w:val="0"/>
              <w:jc w:val="both"/>
              <w:rPr>
                <w:sz w:val="22"/>
                <w:szCs w:val="22"/>
              </w:rPr>
            </w:pPr>
          </w:p>
        </w:tc>
        <w:tc>
          <w:tcPr>
            <w:tcW w:w="1276" w:type="dxa"/>
            <w:shd w:val="clear" w:color="auto" w:fill="FFFFFF"/>
            <w:vAlign w:val="center"/>
          </w:tcPr>
          <w:p w14:paraId="57604B65" w14:textId="77777777" w:rsidR="00A8311D" w:rsidRPr="00DE404D" w:rsidRDefault="00A8311D" w:rsidP="00713023">
            <w:pPr>
              <w:autoSpaceDE w:val="0"/>
              <w:autoSpaceDN w:val="0"/>
              <w:adjustRightInd w:val="0"/>
              <w:jc w:val="both"/>
              <w:rPr>
                <w:sz w:val="22"/>
                <w:szCs w:val="22"/>
              </w:rPr>
            </w:pPr>
          </w:p>
        </w:tc>
        <w:tc>
          <w:tcPr>
            <w:tcW w:w="660" w:type="dxa"/>
            <w:shd w:val="clear" w:color="auto" w:fill="FFFFFF"/>
            <w:vAlign w:val="center"/>
          </w:tcPr>
          <w:p w14:paraId="243958E8" w14:textId="77777777" w:rsidR="00A8311D" w:rsidRPr="00DE404D" w:rsidRDefault="00A8311D" w:rsidP="00713023">
            <w:pPr>
              <w:autoSpaceDE w:val="0"/>
              <w:autoSpaceDN w:val="0"/>
              <w:adjustRightInd w:val="0"/>
              <w:jc w:val="both"/>
              <w:rPr>
                <w:sz w:val="22"/>
                <w:szCs w:val="22"/>
              </w:rPr>
            </w:pPr>
          </w:p>
        </w:tc>
        <w:tc>
          <w:tcPr>
            <w:tcW w:w="616" w:type="dxa"/>
            <w:shd w:val="clear" w:color="auto" w:fill="FFFFFF"/>
            <w:vAlign w:val="center"/>
          </w:tcPr>
          <w:p w14:paraId="47146F62"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7601D7CB" w14:textId="77777777" w:rsidR="00A8311D" w:rsidRPr="00DE404D" w:rsidRDefault="00A8311D" w:rsidP="00713023">
            <w:pPr>
              <w:autoSpaceDE w:val="0"/>
              <w:autoSpaceDN w:val="0"/>
              <w:adjustRightInd w:val="0"/>
              <w:jc w:val="both"/>
              <w:rPr>
                <w:sz w:val="22"/>
                <w:szCs w:val="22"/>
                <w:vertAlign w:val="superscript"/>
              </w:rPr>
            </w:pPr>
          </w:p>
        </w:tc>
        <w:tc>
          <w:tcPr>
            <w:tcW w:w="851" w:type="dxa"/>
            <w:shd w:val="clear" w:color="auto" w:fill="FFFFFF"/>
          </w:tcPr>
          <w:p w14:paraId="3FC074BE" w14:textId="77777777" w:rsidR="00A8311D" w:rsidRPr="00DE404D" w:rsidRDefault="00A8311D" w:rsidP="00713023">
            <w:pPr>
              <w:autoSpaceDE w:val="0"/>
              <w:autoSpaceDN w:val="0"/>
              <w:adjustRightInd w:val="0"/>
              <w:jc w:val="both"/>
              <w:rPr>
                <w:sz w:val="22"/>
                <w:szCs w:val="22"/>
              </w:rPr>
            </w:pPr>
          </w:p>
        </w:tc>
        <w:tc>
          <w:tcPr>
            <w:tcW w:w="708" w:type="dxa"/>
            <w:shd w:val="clear" w:color="auto" w:fill="FFFFFF"/>
            <w:vAlign w:val="center"/>
          </w:tcPr>
          <w:p w14:paraId="554B6960" w14:textId="77777777" w:rsidR="00A8311D" w:rsidRPr="00DE404D" w:rsidRDefault="00A8311D" w:rsidP="00713023">
            <w:pPr>
              <w:autoSpaceDE w:val="0"/>
              <w:autoSpaceDN w:val="0"/>
              <w:adjustRightInd w:val="0"/>
              <w:jc w:val="both"/>
              <w:rPr>
                <w:sz w:val="22"/>
                <w:szCs w:val="22"/>
              </w:rPr>
            </w:pPr>
          </w:p>
        </w:tc>
        <w:tc>
          <w:tcPr>
            <w:tcW w:w="709" w:type="dxa"/>
            <w:shd w:val="clear" w:color="auto" w:fill="FFFFFF"/>
            <w:vAlign w:val="center"/>
          </w:tcPr>
          <w:p w14:paraId="4916653C"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7B369512" w14:textId="77777777" w:rsidR="00A8311D" w:rsidRPr="00DE404D" w:rsidRDefault="00A8311D" w:rsidP="00713023">
            <w:pPr>
              <w:autoSpaceDE w:val="0"/>
              <w:autoSpaceDN w:val="0"/>
              <w:adjustRightInd w:val="0"/>
              <w:jc w:val="both"/>
              <w:rPr>
                <w:sz w:val="22"/>
                <w:szCs w:val="22"/>
              </w:rPr>
            </w:pPr>
          </w:p>
        </w:tc>
      </w:tr>
      <w:tr w:rsidR="00A8311D" w:rsidRPr="00DE404D" w14:paraId="4C061174" w14:textId="77777777" w:rsidTr="00713023">
        <w:trPr>
          <w:cantSplit/>
          <w:trHeight w:hRule="exact" w:val="340"/>
        </w:trPr>
        <w:tc>
          <w:tcPr>
            <w:tcW w:w="1828" w:type="dxa"/>
            <w:shd w:val="clear" w:color="auto" w:fill="FFFFFF"/>
            <w:vAlign w:val="center"/>
          </w:tcPr>
          <w:p w14:paraId="78CBD5B4" w14:textId="77777777" w:rsidR="00A8311D" w:rsidRPr="00DE404D" w:rsidRDefault="00A8311D" w:rsidP="00713023">
            <w:pPr>
              <w:jc w:val="both"/>
              <w:rPr>
                <w:b/>
                <w:sz w:val="22"/>
                <w:szCs w:val="22"/>
              </w:rPr>
            </w:pPr>
            <w:r w:rsidRPr="00DE404D">
              <w:rPr>
                <w:b/>
                <w:sz w:val="22"/>
                <w:szCs w:val="22"/>
              </w:rPr>
              <w:t>Depression</w:t>
            </w:r>
          </w:p>
        </w:tc>
        <w:tc>
          <w:tcPr>
            <w:tcW w:w="440" w:type="dxa"/>
            <w:shd w:val="clear" w:color="auto" w:fill="FFFFFF"/>
            <w:vAlign w:val="center"/>
          </w:tcPr>
          <w:p w14:paraId="3ED24085" w14:textId="77777777" w:rsidR="00A8311D" w:rsidRPr="00DE404D" w:rsidRDefault="00A8311D" w:rsidP="00713023">
            <w:pPr>
              <w:autoSpaceDE w:val="0"/>
              <w:autoSpaceDN w:val="0"/>
              <w:adjustRightInd w:val="0"/>
              <w:jc w:val="both"/>
              <w:rPr>
                <w:sz w:val="22"/>
                <w:szCs w:val="22"/>
              </w:rPr>
            </w:pPr>
          </w:p>
        </w:tc>
        <w:tc>
          <w:tcPr>
            <w:tcW w:w="1276" w:type="dxa"/>
            <w:shd w:val="clear" w:color="auto" w:fill="FFFFFF"/>
            <w:vAlign w:val="center"/>
          </w:tcPr>
          <w:p w14:paraId="2301F7F9" w14:textId="77777777" w:rsidR="00A8311D" w:rsidRPr="00DE404D" w:rsidRDefault="00A8311D" w:rsidP="00713023">
            <w:pPr>
              <w:autoSpaceDE w:val="0"/>
              <w:autoSpaceDN w:val="0"/>
              <w:adjustRightInd w:val="0"/>
              <w:jc w:val="both"/>
              <w:rPr>
                <w:sz w:val="22"/>
                <w:szCs w:val="22"/>
              </w:rPr>
            </w:pPr>
          </w:p>
        </w:tc>
        <w:tc>
          <w:tcPr>
            <w:tcW w:w="660" w:type="dxa"/>
            <w:shd w:val="clear" w:color="auto" w:fill="FFFFFF"/>
            <w:vAlign w:val="center"/>
          </w:tcPr>
          <w:p w14:paraId="1D92D424" w14:textId="77777777" w:rsidR="00A8311D" w:rsidRPr="00DE404D" w:rsidRDefault="00A8311D" w:rsidP="00713023">
            <w:pPr>
              <w:autoSpaceDE w:val="0"/>
              <w:autoSpaceDN w:val="0"/>
              <w:adjustRightInd w:val="0"/>
              <w:jc w:val="both"/>
              <w:rPr>
                <w:sz w:val="22"/>
                <w:szCs w:val="22"/>
              </w:rPr>
            </w:pPr>
          </w:p>
        </w:tc>
        <w:tc>
          <w:tcPr>
            <w:tcW w:w="616" w:type="dxa"/>
            <w:shd w:val="clear" w:color="auto" w:fill="FFFFFF"/>
            <w:vAlign w:val="center"/>
          </w:tcPr>
          <w:p w14:paraId="24E123E6"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6C2AF895" w14:textId="77777777" w:rsidR="00A8311D" w:rsidRPr="00DE404D" w:rsidRDefault="00A8311D" w:rsidP="00713023">
            <w:pPr>
              <w:autoSpaceDE w:val="0"/>
              <w:autoSpaceDN w:val="0"/>
              <w:adjustRightInd w:val="0"/>
              <w:jc w:val="both"/>
              <w:rPr>
                <w:sz w:val="22"/>
                <w:szCs w:val="22"/>
                <w:vertAlign w:val="superscript"/>
              </w:rPr>
            </w:pPr>
          </w:p>
        </w:tc>
        <w:tc>
          <w:tcPr>
            <w:tcW w:w="851" w:type="dxa"/>
            <w:shd w:val="clear" w:color="auto" w:fill="FFFFFF"/>
          </w:tcPr>
          <w:p w14:paraId="478F57A7" w14:textId="77777777" w:rsidR="00A8311D" w:rsidRPr="00DE404D" w:rsidRDefault="00A8311D" w:rsidP="00713023">
            <w:pPr>
              <w:autoSpaceDE w:val="0"/>
              <w:autoSpaceDN w:val="0"/>
              <w:adjustRightInd w:val="0"/>
              <w:jc w:val="both"/>
              <w:rPr>
                <w:sz w:val="22"/>
                <w:szCs w:val="22"/>
              </w:rPr>
            </w:pPr>
          </w:p>
        </w:tc>
        <w:tc>
          <w:tcPr>
            <w:tcW w:w="708" w:type="dxa"/>
            <w:shd w:val="clear" w:color="auto" w:fill="FFFFFF"/>
            <w:vAlign w:val="center"/>
          </w:tcPr>
          <w:p w14:paraId="61226E51" w14:textId="77777777" w:rsidR="00A8311D" w:rsidRPr="00DE404D" w:rsidRDefault="00A8311D" w:rsidP="00713023">
            <w:pPr>
              <w:autoSpaceDE w:val="0"/>
              <w:autoSpaceDN w:val="0"/>
              <w:adjustRightInd w:val="0"/>
              <w:jc w:val="both"/>
              <w:rPr>
                <w:sz w:val="22"/>
                <w:szCs w:val="22"/>
              </w:rPr>
            </w:pPr>
          </w:p>
        </w:tc>
        <w:tc>
          <w:tcPr>
            <w:tcW w:w="709" w:type="dxa"/>
            <w:shd w:val="clear" w:color="auto" w:fill="FFFFFF"/>
            <w:vAlign w:val="center"/>
          </w:tcPr>
          <w:p w14:paraId="00EF12AA"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6EABB32F" w14:textId="77777777" w:rsidR="00A8311D" w:rsidRPr="00DE404D" w:rsidRDefault="00A8311D" w:rsidP="00713023">
            <w:pPr>
              <w:autoSpaceDE w:val="0"/>
              <w:autoSpaceDN w:val="0"/>
              <w:adjustRightInd w:val="0"/>
              <w:jc w:val="both"/>
              <w:rPr>
                <w:sz w:val="22"/>
                <w:szCs w:val="22"/>
              </w:rPr>
            </w:pPr>
          </w:p>
        </w:tc>
      </w:tr>
      <w:tr w:rsidR="00A8311D" w:rsidRPr="00DE404D" w14:paraId="255178F1" w14:textId="77777777" w:rsidTr="00713023">
        <w:trPr>
          <w:cantSplit/>
          <w:trHeight w:hRule="exact" w:val="340"/>
        </w:trPr>
        <w:tc>
          <w:tcPr>
            <w:tcW w:w="1828" w:type="dxa"/>
            <w:shd w:val="clear" w:color="auto" w:fill="FFFFFF"/>
            <w:vAlign w:val="center"/>
          </w:tcPr>
          <w:p w14:paraId="1FD86C6E" w14:textId="77777777" w:rsidR="00A8311D" w:rsidRPr="00DE404D" w:rsidRDefault="00A8311D" w:rsidP="00713023">
            <w:pPr>
              <w:jc w:val="both"/>
              <w:rPr>
                <w:sz w:val="22"/>
                <w:szCs w:val="22"/>
              </w:rPr>
            </w:pPr>
            <w:r w:rsidRPr="00DE404D">
              <w:rPr>
                <w:sz w:val="22"/>
                <w:szCs w:val="22"/>
              </w:rPr>
              <w:t>Model 1</w:t>
            </w:r>
          </w:p>
        </w:tc>
        <w:tc>
          <w:tcPr>
            <w:tcW w:w="440" w:type="dxa"/>
            <w:shd w:val="clear" w:color="auto" w:fill="FFFFFF"/>
            <w:vAlign w:val="center"/>
          </w:tcPr>
          <w:p w14:paraId="4CC470E8" w14:textId="77777777" w:rsidR="00A8311D" w:rsidRPr="00DE404D" w:rsidRDefault="00A8311D" w:rsidP="00713023">
            <w:pPr>
              <w:autoSpaceDE w:val="0"/>
              <w:autoSpaceDN w:val="0"/>
              <w:adjustRightInd w:val="0"/>
              <w:jc w:val="both"/>
              <w:rPr>
                <w:sz w:val="22"/>
                <w:szCs w:val="22"/>
              </w:rPr>
            </w:pPr>
            <w:r w:rsidRPr="00DE404D">
              <w:rPr>
                <w:sz w:val="22"/>
                <w:szCs w:val="22"/>
              </w:rPr>
              <w:t>.734</w:t>
            </w:r>
          </w:p>
        </w:tc>
        <w:tc>
          <w:tcPr>
            <w:tcW w:w="1276" w:type="dxa"/>
            <w:shd w:val="clear" w:color="auto" w:fill="FFFFFF"/>
            <w:vAlign w:val="center"/>
          </w:tcPr>
          <w:p w14:paraId="272C4FEC" w14:textId="77777777" w:rsidR="00A8311D" w:rsidRPr="00DE404D" w:rsidRDefault="00A8311D" w:rsidP="00713023">
            <w:pPr>
              <w:autoSpaceDE w:val="0"/>
              <w:autoSpaceDN w:val="0"/>
              <w:adjustRightInd w:val="0"/>
              <w:jc w:val="both"/>
              <w:rPr>
                <w:sz w:val="22"/>
                <w:szCs w:val="22"/>
              </w:rPr>
            </w:pPr>
            <w:r w:rsidRPr="00DE404D">
              <w:rPr>
                <w:sz w:val="22"/>
                <w:szCs w:val="22"/>
              </w:rPr>
              <w:t>1931.25**</w:t>
            </w:r>
          </w:p>
        </w:tc>
        <w:tc>
          <w:tcPr>
            <w:tcW w:w="660" w:type="dxa"/>
            <w:shd w:val="clear" w:color="auto" w:fill="FFFFFF"/>
            <w:vAlign w:val="center"/>
          </w:tcPr>
          <w:p w14:paraId="6A02C9D4" w14:textId="77777777" w:rsidR="00A8311D" w:rsidRPr="00DE404D" w:rsidRDefault="00A8311D" w:rsidP="00713023">
            <w:pPr>
              <w:autoSpaceDE w:val="0"/>
              <w:autoSpaceDN w:val="0"/>
              <w:adjustRightInd w:val="0"/>
              <w:jc w:val="both"/>
              <w:rPr>
                <w:sz w:val="22"/>
                <w:szCs w:val="22"/>
              </w:rPr>
            </w:pPr>
          </w:p>
        </w:tc>
        <w:tc>
          <w:tcPr>
            <w:tcW w:w="616" w:type="dxa"/>
            <w:shd w:val="clear" w:color="auto" w:fill="FFFFFF"/>
            <w:vAlign w:val="center"/>
          </w:tcPr>
          <w:p w14:paraId="0805B398"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5DC77F12" w14:textId="77777777" w:rsidR="00A8311D" w:rsidRPr="00DE404D" w:rsidRDefault="00A8311D" w:rsidP="00713023">
            <w:pPr>
              <w:autoSpaceDE w:val="0"/>
              <w:autoSpaceDN w:val="0"/>
              <w:adjustRightInd w:val="0"/>
              <w:jc w:val="both"/>
              <w:rPr>
                <w:sz w:val="22"/>
                <w:szCs w:val="22"/>
              </w:rPr>
            </w:pPr>
          </w:p>
        </w:tc>
        <w:tc>
          <w:tcPr>
            <w:tcW w:w="851" w:type="dxa"/>
            <w:shd w:val="clear" w:color="auto" w:fill="FFFFFF"/>
          </w:tcPr>
          <w:p w14:paraId="4962BFDD" w14:textId="77777777" w:rsidR="00A8311D" w:rsidRPr="00DE404D" w:rsidRDefault="00A8311D" w:rsidP="00713023">
            <w:pPr>
              <w:autoSpaceDE w:val="0"/>
              <w:autoSpaceDN w:val="0"/>
              <w:adjustRightInd w:val="0"/>
              <w:jc w:val="both"/>
              <w:rPr>
                <w:sz w:val="22"/>
                <w:szCs w:val="22"/>
              </w:rPr>
            </w:pPr>
          </w:p>
        </w:tc>
        <w:tc>
          <w:tcPr>
            <w:tcW w:w="708" w:type="dxa"/>
            <w:shd w:val="clear" w:color="auto" w:fill="FFFFFF"/>
            <w:vAlign w:val="center"/>
          </w:tcPr>
          <w:p w14:paraId="6C675175" w14:textId="77777777" w:rsidR="00A8311D" w:rsidRPr="00DE404D" w:rsidRDefault="00A8311D" w:rsidP="00713023">
            <w:pPr>
              <w:autoSpaceDE w:val="0"/>
              <w:autoSpaceDN w:val="0"/>
              <w:adjustRightInd w:val="0"/>
              <w:jc w:val="both"/>
              <w:rPr>
                <w:sz w:val="22"/>
                <w:szCs w:val="22"/>
              </w:rPr>
            </w:pPr>
          </w:p>
        </w:tc>
        <w:tc>
          <w:tcPr>
            <w:tcW w:w="709" w:type="dxa"/>
            <w:shd w:val="clear" w:color="auto" w:fill="FFFFFF"/>
            <w:vAlign w:val="center"/>
          </w:tcPr>
          <w:p w14:paraId="52ACDCFB"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4CA65D2E" w14:textId="77777777" w:rsidR="00A8311D" w:rsidRPr="00DE404D" w:rsidRDefault="00A8311D" w:rsidP="00713023">
            <w:pPr>
              <w:autoSpaceDE w:val="0"/>
              <w:autoSpaceDN w:val="0"/>
              <w:adjustRightInd w:val="0"/>
              <w:jc w:val="both"/>
              <w:rPr>
                <w:sz w:val="22"/>
                <w:szCs w:val="22"/>
              </w:rPr>
            </w:pPr>
          </w:p>
        </w:tc>
      </w:tr>
      <w:tr w:rsidR="00A8311D" w:rsidRPr="00DE404D" w14:paraId="0A1E60DE" w14:textId="77777777" w:rsidTr="00713023">
        <w:trPr>
          <w:cantSplit/>
          <w:trHeight w:hRule="exact" w:val="340"/>
        </w:trPr>
        <w:tc>
          <w:tcPr>
            <w:tcW w:w="1828" w:type="dxa"/>
            <w:shd w:val="clear" w:color="auto" w:fill="FFFFFF"/>
            <w:vAlign w:val="center"/>
          </w:tcPr>
          <w:p w14:paraId="4199771D" w14:textId="77777777" w:rsidR="00A8311D" w:rsidRPr="00DE404D" w:rsidRDefault="00A8311D" w:rsidP="00713023">
            <w:pPr>
              <w:jc w:val="both"/>
              <w:rPr>
                <w:sz w:val="22"/>
                <w:szCs w:val="22"/>
              </w:rPr>
            </w:pPr>
            <w:r w:rsidRPr="00DE404D">
              <w:rPr>
                <w:sz w:val="22"/>
                <w:szCs w:val="22"/>
              </w:rPr>
              <w:t>Zigmond and Snaith</w:t>
            </w:r>
          </w:p>
        </w:tc>
        <w:tc>
          <w:tcPr>
            <w:tcW w:w="440" w:type="dxa"/>
            <w:shd w:val="clear" w:color="auto" w:fill="FFFFFF"/>
            <w:vAlign w:val="center"/>
          </w:tcPr>
          <w:p w14:paraId="377B6AE7" w14:textId="77777777" w:rsidR="00A8311D" w:rsidRPr="00DE404D" w:rsidRDefault="00A8311D" w:rsidP="00713023">
            <w:pPr>
              <w:autoSpaceDE w:val="0"/>
              <w:autoSpaceDN w:val="0"/>
              <w:adjustRightInd w:val="0"/>
              <w:jc w:val="both"/>
              <w:rPr>
                <w:sz w:val="22"/>
                <w:szCs w:val="22"/>
              </w:rPr>
            </w:pPr>
          </w:p>
        </w:tc>
        <w:tc>
          <w:tcPr>
            <w:tcW w:w="1276" w:type="dxa"/>
            <w:shd w:val="clear" w:color="auto" w:fill="FFFFFF"/>
            <w:vAlign w:val="center"/>
          </w:tcPr>
          <w:p w14:paraId="14C0F1D1" w14:textId="77777777" w:rsidR="00A8311D" w:rsidRPr="00DE404D" w:rsidRDefault="00A8311D" w:rsidP="00713023">
            <w:pPr>
              <w:autoSpaceDE w:val="0"/>
              <w:autoSpaceDN w:val="0"/>
              <w:adjustRightInd w:val="0"/>
              <w:jc w:val="both"/>
              <w:rPr>
                <w:sz w:val="22"/>
                <w:szCs w:val="22"/>
              </w:rPr>
            </w:pPr>
          </w:p>
        </w:tc>
        <w:tc>
          <w:tcPr>
            <w:tcW w:w="660" w:type="dxa"/>
            <w:shd w:val="clear" w:color="auto" w:fill="FFFFFF"/>
            <w:vAlign w:val="center"/>
          </w:tcPr>
          <w:p w14:paraId="4909A6DB" w14:textId="77777777" w:rsidR="00A8311D" w:rsidRPr="00DE404D" w:rsidRDefault="00A8311D" w:rsidP="00713023">
            <w:pPr>
              <w:autoSpaceDE w:val="0"/>
              <w:autoSpaceDN w:val="0"/>
              <w:adjustRightInd w:val="0"/>
              <w:jc w:val="both"/>
              <w:rPr>
                <w:sz w:val="22"/>
                <w:szCs w:val="22"/>
              </w:rPr>
            </w:pPr>
            <w:r w:rsidRPr="00DE404D">
              <w:rPr>
                <w:sz w:val="22"/>
                <w:szCs w:val="22"/>
              </w:rPr>
              <w:t>3.622</w:t>
            </w:r>
          </w:p>
        </w:tc>
        <w:tc>
          <w:tcPr>
            <w:tcW w:w="616" w:type="dxa"/>
            <w:shd w:val="clear" w:color="auto" w:fill="FFFFFF"/>
            <w:vAlign w:val="center"/>
          </w:tcPr>
          <w:p w14:paraId="125307C9" w14:textId="77777777" w:rsidR="00A8311D" w:rsidRPr="00DE404D" w:rsidRDefault="00A8311D" w:rsidP="00713023">
            <w:pPr>
              <w:autoSpaceDE w:val="0"/>
              <w:autoSpaceDN w:val="0"/>
              <w:adjustRightInd w:val="0"/>
              <w:jc w:val="both"/>
              <w:rPr>
                <w:sz w:val="22"/>
                <w:szCs w:val="22"/>
              </w:rPr>
            </w:pPr>
            <w:r w:rsidRPr="00DE404D">
              <w:rPr>
                <w:sz w:val="22"/>
                <w:szCs w:val="22"/>
              </w:rPr>
              <w:t>.100</w:t>
            </w:r>
          </w:p>
        </w:tc>
        <w:tc>
          <w:tcPr>
            <w:tcW w:w="992" w:type="dxa"/>
            <w:shd w:val="clear" w:color="auto" w:fill="FFFFFF"/>
            <w:vAlign w:val="center"/>
          </w:tcPr>
          <w:p w14:paraId="165E76E6" w14:textId="77777777" w:rsidR="00A8311D" w:rsidRPr="00DE404D" w:rsidRDefault="00A8311D" w:rsidP="00713023">
            <w:pPr>
              <w:autoSpaceDE w:val="0"/>
              <w:autoSpaceDN w:val="0"/>
              <w:adjustRightInd w:val="0"/>
              <w:jc w:val="both"/>
              <w:rPr>
                <w:sz w:val="22"/>
                <w:szCs w:val="22"/>
              </w:rPr>
            </w:pPr>
            <w:r w:rsidRPr="00DE404D">
              <w:rPr>
                <w:sz w:val="22"/>
                <w:szCs w:val="22"/>
              </w:rPr>
              <w:t>43.946**</w:t>
            </w:r>
          </w:p>
        </w:tc>
        <w:tc>
          <w:tcPr>
            <w:tcW w:w="851" w:type="dxa"/>
            <w:shd w:val="clear" w:color="auto" w:fill="FFFFFF"/>
          </w:tcPr>
          <w:p w14:paraId="410416F8" w14:textId="4776EE60" w:rsidR="00A8311D" w:rsidRPr="00DE404D" w:rsidRDefault="00AC1059" w:rsidP="00713023">
            <w:pPr>
              <w:autoSpaceDE w:val="0"/>
              <w:autoSpaceDN w:val="0"/>
              <w:adjustRightInd w:val="0"/>
              <w:jc w:val="both"/>
              <w:rPr>
                <w:sz w:val="22"/>
                <w:szCs w:val="22"/>
              </w:rPr>
            </w:pPr>
            <w:r>
              <w:rPr>
                <w:sz w:val="22"/>
                <w:szCs w:val="22"/>
              </w:rPr>
              <w:t>1, 68</w:t>
            </w:r>
            <w:r w:rsidR="00A8311D" w:rsidRPr="00DE404D">
              <w:rPr>
                <w:sz w:val="22"/>
                <w:szCs w:val="22"/>
              </w:rPr>
              <w:t>7</w:t>
            </w:r>
          </w:p>
        </w:tc>
        <w:tc>
          <w:tcPr>
            <w:tcW w:w="708" w:type="dxa"/>
            <w:shd w:val="clear" w:color="auto" w:fill="FFFFFF"/>
            <w:vAlign w:val="center"/>
          </w:tcPr>
          <w:p w14:paraId="54F1F186" w14:textId="77777777" w:rsidR="00A8311D" w:rsidRPr="00DE404D" w:rsidRDefault="00A8311D" w:rsidP="00713023">
            <w:pPr>
              <w:autoSpaceDE w:val="0"/>
              <w:autoSpaceDN w:val="0"/>
              <w:adjustRightInd w:val="0"/>
              <w:jc w:val="both"/>
              <w:rPr>
                <w:sz w:val="22"/>
                <w:szCs w:val="22"/>
              </w:rPr>
            </w:pPr>
            <w:r w:rsidRPr="00DE404D">
              <w:rPr>
                <w:sz w:val="22"/>
                <w:szCs w:val="22"/>
              </w:rPr>
              <w:t>.857</w:t>
            </w:r>
          </w:p>
        </w:tc>
        <w:tc>
          <w:tcPr>
            <w:tcW w:w="709" w:type="dxa"/>
            <w:shd w:val="clear" w:color="auto" w:fill="FFFFFF"/>
            <w:vAlign w:val="center"/>
          </w:tcPr>
          <w:p w14:paraId="60CB7BD1" w14:textId="77777777" w:rsidR="00A8311D" w:rsidRPr="00DE404D" w:rsidRDefault="00A8311D" w:rsidP="00713023">
            <w:pPr>
              <w:autoSpaceDE w:val="0"/>
              <w:autoSpaceDN w:val="0"/>
              <w:adjustRightInd w:val="0"/>
              <w:jc w:val="both"/>
              <w:rPr>
                <w:sz w:val="22"/>
                <w:szCs w:val="22"/>
              </w:rPr>
            </w:pPr>
            <w:r w:rsidRPr="00DE404D">
              <w:rPr>
                <w:sz w:val="22"/>
                <w:szCs w:val="22"/>
              </w:rPr>
              <w:t>4.197</w:t>
            </w:r>
          </w:p>
        </w:tc>
        <w:tc>
          <w:tcPr>
            <w:tcW w:w="992" w:type="dxa"/>
            <w:shd w:val="clear" w:color="auto" w:fill="FFFFFF"/>
            <w:vAlign w:val="center"/>
          </w:tcPr>
          <w:p w14:paraId="7959EE78" w14:textId="77777777" w:rsidR="00A8311D" w:rsidRPr="00DE404D" w:rsidRDefault="00A8311D" w:rsidP="00713023">
            <w:pPr>
              <w:autoSpaceDE w:val="0"/>
              <w:autoSpaceDN w:val="0"/>
              <w:adjustRightInd w:val="0"/>
              <w:jc w:val="both"/>
              <w:rPr>
                <w:sz w:val="22"/>
                <w:szCs w:val="22"/>
              </w:rPr>
            </w:pPr>
            <w:r w:rsidRPr="00DE404D">
              <w:rPr>
                <w:sz w:val="22"/>
                <w:szCs w:val="22"/>
              </w:rPr>
              <w:t>4.590</w:t>
            </w:r>
          </w:p>
        </w:tc>
      </w:tr>
      <w:tr w:rsidR="00A8311D" w:rsidRPr="00DE404D" w14:paraId="64A7B923" w14:textId="77777777" w:rsidTr="00713023">
        <w:trPr>
          <w:cantSplit/>
          <w:trHeight w:hRule="exact" w:val="340"/>
        </w:trPr>
        <w:tc>
          <w:tcPr>
            <w:tcW w:w="1828" w:type="dxa"/>
            <w:shd w:val="clear" w:color="auto" w:fill="FFFFFF"/>
            <w:vAlign w:val="center"/>
          </w:tcPr>
          <w:p w14:paraId="4A76CE15" w14:textId="77777777" w:rsidR="00A8311D" w:rsidRPr="00DE404D" w:rsidRDefault="00A8311D" w:rsidP="00713023">
            <w:pPr>
              <w:jc w:val="both"/>
              <w:rPr>
                <w:sz w:val="22"/>
                <w:szCs w:val="22"/>
              </w:rPr>
            </w:pPr>
            <w:r w:rsidRPr="00DE404D">
              <w:rPr>
                <w:sz w:val="22"/>
                <w:szCs w:val="22"/>
              </w:rPr>
              <w:t xml:space="preserve">Model 1 </w:t>
            </w:r>
          </w:p>
        </w:tc>
        <w:tc>
          <w:tcPr>
            <w:tcW w:w="440" w:type="dxa"/>
            <w:shd w:val="clear" w:color="auto" w:fill="FFFFFF"/>
            <w:vAlign w:val="center"/>
          </w:tcPr>
          <w:p w14:paraId="4ACCE6A0" w14:textId="77777777" w:rsidR="00A8311D" w:rsidRPr="00DE404D" w:rsidRDefault="00A8311D" w:rsidP="00713023">
            <w:pPr>
              <w:autoSpaceDE w:val="0"/>
              <w:autoSpaceDN w:val="0"/>
              <w:adjustRightInd w:val="0"/>
              <w:jc w:val="both"/>
              <w:rPr>
                <w:sz w:val="22"/>
                <w:szCs w:val="22"/>
              </w:rPr>
            </w:pPr>
            <w:r w:rsidRPr="00DE404D">
              <w:rPr>
                <w:sz w:val="22"/>
                <w:szCs w:val="22"/>
              </w:rPr>
              <w:t>.630</w:t>
            </w:r>
          </w:p>
        </w:tc>
        <w:tc>
          <w:tcPr>
            <w:tcW w:w="1276" w:type="dxa"/>
            <w:shd w:val="clear" w:color="auto" w:fill="FFFFFF"/>
            <w:vAlign w:val="center"/>
          </w:tcPr>
          <w:p w14:paraId="31B870A7" w14:textId="77777777" w:rsidR="00A8311D" w:rsidRPr="00DE404D" w:rsidRDefault="00A8311D" w:rsidP="00713023">
            <w:pPr>
              <w:autoSpaceDE w:val="0"/>
              <w:autoSpaceDN w:val="0"/>
              <w:adjustRightInd w:val="0"/>
              <w:jc w:val="both"/>
              <w:rPr>
                <w:sz w:val="22"/>
                <w:szCs w:val="22"/>
              </w:rPr>
            </w:pPr>
            <w:r w:rsidRPr="00DE404D">
              <w:rPr>
                <w:sz w:val="22"/>
                <w:szCs w:val="22"/>
              </w:rPr>
              <w:t>1184.41**</w:t>
            </w:r>
          </w:p>
        </w:tc>
        <w:tc>
          <w:tcPr>
            <w:tcW w:w="660" w:type="dxa"/>
            <w:shd w:val="clear" w:color="auto" w:fill="FFFFFF"/>
            <w:vAlign w:val="center"/>
          </w:tcPr>
          <w:p w14:paraId="0BC6790F" w14:textId="77777777" w:rsidR="00A8311D" w:rsidRPr="00DE404D" w:rsidRDefault="00A8311D" w:rsidP="00713023">
            <w:pPr>
              <w:autoSpaceDE w:val="0"/>
              <w:autoSpaceDN w:val="0"/>
              <w:adjustRightInd w:val="0"/>
              <w:jc w:val="both"/>
              <w:rPr>
                <w:sz w:val="22"/>
                <w:szCs w:val="22"/>
              </w:rPr>
            </w:pPr>
          </w:p>
        </w:tc>
        <w:tc>
          <w:tcPr>
            <w:tcW w:w="616" w:type="dxa"/>
            <w:shd w:val="clear" w:color="auto" w:fill="FFFFFF"/>
            <w:vAlign w:val="center"/>
          </w:tcPr>
          <w:p w14:paraId="581EE560"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3452852B" w14:textId="77777777" w:rsidR="00A8311D" w:rsidRPr="00DE404D" w:rsidRDefault="00A8311D" w:rsidP="00713023">
            <w:pPr>
              <w:autoSpaceDE w:val="0"/>
              <w:autoSpaceDN w:val="0"/>
              <w:adjustRightInd w:val="0"/>
              <w:jc w:val="both"/>
              <w:rPr>
                <w:sz w:val="22"/>
                <w:szCs w:val="22"/>
              </w:rPr>
            </w:pPr>
          </w:p>
        </w:tc>
        <w:tc>
          <w:tcPr>
            <w:tcW w:w="851" w:type="dxa"/>
            <w:shd w:val="clear" w:color="auto" w:fill="FFFFFF"/>
          </w:tcPr>
          <w:p w14:paraId="5CCB8EAC" w14:textId="77777777" w:rsidR="00A8311D" w:rsidRPr="00DE404D" w:rsidRDefault="00A8311D" w:rsidP="00713023">
            <w:pPr>
              <w:autoSpaceDE w:val="0"/>
              <w:autoSpaceDN w:val="0"/>
              <w:adjustRightInd w:val="0"/>
              <w:jc w:val="both"/>
              <w:rPr>
                <w:sz w:val="22"/>
                <w:szCs w:val="22"/>
              </w:rPr>
            </w:pPr>
          </w:p>
        </w:tc>
        <w:tc>
          <w:tcPr>
            <w:tcW w:w="708" w:type="dxa"/>
            <w:shd w:val="clear" w:color="auto" w:fill="FFFFFF"/>
            <w:vAlign w:val="center"/>
          </w:tcPr>
          <w:p w14:paraId="082D4457" w14:textId="77777777" w:rsidR="00A8311D" w:rsidRPr="00DE404D" w:rsidRDefault="00A8311D" w:rsidP="00713023">
            <w:pPr>
              <w:autoSpaceDE w:val="0"/>
              <w:autoSpaceDN w:val="0"/>
              <w:adjustRightInd w:val="0"/>
              <w:jc w:val="both"/>
              <w:rPr>
                <w:sz w:val="22"/>
                <w:szCs w:val="22"/>
              </w:rPr>
            </w:pPr>
          </w:p>
        </w:tc>
        <w:tc>
          <w:tcPr>
            <w:tcW w:w="709" w:type="dxa"/>
            <w:shd w:val="clear" w:color="auto" w:fill="FFFFFF"/>
            <w:vAlign w:val="center"/>
          </w:tcPr>
          <w:p w14:paraId="4BA367A4"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56CBD498" w14:textId="77777777" w:rsidR="00A8311D" w:rsidRPr="00DE404D" w:rsidRDefault="00A8311D" w:rsidP="00713023">
            <w:pPr>
              <w:autoSpaceDE w:val="0"/>
              <w:autoSpaceDN w:val="0"/>
              <w:adjustRightInd w:val="0"/>
              <w:jc w:val="both"/>
              <w:rPr>
                <w:sz w:val="22"/>
                <w:szCs w:val="22"/>
              </w:rPr>
            </w:pPr>
          </w:p>
        </w:tc>
      </w:tr>
      <w:tr w:rsidR="00A8311D" w:rsidRPr="00DE404D" w14:paraId="015D6B71" w14:textId="77777777" w:rsidTr="00713023">
        <w:trPr>
          <w:cantSplit/>
          <w:trHeight w:hRule="exact" w:val="340"/>
        </w:trPr>
        <w:tc>
          <w:tcPr>
            <w:tcW w:w="1828" w:type="dxa"/>
            <w:shd w:val="clear" w:color="auto" w:fill="FFFFFF"/>
            <w:vAlign w:val="center"/>
          </w:tcPr>
          <w:p w14:paraId="11765F77" w14:textId="77777777" w:rsidR="00A8311D" w:rsidRPr="00DE404D" w:rsidRDefault="00A8311D" w:rsidP="00713023">
            <w:pPr>
              <w:jc w:val="both"/>
              <w:rPr>
                <w:sz w:val="22"/>
                <w:szCs w:val="22"/>
              </w:rPr>
            </w:pPr>
            <w:r w:rsidRPr="00DE404D">
              <w:rPr>
                <w:sz w:val="22"/>
                <w:szCs w:val="22"/>
              </w:rPr>
              <w:t>Chivité et al.</w:t>
            </w:r>
          </w:p>
        </w:tc>
        <w:tc>
          <w:tcPr>
            <w:tcW w:w="440" w:type="dxa"/>
            <w:shd w:val="clear" w:color="auto" w:fill="FFFFFF"/>
            <w:vAlign w:val="center"/>
          </w:tcPr>
          <w:p w14:paraId="0539135A" w14:textId="77777777" w:rsidR="00A8311D" w:rsidRPr="00DE404D" w:rsidRDefault="00A8311D" w:rsidP="00713023">
            <w:pPr>
              <w:autoSpaceDE w:val="0"/>
              <w:autoSpaceDN w:val="0"/>
              <w:adjustRightInd w:val="0"/>
              <w:jc w:val="both"/>
              <w:rPr>
                <w:sz w:val="22"/>
                <w:szCs w:val="22"/>
              </w:rPr>
            </w:pPr>
          </w:p>
        </w:tc>
        <w:tc>
          <w:tcPr>
            <w:tcW w:w="1276" w:type="dxa"/>
            <w:shd w:val="clear" w:color="auto" w:fill="FFFFFF"/>
            <w:vAlign w:val="center"/>
          </w:tcPr>
          <w:p w14:paraId="79A8233B" w14:textId="77777777" w:rsidR="00A8311D" w:rsidRPr="00DE404D" w:rsidRDefault="00A8311D" w:rsidP="00713023">
            <w:pPr>
              <w:autoSpaceDE w:val="0"/>
              <w:autoSpaceDN w:val="0"/>
              <w:adjustRightInd w:val="0"/>
              <w:jc w:val="both"/>
              <w:rPr>
                <w:sz w:val="22"/>
                <w:szCs w:val="22"/>
              </w:rPr>
            </w:pPr>
          </w:p>
        </w:tc>
        <w:tc>
          <w:tcPr>
            <w:tcW w:w="660" w:type="dxa"/>
            <w:shd w:val="clear" w:color="auto" w:fill="FFFFFF"/>
            <w:vAlign w:val="center"/>
          </w:tcPr>
          <w:p w14:paraId="425C8FD6" w14:textId="77777777" w:rsidR="00A8311D" w:rsidRPr="00DE404D" w:rsidRDefault="00A8311D" w:rsidP="00713023">
            <w:pPr>
              <w:autoSpaceDE w:val="0"/>
              <w:autoSpaceDN w:val="0"/>
              <w:adjustRightInd w:val="0"/>
              <w:jc w:val="both"/>
              <w:rPr>
                <w:sz w:val="22"/>
                <w:szCs w:val="22"/>
              </w:rPr>
            </w:pPr>
            <w:r w:rsidRPr="00DE404D">
              <w:rPr>
                <w:sz w:val="22"/>
                <w:szCs w:val="22"/>
              </w:rPr>
              <w:t>7.108</w:t>
            </w:r>
          </w:p>
        </w:tc>
        <w:tc>
          <w:tcPr>
            <w:tcW w:w="616" w:type="dxa"/>
            <w:shd w:val="clear" w:color="auto" w:fill="FFFFFF"/>
            <w:vAlign w:val="center"/>
          </w:tcPr>
          <w:p w14:paraId="7406D2E4" w14:textId="77777777" w:rsidR="00A8311D" w:rsidRPr="00DE404D" w:rsidRDefault="00A8311D" w:rsidP="00713023">
            <w:pPr>
              <w:autoSpaceDE w:val="0"/>
              <w:autoSpaceDN w:val="0"/>
              <w:adjustRightInd w:val="0"/>
              <w:jc w:val="both"/>
              <w:rPr>
                <w:sz w:val="22"/>
                <w:szCs w:val="22"/>
              </w:rPr>
            </w:pPr>
            <w:r w:rsidRPr="00DE404D">
              <w:rPr>
                <w:sz w:val="22"/>
                <w:szCs w:val="22"/>
              </w:rPr>
              <w:t>.207</w:t>
            </w:r>
          </w:p>
        </w:tc>
        <w:tc>
          <w:tcPr>
            <w:tcW w:w="992" w:type="dxa"/>
            <w:shd w:val="clear" w:color="auto" w:fill="FFFFFF"/>
            <w:vAlign w:val="center"/>
          </w:tcPr>
          <w:p w14:paraId="44D55FFA" w14:textId="77777777" w:rsidR="00A8311D" w:rsidRPr="00DE404D" w:rsidRDefault="00A8311D" w:rsidP="00713023">
            <w:pPr>
              <w:autoSpaceDE w:val="0"/>
              <w:autoSpaceDN w:val="0"/>
              <w:adjustRightInd w:val="0"/>
              <w:jc w:val="both"/>
              <w:rPr>
                <w:sz w:val="22"/>
                <w:szCs w:val="22"/>
              </w:rPr>
            </w:pPr>
            <w:r w:rsidRPr="00DE404D">
              <w:rPr>
                <w:sz w:val="22"/>
                <w:szCs w:val="22"/>
              </w:rPr>
              <w:t>34.415**</w:t>
            </w:r>
          </w:p>
        </w:tc>
        <w:tc>
          <w:tcPr>
            <w:tcW w:w="851" w:type="dxa"/>
            <w:shd w:val="clear" w:color="auto" w:fill="FFFFFF"/>
          </w:tcPr>
          <w:p w14:paraId="48CFCA11" w14:textId="799FF04C" w:rsidR="00A8311D" w:rsidRPr="00DE404D" w:rsidRDefault="00AC1059" w:rsidP="00713023">
            <w:pPr>
              <w:autoSpaceDE w:val="0"/>
              <w:autoSpaceDN w:val="0"/>
              <w:adjustRightInd w:val="0"/>
              <w:jc w:val="both"/>
              <w:rPr>
                <w:sz w:val="22"/>
                <w:szCs w:val="22"/>
              </w:rPr>
            </w:pPr>
            <w:r>
              <w:rPr>
                <w:sz w:val="22"/>
                <w:szCs w:val="22"/>
              </w:rPr>
              <w:t>1,68</w:t>
            </w:r>
            <w:r w:rsidR="00A8311D" w:rsidRPr="00DE404D">
              <w:rPr>
                <w:sz w:val="22"/>
                <w:szCs w:val="22"/>
              </w:rPr>
              <w:t>7</w:t>
            </w:r>
          </w:p>
        </w:tc>
        <w:tc>
          <w:tcPr>
            <w:tcW w:w="708" w:type="dxa"/>
            <w:shd w:val="clear" w:color="auto" w:fill="FFFFFF"/>
            <w:vAlign w:val="center"/>
          </w:tcPr>
          <w:p w14:paraId="6687DC9E" w14:textId="77777777" w:rsidR="00A8311D" w:rsidRPr="00DE404D" w:rsidRDefault="00A8311D" w:rsidP="00713023">
            <w:pPr>
              <w:autoSpaceDE w:val="0"/>
              <w:autoSpaceDN w:val="0"/>
              <w:adjustRightInd w:val="0"/>
              <w:jc w:val="both"/>
              <w:rPr>
                <w:sz w:val="22"/>
                <w:szCs w:val="22"/>
              </w:rPr>
            </w:pPr>
            <w:r w:rsidRPr="00DE404D">
              <w:rPr>
                <w:sz w:val="22"/>
                <w:szCs w:val="22"/>
              </w:rPr>
              <w:t>.793</w:t>
            </w:r>
          </w:p>
        </w:tc>
        <w:tc>
          <w:tcPr>
            <w:tcW w:w="709" w:type="dxa"/>
            <w:shd w:val="clear" w:color="auto" w:fill="FFFFFF"/>
            <w:vAlign w:val="center"/>
          </w:tcPr>
          <w:p w14:paraId="05278F90" w14:textId="77777777" w:rsidR="00A8311D" w:rsidRPr="00DE404D" w:rsidRDefault="00A8311D" w:rsidP="00713023">
            <w:pPr>
              <w:autoSpaceDE w:val="0"/>
              <w:autoSpaceDN w:val="0"/>
              <w:adjustRightInd w:val="0"/>
              <w:jc w:val="both"/>
              <w:rPr>
                <w:sz w:val="22"/>
                <w:szCs w:val="22"/>
              </w:rPr>
            </w:pPr>
            <w:r w:rsidRPr="00DE404D">
              <w:rPr>
                <w:sz w:val="22"/>
                <w:szCs w:val="22"/>
              </w:rPr>
              <w:t>6.702</w:t>
            </w:r>
          </w:p>
        </w:tc>
        <w:tc>
          <w:tcPr>
            <w:tcW w:w="992" w:type="dxa"/>
            <w:shd w:val="clear" w:color="auto" w:fill="FFFFFF"/>
            <w:vAlign w:val="center"/>
          </w:tcPr>
          <w:p w14:paraId="59BB4BF2" w14:textId="77777777" w:rsidR="00A8311D" w:rsidRPr="00DE404D" w:rsidRDefault="00A8311D" w:rsidP="00713023">
            <w:pPr>
              <w:autoSpaceDE w:val="0"/>
              <w:autoSpaceDN w:val="0"/>
              <w:adjustRightInd w:val="0"/>
              <w:jc w:val="both"/>
              <w:rPr>
                <w:sz w:val="22"/>
                <w:szCs w:val="22"/>
              </w:rPr>
            </w:pPr>
            <w:r w:rsidRPr="00DE404D">
              <w:rPr>
                <w:sz w:val="22"/>
                <w:szCs w:val="22"/>
              </w:rPr>
              <w:t>7.513</w:t>
            </w:r>
          </w:p>
        </w:tc>
      </w:tr>
      <w:tr w:rsidR="00A8311D" w:rsidRPr="00DE404D" w14:paraId="572AFD5E" w14:textId="77777777" w:rsidTr="00713023">
        <w:trPr>
          <w:cantSplit/>
          <w:trHeight w:hRule="exact" w:val="340"/>
        </w:trPr>
        <w:tc>
          <w:tcPr>
            <w:tcW w:w="1828" w:type="dxa"/>
            <w:shd w:val="clear" w:color="auto" w:fill="FFFFFF"/>
            <w:vAlign w:val="center"/>
          </w:tcPr>
          <w:p w14:paraId="77EF906F" w14:textId="77777777" w:rsidR="00A8311D" w:rsidRPr="00DE404D" w:rsidRDefault="00A8311D" w:rsidP="00713023">
            <w:pPr>
              <w:jc w:val="both"/>
              <w:rPr>
                <w:sz w:val="22"/>
                <w:szCs w:val="22"/>
              </w:rPr>
            </w:pPr>
            <w:r w:rsidRPr="00DE404D">
              <w:rPr>
                <w:sz w:val="22"/>
                <w:szCs w:val="22"/>
              </w:rPr>
              <w:t>Model l</w:t>
            </w:r>
          </w:p>
        </w:tc>
        <w:tc>
          <w:tcPr>
            <w:tcW w:w="440" w:type="dxa"/>
            <w:shd w:val="clear" w:color="auto" w:fill="FFFFFF"/>
            <w:vAlign w:val="center"/>
          </w:tcPr>
          <w:p w14:paraId="3C84EFFB" w14:textId="77777777" w:rsidR="00A8311D" w:rsidRPr="00DE404D" w:rsidRDefault="00A8311D" w:rsidP="00713023">
            <w:pPr>
              <w:autoSpaceDE w:val="0"/>
              <w:autoSpaceDN w:val="0"/>
              <w:adjustRightInd w:val="0"/>
              <w:jc w:val="both"/>
              <w:rPr>
                <w:sz w:val="22"/>
                <w:szCs w:val="22"/>
              </w:rPr>
            </w:pPr>
            <w:r w:rsidRPr="00DE404D">
              <w:rPr>
                <w:sz w:val="22"/>
                <w:szCs w:val="22"/>
              </w:rPr>
              <w:t>620</w:t>
            </w:r>
          </w:p>
        </w:tc>
        <w:tc>
          <w:tcPr>
            <w:tcW w:w="1276" w:type="dxa"/>
            <w:shd w:val="clear" w:color="auto" w:fill="FFFFFF"/>
            <w:vAlign w:val="center"/>
          </w:tcPr>
          <w:p w14:paraId="52F746BA" w14:textId="77777777" w:rsidR="00A8311D" w:rsidRPr="00DE404D" w:rsidRDefault="00A8311D" w:rsidP="00713023">
            <w:pPr>
              <w:autoSpaceDE w:val="0"/>
              <w:autoSpaceDN w:val="0"/>
              <w:adjustRightInd w:val="0"/>
              <w:jc w:val="both"/>
              <w:rPr>
                <w:sz w:val="22"/>
                <w:szCs w:val="22"/>
              </w:rPr>
            </w:pPr>
            <w:r w:rsidRPr="00DE404D">
              <w:rPr>
                <w:sz w:val="22"/>
                <w:szCs w:val="22"/>
              </w:rPr>
              <w:t>1140.50**</w:t>
            </w:r>
          </w:p>
        </w:tc>
        <w:tc>
          <w:tcPr>
            <w:tcW w:w="660" w:type="dxa"/>
            <w:shd w:val="clear" w:color="auto" w:fill="FFFFFF"/>
            <w:vAlign w:val="center"/>
          </w:tcPr>
          <w:p w14:paraId="73611F8A" w14:textId="77777777" w:rsidR="00A8311D" w:rsidRPr="00DE404D" w:rsidRDefault="00A8311D" w:rsidP="00713023">
            <w:pPr>
              <w:autoSpaceDE w:val="0"/>
              <w:autoSpaceDN w:val="0"/>
              <w:adjustRightInd w:val="0"/>
              <w:jc w:val="both"/>
              <w:rPr>
                <w:sz w:val="22"/>
                <w:szCs w:val="22"/>
              </w:rPr>
            </w:pPr>
          </w:p>
        </w:tc>
        <w:tc>
          <w:tcPr>
            <w:tcW w:w="616" w:type="dxa"/>
            <w:shd w:val="clear" w:color="auto" w:fill="FFFFFF"/>
            <w:vAlign w:val="center"/>
          </w:tcPr>
          <w:p w14:paraId="7003E665"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60AA94DE" w14:textId="77777777" w:rsidR="00A8311D" w:rsidRPr="00DE404D" w:rsidRDefault="00A8311D" w:rsidP="00713023">
            <w:pPr>
              <w:autoSpaceDE w:val="0"/>
              <w:autoSpaceDN w:val="0"/>
              <w:adjustRightInd w:val="0"/>
              <w:jc w:val="both"/>
              <w:rPr>
                <w:sz w:val="22"/>
                <w:szCs w:val="22"/>
              </w:rPr>
            </w:pPr>
          </w:p>
        </w:tc>
        <w:tc>
          <w:tcPr>
            <w:tcW w:w="851" w:type="dxa"/>
            <w:shd w:val="clear" w:color="auto" w:fill="FFFFFF"/>
          </w:tcPr>
          <w:p w14:paraId="0B1E034F" w14:textId="77777777" w:rsidR="00A8311D" w:rsidRPr="00DE404D" w:rsidRDefault="00A8311D" w:rsidP="00713023">
            <w:pPr>
              <w:autoSpaceDE w:val="0"/>
              <w:autoSpaceDN w:val="0"/>
              <w:adjustRightInd w:val="0"/>
              <w:jc w:val="both"/>
              <w:rPr>
                <w:sz w:val="22"/>
                <w:szCs w:val="22"/>
              </w:rPr>
            </w:pPr>
          </w:p>
        </w:tc>
        <w:tc>
          <w:tcPr>
            <w:tcW w:w="708" w:type="dxa"/>
            <w:shd w:val="clear" w:color="auto" w:fill="FFFFFF"/>
            <w:vAlign w:val="center"/>
          </w:tcPr>
          <w:p w14:paraId="1971AE71" w14:textId="77777777" w:rsidR="00A8311D" w:rsidRPr="00DE404D" w:rsidRDefault="00A8311D" w:rsidP="00713023">
            <w:pPr>
              <w:autoSpaceDE w:val="0"/>
              <w:autoSpaceDN w:val="0"/>
              <w:adjustRightInd w:val="0"/>
              <w:jc w:val="both"/>
              <w:rPr>
                <w:sz w:val="22"/>
                <w:szCs w:val="22"/>
              </w:rPr>
            </w:pPr>
          </w:p>
        </w:tc>
        <w:tc>
          <w:tcPr>
            <w:tcW w:w="709" w:type="dxa"/>
            <w:shd w:val="clear" w:color="auto" w:fill="FFFFFF"/>
            <w:vAlign w:val="center"/>
          </w:tcPr>
          <w:p w14:paraId="393DD621" w14:textId="77777777" w:rsidR="00A8311D" w:rsidRPr="00DE404D" w:rsidRDefault="00A8311D" w:rsidP="00713023">
            <w:pPr>
              <w:autoSpaceDE w:val="0"/>
              <w:autoSpaceDN w:val="0"/>
              <w:adjustRightInd w:val="0"/>
              <w:jc w:val="both"/>
              <w:rPr>
                <w:sz w:val="22"/>
                <w:szCs w:val="22"/>
              </w:rPr>
            </w:pPr>
          </w:p>
        </w:tc>
        <w:tc>
          <w:tcPr>
            <w:tcW w:w="992" w:type="dxa"/>
            <w:shd w:val="clear" w:color="auto" w:fill="FFFFFF"/>
            <w:vAlign w:val="center"/>
          </w:tcPr>
          <w:p w14:paraId="144C88DB" w14:textId="77777777" w:rsidR="00A8311D" w:rsidRPr="00DE404D" w:rsidRDefault="00A8311D" w:rsidP="00713023">
            <w:pPr>
              <w:autoSpaceDE w:val="0"/>
              <w:autoSpaceDN w:val="0"/>
              <w:adjustRightInd w:val="0"/>
              <w:jc w:val="both"/>
              <w:rPr>
                <w:sz w:val="22"/>
                <w:szCs w:val="22"/>
              </w:rPr>
            </w:pPr>
          </w:p>
        </w:tc>
      </w:tr>
      <w:tr w:rsidR="00A8311D" w:rsidRPr="00DE404D" w14:paraId="1465EFD2" w14:textId="77777777" w:rsidTr="00713023">
        <w:trPr>
          <w:cantSplit/>
          <w:trHeight w:hRule="exact" w:val="340"/>
        </w:trPr>
        <w:tc>
          <w:tcPr>
            <w:tcW w:w="1828" w:type="dxa"/>
            <w:tcBorders>
              <w:bottom w:val="single" w:sz="4" w:space="0" w:color="auto"/>
            </w:tcBorders>
            <w:shd w:val="clear" w:color="auto" w:fill="FFFFFF"/>
            <w:vAlign w:val="center"/>
          </w:tcPr>
          <w:p w14:paraId="2746E7C0" w14:textId="77777777" w:rsidR="00A8311D" w:rsidRPr="00DE404D" w:rsidRDefault="00A8311D" w:rsidP="00713023">
            <w:pPr>
              <w:jc w:val="both"/>
              <w:rPr>
                <w:sz w:val="22"/>
                <w:szCs w:val="22"/>
              </w:rPr>
            </w:pPr>
            <w:r w:rsidRPr="00DE404D">
              <w:rPr>
                <w:sz w:val="22"/>
                <w:szCs w:val="22"/>
              </w:rPr>
              <w:t xml:space="preserve">Terol-Cantero </w:t>
            </w:r>
            <w:r w:rsidRPr="00DE404D">
              <w:rPr>
                <w:i/>
                <w:sz w:val="22"/>
                <w:szCs w:val="22"/>
              </w:rPr>
              <w:t>et al</w:t>
            </w:r>
            <w:r w:rsidRPr="00DE404D">
              <w:rPr>
                <w:sz w:val="22"/>
                <w:szCs w:val="22"/>
              </w:rPr>
              <w:t>.</w:t>
            </w:r>
          </w:p>
        </w:tc>
        <w:tc>
          <w:tcPr>
            <w:tcW w:w="440" w:type="dxa"/>
            <w:tcBorders>
              <w:bottom w:val="single" w:sz="4" w:space="0" w:color="auto"/>
            </w:tcBorders>
            <w:shd w:val="clear" w:color="auto" w:fill="FFFFFF"/>
            <w:vAlign w:val="center"/>
          </w:tcPr>
          <w:p w14:paraId="66357A1A" w14:textId="77777777" w:rsidR="00A8311D" w:rsidRPr="00DE404D" w:rsidRDefault="00A8311D" w:rsidP="00713023">
            <w:pPr>
              <w:autoSpaceDE w:val="0"/>
              <w:autoSpaceDN w:val="0"/>
              <w:adjustRightInd w:val="0"/>
              <w:jc w:val="both"/>
              <w:rPr>
                <w:sz w:val="22"/>
                <w:szCs w:val="22"/>
              </w:rPr>
            </w:pPr>
          </w:p>
        </w:tc>
        <w:tc>
          <w:tcPr>
            <w:tcW w:w="1276" w:type="dxa"/>
            <w:tcBorders>
              <w:bottom w:val="single" w:sz="4" w:space="0" w:color="auto"/>
            </w:tcBorders>
            <w:shd w:val="clear" w:color="auto" w:fill="FFFFFF"/>
            <w:vAlign w:val="center"/>
          </w:tcPr>
          <w:p w14:paraId="2C9A30FB" w14:textId="77777777" w:rsidR="00A8311D" w:rsidRPr="00DE404D" w:rsidRDefault="00A8311D" w:rsidP="00713023">
            <w:pPr>
              <w:autoSpaceDE w:val="0"/>
              <w:autoSpaceDN w:val="0"/>
              <w:adjustRightInd w:val="0"/>
              <w:jc w:val="both"/>
              <w:rPr>
                <w:sz w:val="22"/>
                <w:szCs w:val="22"/>
              </w:rPr>
            </w:pPr>
          </w:p>
        </w:tc>
        <w:tc>
          <w:tcPr>
            <w:tcW w:w="660" w:type="dxa"/>
            <w:tcBorders>
              <w:bottom w:val="single" w:sz="4" w:space="0" w:color="auto"/>
            </w:tcBorders>
            <w:shd w:val="clear" w:color="auto" w:fill="FFFFFF"/>
            <w:vAlign w:val="center"/>
          </w:tcPr>
          <w:p w14:paraId="3255D87D" w14:textId="77777777" w:rsidR="00A8311D" w:rsidRPr="00DE404D" w:rsidRDefault="00A8311D" w:rsidP="00713023">
            <w:pPr>
              <w:autoSpaceDE w:val="0"/>
              <w:autoSpaceDN w:val="0"/>
              <w:adjustRightInd w:val="0"/>
              <w:jc w:val="both"/>
              <w:rPr>
                <w:sz w:val="22"/>
                <w:szCs w:val="22"/>
              </w:rPr>
            </w:pPr>
            <w:r w:rsidRPr="00DE404D">
              <w:rPr>
                <w:sz w:val="22"/>
                <w:szCs w:val="22"/>
              </w:rPr>
              <w:t>6.184</w:t>
            </w:r>
          </w:p>
        </w:tc>
        <w:tc>
          <w:tcPr>
            <w:tcW w:w="616" w:type="dxa"/>
            <w:tcBorders>
              <w:bottom w:val="single" w:sz="4" w:space="0" w:color="auto"/>
            </w:tcBorders>
            <w:shd w:val="clear" w:color="auto" w:fill="FFFFFF"/>
            <w:vAlign w:val="center"/>
          </w:tcPr>
          <w:p w14:paraId="225EFBF1" w14:textId="77777777" w:rsidR="00A8311D" w:rsidRPr="00DE404D" w:rsidRDefault="00A8311D" w:rsidP="00713023">
            <w:pPr>
              <w:autoSpaceDE w:val="0"/>
              <w:autoSpaceDN w:val="0"/>
              <w:adjustRightInd w:val="0"/>
              <w:jc w:val="both"/>
              <w:rPr>
                <w:sz w:val="22"/>
                <w:szCs w:val="22"/>
              </w:rPr>
            </w:pPr>
            <w:r w:rsidRPr="00DE404D">
              <w:rPr>
                <w:sz w:val="22"/>
                <w:szCs w:val="22"/>
              </w:rPr>
              <w:t>.183</w:t>
            </w:r>
          </w:p>
        </w:tc>
        <w:tc>
          <w:tcPr>
            <w:tcW w:w="992" w:type="dxa"/>
            <w:tcBorders>
              <w:bottom w:val="single" w:sz="4" w:space="0" w:color="auto"/>
            </w:tcBorders>
            <w:shd w:val="clear" w:color="auto" w:fill="FFFFFF"/>
            <w:vAlign w:val="center"/>
          </w:tcPr>
          <w:p w14:paraId="30F41FCC" w14:textId="77777777" w:rsidR="00A8311D" w:rsidRPr="00DE404D" w:rsidRDefault="00A8311D" w:rsidP="00713023">
            <w:pPr>
              <w:autoSpaceDE w:val="0"/>
              <w:autoSpaceDN w:val="0"/>
              <w:adjustRightInd w:val="0"/>
              <w:jc w:val="both"/>
              <w:rPr>
                <w:sz w:val="22"/>
                <w:szCs w:val="22"/>
              </w:rPr>
            </w:pPr>
            <w:r w:rsidRPr="00DE404D">
              <w:rPr>
                <w:sz w:val="22"/>
                <w:szCs w:val="22"/>
              </w:rPr>
              <w:t>33.771**</w:t>
            </w:r>
          </w:p>
        </w:tc>
        <w:tc>
          <w:tcPr>
            <w:tcW w:w="851" w:type="dxa"/>
            <w:tcBorders>
              <w:bottom w:val="single" w:sz="4" w:space="0" w:color="auto"/>
            </w:tcBorders>
            <w:shd w:val="clear" w:color="auto" w:fill="FFFFFF"/>
          </w:tcPr>
          <w:p w14:paraId="2074A762" w14:textId="0EBBB9A6" w:rsidR="00A8311D" w:rsidRPr="00DE404D" w:rsidRDefault="00AC1059" w:rsidP="00713023">
            <w:pPr>
              <w:autoSpaceDE w:val="0"/>
              <w:autoSpaceDN w:val="0"/>
              <w:adjustRightInd w:val="0"/>
              <w:jc w:val="both"/>
              <w:rPr>
                <w:sz w:val="22"/>
                <w:szCs w:val="22"/>
              </w:rPr>
            </w:pPr>
            <w:r>
              <w:rPr>
                <w:sz w:val="22"/>
                <w:szCs w:val="22"/>
              </w:rPr>
              <w:t>1,68</w:t>
            </w:r>
            <w:r w:rsidR="00A8311D" w:rsidRPr="00DE404D">
              <w:rPr>
                <w:sz w:val="22"/>
                <w:szCs w:val="22"/>
              </w:rPr>
              <w:t>7</w:t>
            </w:r>
          </w:p>
        </w:tc>
        <w:tc>
          <w:tcPr>
            <w:tcW w:w="708" w:type="dxa"/>
            <w:tcBorders>
              <w:bottom w:val="single" w:sz="4" w:space="0" w:color="auto"/>
            </w:tcBorders>
            <w:shd w:val="clear" w:color="auto" w:fill="FFFFFF"/>
            <w:vAlign w:val="center"/>
          </w:tcPr>
          <w:p w14:paraId="36461F03" w14:textId="77777777" w:rsidR="00A8311D" w:rsidRPr="00DE404D" w:rsidRDefault="00A8311D" w:rsidP="00713023">
            <w:pPr>
              <w:autoSpaceDE w:val="0"/>
              <w:autoSpaceDN w:val="0"/>
              <w:adjustRightInd w:val="0"/>
              <w:jc w:val="both"/>
              <w:rPr>
                <w:sz w:val="22"/>
                <w:szCs w:val="22"/>
              </w:rPr>
            </w:pPr>
            <w:r w:rsidRPr="00DE404D">
              <w:rPr>
                <w:sz w:val="22"/>
                <w:szCs w:val="22"/>
              </w:rPr>
              <w:t>.788</w:t>
            </w:r>
          </w:p>
        </w:tc>
        <w:tc>
          <w:tcPr>
            <w:tcW w:w="709" w:type="dxa"/>
            <w:tcBorders>
              <w:bottom w:val="single" w:sz="4" w:space="0" w:color="auto"/>
            </w:tcBorders>
            <w:shd w:val="clear" w:color="auto" w:fill="FFFFFF"/>
            <w:vAlign w:val="center"/>
          </w:tcPr>
          <w:p w14:paraId="3B2089B6" w14:textId="77777777" w:rsidR="00A8311D" w:rsidRPr="00DE404D" w:rsidRDefault="00A8311D" w:rsidP="00713023">
            <w:pPr>
              <w:autoSpaceDE w:val="0"/>
              <w:autoSpaceDN w:val="0"/>
              <w:adjustRightInd w:val="0"/>
              <w:jc w:val="both"/>
              <w:rPr>
                <w:sz w:val="22"/>
                <w:szCs w:val="22"/>
              </w:rPr>
            </w:pPr>
            <w:r w:rsidRPr="00DE404D">
              <w:rPr>
                <w:sz w:val="22"/>
                <w:szCs w:val="22"/>
              </w:rPr>
              <w:t>5.824</w:t>
            </w:r>
          </w:p>
        </w:tc>
        <w:tc>
          <w:tcPr>
            <w:tcW w:w="992" w:type="dxa"/>
            <w:tcBorders>
              <w:bottom w:val="single" w:sz="4" w:space="0" w:color="auto"/>
            </w:tcBorders>
            <w:shd w:val="clear" w:color="auto" w:fill="FFFFFF"/>
            <w:vAlign w:val="center"/>
          </w:tcPr>
          <w:p w14:paraId="6A4FD9DD" w14:textId="77777777" w:rsidR="00A8311D" w:rsidRPr="00DE404D" w:rsidRDefault="00A8311D" w:rsidP="00713023">
            <w:pPr>
              <w:autoSpaceDE w:val="0"/>
              <w:autoSpaceDN w:val="0"/>
              <w:adjustRightInd w:val="0"/>
              <w:jc w:val="both"/>
              <w:rPr>
                <w:sz w:val="22"/>
                <w:szCs w:val="22"/>
              </w:rPr>
            </w:pPr>
            <w:r w:rsidRPr="00DE404D">
              <w:rPr>
                <w:sz w:val="22"/>
                <w:szCs w:val="22"/>
              </w:rPr>
              <w:t>6.543</w:t>
            </w:r>
          </w:p>
        </w:tc>
      </w:tr>
    </w:tbl>
    <w:p w14:paraId="25ADFA6C" w14:textId="77777777" w:rsidR="00A8311D" w:rsidRPr="00DE404D" w:rsidRDefault="00A8311D" w:rsidP="00A8311D">
      <w:pPr>
        <w:rPr>
          <w:sz w:val="22"/>
          <w:szCs w:val="22"/>
          <w:lang w:val="en-US"/>
        </w:rPr>
      </w:pPr>
      <w:r w:rsidRPr="00DE404D">
        <w:rPr>
          <w:sz w:val="22"/>
          <w:szCs w:val="22"/>
          <w:lang w:val="en-US"/>
        </w:rPr>
        <w:t xml:space="preserve">Corrected determination coefficient; </w:t>
      </w:r>
      <w:r w:rsidRPr="00DE404D">
        <w:rPr>
          <w:i/>
          <w:sz w:val="22"/>
          <w:szCs w:val="22"/>
          <w:lang w:val="en-US"/>
        </w:rPr>
        <w:t>F</w:t>
      </w:r>
      <w:r w:rsidRPr="00DE404D">
        <w:rPr>
          <w:sz w:val="22"/>
          <w:szCs w:val="22"/>
          <w:lang w:val="en-US"/>
        </w:rPr>
        <w:t xml:space="preserve"> = contrast statistic (ANOVA); *</w:t>
      </w:r>
      <w:r w:rsidRPr="00DE404D">
        <w:rPr>
          <w:i/>
          <w:sz w:val="22"/>
          <w:szCs w:val="22"/>
          <w:lang w:val="en-US"/>
        </w:rPr>
        <w:t>p</w:t>
      </w:r>
      <w:r w:rsidRPr="00DE404D">
        <w:rPr>
          <w:sz w:val="22"/>
          <w:szCs w:val="22"/>
          <w:lang w:val="en-US"/>
        </w:rPr>
        <w:t xml:space="preserve">&lt;0.05 ** </w:t>
      </w:r>
      <w:r w:rsidRPr="00DE404D">
        <w:rPr>
          <w:i/>
          <w:sz w:val="22"/>
          <w:szCs w:val="22"/>
          <w:lang w:val="en-US"/>
        </w:rPr>
        <w:t>p</w:t>
      </w:r>
      <w:r w:rsidRPr="00DE404D">
        <w:rPr>
          <w:sz w:val="22"/>
          <w:szCs w:val="22"/>
          <w:lang w:val="en-US"/>
        </w:rPr>
        <w:t xml:space="preserve">&lt;0.01; </w:t>
      </w:r>
      <w:r w:rsidRPr="00DE404D">
        <w:rPr>
          <w:i/>
          <w:sz w:val="22"/>
          <w:szCs w:val="22"/>
          <w:lang w:val="en-US"/>
        </w:rPr>
        <w:t>B</w:t>
      </w:r>
      <w:r w:rsidRPr="00DE404D">
        <w:rPr>
          <w:sz w:val="22"/>
          <w:szCs w:val="22"/>
          <w:lang w:val="en-US"/>
        </w:rPr>
        <w:t xml:space="preserve"> = non-standardized coefficient; SE = standard error; </w:t>
      </w:r>
      <w:r w:rsidRPr="00DE404D">
        <w:rPr>
          <w:i/>
          <w:sz w:val="22"/>
          <w:szCs w:val="22"/>
          <w:lang w:val="en-US"/>
        </w:rPr>
        <w:t xml:space="preserve">t </w:t>
      </w:r>
      <w:r w:rsidRPr="00DE404D">
        <w:rPr>
          <w:sz w:val="22"/>
          <w:szCs w:val="22"/>
          <w:lang w:val="en-US"/>
        </w:rPr>
        <w:t xml:space="preserve">= predictive variable contrast statistic; g.l. = degrees of freedom; </w:t>
      </w:r>
      <w:r w:rsidRPr="00DE404D">
        <w:rPr>
          <w:sz w:val="22"/>
          <w:szCs w:val="22"/>
        </w:rPr>
        <w:t>β</w:t>
      </w:r>
      <w:r w:rsidRPr="00DE404D">
        <w:rPr>
          <w:sz w:val="22"/>
          <w:szCs w:val="22"/>
          <w:lang w:val="en-US"/>
        </w:rPr>
        <w:t xml:space="preserve"> = result of the regression or beta equation; C.I. = confidence intervals; L.I. = lower limit; S.L. = upper limit.</w:t>
      </w:r>
    </w:p>
    <w:p w14:paraId="496C7E13" w14:textId="77777777" w:rsidR="009726AB" w:rsidRDefault="009726AB" w:rsidP="00DC462E">
      <w:pPr>
        <w:ind w:firstLine="708"/>
        <w:jc w:val="both"/>
        <w:rPr>
          <w:sz w:val="22"/>
          <w:szCs w:val="22"/>
        </w:rPr>
      </w:pPr>
    </w:p>
    <w:p w14:paraId="053605EF" w14:textId="2EE704A2" w:rsidR="009726AB" w:rsidRDefault="00A8311D" w:rsidP="003E1B52">
      <w:pPr>
        <w:spacing w:line="480" w:lineRule="auto"/>
        <w:jc w:val="both"/>
        <w:rPr>
          <w:sz w:val="22"/>
          <w:szCs w:val="22"/>
        </w:rPr>
      </w:pPr>
      <w:r w:rsidRPr="00A8311D">
        <w:rPr>
          <w:sz w:val="22"/>
          <w:szCs w:val="22"/>
        </w:rPr>
        <w:t xml:space="preserve">To examine the predictive capacity of sociodemographic factors in the </w:t>
      </w:r>
      <w:r w:rsidR="001015E6">
        <w:rPr>
          <w:sz w:val="22"/>
          <w:szCs w:val="22"/>
        </w:rPr>
        <w:t xml:space="preserve">nursing </w:t>
      </w:r>
      <w:r w:rsidRPr="00A8311D">
        <w:rPr>
          <w:sz w:val="22"/>
          <w:szCs w:val="22"/>
        </w:rPr>
        <w:t xml:space="preserve">population's mental health status, the second objective, prediction models were obtained for the global ADH scale (HADT) as well as the anxiety (HADA) and depression (HADD) subscales. The sociodemographic variables examined were transformed into "dummy" variables in the case of Sex (Women Men); Care of the Elderly (Yes, No) (CuiMay); Care of Minors (Yes, No) (CuiMen); Living with Sick People with Covid (Yes, No) (ConCov) and </w:t>
      </w:r>
      <w:r w:rsidR="00AC1059" w:rsidRPr="00AC1059">
        <w:rPr>
          <w:sz w:val="22"/>
          <w:szCs w:val="22"/>
        </w:rPr>
        <w:t xml:space="preserve">Families with people over 60 </w:t>
      </w:r>
      <w:r w:rsidRPr="00A8311D">
        <w:rPr>
          <w:sz w:val="22"/>
          <w:szCs w:val="22"/>
        </w:rPr>
        <w:t>(Yes, No) (Con</w:t>
      </w:r>
      <w:r w:rsidR="00AC1059">
        <w:rPr>
          <w:sz w:val="22"/>
          <w:szCs w:val="22"/>
        </w:rPr>
        <w:t>60</w:t>
      </w:r>
      <w:r w:rsidRPr="00A8311D">
        <w:rPr>
          <w:sz w:val="22"/>
          <w:szCs w:val="22"/>
        </w:rPr>
        <w:t xml:space="preserve">). Age was categorized into </w:t>
      </w:r>
      <w:r w:rsidRPr="00A8311D">
        <w:rPr>
          <w:sz w:val="22"/>
          <w:szCs w:val="22"/>
        </w:rPr>
        <w:lastRenderedPageBreak/>
        <w:t>intervals while Family Members (MFam) was considered continuous. Before performing the regression analyses, compliance with the conditions for performing the analysis was assessed. The results indicated that the assumptions of non-multicollinearity were met</w:t>
      </w:r>
      <w:r w:rsidRPr="00A8311D">
        <w:rPr>
          <w:rFonts w:eastAsia="Calibri"/>
          <w:sz w:val="22"/>
          <w:szCs w:val="22"/>
          <w:lang w:val="en-US" w:eastAsia="en-US"/>
        </w:rPr>
        <w:t xml:space="preserve"> </w:t>
      </w:r>
      <w:r>
        <w:rPr>
          <w:rFonts w:eastAsia="Calibri"/>
          <w:sz w:val="22"/>
          <w:szCs w:val="22"/>
          <w:lang w:val="en-US" w:eastAsia="en-US"/>
        </w:rPr>
        <w:t xml:space="preserve">(Kleinbaumet al., 1988) </w:t>
      </w:r>
      <w:r w:rsidRPr="00A8311D">
        <w:rPr>
          <w:sz w:val="22"/>
          <w:szCs w:val="22"/>
        </w:rPr>
        <w:t>(&lt;5, PIV= 1.00) and the tolerance values were between 1 and .62. In addition, there was no autocorrelation in the sociodemographic variables, with the assumption of error independence as indicated by the Durwin-Watson index with a coefficient of nearly two -1.907 in the total scale; 1.851 for the anxiety subscale and 2.012 in the depression subscale.</w:t>
      </w:r>
    </w:p>
    <w:p w14:paraId="048E48CA" w14:textId="1DE3631D" w:rsidR="009726AB" w:rsidRPr="009726AB" w:rsidRDefault="00A8311D" w:rsidP="003E1B52">
      <w:pPr>
        <w:spacing w:line="480" w:lineRule="auto"/>
        <w:jc w:val="both"/>
        <w:rPr>
          <w:bCs/>
          <w:sz w:val="22"/>
          <w:szCs w:val="22"/>
        </w:rPr>
      </w:pPr>
      <w:r w:rsidRPr="00A8311D">
        <w:rPr>
          <w:bCs/>
          <w:sz w:val="22"/>
          <w:szCs w:val="22"/>
        </w:rPr>
        <w:t xml:space="preserve">The model obtained (Table 4) on the general scale of the ADH indicated that the sociodemographic variables participating in the explanation and prediction of the level of distress were Sex and ConCov. The explained variance for model 2 was 31.2%. </w:t>
      </w:r>
      <w:r w:rsidR="009726AB" w:rsidRPr="009726AB">
        <w:rPr>
          <w:sz w:val="22"/>
          <w:szCs w:val="22"/>
        </w:rPr>
        <w:t>(R</w:t>
      </w:r>
      <w:r w:rsidR="009726AB" w:rsidRPr="009726AB">
        <w:rPr>
          <w:sz w:val="22"/>
          <w:szCs w:val="22"/>
          <w:vertAlign w:val="superscript"/>
        </w:rPr>
        <w:t>2</w:t>
      </w:r>
      <w:r w:rsidR="009726AB" w:rsidRPr="009726AB">
        <w:rPr>
          <w:sz w:val="22"/>
          <w:szCs w:val="22"/>
        </w:rPr>
        <w:t xml:space="preserve">= .312; </w:t>
      </w:r>
      <w:r w:rsidR="009726AB" w:rsidRPr="009726AB">
        <w:rPr>
          <w:i/>
          <w:iCs/>
          <w:sz w:val="22"/>
          <w:szCs w:val="22"/>
        </w:rPr>
        <w:t>F</w:t>
      </w:r>
      <w:r w:rsidR="009726AB" w:rsidRPr="009726AB">
        <w:rPr>
          <w:sz w:val="22"/>
          <w:szCs w:val="22"/>
          <w:vertAlign w:val="subscript"/>
        </w:rPr>
        <w:t>(4,693)</w:t>
      </w:r>
      <w:r w:rsidR="009726AB" w:rsidRPr="009726AB">
        <w:rPr>
          <w:sz w:val="22"/>
          <w:szCs w:val="22"/>
        </w:rPr>
        <w:t xml:space="preserve"> =79.949; </w:t>
      </w:r>
      <w:r w:rsidR="009726AB" w:rsidRPr="009726AB">
        <w:rPr>
          <w:i/>
          <w:iCs/>
          <w:sz w:val="22"/>
          <w:szCs w:val="22"/>
        </w:rPr>
        <w:t>p</w:t>
      </w:r>
      <w:r w:rsidR="009726AB" w:rsidRPr="009726AB">
        <w:rPr>
          <w:sz w:val="22"/>
          <w:szCs w:val="22"/>
        </w:rPr>
        <w:t>&lt;.001</w:t>
      </w:r>
      <w:r w:rsidR="009726AB" w:rsidRPr="00D82D2E">
        <w:rPr>
          <w:sz w:val="22"/>
          <w:szCs w:val="22"/>
        </w:rPr>
        <w:t>)</w:t>
      </w:r>
      <w:r w:rsidR="009726AB" w:rsidRPr="00D82D2E">
        <w:rPr>
          <w:bCs/>
          <w:sz w:val="22"/>
          <w:szCs w:val="22"/>
        </w:rPr>
        <w:t xml:space="preserve">. </w:t>
      </w:r>
      <w:r w:rsidRPr="00A8311D">
        <w:rPr>
          <w:bCs/>
          <w:sz w:val="22"/>
          <w:szCs w:val="22"/>
        </w:rPr>
        <w:t xml:space="preserve">The models obtained in the prediction and explanation of anxiety symptomatology (HADA) and self-reported depressive symptomatology (HADD) were similar to those obtained for the full scale. The fourth model for anxiety </w:t>
      </w:r>
      <w:r w:rsidR="009726AB" w:rsidRPr="00D82D2E">
        <w:rPr>
          <w:sz w:val="22"/>
          <w:szCs w:val="22"/>
        </w:rPr>
        <w:t>(R</w:t>
      </w:r>
      <w:r w:rsidR="009726AB" w:rsidRPr="00D82D2E">
        <w:rPr>
          <w:sz w:val="22"/>
          <w:szCs w:val="22"/>
          <w:vertAlign w:val="superscript"/>
        </w:rPr>
        <w:t>2</w:t>
      </w:r>
      <w:r w:rsidR="009726AB" w:rsidRPr="00D82D2E">
        <w:rPr>
          <w:sz w:val="22"/>
          <w:szCs w:val="22"/>
        </w:rPr>
        <w:t xml:space="preserve">= .209; </w:t>
      </w:r>
      <w:r w:rsidR="009726AB" w:rsidRPr="00D82D2E">
        <w:rPr>
          <w:i/>
          <w:iCs/>
          <w:sz w:val="22"/>
          <w:szCs w:val="22"/>
        </w:rPr>
        <w:t>F</w:t>
      </w:r>
      <w:r w:rsidR="009726AB" w:rsidRPr="00D82D2E">
        <w:rPr>
          <w:sz w:val="22"/>
          <w:szCs w:val="22"/>
          <w:vertAlign w:val="subscript"/>
        </w:rPr>
        <w:t>(4,693)</w:t>
      </w:r>
      <w:r w:rsidR="009726AB" w:rsidRPr="00D82D2E">
        <w:rPr>
          <w:sz w:val="22"/>
          <w:szCs w:val="22"/>
        </w:rPr>
        <w:t xml:space="preserve"> =49.972; </w:t>
      </w:r>
      <w:r w:rsidR="009726AB" w:rsidRPr="00D82D2E">
        <w:rPr>
          <w:i/>
          <w:iCs/>
          <w:sz w:val="22"/>
          <w:szCs w:val="22"/>
        </w:rPr>
        <w:t>p</w:t>
      </w:r>
      <w:r w:rsidR="009726AB" w:rsidRPr="00D82D2E">
        <w:rPr>
          <w:sz w:val="22"/>
          <w:szCs w:val="22"/>
        </w:rPr>
        <w:t>&lt;.001)</w:t>
      </w:r>
      <w:r w:rsidR="009726AB" w:rsidRPr="00D82D2E">
        <w:rPr>
          <w:bCs/>
          <w:sz w:val="22"/>
          <w:szCs w:val="22"/>
        </w:rPr>
        <w:t xml:space="preserve"> </w:t>
      </w:r>
      <w:r w:rsidRPr="00A8311D">
        <w:rPr>
          <w:bCs/>
          <w:sz w:val="22"/>
          <w:szCs w:val="22"/>
        </w:rPr>
        <w:t>and the third model for depression</w:t>
      </w:r>
      <w:r w:rsidR="009726AB" w:rsidRPr="00D82D2E">
        <w:rPr>
          <w:bCs/>
          <w:sz w:val="22"/>
          <w:szCs w:val="22"/>
        </w:rPr>
        <w:t xml:space="preserve"> </w:t>
      </w:r>
      <w:r w:rsidR="009726AB" w:rsidRPr="00D82D2E">
        <w:rPr>
          <w:sz w:val="22"/>
          <w:szCs w:val="22"/>
        </w:rPr>
        <w:t>(R</w:t>
      </w:r>
      <w:r w:rsidR="009726AB" w:rsidRPr="00D82D2E">
        <w:rPr>
          <w:sz w:val="22"/>
          <w:szCs w:val="22"/>
          <w:vertAlign w:val="superscript"/>
        </w:rPr>
        <w:t>2</w:t>
      </w:r>
      <w:r w:rsidR="009726AB" w:rsidRPr="00D82D2E">
        <w:rPr>
          <w:sz w:val="22"/>
          <w:szCs w:val="22"/>
        </w:rPr>
        <w:t xml:space="preserve">= .320; </w:t>
      </w:r>
      <w:r w:rsidR="009726AB" w:rsidRPr="00D82D2E">
        <w:rPr>
          <w:i/>
          <w:iCs/>
          <w:sz w:val="22"/>
          <w:szCs w:val="22"/>
        </w:rPr>
        <w:t>F</w:t>
      </w:r>
      <w:r w:rsidR="009726AB" w:rsidRPr="00D82D2E">
        <w:rPr>
          <w:sz w:val="22"/>
          <w:szCs w:val="22"/>
          <w:vertAlign w:val="subscript"/>
        </w:rPr>
        <w:t>(3,694)</w:t>
      </w:r>
      <w:r w:rsidR="009726AB" w:rsidRPr="00D82D2E">
        <w:rPr>
          <w:sz w:val="22"/>
          <w:szCs w:val="22"/>
        </w:rPr>
        <w:t xml:space="preserve"> =110.248; </w:t>
      </w:r>
      <w:r w:rsidR="009726AB" w:rsidRPr="00D82D2E">
        <w:rPr>
          <w:i/>
          <w:iCs/>
          <w:sz w:val="22"/>
          <w:szCs w:val="22"/>
        </w:rPr>
        <w:t>p</w:t>
      </w:r>
      <w:r w:rsidR="009726AB" w:rsidRPr="00D82D2E">
        <w:rPr>
          <w:sz w:val="22"/>
          <w:szCs w:val="22"/>
        </w:rPr>
        <w:t>&lt;.001)</w:t>
      </w:r>
      <w:r w:rsidR="009726AB" w:rsidRPr="00D82D2E">
        <w:rPr>
          <w:bCs/>
          <w:sz w:val="22"/>
          <w:szCs w:val="22"/>
        </w:rPr>
        <w:t xml:space="preserve"> </w:t>
      </w:r>
      <w:r w:rsidRPr="00A8311D">
        <w:rPr>
          <w:bCs/>
          <w:sz w:val="22"/>
          <w:szCs w:val="22"/>
        </w:rPr>
        <w:t xml:space="preserve">indicated the participation of the socio-demographic variable Sex </w:t>
      </w:r>
      <w:r w:rsidR="009726AB" w:rsidRPr="00D82D2E">
        <w:rPr>
          <w:bCs/>
          <w:sz w:val="22"/>
          <w:szCs w:val="22"/>
        </w:rPr>
        <w:t>(β</w:t>
      </w:r>
      <w:r w:rsidR="009726AB" w:rsidRPr="00D82D2E">
        <w:rPr>
          <w:bCs/>
          <w:sz w:val="22"/>
          <w:szCs w:val="22"/>
          <w:vertAlign w:val="subscript"/>
        </w:rPr>
        <w:t>Ansie</w:t>
      </w:r>
      <w:r>
        <w:rPr>
          <w:bCs/>
          <w:sz w:val="22"/>
          <w:szCs w:val="22"/>
          <w:vertAlign w:val="subscript"/>
        </w:rPr>
        <w:t>ty</w:t>
      </w:r>
      <w:r w:rsidR="009726AB" w:rsidRPr="00D82D2E">
        <w:rPr>
          <w:bCs/>
          <w:sz w:val="22"/>
          <w:szCs w:val="22"/>
        </w:rPr>
        <w:t xml:space="preserve"> = .151; IC = .803, 2.064; p&lt;.001; β</w:t>
      </w:r>
      <w:r w:rsidR="009726AB" w:rsidRPr="00D82D2E">
        <w:rPr>
          <w:bCs/>
          <w:sz w:val="22"/>
          <w:szCs w:val="22"/>
          <w:vertAlign w:val="subscript"/>
        </w:rPr>
        <w:t>Depre</w:t>
      </w:r>
      <w:r>
        <w:rPr>
          <w:bCs/>
          <w:sz w:val="22"/>
          <w:szCs w:val="22"/>
          <w:vertAlign w:val="subscript"/>
        </w:rPr>
        <w:t>s</w:t>
      </w:r>
      <w:r w:rsidR="009726AB" w:rsidRPr="00D82D2E">
        <w:rPr>
          <w:bCs/>
          <w:sz w:val="22"/>
          <w:szCs w:val="22"/>
          <w:vertAlign w:val="subscript"/>
        </w:rPr>
        <w:t>si</w:t>
      </w:r>
      <w:r>
        <w:rPr>
          <w:bCs/>
          <w:sz w:val="22"/>
          <w:szCs w:val="22"/>
          <w:vertAlign w:val="subscript"/>
        </w:rPr>
        <w:t>o</w:t>
      </w:r>
      <w:r w:rsidR="009726AB" w:rsidRPr="00D82D2E">
        <w:rPr>
          <w:bCs/>
          <w:sz w:val="22"/>
          <w:szCs w:val="22"/>
          <w:vertAlign w:val="subscript"/>
        </w:rPr>
        <w:t>n</w:t>
      </w:r>
      <w:r w:rsidR="009726AB" w:rsidRPr="00D82D2E">
        <w:rPr>
          <w:bCs/>
          <w:sz w:val="22"/>
          <w:szCs w:val="22"/>
        </w:rPr>
        <w:t xml:space="preserve"> = .107; IC = .394, 1.470; p&lt;.001). </w:t>
      </w:r>
      <w:r w:rsidRPr="00A8311D">
        <w:rPr>
          <w:bCs/>
          <w:sz w:val="22"/>
          <w:szCs w:val="22"/>
        </w:rPr>
        <w:t>In addition, proximity to people working in essential services (Con</w:t>
      </w:r>
      <w:r w:rsidR="00AC1059">
        <w:rPr>
          <w:bCs/>
          <w:sz w:val="22"/>
          <w:szCs w:val="22"/>
        </w:rPr>
        <w:t>60</w:t>
      </w:r>
      <w:r w:rsidRPr="00A8311D">
        <w:rPr>
          <w:bCs/>
          <w:sz w:val="22"/>
          <w:szCs w:val="22"/>
        </w:rPr>
        <w:t>) (socio-demographic factor) was involved in predicting anxiety</w:t>
      </w:r>
      <w:r w:rsidR="009726AB" w:rsidRPr="009726AB">
        <w:rPr>
          <w:bCs/>
          <w:sz w:val="22"/>
          <w:szCs w:val="22"/>
        </w:rPr>
        <w:t xml:space="preserve"> (β</w:t>
      </w:r>
      <w:r w:rsidR="009726AB" w:rsidRPr="009726AB">
        <w:rPr>
          <w:bCs/>
          <w:sz w:val="22"/>
          <w:szCs w:val="22"/>
          <w:vertAlign w:val="subscript"/>
        </w:rPr>
        <w:t>Ansie</w:t>
      </w:r>
      <w:r>
        <w:rPr>
          <w:bCs/>
          <w:sz w:val="22"/>
          <w:szCs w:val="22"/>
          <w:vertAlign w:val="subscript"/>
        </w:rPr>
        <w:t>ty</w:t>
      </w:r>
      <w:r w:rsidR="009726AB" w:rsidRPr="009726AB">
        <w:rPr>
          <w:bCs/>
          <w:sz w:val="22"/>
          <w:szCs w:val="22"/>
        </w:rPr>
        <w:t xml:space="preserve"> = .078; IC (95%) =.104, 1.250; p&lt;.001; (β</w:t>
      </w:r>
      <w:r w:rsidR="009726AB" w:rsidRPr="009726AB">
        <w:rPr>
          <w:bCs/>
          <w:sz w:val="22"/>
          <w:szCs w:val="22"/>
          <w:vertAlign w:val="subscript"/>
        </w:rPr>
        <w:t>Depre</w:t>
      </w:r>
      <w:r>
        <w:rPr>
          <w:bCs/>
          <w:sz w:val="22"/>
          <w:szCs w:val="22"/>
          <w:vertAlign w:val="subscript"/>
        </w:rPr>
        <w:t>s</w:t>
      </w:r>
      <w:r w:rsidR="009726AB" w:rsidRPr="009726AB">
        <w:rPr>
          <w:bCs/>
          <w:sz w:val="22"/>
          <w:szCs w:val="22"/>
          <w:vertAlign w:val="subscript"/>
        </w:rPr>
        <w:t>si</w:t>
      </w:r>
      <w:r>
        <w:rPr>
          <w:bCs/>
          <w:sz w:val="22"/>
          <w:szCs w:val="22"/>
          <w:vertAlign w:val="subscript"/>
        </w:rPr>
        <w:t>on</w:t>
      </w:r>
      <w:r w:rsidR="009726AB" w:rsidRPr="009726AB">
        <w:rPr>
          <w:bCs/>
          <w:sz w:val="22"/>
          <w:szCs w:val="22"/>
        </w:rPr>
        <w:t xml:space="preserve"> = -.518; IC (95%) =-.360, -.283; p&lt;.001) </w:t>
      </w:r>
      <w:r w:rsidRPr="00A8311D">
        <w:rPr>
          <w:bCs/>
          <w:sz w:val="22"/>
          <w:szCs w:val="22"/>
        </w:rPr>
        <w:t xml:space="preserve">while in the model for predicting depressive symptomatology, the sociodemographic variable of coexistence with people infected with Covid-19 (ConCov) contributed </w:t>
      </w:r>
      <w:r w:rsidR="009726AB" w:rsidRPr="009726AB">
        <w:rPr>
          <w:bCs/>
          <w:sz w:val="22"/>
          <w:szCs w:val="22"/>
        </w:rPr>
        <w:t>(β</w:t>
      </w:r>
      <w:r w:rsidR="009726AB" w:rsidRPr="009726AB">
        <w:rPr>
          <w:bCs/>
          <w:sz w:val="22"/>
          <w:szCs w:val="22"/>
          <w:vertAlign w:val="subscript"/>
        </w:rPr>
        <w:t>Depresión</w:t>
      </w:r>
      <w:r w:rsidR="009726AB" w:rsidRPr="009726AB">
        <w:rPr>
          <w:bCs/>
          <w:sz w:val="22"/>
          <w:szCs w:val="22"/>
        </w:rPr>
        <w:t xml:space="preserve"> = .140; IC =1.884, 4.868; p&lt;.001).</w:t>
      </w:r>
    </w:p>
    <w:p w14:paraId="618B323D" w14:textId="77777777" w:rsidR="009726AB" w:rsidRPr="009726AB" w:rsidRDefault="009726AB" w:rsidP="003E1B52">
      <w:pPr>
        <w:spacing w:line="480" w:lineRule="auto"/>
        <w:jc w:val="both"/>
        <w:rPr>
          <w:bCs/>
          <w:sz w:val="22"/>
          <w:szCs w:val="22"/>
        </w:rPr>
      </w:pPr>
    </w:p>
    <w:p w14:paraId="475A2F61" w14:textId="77777777" w:rsidR="00A8311D" w:rsidRPr="00A8311D" w:rsidRDefault="00A8311D" w:rsidP="00A8311D">
      <w:pPr>
        <w:autoSpaceDE w:val="0"/>
        <w:autoSpaceDN w:val="0"/>
        <w:adjustRightInd w:val="0"/>
        <w:jc w:val="both"/>
        <w:rPr>
          <w:rFonts w:eastAsia="Calibri"/>
          <w:bCs/>
          <w:sz w:val="22"/>
          <w:szCs w:val="22"/>
          <w:lang w:eastAsia="es-ES"/>
        </w:rPr>
      </w:pPr>
      <w:r w:rsidRPr="00A8311D">
        <w:rPr>
          <w:rFonts w:eastAsia="Calibri"/>
          <w:bCs/>
          <w:sz w:val="22"/>
          <w:szCs w:val="22"/>
          <w:lang w:eastAsia="es-ES"/>
        </w:rPr>
        <w:t xml:space="preserve">Table 4. </w:t>
      </w:r>
    </w:p>
    <w:p w14:paraId="520D6EF0" w14:textId="69D88150" w:rsidR="009726AB" w:rsidRPr="009726AB" w:rsidRDefault="00A8311D" w:rsidP="00A8311D">
      <w:pPr>
        <w:autoSpaceDE w:val="0"/>
        <w:autoSpaceDN w:val="0"/>
        <w:adjustRightInd w:val="0"/>
        <w:jc w:val="both"/>
        <w:rPr>
          <w:rFonts w:eastAsia="Calibri"/>
          <w:iCs/>
          <w:sz w:val="22"/>
          <w:szCs w:val="22"/>
          <w:lang w:eastAsia="en-US"/>
        </w:rPr>
      </w:pPr>
      <w:r w:rsidRPr="00A8311D">
        <w:rPr>
          <w:rFonts w:eastAsia="Calibri"/>
          <w:bCs/>
          <w:sz w:val="22"/>
          <w:szCs w:val="22"/>
          <w:lang w:eastAsia="es-ES"/>
        </w:rPr>
        <w:t>Values of the stepwise regression equation for the prediction of measured symptomatology through the Total ADH scale</w:t>
      </w:r>
    </w:p>
    <w:tbl>
      <w:tblPr>
        <w:tblW w:w="8428" w:type="dxa"/>
        <w:tblCellMar>
          <w:left w:w="0" w:type="dxa"/>
          <w:right w:w="0" w:type="dxa"/>
        </w:tblCellMar>
        <w:tblLook w:val="0000" w:firstRow="0" w:lastRow="0" w:firstColumn="0" w:lastColumn="0" w:noHBand="0" w:noVBand="0"/>
      </w:tblPr>
      <w:tblGrid>
        <w:gridCol w:w="1893"/>
        <w:gridCol w:w="526"/>
        <w:gridCol w:w="1020"/>
        <w:gridCol w:w="540"/>
        <w:gridCol w:w="540"/>
        <w:gridCol w:w="900"/>
        <w:gridCol w:w="711"/>
        <w:gridCol w:w="604"/>
        <w:gridCol w:w="1063"/>
        <w:gridCol w:w="631"/>
      </w:tblGrid>
      <w:tr w:rsidR="009726AB" w:rsidRPr="009726AB" w14:paraId="62264CFF" w14:textId="77777777" w:rsidTr="00A8311D">
        <w:trPr>
          <w:gridAfter w:val="1"/>
          <w:wAfter w:w="631" w:type="dxa"/>
          <w:cantSplit/>
          <w:trHeight w:val="439"/>
        </w:trPr>
        <w:tc>
          <w:tcPr>
            <w:tcW w:w="1893" w:type="dxa"/>
            <w:vMerge w:val="restart"/>
            <w:tcBorders>
              <w:top w:val="single" w:sz="4" w:space="0" w:color="auto"/>
            </w:tcBorders>
            <w:shd w:val="clear" w:color="auto" w:fill="FFFFFF"/>
            <w:vAlign w:val="center"/>
          </w:tcPr>
          <w:p w14:paraId="6865D3E9" w14:textId="77777777" w:rsidR="009726AB" w:rsidRPr="009726AB" w:rsidRDefault="009726AB" w:rsidP="0060425A">
            <w:pPr>
              <w:autoSpaceDE w:val="0"/>
              <w:autoSpaceDN w:val="0"/>
              <w:adjustRightInd w:val="0"/>
              <w:jc w:val="both"/>
              <w:rPr>
                <w:sz w:val="22"/>
                <w:szCs w:val="22"/>
              </w:rPr>
            </w:pPr>
          </w:p>
        </w:tc>
        <w:tc>
          <w:tcPr>
            <w:tcW w:w="526" w:type="dxa"/>
            <w:vMerge w:val="restart"/>
            <w:tcBorders>
              <w:top w:val="single" w:sz="4" w:space="0" w:color="auto"/>
            </w:tcBorders>
            <w:shd w:val="clear" w:color="auto" w:fill="FFFFFF"/>
            <w:vAlign w:val="center"/>
          </w:tcPr>
          <w:p w14:paraId="257F92F9" w14:textId="77777777" w:rsidR="009726AB" w:rsidRPr="009726AB" w:rsidRDefault="009726AB" w:rsidP="006D5794">
            <w:pPr>
              <w:jc w:val="center"/>
              <w:rPr>
                <w:sz w:val="22"/>
                <w:szCs w:val="22"/>
              </w:rPr>
            </w:pPr>
            <w:r w:rsidRPr="009726AB">
              <w:rPr>
                <w:sz w:val="22"/>
                <w:szCs w:val="22"/>
              </w:rPr>
              <w:t>R</w:t>
            </w:r>
            <w:r w:rsidRPr="009726AB">
              <w:rPr>
                <w:sz w:val="22"/>
                <w:szCs w:val="22"/>
                <w:vertAlign w:val="superscript"/>
              </w:rPr>
              <w:t>2</w:t>
            </w:r>
          </w:p>
        </w:tc>
        <w:tc>
          <w:tcPr>
            <w:tcW w:w="1020" w:type="dxa"/>
            <w:vMerge w:val="restart"/>
            <w:tcBorders>
              <w:top w:val="single" w:sz="4" w:space="0" w:color="auto"/>
            </w:tcBorders>
            <w:shd w:val="clear" w:color="auto" w:fill="FFFFFF"/>
            <w:vAlign w:val="center"/>
          </w:tcPr>
          <w:p w14:paraId="2A362191" w14:textId="77777777" w:rsidR="009726AB" w:rsidRPr="009726AB" w:rsidRDefault="009726AB" w:rsidP="006D5794">
            <w:pPr>
              <w:jc w:val="center"/>
              <w:rPr>
                <w:i/>
                <w:iCs/>
                <w:sz w:val="22"/>
                <w:szCs w:val="22"/>
              </w:rPr>
            </w:pPr>
            <w:r w:rsidRPr="009726AB">
              <w:rPr>
                <w:i/>
                <w:iCs/>
                <w:sz w:val="22"/>
                <w:szCs w:val="22"/>
              </w:rPr>
              <w:t>F</w:t>
            </w:r>
          </w:p>
        </w:tc>
        <w:tc>
          <w:tcPr>
            <w:tcW w:w="540" w:type="dxa"/>
            <w:vMerge w:val="restart"/>
            <w:tcBorders>
              <w:top w:val="single" w:sz="4" w:space="0" w:color="auto"/>
            </w:tcBorders>
            <w:shd w:val="clear" w:color="auto" w:fill="FFFFFF"/>
            <w:vAlign w:val="center"/>
          </w:tcPr>
          <w:p w14:paraId="79B2799C" w14:textId="3E6D1099" w:rsidR="009726AB" w:rsidRPr="009726AB" w:rsidRDefault="009726AB" w:rsidP="006D5794">
            <w:pPr>
              <w:jc w:val="center"/>
              <w:rPr>
                <w:sz w:val="22"/>
                <w:szCs w:val="22"/>
              </w:rPr>
            </w:pPr>
            <w:r w:rsidRPr="009726AB">
              <w:rPr>
                <w:sz w:val="22"/>
                <w:szCs w:val="22"/>
              </w:rPr>
              <w:t>B</w:t>
            </w:r>
          </w:p>
        </w:tc>
        <w:tc>
          <w:tcPr>
            <w:tcW w:w="540" w:type="dxa"/>
            <w:vMerge w:val="restart"/>
            <w:tcBorders>
              <w:top w:val="single" w:sz="4" w:space="0" w:color="auto"/>
            </w:tcBorders>
            <w:shd w:val="clear" w:color="auto" w:fill="FFFFFF"/>
            <w:vAlign w:val="center"/>
          </w:tcPr>
          <w:p w14:paraId="4EF04FE1" w14:textId="77777777" w:rsidR="009726AB" w:rsidRPr="009726AB" w:rsidRDefault="009726AB" w:rsidP="006D5794">
            <w:pPr>
              <w:jc w:val="center"/>
              <w:rPr>
                <w:sz w:val="22"/>
                <w:szCs w:val="22"/>
              </w:rPr>
            </w:pPr>
            <w:r w:rsidRPr="009726AB">
              <w:rPr>
                <w:sz w:val="22"/>
                <w:szCs w:val="22"/>
              </w:rPr>
              <w:t>SE</w:t>
            </w:r>
          </w:p>
        </w:tc>
        <w:tc>
          <w:tcPr>
            <w:tcW w:w="900" w:type="dxa"/>
            <w:vMerge w:val="restart"/>
            <w:tcBorders>
              <w:top w:val="single" w:sz="4" w:space="0" w:color="auto"/>
            </w:tcBorders>
            <w:shd w:val="clear" w:color="auto" w:fill="FFFFFF"/>
            <w:vAlign w:val="center"/>
          </w:tcPr>
          <w:p w14:paraId="74354E77" w14:textId="0A7016FD" w:rsidR="009726AB" w:rsidRPr="00A8311D" w:rsidRDefault="00A8311D" w:rsidP="006D5794">
            <w:pPr>
              <w:jc w:val="center"/>
              <w:rPr>
                <w:i/>
                <w:sz w:val="22"/>
                <w:szCs w:val="22"/>
              </w:rPr>
            </w:pPr>
            <w:r w:rsidRPr="00A8311D">
              <w:rPr>
                <w:i/>
                <w:sz w:val="22"/>
                <w:szCs w:val="22"/>
              </w:rPr>
              <w:t>t</w:t>
            </w:r>
          </w:p>
        </w:tc>
        <w:tc>
          <w:tcPr>
            <w:tcW w:w="711" w:type="dxa"/>
            <w:vMerge w:val="restart"/>
            <w:tcBorders>
              <w:top w:val="single" w:sz="4" w:space="0" w:color="auto"/>
            </w:tcBorders>
            <w:shd w:val="clear" w:color="auto" w:fill="FFFFFF"/>
            <w:vAlign w:val="center"/>
          </w:tcPr>
          <w:p w14:paraId="3C10225E" w14:textId="1A697185" w:rsidR="009726AB" w:rsidRPr="009726AB" w:rsidRDefault="00CC45B1" w:rsidP="006D5794">
            <w:pPr>
              <w:jc w:val="center"/>
              <w:rPr>
                <w:sz w:val="22"/>
                <w:szCs w:val="22"/>
              </w:rPr>
            </w:pPr>
            <w:r>
              <w:rPr>
                <w:sz w:val="22"/>
                <w:szCs w:val="22"/>
              </w:rPr>
              <w:t>β</w:t>
            </w:r>
          </w:p>
        </w:tc>
        <w:tc>
          <w:tcPr>
            <w:tcW w:w="1667" w:type="dxa"/>
            <w:gridSpan w:val="2"/>
            <w:tcBorders>
              <w:top w:val="single" w:sz="4" w:space="0" w:color="auto"/>
              <w:bottom w:val="single" w:sz="4" w:space="0" w:color="auto"/>
            </w:tcBorders>
            <w:shd w:val="clear" w:color="auto" w:fill="FFFFFF"/>
            <w:vAlign w:val="center"/>
          </w:tcPr>
          <w:p w14:paraId="520342CB" w14:textId="35EAC1E6" w:rsidR="009726AB" w:rsidRPr="009726AB" w:rsidRDefault="009726AB" w:rsidP="00A8311D">
            <w:pPr>
              <w:jc w:val="center"/>
              <w:rPr>
                <w:sz w:val="22"/>
                <w:szCs w:val="22"/>
              </w:rPr>
            </w:pPr>
            <w:r w:rsidRPr="009726AB">
              <w:rPr>
                <w:sz w:val="22"/>
                <w:szCs w:val="22"/>
              </w:rPr>
              <w:t xml:space="preserve">I.C. (95%) </w:t>
            </w:r>
            <w:r w:rsidR="00A8311D">
              <w:rPr>
                <w:sz w:val="22"/>
                <w:szCs w:val="22"/>
              </w:rPr>
              <w:t>for</w:t>
            </w:r>
            <w:r w:rsidRPr="009726AB">
              <w:rPr>
                <w:sz w:val="22"/>
                <w:szCs w:val="22"/>
              </w:rPr>
              <w:t xml:space="preserve"> B</w:t>
            </w:r>
          </w:p>
        </w:tc>
      </w:tr>
      <w:tr w:rsidR="009726AB" w:rsidRPr="009726AB" w14:paraId="3EEC72D0" w14:textId="77777777" w:rsidTr="00A8311D">
        <w:trPr>
          <w:gridAfter w:val="1"/>
          <w:wAfter w:w="631" w:type="dxa"/>
          <w:cantSplit/>
          <w:trHeight w:val="51"/>
        </w:trPr>
        <w:tc>
          <w:tcPr>
            <w:tcW w:w="1893" w:type="dxa"/>
            <w:vMerge/>
            <w:tcBorders>
              <w:bottom w:val="single" w:sz="4" w:space="0" w:color="auto"/>
            </w:tcBorders>
            <w:shd w:val="clear" w:color="auto" w:fill="FFFFFF"/>
            <w:vAlign w:val="center"/>
          </w:tcPr>
          <w:p w14:paraId="7264B803" w14:textId="77777777" w:rsidR="009726AB" w:rsidRPr="009726AB" w:rsidRDefault="009726AB" w:rsidP="0060425A">
            <w:pPr>
              <w:autoSpaceDE w:val="0"/>
              <w:autoSpaceDN w:val="0"/>
              <w:adjustRightInd w:val="0"/>
              <w:jc w:val="both"/>
              <w:rPr>
                <w:sz w:val="22"/>
                <w:szCs w:val="22"/>
              </w:rPr>
            </w:pPr>
          </w:p>
        </w:tc>
        <w:tc>
          <w:tcPr>
            <w:tcW w:w="526" w:type="dxa"/>
            <w:vMerge/>
            <w:tcBorders>
              <w:bottom w:val="single" w:sz="4" w:space="0" w:color="auto"/>
            </w:tcBorders>
            <w:shd w:val="clear" w:color="auto" w:fill="FFFFFF"/>
            <w:vAlign w:val="center"/>
          </w:tcPr>
          <w:p w14:paraId="1CF44214" w14:textId="77777777" w:rsidR="009726AB" w:rsidRPr="009726AB" w:rsidRDefault="009726AB" w:rsidP="006D5794">
            <w:pPr>
              <w:autoSpaceDE w:val="0"/>
              <w:autoSpaceDN w:val="0"/>
              <w:adjustRightInd w:val="0"/>
              <w:jc w:val="center"/>
              <w:rPr>
                <w:sz w:val="22"/>
                <w:szCs w:val="22"/>
              </w:rPr>
            </w:pPr>
          </w:p>
        </w:tc>
        <w:tc>
          <w:tcPr>
            <w:tcW w:w="1020" w:type="dxa"/>
            <w:vMerge/>
            <w:tcBorders>
              <w:bottom w:val="single" w:sz="4" w:space="0" w:color="auto"/>
            </w:tcBorders>
            <w:shd w:val="clear" w:color="auto" w:fill="FFFFFF"/>
            <w:vAlign w:val="center"/>
          </w:tcPr>
          <w:p w14:paraId="6197BDD3" w14:textId="77777777" w:rsidR="009726AB" w:rsidRPr="009726AB" w:rsidRDefault="009726AB" w:rsidP="006D5794">
            <w:pPr>
              <w:autoSpaceDE w:val="0"/>
              <w:autoSpaceDN w:val="0"/>
              <w:adjustRightInd w:val="0"/>
              <w:jc w:val="center"/>
              <w:rPr>
                <w:sz w:val="22"/>
                <w:szCs w:val="22"/>
              </w:rPr>
            </w:pPr>
          </w:p>
        </w:tc>
        <w:tc>
          <w:tcPr>
            <w:tcW w:w="540" w:type="dxa"/>
            <w:vMerge/>
            <w:tcBorders>
              <w:bottom w:val="single" w:sz="4" w:space="0" w:color="auto"/>
            </w:tcBorders>
            <w:shd w:val="clear" w:color="auto" w:fill="FFFFFF"/>
            <w:vAlign w:val="center"/>
          </w:tcPr>
          <w:p w14:paraId="155A2936" w14:textId="77777777" w:rsidR="009726AB" w:rsidRPr="009726AB" w:rsidRDefault="009726AB" w:rsidP="006D5794">
            <w:pPr>
              <w:autoSpaceDE w:val="0"/>
              <w:autoSpaceDN w:val="0"/>
              <w:adjustRightInd w:val="0"/>
              <w:jc w:val="center"/>
              <w:rPr>
                <w:sz w:val="22"/>
                <w:szCs w:val="22"/>
              </w:rPr>
            </w:pPr>
          </w:p>
        </w:tc>
        <w:tc>
          <w:tcPr>
            <w:tcW w:w="540" w:type="dxa"/>
            <w:vMerge/>
            <w:tcBorders>
              <w:bottom w:val="single" w:sz="4" w:space="0" w:color="auto"/>
            </w:tcBorders>
            <w:shd w:val="clear" w:color="auto" w:fill="FFFFFF"/>
            <w:vAlign w:val="center"/>
          </w:tcPr>
          <w:p w14:paraId="3EEBC320" w14:textId="77777777" w:rsidR="009726AB" w:rsidRPr="009726AB" w:rsidRDefault="009726AB" w:rsidP="006D5794">
            <w:pPr>
              <w:autoSpaceDE w:val="0"/>
              <w:autoSpaceDN w:val="0"/>
              <w:adjustRightInd w:val="0"/>
              <w:jc w:val="center"/>
              <w:rPr>
                <w:sz w:val="22"/>
                <w:szCs w:val="22"/>
              </w:rPr>
            </w:pPr>
          </w:p>
        </w:tc>
        <w:tc>
          <w:tcPr>
            <w:tcW w:w="900" w:type="dxa"/>
            <w:vMerge/>
            <w:tcBorders>
              <w:bottom w:val="single" w:sz="4" w:space="0" w:color="auto"/>
            </w:tcBorders>
            <w:shd w:val="clear" w:color="auto" w:fill="FFFFFF"/>
            <w:vAlign w:val="center"/>
          </w:tcPr>
          <w:p w14:paraId="75A9798A" w14:textId="77777777" w:rsidR="009726AB" w:rsidRPr="009726AB" w:rsidRDefault="009726AB" w:rsidP="006D5794">
            <w:pPr>
              <w:autoSpaceDE w:val="0"/>
              <w:autoSpaceDN w:val="0"/>
              <w:adjustRightInd w:val="0"/>
              <w:jc w:val="center"/>
              <w:rPr>
                <w:sz w:val="22"/>
                <w:szCs w:val="22"/>
              </w:rPr>
            </w:pPr>
          </w:p>
        </w:tc>
        <w:tc>
          <w:tcPr>
            <w:tcW w:w="711" w:type="dxa"/>
            <w:vMerge/>
            <w:tcBorders>
              <w:bottom w:val="single" w:sz="4" w:space="0" w:color="auto"/>
            </w:tcBorders>
            <w:shd w:val="clear" w:color="auto" w:fill="FFFFFF"/>
            <w:vAlign w:val="center"/>
          </w:tcPr>
          <w:p w14:paraId="01A897F3" w14:textId="77777777" w:rsidR="009726AB" w:rsidRPr="009726AB" w:rsidRDefault="009726AB" w:rsidP="006D5794">
            <w:pPr>
              <w:autoSpaceDE w:val="0"/>
              <w:autoSpaceDN w:val="0"/>
              <w:adjustRightInd w:val="0"/>
              <w:jc w:val="center"/>
              <w:rPr>
                <w:sz w:val="22"/>
                <w:szCs w:val="22"/>
              </w:rPr>
            </w:pPr>
          </w:p>
        </w:tc>
        <w:tc>
          <w:tcPr>
            <w:tcW w:w="604" w:type="dxa"/>
            <w:tcBorders>
              <w:top w:val="single" w:sz="4" w:space="0" w:color="auto"/>
              <w:bottom w:val="single" w:sz="4" w:space="0" w:color="auto"/>
            </w:tcBorders>
            <w:shd w:val="clear" w:color="auto" w:fill="FFFFFF"/>
            <w:vAlign w:val="center"/>
          </w:tcPr>
          <w:p w14:paraId="3BD9FFA6" w14:textId="77777777" w:rsidR="009726AB" w:rsidRPr="009726AB" w:rsidRDefault="009726AB" w:rsidP="006D5794">
            <w:pPr>
              <w:autoSpaceDE w:val="0"/>
              <w:autoSpaceDN w:val="0"/>
              <w:adjustRightInd w:val="0"/>
              <w:jc w:val="center"/>
              <w:rPr>
                <w:sz w:val="22"/>
                <w:szCs w:val="22"/>
              </w:rPr>
            </w:pPr>
            <w:r w:rsidRPr="009726AB">
              <w:rPr>
                <w:sz w:val="22"/>
                <w:szCs w:val="22"/>
              </w:rPr>
              <w:t>L.I.</w:t>
            </w:r>
          </w:p>
        </w:tc>
        <w:tc>
          <w:tcPr>
            <w:tcW w:w="1063" w:type="dxa"/>
            <w:tcBorders>
              <w:top w:val="single" w:sz="4" w:space="0" w:color="auto"/>
              <w:bottom w:val="single" w:sz="4" w:space="0" w:color="auto"/>
            </w:tcBorders>
            <w:shd w:val="clear" w:color="auto" w:fill="FFFFFF"/>
            <w:vAlign w:val="center"/>
          </w:tcPr>
          <w:p w14:paraId="353149E4" w14:textId="77777777" w:rsidR="009726AB" w:rsidRPr="009726AB" w:rsidRDefault="009726AB" w:rsidP="006D5794">
            <w:pPr>
              <w:autoSpaceDE w:val="0"/>
              <w:autoSpaceDN w:val="0"/>
              <w:adjustRightInd w:val="0"/>
              <w:jc w:val="center"/>
              <w:rPr>
                <w:sz w:val="22"/>
                <w:szCs w:val="22"/>
              </w:rPr>
            </w:pPr>
            <w:r w:rsidRPr="009726AB">
              <w:rPr>
                <w:sz w:val="22"/>
                <w:szCs w:val="22"/>
              </w:rPr>
              <w:t>L.S.</w:t>
            </w:r>
          </w:p>
        </w:tc>
      </w:tr>
      <w:tr w:rsidR="009726AB" w:rsidRPr="009726AB" w14:paraId="78B00819" w14:textId="77777777" w:rsidTr="00A8311D">
        <w:trPr>
          <w:gridAfter w:val="1"/>
          <w:wAfter w:w="631" w:type="dxa"/>
          <w:cantSplit/>
          <w:trHeight w:hRule="exact" w:val="340"/>
        </w:trPr>
        <w:tc>
          <w:tcPr>
            <w:tcW w:w="1893" w:type="dxa"/>
            <w:shd w:val="clear" w:color="auto" w:fill="FFFFFF"/>
            <w:vAlign w:val="center"/>
          </w:tcPr>
          <w:p w14:paraId="0FFD7E3E" w14:textId="158EE525" w:rsidR="009726AB" w:rsidRPr="009726AB" w:rsidRDefault="009726AB" w:rsidP="00A8311D">
            <w:pPr>
              <w:jc w:val="both"/>
              <w:rPr>
                <w:sz w:val="22"/>
                <w:szCs w:val="22"/>
              </w:rPr>
            </w:pPr>
            <w:r w:rsidRPr="009726AB">
              <w:rPr>
                <w:sz w:val="22"/>
                <w:szCs w:val="22"/>
              </w:rPr>
              <w:t xml:space="preserve">Model </w:t>
            </w:r>
            <w:r w:rsidR="0060425A">
              <w:rPr>
                <w:sz w:val="22"/>
                <w:szCs w:val="22"/>
              </w:rPr>
              <w:t>1</w:t>
            </w:r>
          </w:p>
        </w:tc>
        <w:tc>
          <w:tcPr>
            <w:tcW w:w="526" w:type="dxa"/>
            <w:shd w:val="clear" w:color="auto" w:fill="FFFFFF"/>
            <w:vAlign w:val="center"/>
          </w:tcPr>
          <w:p w14:paraId="0AE0BA7D" w14:textId="77777777" w:rsidR="009726AB" w:rsidRPr="009726AB" w:rsidRDefault="009726AB" w:rsidP="0060425A">
            <w:pPr>
              <w:autoSpaceDE w:val="0"/>
              <w:autoSpaceDN w:val="0"/>
              <w:adjustRightInd w:val="0"/>
              <w:jc w:val="both"/>
              <w:rPr>
                <w:sz w:val="22"/>
                <w:szCs w:val="22"/>
              </w:rPr>
            </w:pPr>
            <w:r w:rsidRPr="009726AB">
              <w:rPr>
                <w:sz w:val="22"/>
                <w:szCs w:val="22"/>
              </w:rPr>
              <w:t>.296</w:t>
            </w:r>
          </w:p>
        </w:tc>
        <w:tc>
          <w:tcPr>
            <w:tcW w:w="1020" w:type="dxa"/>
            <w:shd w:val="clear" w:color="auto" w:fill="FFFFFF"/>
            <w:vAlign w:val="center"/>
          </w:tcPr>
          <w:p w14:paraId="6A5EF618" w14:textId="77777777" w:rsidR="009726AB" w:rsidRPr="009726AB" w:rsidRDefault="009726AB" w:rsidP="0060425A">
            <w:pPr>
              <w:autoSpaceDE w:val="0"/>
              <w:autoSpaceDN w:val="0"/>
              <w:adjustRightInd w:val="0"/>
              <w:jc w:val="both"/>
              <w:rPr>
                <w:sz w:val="22"/>
                <w:szCs w:val="22"/>
              </w:rPr>
            </w:pPr>
            <w:r w:rsidRPr="009726AB">
              <w:rPr>
                <w:sz w:val="22"/>
                <w:szCs w:val="22"/>
              </w:rPr>
              <w:t>147.415**</w:t>
            </w:r>
          </w:p>
        </w:tc>
        <w:tc>
          <w:tcPr>
            <w:tcW w:w="540" w:type="dxa"/>
            <w:shd w:val="clear" w:color="auto" w:fill="FFFFFF"/>
            <w:vAlign w:val="center"/>
          </w:tcPr>
          <w:p w14:paraId="5813E8C2" w14:textId="77777777" w:rsidR="009726AB" w:rsidRPr="009726AB" w:rsidRDefault="009726AB" w:rsidP="0060425A">
            <w:pPr>
              <w:autoSpaceDE w:val="0"/>
              <w:autoSpaceDN w:val="0"/>
              <w:adjustRightInd w:val="0"/>
              <w:jc w:val="both"/>
              <w:rPr>
                <w:sz w:val="22"/>
                <w:szCs w:val="22"/>
              </w:rPr>
            </w:pPr>
          </w:p>
        </w:tc>
        <w:tc>
          <w:tcPr>
            <w:tcW w:w="540" w:type="dxa"/>
            <w:shd w:val="clear" w:color="auto" w:fill="FFFFFF"/>
            <w:vAlign w:val="center"/>
          </w:tcPr>
          <w:p w14:paraId="0ED545DA" w14:textId="77777777" w:rsidR="009726AB" w:rsidRPr="009726AB" w:rsidRDefault="009726AB" w:rsidP="0060425A">
            <w:pPr>
              <w:autoSpaceDE w:val="0"/>
              <w:autoSpaceDN w:val="0"/>
              <w:adjustRightInd w:val="0"/>
              <w:jc w:val="both"/>
              <w:rPr>
                <w:sz w:val="22"/>
                <w:szCs w:val="22"/>
              </w:rPr>
            </w:pPr>
          </w:p>
        </w:tc>
        <w:tc>
          <w:tcPr>
            <w:tcW w:w="900" w:type="dxa"/>
            <w:shd w:val="clear" w:color="auto" w:fill="FFFFFF"/>
            <w:vAlign w:val="center"/>
          </w:tcPr>
          <w:p w14:paraId="26E57AD6" w14:textId="77777777" w:rsidR="009726AB" w:rsidRPr="009726AB" w:rsidRDefault="009726AB" w:rsidP="0060425A">
            <w:pPr>
              <w:autoSpaceDE w:val="0"/>
              <w:autoSpaceDN w:val="0"/>
              <w:adjustRightInd w:val="0"/>
              <w:jc w:val="both"/>
              <w:rPr>
                <w:sz w:val="22"/>
                <w:szCs w:val="22"/>
              </w:rPr>
            </w:pPr>
          </w:p>
        </w:tc>
        <w:tc>
          <w:tcPr>
            <w:tcW w:w="711" w:type="dxa"/>
            <w:shd w:val="clear" w:color="auto" w:fill="FFFFFF"/>
            <w:vAlign w:val="center"/>
          </w:tcPr>
          <w:p w14:paraId="4CA637E3" w14:textId="77777777" w:rsidR="009726AB" w:rsidRPr="009726AB" w:rsidRDefault="009726AB" w:rsidP="0060425A">
            <w:pPr>
              <w:autoSpaceDE w:val="0"/>
              <w:autoSpaceDN w:val="0"/>
              <w:adjustRightInd w:val="0"/>
              <w:jc w:val="both"/>
              <w:rPr>
                <w:sz w:val="22"/>
                <w:szCs w:val="22"/>
              </w:rPr>
            </w:pPr>
          </w:p>
        </w:tc>
        <w:tc>
          <w:tcPr>
            <w:tcW w:w="604" w:type="dxa"/>
            <w:shd w:val="clear" w:color="auto" w:fill="FFFFFF"/>
            <w:vAlign w:val="center"/>
          </w:tcPr>
          <w:p w14:paraId="1FBAD8A2" w14:textId="77777777" w:rsidR="009726AB" w:rsidRPr="009726AB" w:rsidRDefault="009726AB" w:rsidP="0060425A">
            <w:pPr>
              <w:autoSpaceDE w:val="0"/>
              <w:autoSpaceDN w:val="0"/>
              <w:adjustRightInd w:val="0"/>
              <w:jc w:val="both"/>
              <w:rPr>
                <w:sz w:val="22"/>
                <w:szCs w:val="22"/>
              </w:rPr>
            </w:pPr>
          </w:p>
        </w:tc>
        <w:tc>
          <w:tcPr>
            <w:tcW w:w="1063" w:type="dxa"/>
            <w:shd w:val="clear" w:color="auto" w:fill="FFFFFF"/>
            <w:vAlign w:val="center"/>
          </w:tcPr>
          <w:p w14:paraId="5E15782C" w14:textId="77777777" w:rsidR="009726AB" w:rsidRPr="009726AB" w:rsidRDefault="009726AB" w:rsidP="0060425A">
            <w:pPr>
              <w:autoSpaceDE w:val="0"/>
              <w:autoSpaceDN w:val="0"/>
              <w:adjustRightInd w:val="0"/>
              <w:jc w:val="both"/>
              <w:rPr>
                <w:sz w:val="22"/>
                <w:szCs w:val="22"/>
              </w:rPr>
            </w:pPr>
          </w:p>
        </w:tc>
      </w:tr>
      <w:tr w:rsidR="009726AB" w:rsidRPr="009726AB" w14:paraId="3332820A" w14:textId="77777777" w:rsidTr="00A8311D">
        <w:trPr>
          <w:gridAfter w:val="1"/>
          <w:wAfter w:w="631" w:type="dxa"/>
          <w:cantSplit/>
          <w:trHeight w:hRule="exact" w:val="340"/>
        </w:trPr>
        <w:tc>
          <w:tcPr>
            <w:tcW w:w="1893" w:type="dxa"/>
            <w:shd w:val="clear" w:color="auto" w:fill="FFFFFF"/>
            <w:vAlign w:val="center"/>
          </w:tcPr>
          <w:p w14:paraId="1433984D" w14:textId="25F97C35" w:rsidR="009726AB" w:rsidRPr="009726AB" w:rsidRDefault="009726AB" w:rsidP="00A8311D">
            <w:pPr>
              <w:jc w:val="both"/>
              <w:rPr>
                <w:sz w:val="22"/>
                <w:szCs w:val="22"/>
              </w:rPr>
            </w:pPr>
            <w:r w:rsidRPr="009726AB">
              <w:rPr>
                <w:sz w:val="22"/>
                <w:szCs w:val="22"/>
              </w:rPr>
              <w:t xml:space="preserve">   Sex</w:t>
            </w:r>
          </w:p>
        </w:tc>
        <w:tc>
          <w:tcPr>
            <w:tcW w:w="526" w:type="dxa"/>
            <w:shd w:val="clear" w:color="auto" w:fill="FFFFFF"/>
            <w:vAlign w:val="center"/>
          </w:tcPr>
          <w:p w14:paraId="1A668722" w14:textId="77777777" w:rsidR="009726AB" w:rsidRPr="009726AB" w:rsidRDefault="009726AB" w:rsidP="0060425A">
            <w:pPr>
              <w:autoSpaceDE w:val="0"/>
              <w:autoSpaceDN w:val="0"/>
              <w:adjustRightInd w:val="0"/>
              <w:jc w:val="both"/>
              <w:rPr>
                <w:sz w:val="22"/>
                <w:szCs w:val="22"/>
              </w:rPr>
            </w:pPr>
          </w:p>
        </w:tc>
        <w:tc>
          <w:tcPr>
            <w:tcW w:w="1020" w:type="dxa"/>
            <w:shd w:val="clear" w:color="auto" w:fill="FFFFFF"/>
            <w:vAlign w:val="center"/>
          </w:tcPr>
          <w:p w14:paraId="6A5AEFED" w14:textId="77777777" w:rsidR="009726AB" w:rsidRPr="009726AB" w:rsidRDefault="009726AB" w:rsidP="0060425A">
            <w:pPr>
              <w:autoSpaceDE w:val="0"/>
              <w:autoSpaceDN w:val="0"/>
              <w:adjustRightInd w:val="0"/>
              <w:jc w:val="both"/>
              <w:rPr>
                <w:sz w:val="22"/>
                <w:szCs w:val="22"/>
              </w:rPr>
            </w:pPr>
          </w:p>
        </w:tc>
        <w:tc>
          <w:tcPr>
            <w:tcW w:w="540" w:type="dxa"/>
            <w:shd w:val="clear" w:color="auto" w:fill="FFFFFF"/>
            <w:vAlign w:val="center"/>
          </w:tcPr>
          <w:p w14:paraId="3DB3495D" w14:textId="77777777" w:rsidR="009726AB" w:rsidRPr="009726AB" w:rsidRDefault="009726AB" w:rsidP="0060425A">
            <w:pPr>
              <w:autoSpaceDE w:val="0"/>
              <w:autoSpaceDN w:val="0"/>
              <w:adjustRightInd w:val="0"/>
              <w:jc w:val="both"/>
              <w:rPr>
                <w:sz w:val="22"/>
                <w:szCs w:val="22"/>
              </w:rPr>
            </w:pPr>
            <w:r w:rsidRPr="009726AB">
              <w:rPr>
                <w:sz w:val="22"/>
                <w:szCs w:val="22"/>
              </w:rPr>
              <w:t>2.375</w:t>
            </w:r>
          </w:p>
        </w:tc>
        <w:tc>
          <w:tcPr>
            <w:tcW w:w="540" w:type="dxa"/>
            <w:shd w:val="clear" w:color="auto" w:fill="FFFFFF"/>
            <w:vAlign w:val="center"/>
          </w:tcPr>
          <w:p w14:paraId="22124EB4" w14:textId="77777777" w:rsidR="009726AB" w:rsidRPr="009726AB" w:rsidRDefault="009726AB" w:rsidP="0060425A">
            <w:pPr>
              <w:autoSpaceDE w:val="0"/>
              <w:autoSpaceDN w:val="0"/>
              <w:adjustRightInd w:val="0"/>
              <w:jc w:val="both"/>
              <w:rPr>
                <w:sz w:val="22"/>
                <w:szCs w:val="22"/>
              </w:rPr>
            </w:pPr>
            <w:r w:rsidRPr="009726AB">
              <w:rPr>
                <w:sz w:val="22"/>
                <w:szCs w:val="22"/>
              </w:rPr>
              <w:t>.522</w:t>
            </w:r>
          </w:p>
        </w:tc>
        <w:tc>
          <w:tcPr>
            <w:tcW w:w="900" w:type="dxa"/>
            <w:shd w:val="clear" w:color="auto" w:fill="FFFFFF"/>
            <w:vAlign w:val="center"/>
          </w:tcPr>
          <w:p w14:paraId="336201AB" w14:textId="77777777" w:rsidR="009726AB" w:rsidRPr="009726AB" w:rsidRDefault="009726AB" w:rsidP="0060425A">
            <w:pPr>
              <w:autoSpaceDE w:val="0"/>
              <w:autoSpaceDN w:val="0"/>
              <w:adjustRightInd w:val="0"/>
              <w:jc w:val="both"/>
              <w:rPr>
                <w:sz w:val="22"/>
                <w:szCs w:val="22"/>
              </w:rPr>
            </w:pPr>
            <w:r w:rsidRPr="009726AB">
              <w:rPr>
                <w:sz w:val="22"/>
                <w:szCs w:val="22"/>
              </w:rPr>
              <w:t>4.549**</w:t>
            </w:r>
          </w:p>
        </w:tc>
        <w:tc>
          <w:tcPr>
            <w:tcW w:w="711" w:type="dxa"/>
            <w:shd w:val="clear" w:color="auto" w:fill="FFFFFF"/>
            <w:vAlign w:val="center"/>
          </w:tcPr>
          <w:p w14:paraId="51E6D264" w14:textId="77777777" w:rsidR="009726AB" w:rsidRPr="009726AB" w:rsidRDefault="009726AB" w:rsidP="0060425A">
            <w:pPr>
              <w:autoSpaceDE w:val="0"/>
              <w:autoSpaceDN w:val="0"/>
              <w:adjustRightInd w:val="0"/>
              <w:jc w:val="both"/>
              <w:rPr>
                <w:sz w:val="22"/>
                <w:szCs w:val="22"/>
              </w:rPr>
            </w:pPr>
            <w:r w:rsidRPr="009726AB">
              <w:rPr>
                <w:sz w:val="22"/>
                <w:szCs w:val="22"/>
              </w:rPr>
              <w:t>.145</w:t>
            </w:r>
          </w:p>
        </w:tc>
        <w:tc>
          <w:tcPr>
            <w:tcW w:w="604" w:type="dxa"/>
            <w:shd w:val="clear" w:color="auto" w:fill="FFFFFF"/>
            <w:vAlign w:val="center"/>
          </w:tcPr>
          <w:p w14:paraId="1F2214EE" w14:textId="77777777" w:rsidR="009726AB" w:rsidRPr="009726AB" w:rsidRDefault="009726AB" w:rsidP="0060425A">
            <w:pPr>
              <w:autoSpaceDE w:val="0"/>
              <w:autoSpaceDN w:val="0"/>
              <w:adjustRightInd w:val="0"/>
              <w:jc w:val="both"/>
              <w:rPr>
                <w:sz w:val="22"/>
                <w:szCs w:val="22"/>
              </w:rPr>
            </w:pPr>
            <w:r w:rsidRPr="009726AB">
              <w:rPr>
                <w:sz w:val="22"/>
                <w:szCs w:val="22"/>
              </w:rPr>
              <w:t>1.350</w:t>
            </w:r>
          </w:p>
        </w:tc>
        <w:tc>
          <w:tcPr>
            <w:tcW w:w="1063" w:type="dxa"/>
            <w:shd w:val="clear" w:color="auto" w:fill="FFFFFF"/>
            <w:vAlign w:val="center"/>
          </w:tcPr>
          <w:p w14:paraId="7989B6B0" w14:textId="77777777" w:rsidR="009726AB" w:rsidRPr="009726AB" w:rsidRDefault="009726AB" w:rsidP="0060425A">
            <w:pPr>
              <w:autoSpaceDE w:val="0"/>
              <w:autoSpaceDN w:val="0"/>
              <w:adjustRightInd w:val="0"/>
              <w:jc w:val="both"/>
              <w:rPr>
                <w:sz w:val="22"/>
                <w:szCs w:val="22"/>
              </w:rPr>
            </w:pPr>
            <w:r w:rsidRPr="009726AB">
              <w:rPr>
                <w:sz w:val="22"/>
                <w:szCs w:val="22"/>
              </w:rPr>
              <w:t>3.400</w:t>
            </w:r>
          </w:p>
        </w:tc>
      </w:tr>
      <w:tr w:rsidR="009726AB" w:rsidRPr="009726AB" w14:paraId="0695C6BE" w14:textId="77777777" w:rsidTr="00A8311D">
        <w:trPr>
          <w:gridAfter w:val="1"/>
          <w:wAfter w:w="631" w:type="dxa"/>
          <w:cantSplit/>
          <w:trHeight w:hRule="exact" w:val="340"/>
        </w:trPr>
        <w:tc>
          <w:tcPr>
            <w:tcW w:w="1893" w:type="dxa"/>
            <w:shd w:val="clear" w:color="auto" w:fill="FFFFFF"/>
            <w:vAlign w:val="center"/>
          </w:tcPr>
          <w:p w14:paraId="0FBAD305" w14:textId="6F1EC6D5" w:rsidR="009726AB" w:rsidRPr="009726AB" w:rsidRDefault="009726AB" w:rsidP="00A8311D">
            <w:pPr>
              <w:jc w:val="both"/>
              <w:rPr>
                <w:sz w:val="22"/>
                <w:szCs w:val="22"/>
              </w:rPr>
            </w:pPr>
            <w:r w:rsidRPr="009726AB">
              <w:rPr>
                <w:sz w:val="22"/>
                <w:szCs w:val="22"/>
              </w:rPr>
              <w:t xml:space="preserve">Model </w:t>
            </w:r>
            <w:r w:rsidR="00A510CC">
              <w:rPr>
                <w:sz w:val="22"/>
                <w:szCs w:val="22"/>
              </w:rPr>
              <w:t>2</w:t>
            </w:r>
            <w:r w:rsidR="003C62AB">
              <w:rPr>
                <w:sz w:val="22"/>
                <w:szCs w:val="22"/>
              </w:rPr>
              <w:t xml:space="preserve"> HADT</w:t>
            </w:r>
          </w:p>
        </w:tc>
        <w:tc>
          <w:tcPr>
            <w:tcW w:w="526" w:type="dxa"/>
            <w:shd w:val="clear" w:color="auto" w:fill="FFFFFF"/>
            <w:vAlign w:val="center"/>
          </w:tcPr>
          <w:p w14:paraId="0D3E30D9" w14:textId="64D6F5AF" w:rsidR="009726AB" w:rsidRPr="009726AB" w:rsidRDefault="009726AB" w:rsidP="0060425A">
            <w:pPr>
              <w:autoSpaceDE w:val="0"/>
              <w:autoSpaceDN w:val="0"/>
              <w:adjustRightInd w:val="0"/>
              <w:jc w:val="both"/>
              <w:rPr>
                <w:sz w:val="22"/>
                <w:szCs w:val="22"/>
              </w:rPr>
            </w:pPr>
            <w:r w:rsidRPr="009726AB">
              <w:rPr>
                <w:sz w:val="22"/>
                <w:szCs w:val="22"/>
              </w:rPr>
              <w:t>.3</w:t>
            </w:r>
            <w:r w:rsidR="006D5794">
              <w:rPr>
                <w:sz w:val="22"/>
                <w:szCs w:val="22"/>
              </w:rPr>
              <w:t>12</w:t>
            </w:r>
          </w:p>
        </w:tc>
        <w:tc>
          <w:tcPr>
            <w:tcW w:w="1020" w:type="dxa"/>
            <w:shd w:val="clear" w:color="auto" w:fill="FFFFFF"/>
            <w:vAlign w:val="center"/>
          </w:tcPr>
          <w:p w14:paraId="25E4B9FE" w14:textId="77777777" w:rsidR="009726AB" w:rsidRPr="009726AB" w:rsidRDefault="009726AB" w:rsidP="0060425A">
            <w:pPr>
              <w:autoSpaceDE w:val="0"/>
              <w:autoSpaceDN w:val="0"/>
              <w:adjustRightInd w:val="0"/>
              <w:jc w:val="both"/>
              <w:rPr>
                <w:sz w:val="22"/>
                <w:szCs w:val="22"/>
              </w:rPr>
            </w:pPr>
            <w:r w:rsidRPr="009726AB">
              <w:rPr>
                <w:sz w:val="22"/>
                <w:szCs w:val="22"/>
              </w:rPr>
              <w:t>79.949**</w:t>
            </w:r>
          </w:p>
        </w:tc>
        <w:tc>
          <w:tcPr>
            <w:tcW w:w="540" w:type="dxa"/>
            <w:shd w:val="clear" w:color="auto" w:fill="FFFFFF"/>
            <w:vAlign w:val="center"/>
          </w:tcPr>
          <w:p w14:paraId="52C011D9" w14:textId="77777777" w:rsidR="009726AB" w:rsidRPr="009726AB" w:rsidRDefault="009726AB" w:rsidP="0060425A">
            <w:pPr>
              <w:autoSpaceDE w:val="0"/>
              <w:autoSpaceDN w:val="0"/>
              <w:adjustRightInd w:val="0"/>
              <w:jc w:val="both"/>
              <w:rPr>
                <w:sz w:val="22"/>
                <w:szCs w:val="22"/>
              </w:rPr>
            </w:pPr>
          </w:p>
        </w:tc>
        <w:tc>
          <w:tcPr>
            <w:tcW w:w="540" w:type="dxa"/>
            <w:shd w:val="clear" w:color="auto" w:fill="FFFFFF"/>
            <w:vAlign w:val="center"/>
          </w:tcPr>
          <w:p w14:paraId="2D79A419" w14:textId="77777777" w:rsidR="009726AB" w:rsidRPr="009726AB" w:rsidRDefault="009726AB" w:rsidP="0060425A">
            <w:pPr>
              <w:autoSpaceDE w:val="0"/>
              <w:autoSpaceDN w:val="0"/>
              <w:adjustRightInd w:val="0"/>
              <w:jc w:val="both"/>
              <w:rPr>
                <w:sz w:val="22"/>
                <w:szCs w:val="22"/>
              </w:rPr>
            </w:pPr>
          </w:p>
        </w:tc>
        <w:tc>
          <w:tcPr>
            <w:tcW w:w="900" w:type="dxa"/>
            <w:shd w:val="clear" w:color="auto" w:fill="FFFFFF"/>
            <w:vAlign w:val="center"/>
          </w:tcPr>
          <w:p w14:paraId="2E992CFF" w14:textId="77777777" w:rsidR="009726AB" w:rsidRPr="009726AB" w:rsidRDefault="009726AB" w:rsidP="0060425A">
            <w:pPr>
              <w:autoSpaceDE w:val="0"/>
              <w:autoSpaceDN w:val="0"/>
              <w:adjustRightInd w:val="0"/>
              <w:jc w:val="both"/>
              <w:rPr>
                <w:sz w:val="22"/>
                <w:szCs w:val="22"/>
              </w:rPr>
            </w:pPr>
          </w:p>
        </w:tc>
        <w:tc>
          <w:tcPr>
            <w:tcW w:w="711" w:type="dxa"/>
            <w:shd w:val="clear" w:color="auto" w:fill="FFFFFF"/>
            <w:vAlign w:val="center"/>
          </w:tcPr>
          <w:p w14:paraId="45600B47" w14:textId="77777777" w:rsidR="009726AB" w:rsidRPr="009726AB" w:rsidRDefault="009726AB" w:rsidP="0060425A">
            <w:pPr>
              <w:autoSpaceDE w:val="0"/>
              <w:autoSpaceDN w:val="0"/>
              <w:adjustRightInd w:val="0"/>
              <w:jc w:val="both"/>
              <w:rPr>
                <w:sz w:val="22"/>
                <w:szCs w:val="22"/>
              </w:rPr>
            </w:pPr>
          </w:p>
        </w:tc>
        <w:tc>
          <w:tcPr>
            <w:tcW w:w="604" w:type="dxa"/>
            <w:shd w:val="clear" w:color="auto" w:fill="FFFFFF"/>
            <w:vAlign w:val="center"/>
          </w:tcPr>
          <w:p w14:paraId="109D7811" w14:textId="77777777" w:rsidR="009726AB" w:rsidRPr="009726AB" w:rsidRDefault="009726AB" w:rsidP="0060425A">
            <w:pPr>
              <w:autoSpaceDE w:val="0"/>
              <w:autoSpaceDN w:val="0"/>
              <w:adjustRightInd w:val="0"/>
              <w:jc w:val="both"/>
              <w:rPr>
                <w:sz w:val="22"/>
                <w:szCs w:val="22"/>
              </w:rPr>
            </w:pPr>
          </w:p>
        </w:tc>
        <w:tc>
          <w:tcPr>
            <w:tcW w:w="1063" w:type="dxa"/>
            <w:shd w:val="clear" w:color="auto" w:fill="FFFFFF"/>
            <w:vAlign w:val="center"/>
          </w:tcPr>
          <w:p w14:paraId="0413CC6B" w14:textId="77777777" w:rsidR="009726AB" w:rsidRPr="009726AB" w:rsidRDefault="009726AB" w:rsidP="0060425A">
            <w:pPr>
              <w:autoSpaceDE w:val="0"/>
              <w:autoSpaceDN w:val="0"/>
              <w:adjustRightInd w:val="0"/>
              <w:jc w:val="both"/>
              <w:rPr>
                <w:sz w:val="22"/>
                <w:szCs w:val="22"/>
              </w:rPr>
            </w:pPr>
          </w:p>
        </w:tc>
      </w:tr>
      <w:tr w:rsidR="009726AB" w:rsidRPr="009726AB" w14:paraId="439FDCFC" w14:textId="77777777" w:rsidTr="00A8311D">
        <w:trPr>
          <w:gridAfter w:val="1"/>
          <w:wAfter w:w="631" w:type="dxa"/>
          <w:cantSplit/>
          <w:trHeight w:hRule="exact" w:val="340"/>
        </w:trPr>
        <w:tc>
          <w:tcPr>
            <w:tcW w:w="1893" w:type="dxa"/>
            <w:shd w:val="clear" w:color="auto" w:fill="FFFFFF"/>
            <w:vAlign w:val="center"/>
          </w:tcPr>
          <w:p w14:paraId="5929BDA8" w14:textId="0ABEC175" w:rsidR="009726AB" w:rsidRPr="009726AB" w:rsidRDefault="009726AB" w:rsidP="00A8311D">
            <w:pPr>
              <w:jc w:val="both"/>
              <w:rPr>
                <w:sz w:val="22"/>
                <w:szCs w:val="22"/>
              </w:rPr>
            </w:pPr>
            <w:r w:rsidRPr="009726AB">
              <w:rPr>
                <w:sz w:val="22"/>
                <w:szCs w:val="22"/>
              </w:rPr>
              <w:t xml:space="preserve">   Sex</w:t>
            </w:r>
          </w:p>
        </w:tc>
        <w:tc>
          <w:tcPr>
            <w:tcW w:w="526" w:type="dxa"/>
            <w:shd w:val="clear" w:color="auto" w:fill="FFFFFF"/>
            <w:vAlign w:val="center"/>
          </w:tcPr>
          <w:p w14:paraId="315DAC5A" w14:textId="77777777" w:rsidR="009726AB" w:rsidRPr="009726AB" w:rsidRDefault="009726AB" w:rsidP="0060425A">
            <w:pPr>
              <w:autoSpaceDE w:val="0"/>
              <w:autoSpaceDN w:val="0"/>
              <w:adjustRightInd w:val="0"/>
              <w:jc w:val="both"/>
              <w:rPr>
                <w:sz w:val="22"/>
                <w:szCs w:val="22"/>
              </w:rPr>
            </w:pPr>
          </w:p>
        </w:tc>
        <w:tc>
          <w:tcPr>
            <w:tcW w:w="1020" w:type="dxa"/>
            <w:shd w:val="clear" w:color="auto" w:fill="FFFFFF"/>
            <w:vAlign w:val="center"/>
          </w:tcPr>
          <w:p w14:paraId="71A9B5C2" w14:textId="77777777" w:rsidR="009726AB" w:rsidRPr="009726AB" w:rsidRDefault="009726AB" w:rsidP="0060425A">
            <w:pPr>
              <w:autoSpaceDE w:val="0"/>
              <w:autoSpaceDN w:val="0"/>
              <w:adjustRightInd w:val="0"/>
              <w:jc w:val="both"/>
              <w:rPr>
                <w:sz w:val="22"/>
                <w:szCs w:val="22"/>
              </w:rPr>
            </w:pPr>
          </w:p>
        </w:tc>
        <w:tc>
          <w:tcPr>
            <w:tcW w:w="540" w:type="dxa"/>
            <w:shd w:val="clear" w:color="auto" w:fill="FFFFFF"/>
            <w:vAlign w:val="center"/>
          </w:tcPr>
          <w:p w14:paraId="16AED51B" w14:textId="77777777" w:rsidR="009726AB" w:rsidRPr="009726AB" w:rsidRDefault="009726AB" w:rsidP="0060425A">
            <w:pPr>
              <w:autoSpaceDE w:val="0"/>
              <w:autoSpaceDN w:val="0"/>
              <w:adjustRightInd w:val="0"/>
              <w:jc w:val="both"/>
              <w:rPr>
                <w:sz w:val="22"/>
                <w:szCs w:val="22"/>
              </w:rPr>
            </w:pPr>
            <w:r w:rsidRPr="009726AB">
              <w:rPr>
                <w:sz w:val="22"/>
                <w:szCs w:val="22"/>
              </w:rPr>
              <w:t>2.358</w:t>
            </w:r>
          </w:p>
        </w:tc>
        <w:tc>
          <w:tcPr>
            <w:tcW w:w="540" w:type="dxa"/>
            <w:shd w:val="clear" w:color="auto" w:fill="FFFFFF"/>
            <w:vAlign w:val="center"/>
          </w:tcPr>
          <w:p w14:paraId="4C322993" w14:textId="77777777" w:rsidR="009726AB" w:rsidRPr="009726AB" w:rsidRDefault="009726AB" w:rsidP="0060425A">
            <w:pPr>
              <w:autoSpaceDE w:val="0"/>
              <w:autoSpaceDN w:val="0"/>
              <w:adjustRightInd w:val="0"/>
              <w:jc w:val="both"/>
              <w:rPr>
                <w:sz w:val="22"/>
                <w:szCs w:val="22"/>
              </w:rPr>
            </w:pPr>
            <w:r w:rsidRPr="009726AB">
              <w:rPr>
                <w:sz w:val="22"/>
                <w:szCs w:val="22"/>
              </w:rPr>
              <w:t>.518</w:t>
            </w:r>
          </w:p>
        </w:tc>
        <w:tc>
          <w:tcPr>
            <w:tcW w:w="900" w:type="dxa"/>
            <w:shd w:val="clear" w:color="auto" w:fill="FFFFFF"/>
            <w:vAlign w:val="center"/>
          </w:tcPr>
          <w:p w14:paraId="3B71D228" w14:textId="77777777" w:rsidR="009726AB" w:rsidRPr="009726AB" w:rsidRDefault="009726AB" w:rsidP="0060425A">
            <w:pPr>
              <w:autoSpaceDE w:val="0"/>
              <w:autoSpaceDN w:val="0"/>
              <w:adjustRightInd w:val="0"/>
              <w:jc w:val="both"/>
              <w:rPr>
                <w:sz w:val="22"/>
                <w:szCs w:val="22"/>
              </w:rPr>
            </w:pPr>
            <w:r w:rsidRPr="009726AB">
              <w:rPr>
                <w:sz w:val="22"/>
                <w:szCs w:val="22"/>
              </w:rPr>
              <w:t>4.550**</w:t>
            </w:r>
          </w:p>
        </w:tc>
        <w:tc>
          <w:tcPr>
            <w:tcW w:w="711" w:type="dxa"/>
            <w:shd w:val="clear" w:color="auto" w:fill="FFFFFF"/>
            <w:vAlign w:val="center"/>
          </w:tcPr>
          <w:p w14:paraId="189815A3" w14:textId="77777777" w:rsidR="009726AB" w:rsidRPr="009726AB" w:rsidRDefault="009726AB" w:rsidP="0060425A">
            <w:pPr>
              <w:autoSpaceDE w:val="0"/>
              <w:autoSpaceDN w:val="0"/>
              <w:adjustRightInd w:val="0"/>
              <w:jc w:val="both"/>
              <w:rPr>
                <w:sz w:val="22"/>
                <w:szCs w:val="22"/>
              </w:rPr>
            </w:pPr>
            <w:r w:rsidRPr="009726AB">
              <w:rPr>
                <w:sz w:val="22"/>
                <w:szCs w:val="22"/>
              </w:rPr>
              <w:t>.144</w:t>
            </w:r>
          </w:p>
        </w:tc>
        <w:tc>
          <w:tcPr>
            <w:tcW w:w="604" w:type="dxa"/>
            <w:shd w:val="clear" w:color="auto" w:fill="FFFFFF"/>
            <w:vAlign w:val="center"/>
          </w:tcPr>
          <w:p w14:paraId="1D82BE2C" w14:textId="77777777" w:rsidR="009726AB" w:rsidRPr="009726AB" w:rsidRDefault="009726AB" w:rsidP="0060425A">
            <w:pPr>
              <w:autoSpaceDE w:val="0"/>
              <w:autoSpaceDN w:val="0"/>
              <w:adjustRightInd w:val="0"/>
              <w:jc w:val="both"/>
              <w:rPr>
                <w:sz w:val="22"/>
                <w:szCs w:val="22"/>
              </w:rPr>
            </w:pPr>
            <w:r w:rsidRPr="009726AB">
              <w:rPr>
                <w:sz w:val="22"/>
                <w:szCs w:val="22"/>
              </w:rPr>
              <w:t>1.341</w:t>
            </w:r>
          </w:p>
        </w:tc>
        <w:tc>
          <w:tcPr>
            <w:tcW w:w="1063" w:type="dxa"/>
            <w:shd w:val="clear" w:color="auto" w:fill="FFFFFF"/>
            <w:vAlign w:val="center"/>
          </w:tcPr>
          <w:p w14:paraId="3BC65B0D" w14:textId="77777777" w:rsidR="009726AB" w:rsidRPr="009726AB" w:rsidRDefault="009726AB" w:rsidP="0060425A">
            <w:pPr>
              <w:autoSpaceDE w:val="0"/>
              <w:autoSpaceDN w:val="0"/>
              <w:adjustRightInd w:val="0"/>
              <w:jc w:val="both"/>
              <w:rPr>
                <w:sz w:val="22"/>
                <w:szCs w:val="22"/>
              </w:rPr>
            </w:pPr>
            <w:r w:rsidRPr="009726AB">
              <w:rPr>
                <w:sz w:val="22"/>
                <w:szCs w:val="22"/>
              </w:rPr>
              <w:t>3.376</w:t>
            </w:r>
          </w:p>
        </w:tc>
      </w:tr>
      <w:tr w:rsidR="009726AB" w:rsidRPr="009726AB" w14:paraId="21E16405" w14:textId="77777777" w:rsidTr="00A8311D">
        <w:trPr>
          <w:gridAfter w:val="1"/>
          <w:wAfter w:w="631" w:type="dxa"/>
          <w:cantSplit/>
          <w:trHeight w:hRule="exact" w:val="340"/>
        </w:trPr>
        <w:tc>
          <w:tcPr>
            <w:tcW w:w="1893" w:type="dxa"/>
            <w:shd w:val="clear" w:color="auto" w:fill="FFFFFF"/>
            <w:vAlign w:val="center"/>
          </w:tcPr>
          <w:p w14:paraId="665C4477" w14:textId="6260C34C" w:rsidR="009726AB" w:rsidRPr="009726AB" w:rsidRDefault="00A510CC" w:rsidP="0060425A">
            <w:pPr>
              <w:jc w:val="both"/>
              <w:rPr>
                <w:sz w:val="22"/>
                <w:szCs w:val="22"/>
              </w:rPr>
            </w:pPr>
            <w:r>
              <w:rPr>
                <w:sz w:val="22"/>
                <w:szCs w:val="22"/>
              </w:rPr>
              <w:t xml:space="preserve">   </w:t>
            </w:r>
            <w:r w:rsidR="009726AB" w:rsidRPr="009726AB">
              <w:rPr>
                <w:sz w:val="22"/>
                <w:szCs w:val="22"/>
              </w:rPr>
              <w:t>ConCov</w:t>
            </w:r>
          </w:p>
        </w:tc>
        <w:tc>
          <w:tcPr>
            <w:tcW w:w="526" w:type="dxa"/>
            <w:shd w:val="clear" w:color="auto" w:fill="FFFFFF"/>
            <w:vAlign w:val="center"/>
          </w:tcPr>
          <w:p w14:paraId="7CBB87EE" w14:textId="77777777" w:rsidR="009726AB" w:rsidRPr="009726AB" w:rsidRDefault="009726AB" w:rsidP="0060425A">
            <w:pPr>
              <w:autoSpaceDE w:val="0"/>
              <w:autoSpaceDN w:val="0"/>
              <w:adjustRightInd w:val="0"/>
              <w:jc w:val="both"/>
              <w:rPr>
                <w:sz w:val="22"/>
                <w:szCs w:val="22"/>
              </w:rPr>
            </w:pPr>
          </w:p>
        </w:tc>
        <w:tc>
          <w:tcPr>
            <w:tcW w:w="1020" w:type="dxa"/>
            <w:shd w:val="clear" w:color="auto" w:fill="FFFFFF"/>
            <w:vAlign w:val="center"/>
          </w:tcPr>
          <w:p w14:paraId="415ABB95" w14:textId="77777777" w:rsidR="009726AB" w:rsidRPr="009726AB" w:rsidRDefault="009726AB" w:rsidP="0060425A">
            <w:pPr>
              <w:autoSpaceDE w:val="0"/>
              <w:autoSpaceDN w:val="0"/>
              <w:adjustRightInd w:val="0"/>
              <w:jc w:val="both"/>
              <w:rPr>
                <w:sz w:val="22"/>
                <w:szCs w:val="22"/>
              </w:rPr>
            </w:pPr>
          </w:p>
        </w:tc>
        <w:tc>
          <w:tcPr>
            <w:tcW w:w="540" w:type="dxa"/>
            <w:shd w:val="clear" w:color="auto" w:fill="FFFFFF"/>
            <w:vAlign w:val="center"/>
          </w:tcPr>
          <w:p w14:paraId="50DB225D" w14:textId="77777777" w:rsidR="009726AB" w:rsidRPr="009726AB" w:rsidRDefault="009726AB" w:rsidP="0060425A">
            <w:pPr>
              <w:autoSpaceDE w:val="0"/>
              <w:autoSpaceDN w:val="0"/>
              <w:adjustRightInd w:val="0"/>
              <w:jc w:val="both"/>
              <w:rPr>
                <w:sz w:val="22"/>
                <w:szCs w:val="22"/>
              </w:rPr>
            </w:pPr>
            <w:r w:rsidRPr="009726AB">
              <w:rPr>
                <w:sz w:val="22"/>
                <w:szCs w:val="22"/>
              </w:rPr>
              <w:t>3.971</w:t>
            </w:r>
          </w:p>
        </w:tc>
        <w:tc>
          <w:tcPr>
            <w:tcW w:w="540" w:type="dxa"/>
            <w:shd w:val="clear" w:color="auto" w:fill="FFFFFF"/>
            <w:vAlign w:val="center"/>
          </w:tcPr>
          <w:p w14:paraId="01C21E75" w14:textId="77777777" w:rsidR="009726AB" w:rsidRPr="009726AB" w:rsidRDefault="009726AB" w:rsidP="0060425A">
            <w:pPr>
              <w:autoSpaceDE w:val="0"/>
              <w:autoSpaceDN w:val="0"/>
              <w:adjustRightInd w:val="0"/>
              <w:jc w:val="both"/>
              <w:rPr>
                <w:sz w:val="22"/>
                <w:szCs w:val="22"/>
              </w:rPr>
            </w:pPr>
            <w:r w:rsidRPr="009726AB">
              <w:rPr>
                <w:sz w:val="22"/>
                <w:szCs w:val="22"/>
              </w:rPr>
              <w:t>1.453</w:t>
            </w:r>
          </w:p>
        </w:tc>
        <w:tc>
          <w:tcPr>
            <w:tcW w:w="900" w:type="dxa"/>
            <w:shd w:val="clear" w:color="auto" w:fill="FFFFFF"/>
            <w:vAlign w:val="center"/>
          </w:tcPr>
          <w:p w14:paraId="0F172BB9" w14:textId="77777777" w:rsidR="009726AB" w:rsidRPr="009726AB" w:rsidRDefault="009726AB" w:rsidP="0060425A">
            <w:pPr>
              <w:autoSpaceDE w:val="0"/>
              <w:autoSpaceDN w:val="0"/>
              <w:adjustRightInd w:val="0"/>
              <w:jc w:val="both"/>
              <w:rPr>
                <w:sz w:val="22"/>
                <w:szCs w:val="22"/>
              </w:rPr>
            </w:pPr>
            <w:r w:rsidRPr="009726AB">
              <w:rPr>
                <w:sz w:val="22"/>
                <w:szCs w:val="22"/>
              </w:rPr>
              <w:t>2.771*</w:t>
            </w:r>
          </w:p>
        </w:tc>
        <w:tc>
          <w:tcPr>
            <w:tcW w:w="711" w:type="dxa"/>
            <w:shd w:val="clear" w:color="auto" w:fill="FFFFFF"/>
            <w:vAlign w:val="center"/>
          </w:tcPr>
          <w:p w14:paraId="06F51B0D" w14:textId="77777777" w:rsidR="009726AB" w:rsidRPr="009726AB" w:rsidRDefault="009726AB" w:rsidP="0060425A">
            <w:pPr>
              <w:autoSpaceDE w:val="0"/>
              <w:autoSpaceDN w:val="0"/>
              <w:adjustRightInd w:val="0"/>
              <w:jc w:val="both"/>
              <w:rPr>
                <w:sz w:val="22"/>
                <w:szCs w:val="22"/>
              </w:rPr>
            </w:pPr>
            <w:r w:rsidRPr="009726AB">
              <w:rPr>
                <w:sz w:val="22"/>
                <w:szCs w:val="22"/>
              </w:rPr>
              <w:t>.088</w:t>
            </w:r>
          </w:p>
        </w:tc>
        <w:tc>
          <w:tcPr>
            <w:tcW w:w="604" w:type="dxa"/>
            <w:shd w:val="clear" w:color="auto" w:fill="FFFFFF"/>
            <w:vAlign w:val="center"/>
          </w:tcPr>
          <w:p w14:paraId="041B66BE" w14:textId="77777777" w:rsidR="009726AB" w:rsidRPr="009726AB" w:rsidRDefault="009726AB" w:rsidP="0060425A">
            <w:pPr>
              <w:autoSpaceDE w:val="0"/>
              <w:autoSpaceDN w:val="0"/>
              <w:adjustRightInd w:val="0"/>
              <w:jc w:val="both"/>
              <w:rPr>
                <w:sz w:val="22"/>
                <w:szCs w:val="22"/>
              </w:rPr>
            </w:pPr>
            <w:r w:rsidRPr="009726AB">
              <w:rPr>
                <w:sz w:val="22"/>
                <w:szCs w:val="22"/>
              </w:rPr>
              <w:t>1.157</w:t>
            </w:r>
          </w:p>
        </w:tc>
        <w:tc>
          <w:tcPr>
            <w:tcW w:w="1063" w:type="dxa"/>
            <w:shd w:val="clear" w:color="auto" w:fill="FFFFFF"/>
            <w:vAlign w:val="center"/>
          </w:tcPr>
          <w:p w14:paraId="2A413029" w14:textId="77777777" w:rsidR="009726AB" w:rsidRPr="009726AB" w:rsidRDefault="009726AB" w:rsidP="0060425A">
            <w:pPr>
              <w:autoSpaceDE w:val="0"/>
              <w:autoSpaceDN w:val="0"/>
              <w:adjustRightInd w:val="0"/>
              <w:jc w:val="both"/>
              <w:rPr>
                <w:sz w:val="22"/>
                <w:szCs w:val="22"/>
              </w:rPr>
            </w:pPr>
            <w:r w:rsidRPr="009726AB">
              <w:rPr>
                <w:sz w:val="22"/>
                <w:szCs w:val="22"/>
              </w:rPr>
              <w:t>6.785</w:t>
            </w:r>
          </w:p>
        </w:tc>
      </w:tr>
      <w:tr w:rsidR="00A510CC" w:rsidRPr="009726AB" w14:paraId="5AF6253D" w14:textId="77777777" w:rsidTr="00A8311D">
        <w:trPr>
          <w:gridAfter w:val="1"/>
          <w:wAfter w:w="631" w:type="dxa"/>
          <w:cantSplit/>
          <w:trHeight w:hRule="exact" w:val="340"/>
        </w:trPr>
        <w:tc>
          <w:tcPr>
            <w:tcW w:w="1893" w:type="dxa"/>
            <w:shd w:val="clear" w:color="auto" w:fill="FFFFFF"/>
            <w:vAlign w:val="center"/>
          </w:tcPr>
          <w:p w14:paraId="7A6C7E60" w14:textId="53106485" w:rsidR="00A510CC" w:rsidRPr="009726AB" w:rsidRDefault="00A510CC" w:rsidP="00A8311D">
            <w:pPr>
              <w:jc w:val="both"/>
              <w:rPr>
                <w:sz w:val="22"/>
                <w:szCs w:val="22"/>
              </w:rPr>
            </w:pPr>
            <w:r>
              <w:rPr>
                <w:sz w:val="22"/>
                <w:szCs w:val="22"/>
              </w:rPr>
              <w:t>Model 3</w:t>
            </w:r>
            <w:r w:rsidR="00CC45B1">
              <w:rPr>
                <w:sz w:val="22"/>
                <w:szCs w:val="22"/>
              </w:rPr>
              <w:t xml:space="preserve"> HAD</w:t>
            </w:r>
            <w:r w:rsidR="003C62AB">
              <w:rPr>
                <w:sz w:val="22"/>
                <w:szCs w:val="22"/>
              </w:rPr>
              <w:t>D</w:t>
            </w:r>
          </w:p>
        </w:tc>
        <w:tc>
          <w:tcPr>
            <w:tcW w:w="526" w:type="dxa"/>
            <w:shd w:val="clear" w:color="auto" w:fill="FFFFFF"/>
            <w:vAlign w:val="center"/>
          </w:tcPr>
          <w:p w14:paraId="2F3910A7" w14:textId="1E61AE27" w:rsidR="00A510CC" w:rsidRPr="009726AB" w:rsidRDefault="00A510CC" w:rsidP="0060425A">
            <w:pPr>
              <w:autoSpaceDE w:val="0"/>
              <w:autoSpaceDN w:val="0"/>
              <w:adjustRightInd w:val="0"/>
              <w:jc w:val="both"/>
              <w:rPr>
                <w:sz w:val="22"/>
                <w:szCs w:val="22"/>
              </w:rPr>
            </w:pPr>
            <w:r>
              <w:rPr>
                <w:sz w:val="22"/>
                <w:szCs w:val="22"/>
              </w:rPr>
              <w:t>.320</w:t>
            </w:r>
          </w:p>
        </w:tc>
        <w:tc>
          <w:tcPr>
            <w:tcW w:w="1020" w:type="dxa"/>
            <w:shd w:val="clear" w:color="auto" w:fill="FFFFFF"/>
            <w:vAlign w:val="center"/>
          </w:tcPr>
          <w:p w14:paraId="3B40A02C" w14:textId="4FC563B4" w:rsidR="00A510CC" w:rsidRPr="009726AB" w:rsidRDefault="00A510CC" w:rsidP="0060425A">
            <w:pPr>
              <w:autoSpaceDE w:val="0"/>
              <w:autoSpaceDN w:val="0"/>
              <w:adjustRightInd w:val="0"/>
              <w:jc w:val="both"/>
              <w:rPr>
                <w:sz w:val="22"/>
                <w:szCs w:val="22"/>
              </w:rPr>
            </w:pPr>
            <w:r w:rsidRPr="009726AB">
              <w:rPr>
                <w:sz w:val="22"/>
                <w:szCs w:val="22"/>
              </w:rPr>
              <w:t>110.248**</w:t>
            </w:r>
          </w:p>
        </w:tc>
        <w:tc>
          <w:tcPr>
            <w:tcW w:w="540" w:type="dxa"/>
            <w:shd w:val="clear" w:color="auto" w:fill="FFFFFF"/>
            <w:vAlign w:val="center"/>
          </w:tcPr>
          <w:p w14:paraId="394D9918" w14:textId="77777777" w:rsidR="00A510CC" w:rsidRPr="009726AB" w:rsidRDefault="00A510CC" w:rsidP="0060425A">
            <w:pPr>
              <w:autoSpaceDE w:val="0"/>
              <w:autoSpaceDN w:val="0"/>
              <w:adjustRightInd w:val="0"/>
              <w:jc w:val="both"/>
              <w:rPr>
                <w:sz w:val="22"/>
                <w:szCs w:val="22"/>
              </w:rPr>
            </w:pPr>
          </w:p>
        </w:tc>
        <w:tc>
          <w:tcPr>
            <w:tcW w:w="540" w:type="dxa"/>
            <w:shd w:val="clear" w:color="auto" w:fill="FFFFFF"/>
            <w:vAlign w:val="center"/>
          </w:tcPr>
          <w:p w14:paraId="70F6F0C7" w14:textId="77777777" w:rsidR="00A510CC" w:rsidRPr="009726AB" w:rsidRDefault="00A510CC" w:rsidP="0060425A">
            <w:pPr>
              <w:autoSpaceDE w:val="0"/>
              <w:autoSpaceDN w:val="0"/>
              <w:adjustRightInd w:val="0"/>
              <w:jc w:val="both"/>
              <w:rPr>
                <w:sz w:val="22"/>
                <w:szCs w:val="22"/>
              </w:rPr>
            </w:pPr>
          </w:p>
        </w:tc>
        <w:tc>
          <w:tcPr>
            <w:tcW w:w="900" w:type="dxa"/>
            <w:shd w:val="clear" w:color="auto" w:fill="FFFFFF"/>
            <w:vAlign w:val="center"/>
          </w:tcPr>
          <w:p w14:paraId="4C7FF1F0" w14:textId="77777777" w:rsidR="00A510CC" w:rsidRPr="009726AB" w:rsidRDefault="00A510CC" w:rsidP="0060425A">
            <w:pPr>
              <w:autoSpaceDE w:val="0"/>
              <w:autoSpaceDN w:val="0"/>
              <w:adjustRightInd w:val="0"/>
              <w:jc w:val="both"/>
              <w:rPr>
                <w:sz w:val="22"/>
                <w:szCs w:val="22"/>
              </w:rPr>
            </w:pPr>
          </w:p>
        </w:tc>
        <w:tc>
          <w:tcPr>
            <w:tcW w:w="711" w:type="dxa"/>
            <w:shd w:val="clear" w:color="auto" w:fill="FFFFFF"/>
            <w:vAlign w:val="center"/>
          </w:tcPr>
          <w:p w14:paraId="6371508A" w14:textId="77777777" w:rsidR="00A510CC" w:rsidRPr="009726AB" w:rsidRDefault="00A510CC" w:rsidP="0060425A">
            <w:pPr>
              <w:autoSpaceDE w:val="0"/>
              <w:autoSpaceDN w:val="0"/>
              <w:adjustRightInd w:val="0"/>
              <w:jc w:val="both"/>
              <w:rPr>
                <w:sz w:val="22"/>
                <w:szCs w:val="22"/>
              </w:rPr>
            </w:pPr>
          </w:p>
        </w:tc>
        <w:tc>
          <w:tcPr>
            <w:tcW w:w="604" w:type="dxa"/>
            <w:shd w:val="clear" w:color="auto" w:fill="FFFFFF"/>
            <w:vAlign w:val="center"/>
          </w:tcPr>
          <w:p w14:paraId="0D2B9B7F" w14:textId="77777777" w:rsidR="00A510CC" w:rsidRPr="009726AB" w:rsidRDefault="00A510CC" w:rsidP="0060425A">
            <w:pPr>
              <w:autoSpaceDE w:val="0"/>
              <w:autoSpaceDN w:val="0"/>
              <w:adjustRightInd w:val="0"/>
              <w:jc w:val="both"/>
              <w:rPr>
                <w:sz w:val="22"/>
                <w:szCs w:val="22"/>
              </w:rPr>
            </w:pPr>
          </w:p>
        </w:tc>
        <w:tc>
          <w:tcPr>
            <w:tcW w:w="1063" w:type="dxa"/>
            <w:shd w:val="clear" w:color="auto" w:fill="FFFFFF"/>
            <w:vAlign w:val="center"/>
          </w:tcPr>
          <w:p w14:paraId="5CF9170D" w14:textId="77777777" w:rsidR="00A510CC" w:rsidRPr="009726AB" w:rsidRDefault="00A510CC" w:rsidP="0060425A">
            <w:pPr>
              <w:autoSpaceDE w:val="0"/>
              <w:autoSpaceDN w:val="0"/>
              <w:adjustRightInd w:val="0"/>
              <w:jc w:val="both"/>
              <w:rPr>
                <w:sz w:val="22"/>
                <w:szCs w:val="22"/>
              </w:rPr>
            </w:pPr>
          </w:p>
        </w:tc>
      </w:tr>
      <w:tr w:rsidR="00CC45B1" w:rsidRPr="009726AB" w14:paraId="7C842DDC" w14:textId="21289B71" w:rsidTr="00A8311D">
        <w:trPr>
          <w:cantSplit/>
          <w:trHeight w:hRule="exact" w:val="340"/>
        </w:trPr>
        <w:tc>
          <w:tcPr>
            <w:tcW w:w="1893" w:type="dxa"/>
            <w:shd w:val="clear" w:color="auto" w:fill="FFFFFF"/>
            <w:vAlign w:val="center"/>
          </w:tcPr>
          <w:p w14:paraId="2FFF74FF" w14:textId="36ED12F1" w:rsidR="00CC45B1" w:rsidRPr="009726AB" w:rsidRDefault="00CC45B1" w:rsidP="00A8311D">
            <w:pPr>
              <w:jc w:val="both"/>
              <w:rPr>
                <w:sz w:val="22"/>
                <w:szCs w:val="22"/>
              </w:rPr>
            </w:pPr>
            <w:r w:rsidRPr="009726AB">
              <w:rPr>
                <w:sz w:val="22"/>
                <w:szCs w:val="22"/>
              </w:rPr>
              <w:t xml:space="preserve">   Sex</w:t>
            </w:r>
          </w:p>
        </w:tc>
        <w:tc>
          <w:tcPr>
            <w:tcW w:w="526" w:type="dxa"/>
            <w:shd w:val="clear" w:color="auto" w:fill="FFFFFF"/>
            <w:vAlign w:val="center"/>
          </w:tcPr>
          <w:p w14:paraId="76381A53" w14:textId="77777777" w:rsidR="00CC45B1" w:rsidRPr="009726AB" w:rsidRDefault="00CC45B1" w:rsidP="00CC45B1">
            <w:pPr>
              <w:autoSpaceDE w:val="0"/>
              <w:autoSpaceDN w:val="0"/>
              <w:adjustRightInd w:val="0"/>
              <w:jc w:val="both"/>
              <w:rPr>
                <w:sz w:val="22"/>
                <w:szCs w:val="22"/>
              </w:rPr>
            </w:pPr>
          </w:p>
        </w:tc>
        <w:tc>
          <w:tcPr>
            <w:tcW w:w="1020" w:type="dxa"/>
            <w:shd w:val="clear" w:color="auto" w:fill="FFFFFF"/>
            <w:vAlign w:val="center"/>
          </w:tcPr>
          <w:p w14:paraId="6156CB20" w14:textId="77777777" w:rsidR="00CC45B1" w:rsidRPr="009726AB" w:rsidRDefault="00CC45B1" w:rsidP="00CC45B1">
            <w:pPr>
              <w:autoSpaceDE w:val="0"/>
              <w:autoSpaceDN w:val="0"/>
              <w:adjustRightInd w:val="0"/>
              <w:jc w:val="both"/>
              <w:rPr>
                <w:sz w:val="22"/>
                <w:szCs w:val="22"/>
              </w:rPr>
            </w:pPr>
          </w:p>
        </w:tc>
        <w:tc>
          <w:tcPr>
            <w:tcW w:w="540" w:type="dxa"/>
            <w:shd w:val="clear" w:color="auto" w:fill="FFFFFF"/>
            <w:vAlign w:val="center"/>
          </w:tcPr>
          <w:p w14:paraId="59BB76E5" w14:textId="1E786C17" w:rsidR="00CC45B1" w:rsidRPr="009726AB" w:rsidRDefault="00CC45B1" w:rsidP="00CC45B1">
            <w:pPr>
              <w:autoSpaceDE w:val="0"/>
              <w:autoSpaceDN w:val="0"/>
              <w:adjustRightInd w:val="0"/>
              <w:jc w:val="center"/>
              <w:rPr>
                <w:sz w:val="22"/>
                <w:szCs w:val="22"/>
              </w:rPr>
            </w:pPr>
            <w:r w:rsidRPr="009726AB">
              <w:rPr>
                <w:sz w:val="22"/>
                <w:szCs w:val="22"/>
              </w:rPr>
              <w:t>.932</w:t>
            </w:r>
          </w:p>
        </w:tc>
        <w:tc>
          <w:tcPr>
            <w:tcW w:w="540" w:type="dxa"/>
            <w:shd w:val="clear" w:color="auto" w:fill="FFFFFF"/>
            <w:vAlign w:val="center"/>
          </w:tcPr>
          <w:p w14:paraId="07CD1B18" w14:textId="0CD7637C" w:rsidR="00CC45B1" w:rsidRPr="009726AB" w:rsidRDefault="00CC45B1" w:rsidP="00CC45B1">
            <w:pPr>
              <w:autoSpaceDE w:val="0"/>
              <w:autoSpaceDN w:val="0"/>
              <w:adjustRightInd w:val="0"/>
              <w:jc w:val="center"/>
              <w:rPr>
                <w:sz w:val="22"/>
                <w:szCs w:val="22"/>
              </w:rPr>
            </w:pPr>
            <w:r w:rsidRPr="009726AB">
              <w:rPr>
                <w:sz w:val="22"/>
                <w:szCs w:val="22"/>
              </w:rPr>
              <w:t>.274</w:t>
            </w:r>
          </w:p>
        </w:tc>
        <w:tc>
          <w:tcPr>
            <w:tcW w:w="900" w:type="dxa"/>
            <w:shd w:val="clear" w:color="auto" w:fill="FFFFFF"/>
            <w:vAlign w:val="center"/>
          </w:tcPr>
          <w:p w14:paraId="62950A69" w14:textId="3E103735" w:rsidR="00CC45B1" w:rsidRPr="009726AB" w:rsidRDefault="00CC45B1" w:rsidP="00CC45B1">
            <w:pPr>
              <w:autoSpaceDE w:val="0"/>
              <w:autoSpaceDN w:val="0"/>
              <w:adjustRightInd w:val="0"/>
              <w:jc w:val="center"/>
              <w:rPr>
                <w:sz w:val="22"/>
                <w:szCs w:val="22"/>
              </w:rPr>
            </w:pPr>
            <w:r w:rsidRPr="009726AB">
              <w:rPr>
                <w:sz w:val="22"/>
                <w:szCs w:val="22"/>
              </w:rPr>
              <w:t>3.398**</w:t>
            </w:r>
          </w:p>
        </w:tc>
        <w:tc>
          <w:tcPr>
            <w:tcW w:w="711" w:type="dxa"/>
            <w:shd w:val="clear" w:color="auto" w:fill="FFFFFF"/>
            <w:vAlign w:val="center"/>
          </w:tcPr>
          <w:p w14:paraId="0ABD3BCF" w14:textId="0F22B7B6" w:rsidR="00CC45B1" w:rsidRPr="009726AB" w:rsidRDefault="00CC45B1" w:rsidP="00CC45B1">
            <w:pPr>
              <w:autoSpaceDE w:val="0"/>
              <w:autoSpaceDN w:val="0"/>
              <w:adjustRightInd w:val="0"/>
              <w:jc w:val="center"/>
              <w:rPr>
                <w:sz w:val="22"/>
                <w:szCs w:val="22"/>
              </w:rPr>
            </w:pPr>
            <w:r w:rsidRPr="009726AB">
              <w:rPr>
                <w:sz w:val="22"/>
                <w:szCs w:val="22"/>
              </w:rPr>
              <w:t>.107</w:t>
            </w:r>
          </w:p>
        </w:tc>
        <w:tc>
          <w:tcPr>
            <w:tcW w:w="604" w:type="dxa"/>
            <w:shd w:val="clear" w:color="auto" w:fill="FFFFFF"/>
            <w:vAlign w:val="center"/>
          </w:tcPr>
          <w:p w14:paraId="18AC29A0" w14:textId="41EE7139" w:rsidR="00CC45B1" w:rsidRPr="009726AB" w:rsidRDefault="00CC45B1" w:rsidP="00CC45B1">
            <w:pPr>
              <w:autoSpaceDE w:val="0"/>
              <w:autoSpaceDN w:val="0"/>
              <w:adjustRightInd w:val="0"/>
              <w:jc w:val="center"/>
              <w:rPr>
                <w:sz w:val="22"/>
                <w:szCs w:val="22"/>
              </w:rPr>
            </w:pPr>
            <w:r w:rsidRPr="009726AB">
              <w:rPr>
                <w:sz w:val="22"/>
                <w:szCs w:val="22"/>
              </w:rPr>
              <w:t>.394</w:t>
            </w:r>
          </w:p>
        </w:tc>
        <w:tc>
          <w:tcPr>
            <w:tcW w:w="1063" w:type="dxa"/>
            <w:shd w:val="clear" w:color="auto" w:fill="FFFFFF"/>
            <w:vAlign w:val="center"/>
          </w:tcPr>
          <w:p w14:paraId="1FC5A629" w14:textId="737A62B5" w:rsidR="00CC45B1" w:rsidRPr="009726AB" w:rsidRDefault="00CC45B1" w:rsidP="00CC45B1">
            <w:pPr>
              <w:autoSpaceDE w:val="0"/>
              <w:autoSpaceDN w:val="0"/>
              <w:adjustRightInd w:val="0"/>
              <w:jc w:val="center"/>
              <w:rPr>
                <w:sz w:val="22"/>
                <w:szCs w:val="22"/>
              </w:rPr>
            </w:pPr>
            <w:r w:rsidRPr="009726AB">
              <w:rPr>
                <w:sz w:val="22"/>
                <w:szCs w:val="22"/>
              </w:rPr>
              <w:t>1.470</w:t>
            </w:r>
          </w:p>
        </w:tc>
        <w:tc>
          <w:tcPr>
            <w:tcW w:w="631" w:type="dxa"/>
            <w:vAlign w:val="center"/>
          </w:tcPr>
          <w:p w14:paraId="2DE00E27" w14:textId="5024B739" w:rsidR="00CC45B1" w:rsidRPr="009726AB" w:rsidRDefault="00CC45B1" w:rsidP="00CC45B1">
            <w:pPr>
              <w:spacing w:after="160" w:line="259" w:lineRule="auto"/>
            </w:pPr>
          </w:p>
        </w:tc>
      </w:tr>
      <w:tr w:rsidR="003C62AB" w:rsidRPr="009726AB" w14:paraId="53094961" w14:textId="77777777" w:rsidTr="00A8311D">
        <w:trPr>
          <w:gridAfter w:val="1"/>
          <w:wAfter w:w="631" w:type="dxa"/>
          <w:cantSplit/>
          <w:trHeight w:hRule="exact" w:val="340"/>
        </w:trPr>
        <w:tc>
          <w:tcPr>
            <w:tcW w:w="1893" w:type="dxa"/>
            <w:shd w:val="clear" w:color="auto" w:fill="FFFFFF"/>
            <w:vAlign w:val="center"/>
          </w:tcPr>
          <w:p w14:paraId="334FA710" w14:textId="241777D9" w:rsidR="003C62AB" w:rsidRDefault="003C62AB" w:rsidP="00AC1059">
            <w:pPr>
              <w:rPr>
                <w:sz w:val="22"/>
                <w:szCs w:val="22"/>
              </w:rPr>
            </w:pPr>
            <w:r>
              <w:rPr>
                <w:sz w:val="22"/>
                <w:szCs w:val="22"/>
              </w:rPr>
              <w:lastRenderedPageBreak/>
              <w:t xml:space="preserve">   </w:t>
            </w:r>
            <w:r w:rsidRPr="009726AB">
              <w:rPr>
                <w:sz w:val="22"/>
                <w:szCs w:val="22"/>
              </w:rPr>
              <w:t>Con</w:t>
            </w:r>
            <w:r w:rsidR="00AC1059">
              <w:rPr>
                <w:sz w:val="22"/>
                <w:szCs w:val="22"/>
              </w:rPr>
              <w:t>60</w:t>
            </w:r>
          </w:p>
        </w:tc>
        <w:tc>
          <w:tcPr>
            <w:tcW w:w="526" w:type="dxa"/>
            <w:shd w:val="clear" w:color="auto" w:fill="FFFFFF"/>
            <w:vAlign w:val="center"/>
          </w:tcPr>
          <w:p w14:paraId="11C8E63C" w14:textId="77777777" w:rsidR="003C62AB" w:rsidRPr="009726AB" w:rsidRDefault="003C62AB" w:rsidP="003C62AB">
            <w:pPr>
              <w:autoSpaceDE w:val="0"/>
              <w:autoSpaceDN w:val="0"/>
              <w:adjustRightInd w:val="0"/>
              <w:jc w:val="center"/>
              <w:rPr>
                <w:sz w:val="22"/>
                <w:szCs w:val="22"/>
              </w:rPr>
            </w:pPr>
          </w:p>
        </w:tc>
        <w:tc>
          <w:tcPr>
            <w:tcW w:w="1020" w:type="dxa"/>
            <w:shd w:val="clear" w:color="auto" w:fill="FFFFFF"/>
            <w:vAlign w:val="center"/>
          </w:tcPr>
          <w:p w14:paraId="633541F8" w14:textId="77777777" w:rsidR="003C62AB" w:rsidRPr="009726AB" w:rsidRDefault="003C62AB" w:rsidP="003C62AB">
            <w:pPr>
              <w:autoSpaceDE w:val="0"/>
              <w:autoSpaceDN w:val="0"/>
              <w:adjustRightInd w:val="0"/>
              <w:jc w:val="center"/>
              <w:rPr>
                <w:sz w:val="22"/>
                <w:szCs w:val="22"/>
              </w:rPr>
            </w:pPr>
          </w:p>
        </w:tc>
        <w:tc>
          <w:tcPr>
            <w:tcW w:w="540" w:type="dxa"/>
            <w:shd w:val="clear" w:color="auto" w:fill="FFFFFF"/>
            <w:vAlign w:val="center"/>
          </w:tcPr>
          <w:p w14:paraId="0D30AD73" w14:textId="3B41D0C7" w:rsidR="003C62AB" w:rsidRPr="009726AB" w:rsidRDefault="003C62AB" w:rsidP="003C62AB">
            <w:pPr>
              <w:autoSpaceDE w:val="0"/>
              <w:autoSpaceDN w:val="0"/>
              <w:adjustRightInd w:val="0"/>
              <w:jc w:val="center"/>
              <w:rPr>
                <w:sz w:val="22"/>
                <w:szCs w:val="22"/>
              </w:rPr>
            </w:pPr>
            <w:r w:rsidRPr="005B4AE2">
              <w:rPr>
                <w:sz w:val="22"/>
                <w:szCs w:val="22"/>
              </w:rPr>
              <w:t>-.322</w:t>
            </w:r>
          </w:p>
        </w:tc>
        <w:tc>
          <w:tcPr>
            <w:tcW w:w="540" w:type="dxa"/>
            <w:shd w:val="clear" w:color="auto" w:fill="FFFFFF"/>
            <w:vAlign w:val="center"/>
          </w:tcPr>
          <w:p w14:paraId="1F7ACCE7" w14:textId="66F34618" w:rsidR="003C62AB" w:rsidRPr="009726AB" w:rsidRDefault="003C62AB" w:rsidP="003C62AB">
            <w:pPr>
              <w:autoSpaceDE w:val="0"/>
              <w:autoSpaceDN w:val="0"/>
              <w:adjustRightInd w:val="0"/>
              <w:jc w:val="center"/>
              <w:rPr>
                <w:sz w:val="22"/>
                <w:szCs w:val="22"/>
              </w:rPr>
            </w:pPr>
            <w:r w:rsidRPr="005B4AE2">
              <w:rPr>
                <w:sz w:val="22"/>
                <w:szCs w:val="22"/>
              </w:rPr>
              <w:t>.020</w:t>
            </w:r>
          </w:p>
        </w:tc>
        <w:tc>
          <w:tcPr>
            <w:tcW w:w="900" w:type="dxa"/>
            <w:shd w:val="clear" w:color="auto" w:fill="FFFFFF"/>
            <w:vAlign w:val="center"/>
          </w:tcPr>
          <w:p w14:paraId="45136F44" w14:textId="1DD504D3" w:rsidR="003C62AB" w:rsidRPr="009726AB" w:rsidRDefault="003C62AB" w:rsidP="003C62AB">
            <w:pPr>
              <w:autoSpaceDE w:val="0"/>
              <w:autoSpaceDN w:val="0"/>
              <w:adjustRightInd w:val="0"/>
              <w:jc w:val="center"/>
              <w:rPr>
                <w:sz w:val="22"/>
                <w:szCs w:val="22"/>
              </w:rPr>
            </w:pPr>
            <w:r w:rsidRPr="005B4AE2">
              <w:rPr>
                <w:sz w:val="22"/>
                <w:szCs w:val="22"/>
              </w:rPr>
              <w:t>16.393**</w:t>
            </w:r>
          </w:p>
        </w:tc>
        <w:tc>
          <w:tcPr>
            <w:tcW w:w="711" w:type="dxa"/>
            <w:shd w:val="clear" w:color="auto" w:fill="FFFFFF"/>
            <w:vAlign w:val="center"/>
          </w:tcPr>
          <w:p w14:paraId="15A06A22" w14:textId="1026E108" w:rsidR="003C62AB" w:rsidRPr="009726AB" w:rsidRDefault="003C62AB" w:rsidP="003C62AB">
            <w:pPr>
              <w:autoSpaceDE w:val="0"/>
              <w:autoSpaceDN w:val="0"/>
              <w:adjustRightInd w:val="0"/>
              <w:jc w:val="center"/>
              <w:rPr>
                <w:sz w:val="22"/>
                <w:szCs w:val="22"/>
              </w:rPr>
            </w:pPr>
            <w:r w:rsidRPr="005B4AE2">
              <w:rPr>
                <w:sz w:val="22"/>
                <w:szCs w:val="22"/>
              </w:rPr>
              <w:t>-.518</w:t>
            </w:r>
          </w:p>
        </w:tc>
        <w:tc>
          <w:tcPr>
            <w:tcW w:w="604" w:type="dxa"/>
            <w:shd w:val="clear" w:color="auto" w:fill="FFFFFF"/>
            <w:vAlign w:val="center"/>
          </w:tcPr>
          <w:p w14:paraId="46145971" w14:textId="3E93A33C" w:rsidR="003C62AB" w:rsidRPr="009726AB" w:rsidRDefault="003C62AB" w:rsidP="003C62AB">
            <w:pPr>
              <w:autoSpaceDE w:val="0"/>
              <w:autoSpaceDN w:val="0"/>
              <w:adjustRightInd w:val="0"/>
              <w:jc w:val="center"/>
              <w:rPr>
                <w:sz w:val="22"/>
                <w:szCs w:val="22"/>
              </w:rPr>
            </w:pPr>
            <w:r w:rsidRPr="005B4AE2">
              <w:rPr>
                <w:sz w:val="22"/>
                <w:szCs w:val="22"/>
              </w:rPr>
              <w:t>-.360</w:t>
            </w:r>
          </w:p>
        </w:tc>
        <w:tc>
          <w:tcPr>
            <w:tcW w:w="1063" w:type="dxa"/>
            <w:shd w:val="clear" w:color="auto" w:fill="FFFFFF"/>
            <w:vAlign w:val="center"/>
          </w:tcPr>
          <w:p w14:paraId="15B81BA5" w14:textId="40E9F888" w:rsidR="003C62AB" w:rsidRPr="009726AB" w:rsidRDefault="003C62AB" w:rsidP="003C62AB">
            <w:pPr>
              <w:autoSpaceDE w:val="0"/>
              <w:autoSpaceDN w:val="0"/>
              <w:adjustRightInd w:val="0"/>
              <w:jc w:val="center"/>
              <w:rPr>
                <w:sz w:val="22"/>
                <w:szCs w:val="22"/>
              </w:rPr>
            </w:pPr>
            <w:r w:rsidRPr="005B4AE2">
              <w:rPr>
                <w:sz w:val="22"/>
                <w:szCs w:val="22"/>
              </w:rPr>
              <w:t>-.283</w:t>
            </w:r>
          </w:p>
        </w:tc>
      </w:tr>
      <w:tr w:rsidR="003C62AB" w:rsidRPr="009726AB" w14:paraId="64505F7F" w14:textId="77777777" w:rsidTr="00A8311D">
        <w:trPr>
          <w:gridAfter w:val="1"/>
          <w:wAfter w:w="631" w:type="dxa"/>
          <w:cantSplit/>
          <w:trHeight w:hRule="exact" w:val="340"/>
        </w:trPr>
        <w:tc>
          <w:tcPr>
            <w:tcW w:w="1893" w:type="dxa"/>
            <w:shd w:val="clear" w:color="auto" w:fill="FFFFFF"/>
            <w:vAlign w:val="center"/>
          </w:tcPr>
          <w:p w14:paraId="20D87AEA" w14:textId="5324F188" w:rsidR="003C62AB" w:rsidRPr="009726AB" w:rsidRDefault="003C62AB" w:rsidP="003C62AB">
            <w:pPr>
              <w:rPr>
                <w:sz w:val="22"/>
                <w:szCs w:val="22"/>
              </w:rPr>
            </w:pPr>
            <w:r>
              <w:rPr>
                <w:sz w:val="22"/>
                <w:szCs w:val="22"/>
              </w:rPr>
              <w:t xml:space="preserve">   </w:t>
            </w:r>
            <w:r w:rsidRPr="009726AB">
              <w:rPr>
                <w:sz w:val="22"/>
                <w:szCs w:val="22"/>
              </w:rPr>
              <w:t>ConCov</w:t>
            </w:r>
          </w:p>
        </w:tc>
        <w:tc>
          <w:tcPr>
            <w:tcW w:w="526" w:type="dxa"/>
            <w:shd w:val="clear" w:color="auto" w:fill="FFFFFF"/>
            <w:vAlign w:val="center"/>
          </w:tcPr>
          <w:p w14:paraId="2BF02277" w14:textId="77777777" w:rsidR="003C62AB" w:rsidRPr="009726AB" w:rsidRDefault="003C62AB" w:rsidP="003C62AB">
            <w:pPr>
              <w:autoSpaceDE w:val="0"/>
              <w:autoSpaceDN w:val="0"/>
              <w:adjustRightInd w:val="0"/>
              <w:jc w:val="center"/>
              <w:rPr>
                <w:sz w:val="22"/>
                <w:szCs w:val="22"/>
              </w:rPr>
            </w:pPr>
          </w:p>
        </w:tc>
        <w:tc>
          <w:tcPr>
            <w:tcW w:w="1020" w:type="dxa"/>
            <w:shd w:val="clear" w:color="auto" w:fill="FFFFFF"/>
            <w:vAlign w:val="center"/>
          </w:tcPr>
          <w:p w14:paraId="3666F40E" w14:textId="77777777" w:rsidR="003C62AB" w:rsidRPr="009726AB" w:rsidRDefault="003C62AB" w:rsidP="003C62AB">
            <w:pPr>
              <w:autoSpaceDE w:val="0"/>
              <w:autoSpaceDN w:val="0"/>
              <w:adjustRightInd w:val="0"/>
              <w:jc w:val="center"/>
              <w:rPr>
                <w:sz w:val="22"/>
                <w:szCs w:val="22"/>
              </w:rPr>
            </w:pPr>
          </w:p>
        </w:tc>
        <w:tc>
          <w:tcPr>
            <w:tcW w:w="540" w:type="dxa"/>
            <w:shd w:val="clear" w:color="auto" w:fill="FFFFFF"/>
            <w:vAlign w:val="center"/>
          </w:tcPr>
          <w:p w14:paraId="26AD7D7D" w14:textId="608EA8E5" w:rsidR="003C62AB" w:rsidRPr="009726AB" w:rsidRDefault="003C62AB" w:rsidP="003C62AB">
            <w:pPr>
              <w:autoSpaceDE w:val="0"/>
              <w:autoSpaceDN w:val="0"/>
              <w:adjustRightInd w:val="0"/>
              <w:jc w:val="center"/>
              <w:rPr>
                <w:sz w:val="22"/>
                <w:szCs w:val="22"/>
              </w:rPr>
            </w:pPr>
            <w:r w:rsidRPr="009726AB">
              <w:rPr>
                <w:sz w:val="22"/>
                <w:szCs w:val="22"/>
              </w:rPr>
              <w:t>3.376</w:t>
            </w:r>
          </w:p>
        </w:tc>
        <w:tc>
          <w:tcPr>
            <w:tcW w:w="540" w:type="dxa"/>
            <w:shd w:val="clear" w:color="auto" w:fill="FFFFFF"/>
            <w:vAlign w:val="center"/>
          </w:tcPr>
          <w:p w14:paraId="68B3EFA3" w14:textId="5BF24550" w:rsidR="003C62AB" w:rsidRPr="009726AB" w:rsidRDefault="003C62AB" w:rsidP="003C62AB">
            <w:pPr>
              <w:autoSpaceDE w:val="0"/>
              <w:autoSpaceDN w:val="0"/>
              <w:adjustRightInd w:val="0"/>
              <w:jc w:val="center"/>
              <w:rPr>
                <w:sz w:val="22"/>
                <w:szCs w:val="22"/>
              </w:rPr>
            </w:pPr>
            <w:r w:rsidRPr="009726AB">
              <w:rPr>
                <w:sz w:val="22"/>
                <w:szCs w:val="22"/>
              </w:rPr>
              <w:t>.760</w:t>
            </w:r>
          </w:p>
        </w:tc>
        <w:tc>
          <w:tcPr>
            <w:tcW w:w="900" w:type="dxa"/>
            <w:shd w:val="clear" w:color="auto" w:fill="FFFFFF"/>
            <w:vAlign w:val="center"/>
          </w:tcPr>
          <w:p w14:paraId="59FD2824" w14:textId="7859EC05" w:rsidR="003C62AB" w:rsidRPr="009726AB" w:rsidRDefault="003C62AB" w:rsidP="003C62AB">
            <w:pPr>
              <w:autoSpaceDE w:val="0"/>
              <w:autoSpaceDN w:val="0"/>
              <w:adjustRightInd w:val="0"/>
              <w:jc w:val="center"/>
              <w:rPr>
                <w:sz w:val="22"/>
                <w:szCs w:val="22"/>
              </w:rPr>
            </w:pPr>
            <w:r w:rsidRPr="009726AB">
              <w:rPr>
                <w:sz w:val="22"/>
                <w:szCs w:val="22"/>
              </w:rPr>
              <w:t>4.444**</w:t>
            </w:r>
          </w:p>
        </w:tc>
        <w:tc>
          <w:tcPr>
            <w:tcW w:w="711" w:type="dxa"/>
            <w:shd w:val="clear" w:color="auto" w:fill="FFFFFF"/>
            <w:vAlign w:val="center"/>
          </w:tcPr>
          <w:p w14:paraId="5FF9C471" w14:textId="2CC0737A" w:rsidR="003C62AB" w:rsidRPr="009726AB" w:rsidRDefault="003C62AB" w:rsidP="003C62AB">
            <w:pPr>
              <w:autoSpaceDE w:val="0"/>
              <w:autoSpaceDN w:val="0"/>
              <w:adjustRightInd w:val="0"/>
              <w:jc w:val="center"/>
              <w:rPr>
                <w:sz w:val="22"/>
                <w:szCs w:val="22"/>
              </w:rPr>
            </w:pPr>
            <w:r w:rsidRPr="009726AB">
              <w:rPr>
                <w:sz w:val="22"/>
                <w:szCs w:val="22"/>
              </w:rPr>
              <w:t>.140</w:t>
            </w:r>
          </w:p>
        </w:tc>
        <w:tc>
          <w:tcPr>
            <w:tcW w:w="604" w:type="dxa"/>
            <w:shd w:val="clear" w:color="auto" w:fill="FFFFFF"/>
            <w:vAlign w:val="center"/>
          </w:tcPr>
          <w:p w14:paraId="0BF21B50" w14:textId="6E1AEC4E" w:rsidR="003C62AB" w:rsidRPr="009726AB" w:rsidRDefault="003C62AB" w:rsidP="003C62AB">
            <w:pPr>
              <w:autoSpaceDE w:val="0"/>
              <w:autoSpaceDN w:val="0"/>
              <w:adjustRightInd w:val="0"/>
              <w:jc w:val="center"/>
              <w:rPr>
                <w:sz w:val="22"/>
                <w:szCs w:val="22"/>
              </w:rPr>
            </w:pPr>
            <w:r w:rsidRPr="009726AB">
              <w:rPr>
                <w:sz w:val="22"/>
                <w:szCs w:val="22"/>
              </w:rPr>
              <w:t>1.884</w:t>
            </w:r>
          </w:p>
        </w:tc>
        <w:tc>
          <w:tcPr>
            <w:tcW w:w="1063" w:type="dxa"/>
            <w:shd w:val="clear" w:color="auto" w:fill="FFFFFF"/>
            <w:vAlign w:val="center"/>
          </w:tcPr>
          <w:p w14:paraId="620E93FE" w14:textId="19E85623" w:rsidR="003C62AB" w:rsidRPr="009726AB" w:rsidRDefault="003C62AB" w:rsidP="003C62AB">
            <w:pPr>
              <w:autoSpaceDE w:val="0"/>
              <w:autoSpaceDN w:val="0"/>
              <w:adjustRightInd w:val="0"/>
              <w:jc w:val="center"/>
              <w:rPr>
                <w:sz w:val="22"/>
                <w:szCs w:val="22"/>
              </w:rPr>
            </w:pPr>
            <w:r w:rsidRPr="009726AB">
              <w:rPr>
                <w:sz w:val="22"/>
                <w:szCs w:val="22"/>
              </w:rPr>
              <w:t>4.868</w:t>
            </w:r>
          </w:p>
        </w:tc>
      </w:tr>
      <w:tr w:rsidR="003C62AB" w:rsidRPr="009726AB" w14:paraId="2749E071" w14:textId="77777777" w:rsidTr="00A8311D">
        <w:trPr>
          <w:gridAfter w:val="1"/>
          <w:wAfter w:w="631" w:type="dxa"/>
          <w:cantSplit/>
          <w:trHeight w:hRule="exact" w:val="340"/>
        </w:trPr>
        <w:tc>
          <w:tcPr>
            <w:tcW w:w="1893" w:type="dxa"/>
            <w:shd w:val="clear" w:color="auto" w:fill="FFFFFF"/>
            <w:vAlign w:val="center"/>
          </w:tcPr>
          <w:p w14:paraId="5A3E4750" w14:textId="3FFC6C1C" w:rsidR="003C62AB" w:rsidRPr="009726AB" w:rsidRDefault="003C62AB" w:rsidP="00A8311D">
            <w:pPr>
              <w:jc w:val="both"/>
              <w:rPr>
                <w:sz w:val="22"/>
                <w:szCs w:val="22"/>
              </w:rPr>
            </w:pPr>
            <w:r>
              <w:rPr>
                <w:sz w:val="22"/>
                <w:szCs w:val="22"/>
              </w:rPr>
              <w:t>Model 4 HADA</w:t>
            </w:r>
          </w:p>
        </w:tc>
        <w:tc>
          <w:tcPr>
            <w:tcW w:w="526" w:type="dxa"/>
            <w:shd w:val="clear" w:color="auto" w:fill="FFFFFF"/>
            <w:vAlign w:val="center"/>
          </w:tcPr>
          <w:p w14:paraId="2242B130" w14:textId="5A6B6F56" w:rsidR="003C62AB" w:rsidRPr="009726AB" w:rsidRDefault="003C62AB" w:rsidP="003C62AB">
            <w:pPr>
              <w:autoSpaceDE w:val="0"/>
              <w:autoSpaceDN w:val="0"/>
              <w:adjustRightInd w:val="0"/>
              <w:jc w:val="both"/>
              <w:rPr>
                <w:sz w:val="22"/>
                <w:szCs w:val="22"/>
              </w:rPr>
            </w:pPr>
            <w:r w:rsidRPr="009726AB">
              <w:rPr>
                <w:sz w:val="22"/>
                <w:szCs w:val="22"/>
              </w:rPr>
              <w:t>.209</w:t>
            </w:r>
          </w:p>
        </w:tc>
        <w:tc>
          <w:tcPr>
            <w:tcW w:w="1020" w:type="dxa"/>
            <w:shd w:val="clear" w:color="auto" w:fill="FFFFFF"/>
            <w:vAlign w:val="center"/>
          </w:tcPr>
          <w:p w14:paraId="73945234" w14:textId="632DDD71" w:rsidR="003C62AB" w:rsidRPr="009726AB" w:rsidRDefault="003C62AB" w:rsidP="003C62AB">
            <w:pPr>
              <w:autoSpaceDE w:val="0"/>
              <w:autoSpaceDN w:val="0"/>
              <w:adjustRightInd w:val="0"/>
              <w:jc w:val="both"/>
              <w:rPr>
                <w:sz w:val="22"/>
                <w:szCs w:val="22"/>
              </w:rPr>
            </w:pPr>
            <w:r w:rsidRPr="009726AB">
              <w:rPr>
                <w:sz w:val="22"/>
                <w:szCs w:val="22"/>
              </w:rPr>
              <w:t>4</w:t>
            </w:r>
            <w:r>
              <w:rPr>
                <w:sz w:val="22"/>
                <w:szCs w:val="22"/>
              </w:rPr>
              <w:t>9</w:t>
            </w:r>
            <w:r w:rsidRPr="009726AB">
              <w:rPr>
                <w:sz w:val="22"/>
                <w:szCs w:val="22"/>
              </w:rPr>
              <w:t>.972**</w:t>
            </w:r>
          </w:p>
        </w:tc>
        <w:tc>
          <w:tcPr>
            <w:tcW w:w="540" w:type="dxa"/>
            <w:shd w:val="clear" w:color="auto" w:fill="FFFFFF"/>
            <w:vAlign w:val="center"/>
          </w:tcPr>
          <w:p w14:paraId="1C2297F1" w14:textId="77777777" w:rsidR="003C62AB" w:rsidRPr="009726AB" w:rsidRDefault="003C62AB" w:rsidP="003C62AB">
            <w:pPr>
              <w:autoSpaceDE w:val="0"/>
              <w:autoSpaceDN w:val="0"/>
              <w:adjustRightInd w:val="0"/>
              <w:jc w:val="both"/>
              <w:rPr>
                <w:sz w:val="22"/>
                <w:szCs w:val="22"/>
              </w:rPr>
            </w:pPr>
          </w:p>
        </w:tc>
        <w:tc>
          <w:tcPr>
            <w:tcW w:w="540" w:type="dxa"/>
            <w:shd w:val="clear" w:color="auto" w:fill="FFFFFF"/>
            <w:vAlign w:val="center"/>
          </w:tcPr>
          <w:p w14:paraId="762BC68C" w14:textId="77777777" w:rsidR="003C62AB" w:rsidRPr="009726AB" w:rsidRDefault="003C62AB" w:rsidP="003C62AB">
            <w:pPr>
              <w:autoSpaceDE w:val="0"/>
              <w:autoSpaceDN w:val="0"/>
              <w:adjustRightInd w:val="0"/>
              <w:jc w:val="both"/>
              <w:rPr>
                <w:sz w:val="22"/>
                <w:szCs w:val="22"/>
              </w:rPr>
            </w:pPr>
          </w:p>
        </w:tc>
        <w:tc>
          <w:tcPr>
            <w:tcW w:w="900" w:type="dxa"/>
            <w:shd w:val="clear" w:color="auto" w:fill="FFFFFF"/>
            <w:vAlign w:val="center"/>
          </w:tcPr>
          <w:p w14:paraId="086CEC70" w14:textId="77777777" w:rsidR="003C62AB" w:rsidRPr="009726AB" w:rsidRDefault="003C62AB" w:rsidP="003C62AB">
            <w:pPr>
              <w:autoSpaceDE w:val="0"/>
              <w:autoSpaceDN w:val="0"/>
              <w:adjustRightInd w:val="0"/>
              <w:jc w:val="both"/>
              <w:rPr>
                <w:sz w:val="22"/>
                <w:szCs w:val="22"/>
              </w:rPr>
            </w:pPr>
          </w:p>
        </w:tc>
        <w:tc>
          <w:tcPr>
            <w:tcW w:w="711" w:type="dxa"/>
            <w:shd w:val="clear" w:color="auto" w:fill="FFFFFF"/>
            <w:vAlign w:val="center"/>
          </w:tcPr>
          <w:p w14:paraId="55B736AA" w14:textId="77777777" w:rsidR="003C62AB" w:rsidRPr="009726AB" w:rsidRDefault="003C62AB" w:rsidP="003C62AB">
            <w:pPr>
              <w:autoSpaceDE w:val="0"/>
              <w:autoSpaceDN w:val="0"/>
              <w:adjustRightInd w:val="0"/>
              <w:jc w:val="both"/>
              <w:rPr>
                <w:sz w:val="22"/>
                <w:szCs w:val="22"/>
              </w:rPr>
            </w:pPr>
          </w:p>
        </w:tc>
        <w:tc>
          <w:tcPr>
            <w:tcW w:w="604" w:type="dxa"/>
            <w:shd w:val="clear" w:color="auto" w:fill="FFFFFF"/>
            <w:vAlign w:val="center"/>
          </w:tcPr>
          <w:p w14:paraId="70B8F783" w14:textId="77777777" w:rsidR="003C62AB" w:rsidRPr="009726AB" w:rsidRDefault="003C62AB" w:rsidP="003C62AB">
            <w:pPr>
              <w:autoSpaceDE w:val="0"/>
              <w:autoSpaceDN w:val="0"/>
              <w:adjustRightInd w:val="0"/>
              <w:jc w:val="both"/>
              <w:rPr>
                <w:sz w:val="22"/>
                <w:szCs w:val="22"/>
              </w:rPr>
            </w:pPr>
          </w:p>
        </w:tc>
        <w:tc>
          <w:tcPr>
            <w:tcW w:w="1063" w:type="dxa"/>
            <w:shd w:val="clear" w:color="auto" w:fill="FFFFFF"/>
            <w:vAlign w:val="center"/>
          </w:tcPr>
          <w:p w14:paraId="02FC620B" w14:textId="77777777" w:rsidR="003C62AB" w:rsidRPr="009726AB" w:rsidRDefault="003C62AB" w:rsidP="003C62AB">
            <w:pPr>
              <w:autoSpaceDE w:val="0"/>
              <w:autoSpaceDN w:val="0"/>
              <w:adjustRightInd w:val="0"/>
              <w:jc w:val="both"/>
              <w:rPr>
                <w:sz w:val="22"/>
                <w:szCs w:val="22"/>
              </w:rPr>
            </w:pPr>
          </w:p>
        </w:tc>
      </w:tr>
      <w:tr w:rsidR="003C62AB" w:rsidRPr="009726AB" w14:paraId="0D6146D8" w14:textId="77777777" w:rsidTr="00A8311D">
        <w:trPr>
          <w:gridAfter w:val="1"/>
          <w:wAfter w:w="631" w:type="dxa"/>
          <w:cantSplit/>
          <w:trHeight w:hRule="exact" w:val="340"/>
        </w:trPr>
        <w:tc>
          <w:tcPr>
            <w:tcW w:w="1893" w:type="dxa"/>
            <w:shd w:val="clear" w:color="auto" w:fill="FFFFFF"/>
            <w:vAlign w:val="center"/>
          </w:tcPr>
          <w:p w14:paraId="58341B7B" w14:textId="51CC4FBA" w:rsidR="003C62AB" w:rsidRPr="009726AB" w:rsidRDefault="003C62AB" w:rsidP="00A8311D">
            <w:pPr>
              <w:jc w:val="both"/>
              <w:rPr>
                <w:sz w:val="22"/>
                <w:szCs w:val="22"/>
              </w:rPr>
            </w:pPr>
            <w:r w:rsidRPr="009726AB">
              <w:rPr>
                <w:sz w:val="22"/>
                <w:szCs w:val="22"/>
              </w:rPr>
              <w:t xml:space="preserve">   Sex</w:t>
            </w:r>
          </w:p>
        </w:tc>
        <w:tc>
          <w:tcPr>
            <w:tcW w:w="526" w:type="dxa"/>
            <w:shd w:val="clear" w:color="auto" w:fill="FFFFFF"/>
            <w:vAlign w:val="center"/>
          </w:tcPr>
          <w:p w14:paraId="620F12A7" w14:textId="77777777" w:rsidR="003C62AB" w:rsidRPr="009726AB" w:rsidRDefault="003C62AB" w:rsidP="003C62AB">
            <w:pPr>
              <w:autoSpaceDE w:val="0"/>
              <w:autoSpaceDN w:val="0"/>
              <w:adjustRightInd w:val="0"/>
              <w:jc w:val="both"/>
              <w:rPr>
                <w:sz w:val="22"/>
                <w:szCs w:val="22"/>
              </w:rPr>
            </w:pPr>
          </w:p>
        </w:tc>
        <w:tc>
          <w:tcPr>
            <w:tcW w:w="1020" w:type="dxa"/>
            <w:shd w:val="clear" w:color="auto" w:fill="FFFFFF"/>
            <w:vAlign w:val="center"/>
          </w:tcPr>
          <w:p w14:paraId="774B69C1" w14:textId="77777777" w:rsidR="003C62AB" w:rsidRPr="009726AB" w:rsidRDefault="003C62AB" w:rsidP="003C62AB">
            <w:pPr>
              <w:autoSpaceDE w:val="0"/>
              <w:autoSpaceDN w:val="0"/>
              <w:adjustRightInd w:val="0"/>
              <w:jc w:val="both"/>
              <w:rPr>
                <w:sz w:val="22"/>
                <w:szCs w:val="22"/>
              </w:rPr>
            </w:pPr>
          </w:p>
        </w:tc>
        <w:tc>
          <w:tcPr>
            <w:tcW w:w="540" w:type="dxa"/>
            <w:shd w:val="clear" w:color="auto" w:fill="FFFFFF"/>
            <w:vAlign w:val="center"/>
          </w:tcPr>
          <w:p w14:paraId="5F950E19" w14:textId="77777777" w:rsidR="003C62AB" w:rsidRPr="00D82D2E" w:rsidRDefault="003C62AB" w:rsidP="003C62AB">
            <w:pPr>
              <w:autoSpaceDE w:val="0"/>
              <w:autoSpaceDN w:val="0"/>
              <w:adjustRightInd w:val="0"/>
              <w:jc w:val="both"/>
              <w:rPr>
                <w:sz w:val="22"/>
                <w:szCs w:val="22"/>
              </w:rPr>
            </w:pPr>
            <w:r w:rsidRPr="00D82D2E">
              <w:rPr>
                <w:sz w:val="22"/>
                <w:szCs w:val="22"/>
              </w:rPr>
              <w:t>1.433</w:t>
            </w:r>
          </w:p>
          <w:p w14:paraId="23251032" w14:textId="77777777" w:rsidR="003C62AB" w:rsidRPr="00D82D2E" w:rsidRDefault="003C62AB" w:rsidP="003C62AB">
            <w:pPr>
              <w:autoSpaceDE w:val="0"/>
              <w:autoSpaceDN w:val="0"/>
              <w:adjustRightInd w:val="0"/>
              <w:jc w:val="both"/>
              <w:rPr>
                <w:sz w:val="22"/>
                <w:szCs w:val="22"/>
              </w:rPr>
            </w:pPr>
          </w:p>
        </w:tc>
        <w:tc>
          <w:tcPr>
            <w:tcW w:w="540" w:type="dxa"/>
            <w:shd w:val="clear" w:color="auto" w:fill="FFFFFF"/>
            <w:vAlign w:val="center"/>
          </w:tcPr>
          <w:p w14:paraId="5FEB0409" w14:textId="744ABB0E" w:rsidR="003C62AB" w:rsidRPr="00D82D2E" w:rsidRDefault="003C62AB" w:rsidP="003C62AB">
            <w:pPr>
              <w:autoSpaceDE w:val="0"/>
              <w:autoSpaceDN w:val="0"/>
              <w:adjustRightInd w:val="0"/>
              <w:jc w:val="both"/>
              <w:rPr>
                <w:sz w:val="22"/>
                <w:szCs w:val="22"/>
              </w:rPr>
            </w:pPr>
            <w:r w:rsidRPr="00D82D2E">
              <w:rPr>
                <w:sz w:val="22"/>
                <w:szCs w:val="22"/>
              </w:rPr>
              <w:t>.321</w:t>
            </w:r>
          </w:p>
        </w:tc>
        <w:tc>
          <w:tcPr>
            <w:tcW w:w="900" w:type="dxa"/>
            <w:shd w:val="clear" w:color="auto" w:fill="FFFFFF"/>
            <w:vAlign w:val="center"/>
          </w:tcPr>
          <w:p w14:paraId="5606BE1C" w14:textId="71F71074" w:rsidR="003C62AB" w:rsidRPr="00D82D2E" w:rsidRDefault="003C62AB" w:rsidP="003C62AB">
            <w:pPr>
              <w:autoSpaceDE w:val="0"/>
              <w:autoSpaceDN w:val="0"/>
              <w:adjustRightInd w:val="0"/>
              <w:jc w:val="both"/>
              <w:rPr>
                <w:sz w:val="22"/>
                <w:szCs w:val="22"/>
              </w:rPr>
            </w:pPr>
            <w:r w:rsidRPr="00D82D2E">
              <w:rPr>
                <w:sz w:val="22"/>
                <w:szCs w:val="22"/>
              </w:rPr>
              <w:t>4.465**</w:t>
            </w:r>
          </w:p>
        </w:tc>
        <w:tc>
          <w:tcPr>
            <w:tcW w:w="711" w:type="dxa"/>
            <w:shd w:val="clear" w:color="auto" w:fill="FFFFFF"/>
            <w:vAlign w:val="center"/>
          </w:tcPr>
          <w:p w14:paraId="5BB82724" w14:textId="2E3F2276" w:rsidR="003C62AB" w:rsidRPr="00D82D2E" w:rsidRDefault="003C62AB" w:rsidP="003C62AB">
            <w:pPr>
              <w:autoSpaceDE w:val="0"/>
              <w:autoSpaceDN w:val="0"/>
              <w:adjustRightInd w:val="0"/>
              <w:jc w:val="both"/>
              <w:rPr>
                <w:sz w:val="22"/>
                <w:szCs w:val="22"/>
              </w:rPr>
            </w:pPr>
            <w:r w:rsidRPr="00D82D2E">
              <w:rPr>
                <w:sz w:val="22"/>
                <w:szCs w:val="22"/>
              </w:rPr>
              <w:t>.151</w:t>
            </w:r>
          </w:p>
        </w:tc>
        <w:tc>
          <w:tcPr>
            <w:tcW w:w="604" w:type="dxa"/>
            <w:shd w:val="clear" w:color="auto" w:fill="FFFFFF"/>
            <w:vAlign w:val="center"/>
          </w:tcPr>
          <w:p w14:paraId="42C26A4B" w14:textId="4719C722" w:rsidR="003C62AB" w:rsidRPr="00D82D2E" w:rsidRDefault="003C62AB" w:rsidP="003C62AB">
            <w:pPr>
              <w:autoSpaceDE w:val="0"/>
              <w:autoSpaceDN w:val="0"/>
              <w:adjustRightInd w:val="0"/>
              <w:jc w:val="both"/>
              <w:rPr>
                <w:sz w:val="22"/>
                <w:szCs w:val="22"/>
              </w:rPr>
            </w:pPr>
            <w:r w:rsidRPr="00D82D2E">
              <w:rPr>
                <w:sz w:val="22"/>
                <w:szCs w:val="22"/>
              </w:rPr>
              <w:t>.803</w:t>
            </w:r>
          </w:p>
        </w:tc>
        <w:tc>
          <w:tcPr>
            <w:tcW w:w="1063" w:type="dxa"/>
            <w:shd w:val="clear" w:color="auto" w:fill="FFFFFF"/>
            <w:vAlign w:val="center"/>
          </w:tcPr>
          <w:p w14:paraId="37748D66" w14:textId="42F93B05" w:rsidR="003C62AB" w:rsidRPr="00D82D2E" w:rsidRDefault="003C62AB" w:rsidP="003C62AB">
            <w:pPr>
              <w:autoSpaceDE w:val="0"/>
              <w:autoSpaceDN w:val="0"/>
              <w:adjustRightInd w:val="0"/>
              <w:jc w:val="both"/>
              <w:rPr>
                <w:sz w:val="22"/>
                <w:szCs w:val="22"/>
              </w:rPr>
            </w:pPr>
            <w:r w:rsidRPr="00D82D2E">
              <w:rPr>
                <w:sz w:val="22"/>
                <w:szCs w:val="22"/>
              </w:rPr>
              <w:t>2.064</w:t>
            </w:r>
          </w:p>
        </w:tc>
      </w:tr>
      <w:tr w:rsidR="003C62AB" w:rsidRPr="009726AB" w14:paraId="7345DD0E" w14:textId="77777777" w:rsidTr="00A8311D">
        <w:trPr>
          <w:gridAfter w:val="1"/>
          <w:wAfter w:w="631" w:type="dxa"/>
          <w:cantSplit/>
          <w:trHeight w:hRule="exact" w:val="340"/>
        </w:trPr>
        <w:tc>
          <w:tcPr>
            <w:tcW w:w="1893" w:type="dxa"/>
            <w:tcBorders>
              <w:bottom w:val="single" w:sz="4" w:space="0" w:color="auto"/>
            </w:tcBorders>
            <w:shd w:val="clear" w:color="auto" w:fill="FFFFFF"/>
            <w:vAlign w:val="center"/>
          </w:tcPr>
          <w:p w14:paraId="4AC9DBD3" w14:textId="43F93B71" w:rsidR="003C62AB" w:rsidRPr="009726AB" w:rsidRDefault="003C62AB" w:rsidP="00AC1059">
            <w:pPr>
              <w:jc w:val="both"/>
              <w:rPr>
                <w:sz w:val="22"/>
                <w:szCs w:val="22"/>
              </w:rPr>
            </w:pPr>
            <w:r>
              <w:rPr>
                <w:sz w:val="22"/>
                <w:szCs w:val="22"/>
              </w:rPr>
              <w:t xml:space="preserve">   </w:t>
            </w:r>
            <w:r w:rsidRPr="009726AB">
              <w:rPr>
                <w:sz w:val="22"/>
                <w:szCs w:val="22"/>
              </w:rPr>
              <w:t>Con</w:t>
            </w:r>
            <w:r w:rsidR="00AC1059">
              <w:rPr>
                <w:sz w:val="22"/>
                <w:szCs w:val="22"/>
              </w:rPr>
              <w:t>60</w:t>
            </w:r>
          </w:p>
        </w:tc>
        <w:tc>
          <w:tcPr>
            <w:tcW w:w="526" w:type="dxa"/>
            <w:tcBorders>
              <w:bottom w:val="single" w:sz="4" w:space="0" w:color="auto"/>
            </w:tcBorders>
            <w:shd w:val="clear" w:color="auto" w:fill="FFFFFF"/>
            <w:vAlign w:val="center"/>
          </w:tcPr>
          <w:p w14:paraId="3D030EC3" w14:textId="77777777" w:rsidR="003C62AB" w:rsidRPr="009726AB" w:rsidRDefault="003C62AB" w:rsidP="003C62AB">
            <w:pPr>
              <w:autoSpaceDE w:val="0"/>
              <w:autoSpaceDN w:val="0"/>
              <w:adjustRightInd w:val="0"/>
              <w:jc w:val="both"/>
              <w:rPr>
                <w:sz w:val="22"/>
                <w:szCs w:val="22"/>
              </w:rPr>
            </w:pPr>
          </w:p>
        </w:tc>
        <w:tc>
          <w:tcPr>
            <w:tcW w:w="1020" w:type="dxa"/>
            <w:tcBorders>
              <w:bottom w:val="single" w:sz="4" w:space="0" w:color="auto"/>
            </w:tcBorders>
            <w:shd w:val="clear" w:color="auto" w:fill="FFFFFF"/>
            <w:vAlign w:val="center"/>
          </w:tcPr>
          <w:p w14:paraId="395A11E7" w14:textId="77777777" w:rsidR="003C62AB" w:rsidRPr="009726AB" w:rsidRDefault="003C62AB" w:rsidP="003C62AB">
            <w:pPr>
              <w:autoSpaceDE w:val="0"/>
              <w:autoSpaceDN w:val="0"/>
              <w:adjustRightInd w:val="0"/>
              <w:jc w:val="both"/>
              <w:rPr>
                <w:sz w:val="22"/>
                <w:szCs w:val="22"/>
              </w:rPr>
            </w:pPr>
          </w:p>
        </w:tc>
        <w:tc>
          <w:tcPr>
            <w:tcW w:w="540" w:type="dxa"/>
            <w:tcBorders>
              <w:bottom w:val="single" w:sz="4" w:space="0" w:color="auto"/>
            </w:tcBorders>
            <w:shd w:val="clear" w:color="auto" w:fill="FFFFFF"/>
            <w:vAlign w:val="center"/>
          </w:tcPr>
          <w:p w14:paraId="4F6D9432" w14:textId="6BC3EE16" w:rsidR="003C62AB" w:rsidRPr="00D82D2E" w:rsidRDefault="003C62AB" w:rsidP="003C62AB">
            <w:pPr>
              <w:autoSpaceDE w:val="0"/>
              <w:autoSpaceDN w:val="0"/>
              <w:adjustRightInd w:val="0"/>
              <w:jc w:val="both"/>
              <w:rPr>
                <w:sz w:val="22"/>
                <w:szCs w:val="22"/>
              </w:rPr>
            </w:pPr>
            <w:r w:rsidRPr="00D82D2E">
              <w:rPr>
                <w:sz w:val="22"/>
                <w:szCs w:val="22"/>
              </w:rPr>
              <w:t>.677</w:t>
            </w:r>
          </w:p>
        </w:tc>
        <w:tc>
          <w:tcPr>
            <w:tcW w:w="540" w:type="dxa"/>
            <w:tcBorders>
              <w:bottom w:val="single" w:sz="4" w:space="0" w:color="auto"/>
            </w:tcBorders>
            <w:shd w:val="clear" w:color="auto" w:fill="FFFFFF"/>
            <w:vAlign w:val="center"/>
          </w:tcPr>
          <w:p w14:paraId="39DB34BB" w14:textId="5691BD53" w:rsidR="003C62AB" w:rsidRPr="00D82D2E" w:rsidRDefault="003C62AB" w:rsidP="003C62AB">
            <w:pPr>
              <w:autoSpaceDE w:val="0"/>
              <w:autoSpaceDN w:val="0"/>
              <w:adjustRightInd w:val="0"/>
              <w:jc w:val="both"/>
              <w:rPr>
                <w:sz w:val="22"/>
                <w:szCs w:val="22"/>
              </w:rPr>
            </w:pPr>
            <w:r w:rsidRPr="00D82D2E">
              <w:rPr>
                <w:sz w:val="22"/>
                <w:szCs w:val="22"/>
              </w:rPr>
              <w:t>.292</w:t>
            </w:r>
          </w:p>
        </w:tc>
        <w:tc>
          <w:tcPr>
            <w:tcW w:w="900" w:type="dxa"/>
            <w:tcBorders>
              <w:bottom w:val="single" w:sz="4" w:space="0" w:color="auto"/>
            </w:tcBorders>
            <w:shd w:val="clear" w:color="auto" w:fill="FFFFFF"/>
            <w:vAlign w:val="center"/>
          </w:tcPr>
          <w:p w14:paraId="2982B95C" w14:textId="3018F265" w:rsidR="003C62AB" w:rsidRPr="00D82D2E" w:rsidRDefault="003C62AB" w:rsidP="003C62AB">
            <w:pPr>
              <w:autoSpaceDE w:val="0"/>
              <w:autoSpaceDN w:val="0"/>
              <w:adjustRightInd w:val="0"/>
              <w:jc w:val="both"/>
              <w:rPr>
                <w:sz w:val="22"/>
                <w:szCs w:val="22"/>
              </w:rPr>
            </w:pPr>
            <w:r w:rsidRPr="00D82D2E">
              <w:rPr>
                <w:sz w:val="22"/>
                <w:szCs w:val="22"/>
              </w:rPr>
              <w:t>2.320*</w:t>
            </w:r>
          </w:p>
        </w:tc>
        <w:tc>
          <w:tcPr>
            <w:tcW w:w="711" w:type="dxa"/>
            <w:tcBorders>
              <w:bottom w:val="single" w:sz="4" w:space="0" w:color="auto"/>
            </w:tcBorders>
            <w:shd w:val="clear" w:color="auto" w:fill="FFFFFF"/>
            <w:vAlign w:val="center"/>
          </w:tcPr>
          <w:p w14:paraId="170DC695" w14:textId="4817CCFB" w:rsidR="003C62AB" w:rsidRPr="00D82D2E" w:rsidRDefault="003C62AB" w:rsidP="003C62AB">
            <w:pPr>
              <w:autoSpaceDE w:val="0"/>
              <w:autoSpaceDN w:val="0"/>
              <w:adjustRightInd w:val="0"/>
              <w:jc w:val="both"/>
              <w:rPr>
                <w:sz w:val="22"/>
                <w:szCs w:val="22"/>
              </w:rPr>
            </w:pPr>
            <w:r w:rsidRPr="00D82D2E">
              <w:rPr>
                <w:sz w:val="22"/>
                <w:szCs w:val="22"/>
              </w:rPr>
              <w:t>.078</w:t>
            </w:r>
          </w:p>
        </w:tc>
        <w:tc>
          <w:tcPr>
            <w:tcW w:w="604" w:type="dxa"/>
            <w:tcBorders>
              <w:bottom w:val="single" w:sz="4" w:space="0" w:color="auto"/>
            </w:tcBorders>
            <w:shd w:val="clear" w:color="auto" w:fill="FFFFFF"/>
            <w:vAlign w:val="center"/>
          </w:tcPr>
          <w:p w14:paraId="0687F289" w14:textId="541F8D2D" w:rsidR="003C62AB" w:rsidRPr="00D82D2E" w:rsidRDefault="003C62AB" w:rsidP="003C62AB">
            <w:pPr>
              <w:autoSpaceDE w:val="0"/>
              <w:autoSpaceDN w:val="0"/>
              <w:adjustRightInd w:val="0"/>
              <w:jc w:val="both"/>
              <w:rPr>
                <w:sz w:val="22"/>
                <w:szCs w:val="22"/>
              </w:rPr>
            </w:pPr>
            <w:r w:rsidRPr="00D82D2E">
              <w:rPr>
                <w:sz w:val="22"/>
                <w:szCs w:val="22"/>
              </w:rPr>
              <w:t>.104</w:t>
            </w:r>
          </w:p>
        </w:tc>
        <w:tc>
          <w:tcPr>
            <w:tcW w:w="1063" w:type="dxa"/>
            <w:tcBorders>
              <w:bottom w:val="single" w:sz="4" w:space="0" w:color="auto"/>
            </w:tcBorders>
            <w:shd w:val="clear" w:color="auto" w:fill="FFFFFF"/>
            <w:vAlign w:val="center"/>
          </w:tcPr>
          <w:p w14:paraId="28703249" w14:textId="5977E8F0" w:rsidR="003C62AB" w:rsidRPr="00D82D2E" w:rsidRDefault="003C62AB" w:rsidP="003C62AB">
            <w:pPr>
              <w:autoSpaceDE w:val="0"/>
              <w:autoSpaceDN w:val="0"/>
              <w:adjustRightInd w:val="0"/>
              <w:jc w:val="both"/>
              <w:rPr>
                <w:sz w:val="22"/>
                <w:szCs w:val="22"/>
              </w:rPr>
            </w:pPr>
            <w:r w:rsidRPr="00D82D2E">
              <w:rPr>
                <w:sz w:val="22"/>
                <w:szCs w:val="22"/>
              </w:rPr>
              <w:t>1.250</w:t>
            </w:r>
          </w:p>
        </w:tc>
      </w:tr>
    </w:tbl>
    <w:p w14:paraId="0F84241F" w14:textId="5B66CC68" w:rsidR="009726AB" w:rsidRPr="009726AB" w:rsidRDefault="00A8311D" w:rsidP="009726AB">
      <w:pPr>
        <w:jc w:val="both"/>
        <w:rPr>
          <w:bCs/>
          <w:sz w:val="22"/>
          <w:szCs w:val="22"/>
        </w:rPr>
      </w:pPr>
      <w:r w:rsidRPr="00A8311D">
        <w:rPr>
          <w:sz w:val="22"/>
          <w:szCs w:val="22"/>
        </w:rPr>
        <w:t>HADT = Prediction of the symptomatology measured through the ADH Total scale; HADD = Prediction of the depressive symptomatology measured through the ADH Depression scale; HADA = Prediction of the anxious symptomatology measured through the ADH Anxiety scale R2 = corrected determination coefficient; F = contrast statistic (ANOVA); *</w:t>
      </w:r>
      <w:r w:rsidRPr="00A8311D">
        <w:rPr>
          <w:i/>
          <w:sz w:val="22"/>
          <w:szCs w:val="22"/>
        </w:rPr>
        <w:t>p</w:t>
      </w:r>
      <w:r w:rsidRPr="00A8311D">
        <w:rPr>
          <w:sz w:val="22"/>
          <w:szCs w:val="22"/>
        </w:rPr>
        <w:t xml:space="preserve">&lt;0.05 ** </w:t>
      </w:r>
      <w:r w:rsidRPr="00A8311D">
        <w:rPr>
          <w:i/>
          <w:sz w:val="22"/>
          <w:szCs w:val="22"/>
        </w:rPr>
        <w:t>p</w:t>
      </w:r>
      <w:r w:rsidRPr="00A8311D">
        <w:rPr>
          <w:sz w:val="22"/>
          <w:szCs w:val="22"/>
        </w:rPr>
        <w:t xml:space="preserve">&lt;0.01; ns = not significant; B = non-standardized coefficient; SE = standard error; </w:t>
      </w:r>
      <w:r w:rsidRPr="00107AE2">
        <w:rPr>
          <w:i/>
          <w:sz w:val="22"/>
          <w:szCs w:val="22"/>
        </w:rPr>
        <w:t>t</w:t>
      </w:r>
      <w:r w:rsidRPr="00A8311D">
        <w:rPr>
          <w:sz w:val="22"/>
          <w:szCs w:val="22"/>
        </w:rPr>
        <w:t xml:space="preserve"> = variable predictive contrast statistic; g. l. = degrees of freedom; β = result of the regression or beta equation; C.I. = confidence intervals; L.I. = lower limit; S.L. = upper limit</w:t>
      </w:r>
    </w:p>
    <w:p w14:paraId="184D2869" w14:textId="77777777" w:rsidR="00A510CC" w:rsidRDefault="00A510CC" w:rsidP="009726AB">
      <w:pPr>
        <w:autoSpaceDE w:val="0"/>
        <w:autoSpaceDN w:val="0"/>
        <w:adjustRightInd w:val="0"/>
        <w:jc w:val="both"/>
        <w:rPr>
          <w:rFonts w:eastAsia="Calibri"/>
          <w:bCs/>
          <w:i/>
          <w:sz w:val="22"/>
          <w:szCs w:val="22"/>
          <w:lang w:eastAsia="es-ES"/>
        </w:rPr>
      </w:pPr>
    </w:p>
    <w:p w14:paraId="78D45B6D" w14:textId="1C0EA964" w:rsidR="00917C34" w:rsidRPr="00D82D2E" w:rsidRDefault="00917C34" w:rsidP="00D82D2E">
      <w:pPr>
        <w:jc w:val="center"/>
        <w:rPr>
          <w:b/>
          <w:bCs/>
          <w:sz w:val="22"/>
          <w:szCs w:val="22"/>
        </w:rPr>
      </w:pPr>
      <w:r w:rsidRPr="00D82D2E">
        <w:rPr>
          <w:b/>
          <w:bCs/>
          <w:sz w:val="22"/>
          <w:szCs w:val="22"/>
        </w:rPr>
        <w:t>D</w:t>
      </w:r>
      <w:r w:rsidR="00D82D2E" w:rsidRPr="00D82D2E">
        <w:rPr>
          <w:b/>
          <w:bCs/>
          <w:sz w:val="22"/>
          <w:szCs w:val="22"/>
        </w:rPr>
        <w:t>ISCUS</w:t>
      </w:r>
      <w:r w:rsidR="00107AE2">
        <w:rPr>
          <w:b/>
          <w:bCs/>
          <w:sz w:val="22"/>
          <w:szCs w:val="22"/>
        </w:rPr>
        <w:t>SIO</w:t>
      </w:r>
      <w:r w:rsidR="00D82D2E" w:rsidRPr="00D82D2E">
        <w:rPr>
          <w:b/>
          <w:bCs/>
          <w:sz w:val="22"/>
          <w:szCs w:val="22"/>
        </w:rPr>
        <w:t>N</w:t>
      </w:r>
    </w:p>
    <w:p w14:paraId="05C45AEA" w14:textId="77777777" w:rsidR="00BB29E4" w:rsidRPr="005B4AE2" w:rsidRDefault="00BB29E4" w:rsidP="003E1B52">
      <w:pPr>
        <w:spacing w:line="360" w:lineRule="auto"/>
        <w:jc w:val="both"/>
        <w:rPr>
          <w:sz w:val="22"/>
          <w:szCs w:val="22"/>
        </w:rPr>
      </w:pPr>
    </w:p>
    <w:p w14:paraId="15A6F588" w14:textId="78876897" w:rsidR="00685953" w:rsidRPr="005B4AE2" w:rsidRDefault="00107AE2" w:rsidP="003E1B52">
      <w:pPr>
        <w:pStyle w:val="Textoindependiente"/>
        <w:spacing w:line="360" w:lineRule="auto"/>
        <w:ind w:firstLine="708"/>
        <w:jc w:val="both"/>
        <w:rPr>
          <w:sz w:val="22"/>
          <w:szCs w:val="22"/>
          <w:lang w:val="es-ES"/>
        </w:rPr>
      </w:pPr>
      <w:r w:rsidRPr="00107AE2">
        <w:rPr>
          <w:sz w:val="22"/>
          <w:szCs w:val="22"/>
          <w:lang w:val="es-ES"/>
        </w:rPr>
        <w:t>The first objective of this study was to identify the most optimal scoring system of those used in our setting to categorize participants according to the level of self-reported anxiety and depression using ADH. This system is used for the identification of anxiety and depression in a sample subjected to the effects of a COVID-19 pandemic. Regression analyses identified the system developed by Zidmong and Snaith</w:t>
      </w:r>
      <w:r>
        <w:rPr>
          <w:sz w:val="22"/>
          <w:szCs w:val="22"/>
          <w:lang w:val="es-ES"/>
        </w:rPr>
        <w:t>10 as the most accurate (higher R</w:t>
      </w:r>
      <w:r w:rsidRPr="00107AE2">
        <w:rPr>
          <w:sz w:val="22"/>
          <w:szCs w:val="22"/>
          <w:vertAlign w:val="superscript"/>
          <w:lang w:val="es-ES"/>
        </w:rPr>
        <w:t>2</w:t>
      </w:r>
      <w:r w:rsidRPr="00107AE2">
        <w:rPr>
          <w:sz w:val="22"/>
          <w:szCs w:val="22"/>
          <w:lang w:val="es-ES"/>
        </w:rPr>
        <w:t xml:space="preserve"> values) in predicting emotional disturbance in a </w:t>
      </w:r>
      <w:r w:rsidR="001015E6">
        <w:rPr>
          <w:sz w:val="22"/>
          <w:szCs w:val="22"/>
          <w:lang w:val="es-ES"/>
        </w:rPr>
        <w:t xml:space="preserve">nursing </w:t>
      </w:r>
      <w:r w:rsidRPr="00107AE2">
        <w:rPr>
          <w:sz w:val="22"/>
          <w:szCs w:val="22"/>
          <w:lang w:val="es-ES"/>
        </w:rPr>
        <w:t>population sharing exposure to the same potential stressor, probably by applying a broader scale that allows for greater accuracy in assigning members to groups.</w:t>
      </w:r>
    </w:p>
    <w:p w14:paraId="095712F9" w14:textId="35F455D5" w:rsidR="00685953" w:rsidRPr="005B4AE2" w:rsidRDefault="00107AE2" w:rsidP="003E1B52">
      <w:pPr>
        <w:pStyle w:val="Textoindependiente"/>
        <w:spacing w:line="360" w:lineRule="auto"/>
        <w:ind w:firstLine="708"/>
        <w:jc w:val="both"/>
        <w:rPr>
          <w:sz w:val="22"/>
          <w:szCs w:val="22"/>
          <w:lang w:val="es-ES"/>
        </w:rPr>
      </w:pPr>
      <w:r w:rsidRPr="00107AE2">
        <w:rPr>
          <w:sz w:val="22"/>
          <w:szCs w:val="22"/>
          <w:lang w:val="es-ES"/>
        </w:rPr>
        <w:t xml:space="preserve">The work (Wang et al., 2020; Wang, Di, Ye, Wei, 2020) on effects linked to COVID-19 in China, identified four groups of participants depending on the presence or not of anxiety or depression, as well as the intensity of the symptoms. The delimitation of these groups is very close to the one used in this work when following the proposal of Zigmond and Snaith (1983), specifically absence of alteration (Group 0); mild symptomatology (Group 1), moderate symptomatology (Group 2) and severe symptomatology (Group 3). The comparison of results in relation to the incidence of cases of anxiety (53.64%) indicates that the number of cases reaching the cut-off points is higher than that previously found (Wang et al., 2020; Wang, Di, Ye, Wei, 2020). The percentages are also generally higher in the groups with mild (25.89%) or moderate (Group 2) symptoms (18.45%). In addition, no cases were identified in the severe anxiety group (Group 3) although they were in this study (9.30%). The categorization into depression offers more comparable results between studies, although the frequency of cases (25.78%) in the moderate and severe groups is higher than previously reported (Wang, Di, Ye, Wei, 2020) and somewhat lower when compared with other studies (Wang et al., 2020) [74.3% of non-cases (Group 0); 13.75% of mild (Group 1); 9.45% of moderate (Group 2); 2.57% of severe (Group 3)]. These results suggest that anxiety is greater in the </w:t>
      </w:r>
      <w:r w:rsidR="001015E6">
        <w:rPr>
          <w:sz w:val="22"/>
          <w:szCs w:val="22"/>
          <w:lang w:val="es-ES"/>
        </w:rPr>
        <w:t xml:space="preserve">nursing </w:t>
      </w:r>
      <w:r w:rsidRPr="00107AE2">
        <w:rPr>
          <w:sz w:val="22"/>
          <w:szCs w:val="22"/>
          <w:lang w:val="es-ES"/>
        </w:rPr>
        <w:t xml:space="preserve">population examined in this study with similar results in depressive symptomatology to those obtained with the Chinese population. The data were obtained in this work between April 15 and 22, approximately 4 weeks after declaring the State of Alarm in Spain while in the investigations in China it was in the following two weeks. These different periods </w:t>
      </w:r>
      <w:r w:rsidRPr="00107AE2">
        <w:rPr>
          <w:sz w:val="22"/>
          <w:szCs w:val="22"/>
          <w:lang w:val="es-ES"/>
        </w:rPr>
        <w:lastRenderedPageBreak/>
        <w:t>may be a factor contributing to the difference in the level of anxiety.</w:t>
      </w:r>
    </w:p>
    <w:p w14:paraId="654FD01E" w14:textId="5A28A3DF" w:rsidR="00685953" w:rsidRPr="005B4AE2" w:rsidRDefault="00107AE2" w:rsidP="003E1B52">
      <w:pPr>
        <w:spacing w:line="360" w:lineRule="auto"/>
        <w:ind w:firstLine="708"/>
        <w:jc w:val="both"/>
        <w:rPr>
          <w:sz w:val="22"/>
          <w:szCs w:val="22"/>
        </w:rPr>
      </w:pPr>
      <w:r w:rsidRPr="00107AE2">
        <w:rPr>
          <w:sz w:val="22"/>
          <w:szCs w:val="22"/>
        </w:rPr>
        <w:t>Another relevant question regarding the scoring system in the sample of participants is to examine the proportion of men and women in each of the anxiety or depression groups.  The data suggest that in men mild symptoms of anxiety (60.24%) but more severe symptoms of depression (moderate and severe) predominate (52.5%). If we look at the group of women, the results indicate that in them more severe symptoms of anxiety (moderate and severe) predominate (52.66%) and mild symptoms of depression (47.53%). This set of results partially coincides (Liang et al., 2020) for men, but only when the symptoms are severe.</w:t>
      </w:r>
    </w:p>
    <w:p w14:paraId="0555949E" w14:textId="244949F9" w:rsidR="00685953" w:rsidRPr="005B4AE2" w:rsidRDefault="00107AE2" w:rsidP="003E1B52">
      <w:pPr>
        <w:spacing w:line="360" w:lineRule="auto"/>
        <w:ind w:firstLine="708"/>
        <w:jc w:val="both"/>
        <w:rPr>
          <w:sz w:val="22"/>
          <w:szCs w:val="22"/>
        </w:rPr>
      </w:pPr>
      <w:r w:rsidRPr="00107AE2">
        <w:rPr>
          <w:sz w:val="22"/>
          <w:szCs w:val="22"/>
        </w:rPr>
        <w:t>The second objective was to know the factors involved in predicting mental health status examined through ADH. The results indicate the contribution of some sociodemographic factors in the prediction of the participants' mental health (R2= 31.2%). The score on the global ADH scale, general distress index (Wang, Di et al., 2020; Wang, Pan et al., 2020; Liang et al., 2020), was predicted by the sex of the participants and by direct contact with people with VOCA-19. Predictive models in anxiety and depression suggested the participation of the variable Sex, and living with or knowing people infected by COVID-19 influences the prediction of depression while contact with people who are in essential services participates in the prediction of the anxiety experienced. The sex variable has been included in the explanatory models obtained for the total ADH scale, as well as in the anxiety and depression subscales. The relationships between anxiety, depression and sex are complex and further mediated by age with, usually, more anxiety symptoms in women in the early stages of life until the incidence by sex is progressively balanced at later ages (Curran, Rosato, Ferry &amp; Leave 2020). Despite this, the contribution of Sex to the prediction of the anxiety score was expected from the differences usually obtained between men and women in the level of anxiety. The inclusion of sex as a predictor of anxiety was also obtained in previous studies (Wang et al., 2020; Wang, Di, Ye, Wei, 2020) but not in the prediction of depression scores.</w:t>
      </w:r>
    </w:p>
    <w:p w14:paraId="041EFAF3" w14:textId="3AF20D5E" w:rsidR="009C3B2F" w:rsidRDefault="00107AE2" w:rsidP="003E1B52">
      <w:pPr>
        <w:spacing w:line="360" w:lineRule="auto"/>
        <w:rPr>
          <w:sz w:val="22"/>
          <w:szCs w:val="22"/>
        </w:rPr>
      </w:pPr>
      <w:r w:rsidRPr="00107AE2">
        <w:rPr>
          <w:sz w:val="22"/>
          <w:szCs w:val="22"/>
        </w:rPr>
        <w:t xml:space="preserve">Another socio-demographic element in the prediction models is the contact maintained or knowledge that one has about other people affected by COVID-19. In this paper, a distinction is made between contact with people presumably affected by COVID-19 and people at greater risk of contracting the disease (essential services personnel). The first of these factors participates in the prediction of depression and the second in the prediction of anxiety. The factor of contact with sick people was also considered in the China study1 , specifically living with people suffering from COVID-19. However, the implications of both types of contact (sick people, people from essential services) seem to be assessed differently by the participants. In contact with a patient, the situation is threatening and uncontrollable, while contact with essential personnel is also assessed as threatening but more controllable (e.g. limiting the entry of the coronavirus to the shared space). The perception of uncontrollability has traditionally been linked to depressive states. Coexistence with potential patients also plays a role in predicting distress (total scale of ADH), a construct that highlights a general factor of discomfort associated with states of anxiety and depression. In this prediction, the assessment of </w:t>
      </w:r>
      <w:r w:rsidRPr="00107AE2">
        <w:rPr>
          <w:sz w:val="22"/>
          <w:szCs w:val="22"/>
        </w:rPr>
        <w:lastRenderedPageBreak/>
        <w:t xml:space="preserve">uncontrollability of the situation is likely to extend to concern about contagion among family members (Wang et al., 2020). On the other hand, we consider the arrival of new pandemics associated with the high globalization experienced in the planet that promotes the expansion of infectious agents by different countries to be predictable. This forecast suggests the need for countries to be prepared, both in health care services and in mental health care services, for the arrival of these new situations, which could bring not a "new normality" but a different normality. One form of preparation that we consider key is to include the psychological strengthening of the </w:t>
      </w:r>
      <w:r w:rsidR="001015E6">
        <w:rPr>
          <w:sz w:val="22"/>
          <w:szCs w:val="22"/>
        </w:rPr>
        <w:t xml:space="preserve">nursing </w:t>
      </w:r>
      <w:r w:rsidRPr="00107AE2">
        <w:rPr>
          <w:sz w:val="22"/>
          <w:szCs w:val="22"/>
        </w:rPr>
        <w:t xml:space="preserve">population to improve better mental health. This will indirectly help biological (immune) processes to carry out their work and help the human being to adapt to different realities.  </w:t>
      </w:r>
    </w:p>
    <w:p w14:paraId="7ACF8A74" w14:textId="12E8B2C5" w:rsidR="009C3B2F" w:rsidRPr="00DE404D" w:rsidRDefault="009C3B2F" w:rsidP="003E1B52">
      <w:pPr>
        <w:spacing w:line="360" w:lineRule="auto"/>
        <w:rPr>
          <w:sz w:val="22"/>
          <w:szCs w:val="22"/>
        </w:rPr>
      </w:pPr>
      <w:r w:rsidRPr="00DE404D">
        <w:rPr>
          <w:sz w:val="22"/>
          <w:szCs w:val="22"/>
        </w:rPr>
        <w:t>References</w:t>
      </w:r>
    </w:p>
    <w:p w14:paraId="06FF8B64" w14:textId="77777777" w:rsidR="009C3B2F" w:rsidRPr="00DE404D" w:rsidRDefault="009C3B2F" w:rsidP="009C3B2F">
      <w:pPr>
        <w:spacing w:line="360" w:lineRule="auto"/>
        <w:rPr>
          <w:sz w:val="22"/>
          <w:szCs w:val="22"/>
        </w:rPr>
      </w:pPr>
    </w:p>
    <w:p w14:paraId="0E8A2782" w14:textId="77777777" w:rsidR="009C3B2F" w:rsidRPr="00DE404D" w:rsidRDefault="009C3B2F" w:rsidP="009C3B2F">
      <w:pPr>
        <w:spacing w:line="360" w:lineRule="auto"/>
        <w:ind w:left="567" w:hanging="567"/>
        <w:rPr>
          <w:sz w:val="22"/>
          <w:szCs w:val="22"/>
        </w:rPr>
      </w:pPr>
      <w:r w:rsidRPr="00DE404D">
        <w:rPr>
          <w:sz w:val="22"/>
          <w:szCs w:val="22"/>
          <w:lang w:val="en-GB"/>
        </w:rPr>
        <w:t xml:space="preserve">Center for Coordination of Alerts and Emergencies (2020). Scientific and Technical Report Coronavirus Disease, COVID-19. </w:t>
      </w:r>
      <w:r w:rsidRPr="00DE404D">
        <w:rPr>
          <w:rFonts w:eastAsia="Calibri"/>
          <w:i/>
          <w:sz w:val="22"/>
          <w:szCs w:val="22"/>
          <w:lang w:val="en-US" w:eastAsia="en-US"/>
        </w:rPr>
        <w:t>How coronavirus spreads.</w:t>
      </w:r>
      <w:r w:rsidRPr="00DE404D">
        <w:rPr>
          <w:sz w:val="22"/>
          <w:szCs w:val="22"/>
          <w:lang w:val="en-GB"/>
        </w:rPr>
        <w:t xml:space="preserve"> Ministry of Health of the Spanish Government. Retraived 17th April 2020. </w:t>
      </w:r>
      <w:hyperlink r:id="rId8" w:history="1">
        <w:r w:rsidRPr="002E096F">
          <w:rPr>
            <w:rStyle w:val="Hipervnculo"/>
            <w:color w:val="auto"/>
            <w:sz w:val="22"/>
            <w:szCs w:val="22"/>
            <w:u w:val="none"/>
          </w:rPr>
          <w:t>https://www.mscbs.gob.es/profesionales/saludPublica/ccayes/alertasActual/nCov-China/documentos.htm</w:t>
        </w:r>
      </w:hyperlink>
    </w:p>
    <w:p w14:paraId="651A62FE" w14:textId="3ADAC1C3" w:rsidR="009C3B2F" w:rsidRPr="00DE404D" w:rsidRDefault="009C3B2F" w:rsidP="009C3B2F">
      <w:pPr>
        <w:spacing w:line="360" w:lineRule="auto"/>
        <w:ind w:left="567" w:hanging="567"/>
        <w:rPr>
          <w:rFonts w:eastAsia="Calibri"/>
          <w:sz w:val="22"/>
          <w:szCs w:val="22"/>
          <w:lang w:val="en-US" w:eastAsia="en-US"/>
        </w:rPr>
      </w:pPr>
      <w:r w:rsidRPr="00DE404D">
        <w:rPr>
          <w:rFonts w:eastAsia="Calibri"/>
          <w:sz w:val="22"/>
          <w:szCs w:val="22"/>
          <w:lang w:val="en-US" w:eastAsia="en-US"/>
        </w:rPr>
        <w:t>Chen, N., Zhou, M., Dong, X., Qu, J., Gong, F., Han, Y., Qiu, Y.,</w:t>
      </w:r>
      <w:r w:rsidR="007E57D0">
        <w:rPr>
          <w:rFonts w:eastAsia="Calibri"/>
          <w:sz w:val="22"/>
          <w:szCs w:val="22"/>
          <w:lang w:val="en-US" w:eastAsia="en-US"/>
        </w:rPr>
        <w:t>…</w:t>
      </w:r>
      <w:r w:rsidRPr="00DE404D">
        <w:rPr>
          <w:rFonts w:eastAsia="Calibri"/>
          <w:sz w:val="22"/>
          <w:szCs w:val="22"/>
          <w:lang w:val="en-US" w:eastAsia="en-US"/>
        </w:rPr>
        <w:t xml:space="preserve"> Zhang, L. (2020). Epidemiological and clinical characteristics of 99 cases of 2019 novel coronavirus pneumonia in Wuhan, China: A descriptive study. </w:t>
      </w:r>
      <w:r w:rsidRPr="00DE404D">
        <w:rPr>
          <w:rFonts w:eastAsia="Calibri"/>
          <w:i/>
          <w:sz w:val="22"/>
          <w:szCs w:val="22"/>
          <w:lang w:val="en-US" w:eastAsia="en-US"/>
        </w:rPr>
        <w:t>Lancet, 395</w:t>
      </w:r>
      <w:r w:rsidRPr="00DE404D">
        <w:rPr>
          <w:rFonts w:eastAsia="Calibri"/>
          <w:sz w:val="22"/>
          <w:szCs w:val="22"/>
          <w:lang w:val="en-US" w:eastAsia="en-US"/>
        </w:rPr>
        <w:t xml:space="preserve">, 507–513. </w:t>
      </w:r>
      <w:r w:rsidR="007E57D0" w:rsidRPr="007E57D0">
        <w:rPr>
          <w:rFonts w:eastAsia="Calibri"/>
          <w:sz w:val="22"/>
          <w:szCs w:val="22"/>
          <w:lang w:val="en-US" w:eastAsia="en-US"/>
        </w:rPr>
        <w:t>https://doi.org/</w:t>
      </w:r>
      <w:r w:rsidRPr="00DE404D">
        <w:rPr>
          <w:rFonts w:eastAsia="Calibri"/>
          <w:sz w:val="22"/>
          <w:szCs w:val="22"/>
          <w:lang w:val="en-US" w:eastAsia="en-US"/>
        </w:rPr>
        <w:t>10.1016/S0140-6736(20)30211-7</w:t>
      </w:r>
    </w:p>
    <w:p w14:paraId="67C630B0" w14:textId="01B9DFC1" w:rsidR="00884A68" w:rsidRPr="00884A68" w:rsidRDefault="00884A68" w:rsidP="00884A68">
      <w:pPr>
        <w:spacing w:line="360" w:lineRule="auto"/>
        <w:ind w:left="567" w:hanging="567"/>
        <w:rPr>
          <w:rFonts w:eastAsia="Calibri"/>
          <w:sz w:val="22"/>
          <w:szCs w:val="22"/>
          <w:lang w:val="en-US" w:eastAsia="en-US"/>
        </w:rPr>
      </w:pPr>
      <w:r w:rsidRPr="00884A68">
        <w:rPr>
          <w:rFonts w:eastAsia="Calibri"/>
          <w:sz w:val="22"/>
          <w:szCs w:val="22"/>
          <w:lang w:val="en-US" w:eastAsia="en-US"/>
        </w:rPr>
        <w:t>Chew</w:t>
      </w:r>
      <w:r>
        <w:rPr>
          <w:rFonts w:eastAsia="Calibri"/>
          <w:sz w:val="22"/>
          <w:szCs w:val="22"/>
          <w:lang w:val="en-US" w:eastAsia="en-US"/>
        </w:rPr>
        <w:t>,</w:t>
      </w:r>
      <w:r w:rsidRPr="00884A68">
        <w:rPr>
          <w:rFonts w:eastAsia="Calibri"/>
          <w:sz w:val="22"/>
          <w:szCs w:val="22"/>
          <w:lang w:val="en-US" w:eastAsia="en-US"/>
        </w:rPr>
        <w:t xml:space="preserve"> N</w:t>
      </w:r>
      <w:r>
        <w:rPr>
          <w:rFonts w:eastAsia="Calibri"/>
          <w:sz w:val="22"/>
          <w:szCs w:val="22"/>
          <w:lang w:val="en-US" w:eastAsia="en-US"/>
        </w:rPr>
        <w:t>.</w:t>
      </w:r>
      <w:r w:rsidR="007E57D0">
        <w:rPr>
          <w:rFonts w:eastAsia="Calibri"/>
          <w:sz w:val="22"/>
          <w:szCs w:val="22"/>
          <w:lang w:val="en-US" w:eastAsia="en-US"/>
        </w:rPr>
        <w:t xml:space="preserve"> </w:t>
      </w:r>
      <w:r w:rsidRPr="00884A68">
        <w:rPr>
          <w:rFonts w:eastAsia="Calibri"/>
          <w:sz w:val="22"/>
          <w:szCs w:val="22"/>
          <w:lang w:val="en-US" w:eastAsia="en-US"/>
        </w:rPr>
        <w:t>W</w:t>
      </w:r>
      <w:r>
        <w:rPr>
          <w:rFonts w:eastAsia="Calibri"/>
          <w:sz w:val="22"/>
          <w:szCs w:val="22"/>
          <w:lang w:val="en-US" w:eastAsia="en-US"/>
        </w:rPr>
        <w:t>.</w:t>
      </w:r>
      <w:r w:rsidR="007E57D0">
        <w:rPr>
          <w:rFonts w:eastAsia="Calibri"/>
          <w:sz w:val="22"/>
          <w:szCs w:val="22"/>
          <w:lang w:val="en-US" w:eastAsia="en-US"/>
        </w:rPr>
        <w:t xml:space="preserve"> </w:t>
      </w:r>
      <w:r w:rsidRPr="00884A68">
        <w:rPr>
          <w:rFonts w:eastAsia="Calibri"/>
          <w:sz w:val="22"/>
          <w:szCs w:val="22"/>
          <w:lang w:val="en-US" w:eastAsia="en-US"/>
        </w:rPr>
        <w:t>S</w:t>
      </w:r>
      <w:r>
        <w:rPr>
          <w:rFonts w:eastAsia="Calibri"/>
          <w:sz w:val="22"/>
          <w:szCs w:val="22"/>
          <w:lang w:val="en-US" w:eastAsia="en-US"/>
        </w:rPr>
        <w:t>.</w:t>
      </w:r>
      <w:r w:rsidRPr="00884A68">
        <w:rPr>
          <w:rFonts w:eastAsia="Calibri"/>
          <w:sz w:val="22"/>
          <w:szCs w:val="22"/>
          <w:lang w:val="en-US" w:eastAsia="en-US"/>
        </w:rPr>
        <w:t>, Ngiam</w:t>
      </w:r>
      <w:r>
        <w:rPr>
          <w:rFonts w:eastAsia="Calibri"/>
          <w:sz w:val="22"/>
          <w:szCs w:val="22"/>
          <w:lang w:val="en-US" w:eastAsia="en-US"/>
        </w:rPr>
        <w:t>,</w:t>
      </w:r>
      <w:r w:rsidRPr="00884A68">
        <w:rPr>
          <w:rFonts w:eastAsia="Calibri"/>
          <w:sz w:val="22"/>
          <w:szCs w:val="22"/>
          <w:lang w:val="en-US" w:eastAsia="en-US"/>
        </w:rPr>
        <w:t xml:space="preserve"> J</w:t>
      </w:r>
      <w:r>
        <w:rPr>
          <w:rFonts w:eastAsia="Calibri"/>
          <w:sz w:val="22"/>
          <w:szCs w:val="22"/>
          <w:lang w:val="en-US" w:eastAsia="en-US"/>
        </w:rPr>
        <w:t>.</w:t>
      </w:r>
      <w:r w:rsidR="007E57D0">
        <w:rPr>
          <w:rFonts w:eastAsia="Calibri"/>
          <w:sz w:val="22"/>
          <w:szCs w:val="22"/>
          <w:lang w:val="en-US" w:eastAsia="en-US"/>
        </w:rPr>
        <w:t xml:space="preserve"> </w:t>
      </w:r>
      <w:r w:rsidRPr="00884A68">
        <w:rPr>
          <w:rFonts w:eastAsia="Calibri"/>
          <w:sz w:val="22"/>
          <w:szCs w:val="22"/>
          <w:lang w:val="en-US" w:eastAsia="en-US"/>
        </w:rPr>
        <w:t>N</w:t>
      </w:r>
      <w:r>
        <w:rPr>
          <w:rFonts w:eastAsia="Calibri"/>
          <w:sz w:val="22"/>
          <w:szCs w:val="22"/>
          <w:lang w:val="en-US" w:eastAsia="en-US"/>
        </w:rPr>
        <w:t>.</w:t>
      </w:r>
      <w:r w:rsidRPr="00884A68">
        <w:rPr>
          <w:rFonts w:eastAsia="Calibri"/>
          <w:sz w:val="22"/>
          <w:szCs w:val="22"/>
          <w:lang w:val="en-US" w:eastAsia="en-US"/>
        </w:rPr>
        <w:t>, Tan</w:t>
      </w:r>
      <w:r>
        <w:rPr>
          <w:rFonts w:eastAsia="Calibri"/>
          <w:sz w:val="22"/>
          <w:szCs w:val="22"/>
          <w:lang w:val="en-US" w:eastAsia="en-US"/>
        </w:rPr>
        <w:t>,</w:t>
      </w:r>
      <w:r w:rsidRPr="00884A68">
        <w:rPr>
          <w:rFonts w:eastAsia="Calibri"/>
          <w:sz w:val="22"/>
          <w:szCs w:val="22"/>
          <w:lang w:val="en-US" w:eastAsia="en-US"/>
        </w:rPr>
        <w:t xml:space="preserve"> B</w:t>
      </w:r>
      <w:r>
        <w:rPr>
          <w:rFonts w:eastAsia="Calibri"/>
          <w:sz w:val="22"/>
          <w:szCs w:val="22"/>
          <w:lang w:val="en-US" w:eastAsia="en-US"/>
        </w:rPr>
        <w:t>.</w:t>
      </w:r>
      <w:r w:rsidR="007E57D0">
        <w:rPr>
          <w:rFonts w:eastAsia="Calibri"/>
          <w:sz w:val="22"/>
          <w:szCs w:val="22"/>
          <w:lang w:val="en-US" w:eastAsia="en-US"/>
        </w:rPr>
        <w:t xml:space="preserve"> </w:t>
      </w:r>
      <w:r w:rsidRPr="00884A68">
        <w:rPr>
          <w:rFonts w:eastAsia="Calibri"/>
          <w:sz w:val="22"/>
          <w:szCs w:val="22"/>
          <w:lang w:val="en-US" w:eastAsia="en-US"/>
        </w:rPr>
        <w:t>Y</w:t>
      </w:r>
      <w:r w:rsidR="007E57D0">
        <w:rPr>
          <w:rFonts w:eastAsia="Calibri"/>
          <w:sz w:val="22"/>
          <w:szCs w:val="22"/>
          <w:lang w:val="en-US" w:eastAsia="en-US"/>
        </w:rPr>
        <w:t>.,…</w:t>
      </w:r>
      <w:r w:rsidR="007E57D0" w:rsidRPr="007E57D0">
        <w:t xml:space="preserve"> </w:t>
      </w:r>
      <w:r w:rsidR="007E57D0" w:rsidRPr="007E57D0">
        <w:rPr>
          <w:rFonts w:eastAsia="Calibri"/>
          <w:sz w:val="22"/>
          <w:szCs w:val="22"/>
          <w:lang w:val="en-US" w:eastAsia="en-US"/>
        </w:rPr>
        <w:t>Sharma,</w:t>
      </w:r>
      <w:r w:rsidR="007E57D0">
        <w:rPr>
          <w:rFonts w:eastAsia="Calibri"/>
          <w:sz w:val="22"/>
          <w:szCs w:val="22"/>
          <w:lang w:val="en-US" w:eastAsia="en-US"/>
        </w:rPr>
        <w:t xml:space="preserve"> V. K. (2020).</w:t>
      </w:r>
      <w:r w:rsidRPr="00884A68">
        <w:rPr>
          <w:rFonts w:eastAsia="Calibri"/>
          <w:sz w:val="22"/>
          <w:szCs w:val="22"/>
          <w:lang w:val="en-US" w:eastAsia="en-US"/>
        </w:rPr>
        <w:t xml:space="preserve"> Asian-Pacific perspective on the psychological well-being of healthcare workers during the evolution of the COVID-19 pandemic. </w:t>
      </w:r>
      <w:r w:rsidRPr="007E57D0">
        <w:rPr>
          <w:rFonts w:eastAsia="Calibri"/>
          <w:i/>
          <w:sz w:val="22"/>
          <w:szCs w:val="22"/>
          <w:lang w:val="en-US" w:eastAsia="en-US"/>
        </w:rPr>
        <w:t>BJPsych Open</w:t>
      </w:r>
      <w:r w:rsidR="007E57D0">
        <w:rPr>
          <w:rFonts w:eastAsia="Calibri"/>
          <w:i/>
          <w:sz w:val="22"/>
          <w:szCs w:val="22"/>
          <w:lang w:val="en-US" w:eastAsia="en-US"/>
        </w:rPr>
        <w:t xml:space="preserve">, </w:t>
      </w:r>
      <w:r w:rsidRPr="00884A68">
        <w:rPr>
          <w:rFonts w:eastAsia="Calibri"/>
          <w:sz w:val="22"/>
          <w:szCs w:val="22"/>
          <w:lang w:val="en-US" w:eastAsia="en-US"/>
        </w:rPr>
        <w:t>6(6)</w:t>
      </w:r>
      <w:r w:rsidR="007E57D0">
        <w:rPr>
          <w:rFonts w:eastAsia="Calibri"/>
          <w:sz w:val="22"/>
          <w:szCs w:val="22"/>
          <w:lang w:val="en-US" w:eastAsia="en-US"/>
        </w:rPr>
        <w:t>,</w:t>
      </w:r>
      <w:r w:rsidRPr="00884A68">
        <w:rPr>
          <w:rFonts w:eastAsia="Calibri"/>
          <w:sz w:val="22"/>
          <w:szCs w:val="22"/>
          <w:lang w:val="en-US" w:eastAsia="en-US"/>
        </w:rPr>
        <w:t xml:space="preserve">e116. </w:t>
      </w:r>
      <w:r w:rsidR="007E57D0" w:rsidRPr="007E57D0">
        <w:rPr>
          <w:rFonts w:eastAsia="Calibri"/>
          <w:sz w:val="22"/>
          <w:szCs w:val="22"/>
          <w:lang w:val="en-US" w:eastAsia="en-US"/>
        </w:rPr>
        <w:t>https://doi.org/</w:t>
      </w:r>
      <w:r w:rsidRPr="00884A68">
        <w:rPr>
          <w:rFonts w:eastAsia="Calibri"/>
          <w:sz w:val="22"/>
          <w:szCs w:val="22"/>
          <w:lang w:val="en-US" w:eastAsia="en-US"/>
        </w:rPr>
        <w:t>10.1192/bjo.2020.98</w:t>
      </w:r>
    </w:p>
    <w:p w14:paraId="01EFA481" w14:textId="2DDC356B" w:rsidR="00884A68" w:rsidRPr="00884A68" w:rsidRDefault="007E57D0" w:rsidP="00884A68">
      <w:pPr>
        <w:spacing w:line="360" w:lineRule="auto"/>
        <w:ind w:left="567" w:hanging="567"/>
        <w:rPr>
          <w:rFonts w:eastAsia="Calibri"/>
          <w:sz w:val="22"/>
          <w:szCs w:val="22"/>
          <w:lang w:val="en-US" w:eastAsia="en-US"/>
        </w:rPr>
      </w:pPr>
      <w:bookmarkStart w:id="0" w:name="_GoBack"/>
      <w:bookmarkEnd w:id="0"/>
      <w:r>
        <w:rPr>
          <w:rFonts w:eastAsia="Calibri"/>
          <w:sz w:val="22"/>
          <w:szCs w:val="22"/>
          <w:lang w:val="en-US" w:eastAsia="en-US"/>
        </w:rPr>
        <w:t>Chew, N. W. S. , Lee, G. K. H. , Tan, B. Y. Q.,…</w:t>
      </w:r>
      <w:r w:rsidRPr="007E57D0">
        <w:rPr>
          <w:rFonts w:eastAsia="Calibri"/>
          <w:sz w:val="22"/>
          <w:szCs w:val="22"/>
          <w:lang w:val="en-US" w:eastAsia="en-US"/>
        </w:rPr>
        <w:t xml:space="preserve"> </w:t>
      </w:r>
      <w:r w:rsidRPr="007E57D0">
        <w:rPr>
          <w:rFonts w:eastAsia="Calibri"/>
          <w:sz w:val="22"/>
          <w:szCs w:val="22"/>
          <w:lang w:val="en-US" w:eastAsia="en-US"/>
        </w:rPr>
        <w:t>Sharma,</w:t>
      </w:r>
      <w:r>
        <w:rPr>
          <w:rFonts w:eastAsia="Calibri"/>
          <w:sz w:val="22"/>
          <w:szCs w:val="22"/>
          <w:lang w:val="en-US" w:eastAsia="en-US"/>
        </w:rPr>
        <w:t xml:space="preserve"> V. K.</w:t>
      </w:r>
      <w:r w:rsidR="00884A68" w:rsidRPr="00884A68">
        <w:rPr>
          <w:rFonts w:eastAsia="Calibri"/>
          <w:sz w:val="22"/>
          <w:szCs w:val="22"/>
          <w:lang w:val="en-US" w:eastAsia="en-US"/>
        </w:rPr>
        <w:t xml:space="preserve"> </w:t>
      </w:r>
      <w:r>
        <w:rPr>
          <w:rFonts w:eastAsia="Calibri"/>
          <w:sz w:val="22"/>
          <w:szCs w:val="22"/>
          <w:lang w:val="en-US" w:eastAsia="en-US"/>
        </w:rPr>
        <w:t xml:space="preserve">(2020). </w:t>
      </w:r>
      <w:r w:rsidR="00884A68" w:rsidRPr="00884A68">
        <w:rPr>
          <w:rFonts w:eastAsia="Calibri"/>
          <w:sz w:val="22"/>
          <w:szCs w:val="22"/>
          <w:lang w:val="en-US" w:eastAsia="en-US"/>
        </w:rPr>
        <w:t>A multinational, multicentre study on the psychological outcomes and associated physical symptoms amongst healthcare workers during COVID-19 outbreak</w:t>
      </w:r>
      <w:r>
        <w:rPr>
          <w:rFonts w:eastAsia="Calibri"/>
          <w:sz w:val="22"/>
          <w:szCs w:val="22"/>
          <w:lang w:val="en-US" w:eastAsia="en-US"/>
        </w:rPr>
        <w:t>.</w:t>
      </w:r>
      <w:r w:rsidR="00884A68" w:rsidRPr="00884A68">
        <w:rPr>
          <w:rFonts w:eastAsia="Calibri"/>
          <w:sz w:val="22"/>
          <w:szCs w:val="22"/>
          <w:lang w:val="en-US" w:eastAsia="en-US"/>
        </w:rPr>
        <w:t xml:space="preserve"> </w:t>
      </w:r>
      <w:r w:rsidR="00884A68" w:rsidRPr="007E57D0">
        <w:rPr>
          <w:rFonts w:eastAsia="Calibri"/>
          <w:i/>
          <w:sz w:val="22"/>
          <w:szCs w:val="22"/>
          <w:lang w:val="en-US" w:eastAsia="en-US"/>
        </w:rPr>
        <w:t>Brain Behav Immun</w:t>
      </w:r>
      <w:r>
        <w:rPr>
          <w:rFonts w:eastAsia="Calibri"/>
          <w:i/>
          <w:sz w:val="22"/>
          <w:szCs w:val="22"/>
          <w:lang w:val="en-US" w:eastAsia="en-US"/>
        </w:rPr>
        <w:t xml:space="preserve">, </w:t>
      </w:r>
      <w:r>
        <w:rPr>
          <w:rFonts w:eastAsia="Calibri"/>
          <w:sz w:val="22"/>
          <w:szCs w:val="22"/>
          <w:lang w:val="en-US" w:eastAsia="en-US"/>
        </w:rPr>
        <w:t xml:space="preserve">S0889-1591(20)30523-7. </w:t>
      </w:r>
      <w:r w:rsidRPr="007E57D0">
        <w:rPr>
          <w:rFonts w:eastAsia="Calibri"/>
          <w:sz w:val="22"/>
          <w:szCs w:val="22"/>
          <w:lang w:val="en-US" w:eastAsia="en-US"/>
        </w:rPr>
        <w:t>https://doi.org/</w:t>
      </w:r>
      <w:r w:rsidR="00884A68" w:rsidRPr="00884A68">
        <w:rPr>
          <w:rFonts w:eastAsia="Calibri"/>
          <w:sz w:val="22"/>
          <w:szCs w:val="22"/>
          <w:lang w:val="en-US" w:eastAsia="en-US"/>
        </w:rPr>
        <w:t>10.1016/j.bbi.2020.04.049</w:t>
      </w:r>
    </w:p>
    <w:p w14:paraId="40549007" w14:textId="20C13437" w:rsidR="009C3B2F" w:rsidRPr="00DE404D" w:rsidRDefault="009C3B2F" w:rsidP="009C3B2F">
      <w:pPr>
        <w:spacing w:line="360" w:lineRule="auto"/>
        <w:ind w:left="567" w:hanging="567"/>
        <w:rPr>
          <w:rFonts w:eastAsia="Calibri"/>
          <w:sz w:val="22"/>
          <w:szCs w:val="22"/>
          <w:lang w:val="en-US" w:eastAsia="en-US"/>
        </w:rPr>
      </w:pPr>
      <w:r w:rsidRPr="00DE404D">
        <w:rPr>
          <w:rFonts w:eastAsia="Calibri"/>
          <w:sz w:val="22"/>
          <w:szCs w:val="22"/>
          <w:lang w:val="en-US" w:eastAsia="en-US"/>
        </w:rPr>
        <w:t xml:space="preserve">Chivite-Lasheras, S., Martínez Moneo, M., Pérez Fernández de Landa, E., </w:t>
      </w:r>
      <w:r>
        <w:rPr>
          <w:rFonts w:eastAsia="Calibri"/>
          <w:sz w:val="22"/>
          <w:szCs w:val="22"/>
          <w:lang w:val="en-US" w:eastAsia="en-US"/>
        </w:rPr>
        <w:t xml:space="preserve">&amp; </w:t>
      </w:r>
      <w:r w:rsidRPr="00DE404D">
        <w:rPr>
          <w:rFonts w:eastAsia="Calibri"/>
          <w:sz w:val="22"/>
          <w:szCs w:val="22"/>
          <w:lang w:val="en-US" w:eastAsia="en-US"/>
        </w:rPr>
        <w:t xml:space="preserve">Peralta Martín, V. (2007). HADS: Estudio de criterios de validez interna y externa en una muestra española de pacientes hospitalizados </w:t>
      </w:r>
      <w:r>
        <w:rPr>
          <w:rFonts w:eastAsia="Calibri"/>
          <w:sz w:val="22"/>
          <w:szCs w:val="22"/>
          <w:lang w:val="en-US" w:eastAsia="en-US"/>
        </w:rPr>
        <w:t>[</w:t>
      </w:r>
      <w:r w:rsidRPr="00DE404D">
        <w:rPr>
          <w:rFonts w:eastAsia="Calibri"/>
          <w:sz w:val="22"/>
          <w:szCs w:val="22"/>
          <w:lang w:val="en-US" w:eastAsia="en-US"/>
        </w:rPr>
        <w:t>The HADS: A study of internal and external validity among a Spanish general inpatient sample</w:t>
      </w:r>
      <w:r>
        <w:rPr>
          <w:rFonts w:eastAsia="Calibri"/>
          <w:sz w:val="22"/>
          <w:szCs w:val="22"/>
          <w:lang w:val="en-US" w:eastAsia="en-US"/>
        </w:rPr>
        <w:t>]</w:t>
      </w:r>
      <w:r w:rsidRPr="00DE404D">
        <w:rPr>
          <w:rFonts w:eastAsia="Calibri"/>
          <w:sz w:val="22"/>
          <w:szCs w:val="22"/>
          <w:lang w:val="en-US" w:eastAsia="en-US"/>
        </w:rPr>
        <w:t xml:space="preserve">. </w:t>
      </w:r>
      <w:r w:rsidRPr="00572BFA">
        <w:rPr>
          <w:rFonts w:eastAsia="Calibri"/>
          <w:i/>
          <w:sz w:val="22"/>
          <w:szCs w:val="22"/>
          <w:lang w:val="en-US" w:eastAsia="en-US"/>
        </w:rPr>
        <w:t>Cuadernos de Medicina Psicosomática y Psiquiatría de Enlace</w:t>
      </w:r>
      <w:r w:rsidRPr="00DE404D">
        <w:rPr>
          <w:rFonts w:eastAsia="Calibri"/>
          <w:sz w:val="22"/>
          <w:szCs w:val="22"/>
          <w:lang w:val="en-US" w:eastAsia="en-US"/>
        </w:rPr>
        <w:t>, 84/85, 9-17.</w:t>
      </w:r>
    </w:p>
    <w:p w14:paraId="072629A6" w14:textId="77777777" w:rsidR="009C3B2F" w:rsidRPr="00DE404D" w:rsidRDefault="009C3B2F" w:rsidP="009C3B2F">
      <w:pPr>
        <w:spacing w:line="360" w:lineRule="auto"/>
        <w:ind w:left="567" w:hanging="567"/>
        <w:rPr>
          <w:rFonts w:eastAsia="Calibri"/>
          <w:sz w:val="22"/>
          <w:szCs w:val="22"/>
          <w:lang w:val="en-US" w:eastAsia="en-US"/>
        </w:rPr>
      </w:pPr>
      <w:r w:rsidRPr="00DE404D">
        <w:rPr>
          <w:rFonts w:eastAsia="Calibri"/>
          <w:sz w:val="22"/>
          <w:szCs w:val="22"/>
          <w:lang w:val="en-US" w:eastAsia="en-US"/>
        </w:rPr>
        <w:t xml:space="preserve">Curran, E. Rosato, M., Ferry, F., </w:t>
      </w:r>
      <w:r>
        <w:rPr>
          <w:rFonts w:eastAsia="Calibri"/>
          <w:sz w:val="22"/>
          <w:szCs w:val="22"/>
          <w:lang w:val="en-US" w:eastAsia="en-US"/>
        </w:rPr>
        <w:t xml:space="preserve">&amp; </w:t>
      </w:r>
      <w:r w:rsidRPr="00DE404D">
        <w:rPr>
          <w:rFonts w:eastAsia="Calibri"/>
          <w:sz w:val="22"/>
          <w:szCs w:val="22"/>
          <w:lang w:val="en-US" w:eastAsia="en-US"/>
        </w:rPr>
        <w:t>Leavey, G. (2020). Prevalence and factors associated with anxiety and depression in older adults: Gender differences in psychosocial indicators. Journal of Affective Disorders, 267, 114-122.  https://doi.org/10.1016/j.jad.2020.02.018</w:t>
      </w:r>
    </w:p>
    <w:p w14:paraId="0E81990C" w14:textId="77777777" w:rsidR="009C3B2F" w:rsidRPr="00DE404D" w:rsidRDefault="009C3B2F" w:rsidP="009C3B2F">
      <w:pPr>
        <w:spacing w:line="360" w:lineRule="auto"/>
        <w:ind w:left="567" w:hanging="567"/>
        <w:rPr>
          <w:sz w:val="22"/>
          <w:szCs w:val="22"/>
        </w:rPr>
      </w:pPr>
      <w:r w:rsidRPr="00DE404D">
        <w:rPr>
          <w:sz w:val="22"/>
          <w:szCs w:val="22"/>
        </w:rPr>
        <w:lastRenderedPageBreak/>
        <w:t xml:space="preserve">Herrero, M. J., Banch, J., Peri, J. M., De Pablo, J., Pintor, L., </w:t>
      </w:r>
      <w:r>
        <w:rPr>
          <w:sz w:val="22"/>
          <w:szCs w:val="22"/>
        </w:rPr>
        <w:t xml:space="preserve">&amp; </w:t>
      </w:r>
      <w:r w:rsidRPr="00DE404D">
        <w:rPr>
          <w:sz w:val="22"/>
          <w:szCs w:val="22"/>
        </w:rPr>
        <w:t xml:space="preserve">Balbuena, A. (2003). A validation study of the hospital anxiety and depression scale (HADS) in a Spanish population. </w:t>
      </w:r>
      <w:r w:rsidRPr="00DE404D">
        <w:rPr>
          <w:i/>
          <w:sz w:val="22"/>
          <w:szCs w:val="22"/>
        </w:rPr>
        <w:t>General Hospital Psychiatry,</w:t>
      </w:r>
      <w:r w:rsidRPr="00DE404D">
        <w:rPr>
          <w:sz w:val="22"/>
          <w:szCs w:val="22"/>
        </w:rPr>
        <w:t xml:space="preserve"> 25, </w:t>
      </w:r>
      <w:r>
        <w:rPr>
          <w:sz w:val="22"/>
          <w:szCs w:val="22"/>
        </w:rPr>
        <w:t xml:space="preserve">277–283. </w:t>
      </w:r>
      <w:r w:rsidRPr="00DE404D">
        <w:rPr>
          <w:rFonts w:eastAsia="Calibri"/>
          <w:sz w:val="22"/>
          <w:szCs w:val="22"/>
          <w:lang w:val="en-US" w:eastAsia="en-US"/>
        </w:rPr>
        <w:t>https://doi.org/</w:t>
      </w:r>
      <w:r w:rsidRPr="00DE404D">
        <w:rPr>
          <w:sz w:val="22"/>
          <w:szCs w:val="22"/>
        </w:rPr>
        <w:t>10.1016/S0163-8343(03)00043-4</w:t>
      </w:r>
    </w:p>
    <w:p w14:paraId="4C0AACEC" w14:textId="77777777" w:rsidR="009C3B2F" w:rsidRPr="00DE404D" w:rsidRDefault="009C3B2F" w:rsidP="009C3B2F">
      <w:pPr>
        <w:spacing w:line="360" w:lineRule="auto"/>
        <w:ind w:left="567" w:hanging="567"/>
        <w:rPr>
          <w:rFonts w:eastAsia="Calibri"/>
          <w:sz w:val="22"/>
          <w:szCs w:val="22"/>
          <w:lang w:val="en-US" w:eastAsia="en-US"/>
        </w:rPr>
      </w:pPr>
      <w:r w:rsidRPr="00DE404D">
        <w:rPr>
          <w:rFonts w:eastAsia="Calibri"/>
          <w:sz w:val="22"/>
          <w:szCs w:val="22"/>
          <w:lang w:val="en-US" w:eastAsia="en-US"/>
        </w:rPr>
        <w:t xml:space="preserve">Kleinbaum, D.G., Kupper, L.L., &amp; Muller, K.E. (1988). </w:t>
      </w:r>
      <w:r w:rsidRPr="00DE404D">
        <w:rPr>
          <w:rFonts w:eastAsia="Calibri"/>
          <w:i/>
          <w:sz w:val="22"/>
          <w:szCs w:val="22"/>
          <w:lang w:val="en-US" w:eastAsia="en-US"/>
        </w:rPr>
        <w:t>Variable Reduction and Factor Analysis. Applied Regression Analysis and Other Multivariable Methods.</w:t>
      </w:r>
      <w:r w:rsidRPr="00DE404D">
        <w:rPr>
          <w:rFonts w:eastAsia="Calibri"/>
          <w:sz w:val="22"/>
          <w:szCs w:val="22"/>
          <w:lang w:val="en-US" w:eastAsia="en-US"/>
        </w:rPr>
        <w:t xml:space="preserve"> Boston: PWS Kent Publishing Co.</w:t>
      </w:r>
    </w:p>
    <w:p w14:paraId="5098BD2A" w14:textId="77777777" w:rsidR="009C3B2F" w:rsidRPr="00DE404D" w:rsidRDefault="009C3B2F" w:rsidP="009C3B2F">
      <w:pPr>
        <w:spacing w:line="360" w:lineRule="auto"/>
        <w:ind w:left="567" w:hanging="567"/>
        <w:rPr>
          <w:rFonts w:eastAsia="Calibri"/>
          <w:sz w:val="22"/>
          <w:szCs w:val="22"/>
          <w:lang w:val="en-US" w:eastAsia="en-US"/>
        </w:rPr>
      </w:pPr>
      <w:r w:rsidRPr="00DE404D">
        <w:rPr>
          <w:rFonts w:eastAsia="Calibri"/>
          <w:sz w:val="22"/>
          <w:szCs w:val="22"/>
          <w:lang w:val="en-US" w:eastAsia="en-US"/>
        </w:rPr>
        <w:t xml:space="preserve">Lai, J., Ma, S., Wang, Y., Cai, Z., Hu, J., Wei, N., … Hu, S. (2020). Factors associated with Mental Health Outcomes Among Health Care Workers Exposed to Coronavirus Disease 2019. </w:t>
      </w:r>
      <w:r w:rsidRPr="00DE404D">
        <w:rPr>
          <w:rFonts w:eastAsia="Calibri"/>
          <w:i/>
          <w:sz w:val="22"/>
          <w:szCs w:val="22"/>
          <w:lang w:val="en-US" w:eastAsia="en-US"/>
        </w:rPr>
        <w:t>JAMA Network open, 3</w:t>
      </w:r>
      <w:r w:rsidRPr="00DE404D">
        <w:rPr>
          <w:rFonts w:eastAsia="Calibri"/>
          <w:sz w:val="22"/>
          <w:szCs w:val="22"/>
          <w:lang w:val="en-US" w:eastAsia="en-US"/>
        </w:rPr>
        <w:t>(3):e203976. https://doi.org/10.1001/jamanetworkopen.2020.3976.</w:t>
      </w:r>
    </w:p>
    <w:p w14:paraId="572F044C" w14:textId="77777777" w:rsidR="009C3B2F" w:rsidRPr="00DE404D" w:rsidRDefault="009C3B2F" w:rsidP="009C3B2F">
      <w:pPr>
        <w:spacing w:line="360" w:lineRule="auto"/>
        <w:ind w:left="567" w:hanging="567"/>
        <w:rPr>
          <w:rFonts w:eastAsia="Calibri"/>
          <w:sz w:val="22"/>
          <w:szCs w:val="22"/>
          <w:lang w:val="en-US" w:eastAsia="en-US"/>
        </w:rPr>
      </w:pPr>
      <w:r w:rsidRPr="00DE404D">
        <w:rPr>
          <w:rFonts w:eastAsia="Calibri"/>
          <w:sz w:val="22"/>
          <w:szCs w:val="22"/>
          <w:lang w:val="en-US" w:eastAsia="en-US"/>
        </w:rPr>
        <w:t xml:space="preserve">Liang, W., Guan, W., Chen, R., Wang, W., Li, J., Xu, K., … He, J. (2020). Cancer patients in SARS-CoV-2 infection: a nationwide analysis in China. </w:t>
      </w:r>
      <w:r w:rsidRPr="00DE404D">
        <w:rPr>
          <w:rFonts w:eastAsia="Calibri"/>
          <w:i/>
          <w:sz w:val="22"/>
          <w:szCs w:val="22"/>
          <w:lang w:val="en-US" w:eastAsia="en-US"/>
        </w:rPr>
        <w:t>The Lancet Oncology, 21</w:t>
      </w:r>
      <w:r w:rsidRPr="00DE404D">
        <w:rPr>
          <w:rFonts w:eastAsia="Calibri"/>
          <w:sz w:val="22"/>
          <w:szCs w:val="22"/>
          <w:lang w:val="en-US" w:eastAsia="en-US"/>
        </w:rPr>
        <w:t>(3), 335-337.  https://doi.org/10.1016/S1470-2045(20)30096-6.</w:t>
      </w:r>
    </w:p>
    <w:p w14:paraId="318ABDF1" w14:textId="77777777" w:rsidR="009C3B2F" w:rsidRPr="00DE404D" w:rsidRDefault="009C3B2F" w:rsidP="009C3B2F">
      <w:pPr>
        <w:spacing w:line="360" w:lineRule="auto"/>
        <w:ind w:left="567" w:hanging="567"/>
        <w:rPr>
          <w:rFonts w:eastAsia="Calibri"/>
          <w:sz w:val="22"/>
          <w:szCs w:val="22"/>
          <w:lang w:val="en-US" w:eastAsia="en-US"/>
        </w:rPr>
      </w:pPr>
      <w:r w:rsidRPr="00DE404D">
        <w:rPr>
          <w:rFonts w:eastAsia="Calibri"/>
          <w:sz w:val="22"/>
          <w:szCs w:val="22"/>
          <w:lang w:val="en-US" w:eastAsia="en-US"/>
        </w:rPr>
        <w:t xml:space="preserve">Lu, R.  Zhao, X., Li, J., Niu, P., Bo Yang, B., Wu, H., … Tan., W. (2020). Genomic characterisation and epidemiology of 2019 novel coronavirus: Implications for virus origins and receptor binding. </w:t>
      </w:r>
      <w:r w:rsidRPr="00DE404D">
        <w:rPr>
          <w:rFonts w:eastAsia="Calibri"/>
          <w:i/>
          <w:sz w:val="22"/>
          <w:szCs w:val="22"/>
          <w:lang w:val="en-US" w:eastAsia="en-US"/>
        </w:rPr>
        <w:t>The Lancet 395</w:t>
      </w:r>
      <w:r w:rsidRPr="00DE404D">
        <w:rPr>
          <w:rFonts w:eastAsia="Calibri"/>
          <w:sz w:val="22"/>
          <w:szCs w:val="22"/>
          <w:lang w:val="en-US" w:eastAsia="en-US"/>
        </w:rPr>
        <w:t>(10224), 565-574. https://doi.org/10.1016/S0140-6736(20)30251-8</w:t>
      </w:r>
    </w:p>
    <w:p w14:paraId="32A59C1F" w14:textId="77777777" w:rsidR="009C3B2F" w:rsidRPr="00DE404D" w:rsidRDefault="009C3B2F" w:rsidP="009C3B2F">
      <w:pPr>
        <w:spacing w:line="360" w:lineRule="auto"/>
        <w:ind w:left="567" w:hanging="567"/>
        <w:rPr>
          <w:rFonts w:eastAsia="Calibri"/>
          <w:sz w:val="22"/>
          <w:szCs w:val="22"/>
          <w:lang w:val="en-US" w:eastAsia="en-US"/>
        </w:rPr>
      </w:pPr>
      <w:r w:rsidRPr="00DE404D">
        <w:rPr>
          <w:rFonts w:eastAsia="Calibri"/>
          <w:sz w:val="22"/>
          <w:szCs w:val="22"/>
          <w:lang w:val="en-US" w:eastAsia="en-US"/>
        </w:rPr>
        <w:t xml:space="preserve">Mahase, E. (2020). China coronavirus: WHO declares international emergency as death toll exceeds 200. </w:t>
      </w:r>
      <w:r w:rsidRPr="00DE404D">
        <w:rPr>
          <w:rFonts w:eastAsia="Calibri"/>
          <w:i/>
          <w:sz w:val="22"/>
          <w:szCs w:val="22"/>
          <w:lang w:val="en-US" w:eastAsia="en-US"/>
        </w:rPr>
        <w:t>BMJ Clinical Evidence, 368</w:t>
      </w:r>
      <w:r w:rsidRPr="00DE404D">
        <w:rPr>
          <w:rFonts w:eastAsia="Calibri"/>
          <w:sz w:val="22"/>
          <w:szCs w:val="22"/>
          <w:lang w:val="en-US" w:eastAsia="en-US"/>
        </w:rPr>
        <w:t>, m408. https://doi.org/10.1136/bmj.m408</w:t>
      </w:r>
    </w:p>
    <w:p w14:paraId="28B32E1D" w14:textId="02062BC4" w:rsidR="007D2AFF" w:rsidRPr="007D2AFF" w:rsidRDefault="007D2AFF" w:rsidP="007D2AFF">
      <w:pPr>
        <w:spacing w:line="360" w:lineRule="auto"/>
        <w:ind w:left="567" w:hanging="567"/>
        <w:rPr>
          <w:rFonts w:eastAsia="Calibri"/>
          <w:sz w:val="22"/>
          <w:szCs w:val="22"/>
          <w:lang w:val="en-US" w:eastAsia="en-US"/>
        </w:rPr>
      </w:pPr>
      <w:r w:rsidRPr="007D2AFF">
        <w:rPr>
          <w:rFonts w:eastAsia="Calibri"/>
          <w:sz w:val="22"/>
          <w:szCs w:val="22"/>
          <w:lang w:val="en-US" w:eastAsia="en-US"/>
        </w:rPr>
        <w:t xml:space="preserve">Qiu, J., Shen, B., Zhao, M., Wang, Z., Xie, B., &amp; Xu, Y. (2020). A nationwide survey of psychological distress among Chinese people in the COVID-19 epidemic: Implications and policy recommendations. </w:t>
      </w:r>
      <w:r w:rsidRPr="007D2AFF">
        <w:rPr>
          <w:rFonts w:eastAsia="Calibri"/>
          <w:i/>
          <w:sz w:val="22"/>
          <w:szCs w:val="22"/>
          <w:lang w:val="en-US" w:eastAsia="en-US"/>
        </w:rPr>
        <w:t>General Psychiatry, 33</w:t>
      </w:r>
      <w:r w:rsidRPr="007D2AFF">
        <w:rPr>
          <w:rFonts w:eastAsia="Calibri"/>
          <w:sz w:val="22"/>
          <w:szCs w:val="22"/>
          <w:lang w:val="en-US" w:eastAsia="en-US"/>
        </w:rPr>
        <w:t xml:space="preserve">, e100213. </w:t>
      </w:r>
      <w:r w:rsidR="00884A68" w:rsidRPr="00DE404D">
        <w:rPr>
          <w:rFonts w:eastAsia="Calibri"/>
          <w:sz w:val="22"/>
          <w:szCs w:val="22"/>
          <w:lang w:val="en-US" w:eastAsia="en-US"/>
        </w:rPr>
        <w:t>https://doi.org/</w:t>
      </w:r>
      <w:r w:rsidRPr="007D2AFF">
        <w:rPr>
          <w:rFonts w:eastAsia="Calibri"/>
          <w:sz w:val="22"/>
          <w:szCs w:val="22"/>
          <w:lang w:val="en-US" w:eastAsia="en-US"/>
        </w:rPr>
        <w:t>10.1136/gpsych-2020-100213</w:t>
      </w:r>
    </w:p>
    <w:p w14:paraId="1D971219" w14:textId="4B4BA442" w:rsidR="00884A68" w:rsidRDefault="00884A68" w:rsidP="009C3B2F">
      <w:pPr>
        <w:spacing w:line="360" w:lineRule="auto"/>
        <w:ind w:left="567" w:hanging="567"/>
        <w:rPr>
          <w:rFonts w:eastAsia="Calibri"/>
          <w:sz w:val="22"/>
          <w:szCs w:val="22"/>
          <w:lang w:eastAsia="en-US"/>
        </w:rPr>
      </w:pPr>
      <w:r w:rsidRPr="00884A68">
        <w:rPr>
          <w:rFonts w:eastAsia="Calibri"/>
          <w:sz w:val="22"/>
          <w:szCs w:val="22"/>
          <w:lang w:eastAsia="en-US"/>
        </w:rPr>
        <w:t>Tan</w:t>
      </w:r>
      <w:r>
        <w:rPr>
          <w:rFonts w:eastAsia="Calibri"/>
          <w:sz w:val="22"/>
          <w:szCs w:val="22"/>
          <w:lang w:eastAsia="en-US"/>
        </w:rPr>
        <w:t>,</w:t>
      </w:r>
      <w:r w:rsidRPr="00884A68">
        <w:rPr>
          <w:rFonts w:eastAsia="Calibri"/>
          <w:sz w:val="22"/>
          <w:szCs w:val="22"/>
          <w:lang w:eastAsia="en-US"/>
        </w:rPr>
        <w:t xml:space="preserve"> B</w:t>
      </w:r>
      <w:r>
        <w:rPr>
          <w:rFonts w:eastAsia="Calibri"/>
          <w:sz w:val="22"/>
          <w:szCs w:val="22"/>
          <w:lang w:eastAsia="en-US"/>
        </w:rPr>
        <w:t>..</w:t>
      </w:r>
      <w:r w:rsidRPr="00884A68">
        <w:rPr>
          <w:rFonts w:eastAsia="Calibri"/>
          <w:sz w:val="22"/>
          <w:szCs w:val="22"/>
          <w:lang w:eastAsia="en-US"/>
        </w:rPr>
        <w:t>Y</w:t>
      </w:r>
      <w:r>
        <w:rPr>
          <w:rFonts w:eastAsia="Calibri"/>
          <w:sz w:val="22"/>
          <w:szCs w:val="22"/>
          <w:lang w:eastAsia="en-US"/>
        </w:rPr>
        <w:t xml:space="preserve">. </w:t>
      </w:r>
      <w:r w:rsidRPr="00884A68">
        <w:rPr>
          <w:rFonts w:eastAsia="Calibri"/>
          <w:sz w:val="22"/>
          <w:szCs w:val="22"/>
          <w:lang w:eastAsia="en-US"/>
        </w:rPr>
        <w:t>Q</w:t>
      </w:r>
      <w:r>
        <w:rPr>
          <w:rFonts w:eastAsia="Calibri"/>
          <w:sz w:val="22"/>
          <w:szCs w:val="22"/>
          <w:lang w:eastAsia="en-US"/>
        </w:rPr>
        <w:t>.</w:t>
      </w:r>
      <w:r w:rsidRPr="00884A68">
        <w:rPr>
          <w:rFonts w:eastAsia="Calibri"/>
          <w:sz w:val="22"/>
          <w:szCs w:val="22"/>
          <w:lang w:eastAsia="en-US"/>
        </w:rPr>
        <w:t>, Chew</w:t>
      </w:r>
      <w:r>
        <w:rPr>
          <w:rFonts w:eastAsia="Calibri"/>
          <w:sz w:val="22"/>
          <w:szCs w:val="22"/>
          <w:lang w:eastAsia="en-US"/>
        </w:rPr>
        <w:t>,</w:t>
      </w:r>
      <w:r w:rsidRPr="00884A68">
        <w:rPr>
          <w:rFonts w:eastAsia="Calibri"/>
          <w:sz w:val="22"/>
          <w:szCs w:val="22"/>
          <w:lang w:eastAsia="en-US"/>
        </w:rPr>
        <w:t xml:space="preserve"> N</w:t>
      </w:r>
      <w:r>
        <w:rPr>
          <w:rFonts w:eastAsia="Calibri"/>
          <w:sz w:val="22"/>
          <w:szCs w:val="22"/>
          <w:lang w:eastAsia="en-US"/>
        </w:rPr>
        <w:t xml:space="preserve">. </w:t>
      </w:r>
      <w:r w:rsidRPr="00884A68">
        <w:rPr>
          <w:rFonts w:eastAsia="Calibri"/>
          <w:sz w:val="22"/>
          <w:szCs w:val="22"/>
          <w:lang w:eastAsia="en-US"/>
        </w:rPr>
        <w:t>W</w:t>
      </w:r>
      <w:r>
        <w:rPr>
          <w:rFonts w:eastAsia="Calibri"/>
          <w:sz w:val="22"/>
          <w:szCs w:val="22"/>
          <w:lang w:eastAsia="en-US"/>
        </w:rPr>
        <w:t xml:space="preserve">. </w:t>
      </w:r>
      <w:r w:rsidRPr="00884A68">
        <w:rPr>
          <w:rFonts w:eastAsia="Calibri"/>
          <w:sz w:val="22"/>
          <w:szCs w:val="22"/>
          <w:lang w:eastAsia="en-US"/>
        </w:rPr>
        <w:t>S</w:t>
      </w:r>
      <w:r>
        <w:rPr>
          <w:rFonts w:eastAsia="Calibri"/>
          <w:sz w:val="22"/>
          <w:szCs w:val="22"/>
          <w:lang w:eastAsia="en-US"/>
        </w:rPr>
        <w:t>.</w:t>
      </w:r>
      <w:r w:rsidRPr="00884A68">
        <w:rPr>
          <w:rFonts w:eastAsia="Calibri"/>
          <w:sz w:val="22"/>
          <w:szCs w:val="22"/>
          <w:lang w:eastAsia="en-US"/>
        </w:rPr>
        <w:t>, Lee</w:t>
      </w:r>
      <w:r>
        <w:rPr>
          <w:rFonts w:eastAsia="Calibri"/>
          <w:sz w:val="22"/>
          <w:szCs w:val="22"/>
          <w:lang w:eastAsia="en-US"/>
        </w:rPr>
        <w:t>,</w:t>
      </w:r>
      <w:r w:rsidRPr="00884A68">
        <w:rPr>
          <w:rFonts w:eastAsia="Calibri"/>
          <w:sz w:val="22"/>
          <w:szCs w:val="22"/>
          <w:lang w:eastAsia="en-US"/>
        </w:rPr>
        <w:t xml:space="preserve"> G</w:t>
      </w:r>
      <w:r>
        <w:rPr>
          <w:rFonts w:eastAsia="Calibri"/>
          <w:sz w:val="22"/>
          <w:szCs w:val="22"/>
          <w:lang w:eastAsia="en-US"/>
        </w:rPr>
        <w:t xml:space="preserve">. </w:t>
      </w:r>
      <w:r w:rsidRPr="00884A68">
        <w:rPr>
          <w:rFonts w:eastAsia="Calibri"/>
          <w:sz w:val="22"/>
          <w:szCs w:val="22"/>
          <w:lang w:eastAsia="en-US"/>
        </w:rPr>
        <w:t>K</w:t>
      </w:r>
      <w:r>
        <w:rPr>
          <w:rFonts w:eastAsia="Calibri"/>
          <w:sz w:val="22"/>
          <w:szCs w:val="22"/>
          <w:lang w:eastAsia="en-US"/>
        </w:rPr>
        <w:t xml:space="preserve">. </w:t>
      </w:r>
      <w:r w:rsidRPr="00884A68">
        <w:rPr>
          <w:rFonts w:eastAsia="Calibri"/>
          <w:sz w:val="22"/>
          <w:szCs w:val="22"/>
          <w:lang w:eastAsia="en-US"/>
        </w:rPr>
        <w:t>H</w:t>
      </w:r>
      <w:r>
        <w:rPr>
          <w:rFonts w:eastAsia="Calibri"/>
          <w:sz w:val="22"/>
          <w:szCs w:val="22"/>
          <w:lang w:eastAsia="en-US"/>
        </w:rPr>
        <w:t>.,…</w:t>
      </w:r>
      <w:r w:rsidRPr="00884A68">
        <w:rPr>
          <w:rFonts w:eastAsia="Calibri"/>
          <w:sz w:val="22"/>
          <w:szCs w:val="22"/>
          <w:lang w:eastAsia="en-US"/>
        </w:rPr>
        <w:t xml:space="preserve">Sharma, </w:t>
      </w:r>
      <w:r>
        <w:rPr>
          <w:rFonts w:eastAsia="Calibri"/>
          <w:sz w:val="22"/>
          <w:szCs w:val="22"/>
          <w:lang w:eastAsia="en-US"/>
        </w:rPr>
        <w:t>V. K. (2020). P</w:t>
      </w:r>
      <w:r w:rsidRPr="00884A68">
        <w:rPr>
          <w:rFonts w:eastAsia="Calibri"/>
          <w:sz w:val="22"/>
          <w:szCs w:val="22"/>
          <w:lang w:eastAsia="en-US"/>
        </w:rPr>
        <w:t>sychological Impact of the COVID-19 Pandemic on H</w:t>
      </w:r>
      <w:r>
        <w:rPr>
          <w:rFonts w:eastAsia="Calibri"/>
          <w:sz w:val="22"/>
          <w:szCs w:val="22"/>
          <w:lang w:eastAsia="en-US"/>
        </w:rPr>
        <w:t>ealth Care Workers in Singapore</w:t>
      </w:r>
      <w:r w:rsidRPr="00884A68">
        <w:rPr>
          <w:rFonts w:eastAsia="Calibri"/>
          <w:sz w:val="22"/>
          <w:szCs w:val="22"/>
          <w:lang w:eastAsia="en-US"/>
        </w:rPr>
        <w:t xml:space="preserve">. </w:t>
      </w:r>
      <w:r w:rsidRPr="00884A68">
        <w:rPr>
          <w:rFonts w:eastAsia="Calibri"/>
          <w:i/>
          <w:sz w:val="22"/>
          <w:szCs w:val="22"/>
          <w:lang w:eastAsia="en-US"/>
        </w:rPr>
        <w:t>Annals of Internal Medicine</w:t>
      </w:r>
      <w:r>
        <w:rPr>
          <w:rFonts w:eastAsia="Calibri"/>
          <w:sz w:val="22"/>
          <w:szCs w:val="22"/>
          <w:lang w:eastAsia="en-US"/>
        </w:rPr>
        <w:t xml:space="preserve">, </w:t>
      </w:r>
      <w:r w:rsidRPr="00884A68">
        <w:rPr>
          <w:rFonts w:eastAsia="Calibri"/>
          <w:sz w:val="22"/>
          <w:szCs w:val="22"/>
          <w:lang w:eastAsia="en-US"/>
        </w:rPr>
        <w:t xml:space="preserve">M20-1083. </w:t>
      </w:r>
      <w:r w:rsidRPr="00DE404D">
        <w:rPr>
          <w:rFonts w:eastAsia="Calibri"/>
          <w:sz w:val="22"/>
          <w:szCs w:val="22"/>
          <w:lang w:val="en-US" w:eastAsia="en-US"/>
        </w:rPr>
        <w:t>https://doi.org/</w:t>
      </w:r>
      <w:r w:rsidRPr="00884A68">
        <w:rPr>
          <w:rFonts w:eastAsia="Calibri"/>
          <w:sz w:val="22"/>
          <w:szCs w:val="22"/>
          <w:lang w:eastAsia="en-US"/>
        </w:rPr>
        <w:t>10.7326/M20-1083</w:t>
      </w:r>
    </w:p>
    <w:p w14:paraId="793EE154" w14:textId="6D602C79" w:rsidR="009C3B2F" w:rsidRPr="00DE404D" w:rsidRDefault="009C3B2F" w:rsidP="009C3B2F">
      <w:pPr>
        <w:spacing w:line="360" w:lineRule="auto"/>
        <w:ind w:left="567" w:hanging="567"/>
        <w:rPr>
          <w:rFonts w:eastAsia="Calibri"/>
          <w:sz w:val="22"/>
          <w:szCs w:val="22"/>
          <w:lang w:eastAsia="en-US"/>
        </w:rPr>
      </w:pPr>
      <w:r w:rsidRPr="00DE404D">
        <w:rPr>
          <w:rFonts w:eastAsia="Calibri"/>
          <w:sz w:val="22"/>
          <w:szCs w:val="22"/>
          <w:lang w:eastAsia="en-US"/>
        </w:rPr>
        <w:t xml:space="preserve">Terol-Cantero, M.C., Cabrera-Perona, V., </w:t>
      </w:r>
      <w:r>
        <w:rPr>
          <w:rFonts w:eastAsia="Calibri"/>
          <w:sz w:val="22"/>
          <w:szCs w:val="22"/>
          <w:lang w:eastAsia="en-US"/>
        </w:rPr>
        <w:t xml:space="preserve">&amp; </w:t>
      </w:r>
      <w:r w:rsidRPr="00DE404D">
        <w:rPr>
          <w:rFonts w:eastAsia="Calibri"/>
          <w:sz w:val="22"/>
          <w:szCs w:val="22"/>
          <w:lang w:eastAsia="en-US"/>
        </w:rPr>
        <w:t>Martín-Aragón, M. (2015). Revisión de estudios de la Escala de Ansiedad y Depresión Hospitalaria (HAD) en muestras españolas</w:t>
      </w:r>
      <w:r>
        <w:rPr>
          <w:rFonts w:eastAsia="Calibri"/>
          <w:sz w:val="22"/>
          <w:szCs w:val="22"/>
          <w:lang w:eastAsia="en-US"/>
        </w:rPr>
        <w:t xml:space="preserve"> [</w:t>
      </w:r>
      <w:r w:rsidRPr="002E096F">
        <w:rPr>
          <w:rFonts w:eastAsia="Calibri"/>
          <w:sz w:val="22"/>
          <w:szCs w:val="22"/>
          <w:lang w:eastAsia="en-US"/>
        </w:rPr>
        <w:t>Review of studies of the Hospital Anxiety and Depression Scale (HAD) in Spanish samples</w:t>
      </w:r>
      <w:r>
        <w:rPr>
          <w:rFonts w:eastAsia="Calibri"/>
          <w:sz w:val="22"/>
          <w:szCs w:val="22"/>
          <w:lang w:eastAsia="en-US"/>
        </w:rPr>
        <w:t>].</w:t>
      </w:r>
      <w:r w:rsidRPr="00DE404D">
        <w:rPr>
          <w:rFonts w:eastAsia="Calibri"/>
          <w:sz w:val="22"/>
          <w:szCs w:val="22"/>
          <w:lang w:eastAsia="en-US"/>
        </w:rPr>
        <w:t xml:space="preserve"> </w:t>
      </w:r>
      <w:r w:rsidRPr="00DE404D">
        <w:rPr>
          <w:rFonts w:eastAsia="Calibri"/>
          <w:i/>
          <w:sz w:val="22"/>
          <w:szCs w:val="22"/>
          <w:lang w:eastAsia="en-US"/>
        </w:rPr>
        <w:t xml:space="preserve">Anales de Psicología, </w:t>
      </w:r>
      <w:r w:rsidRPr="00DE404D">
        <w:rPr>
          <w:rFonts w:eastAsia="Calibri"/>
          <w:sz w:val="22"/>
          <w:szCs w:val="22"/>
          <w:lang w:eastAsia="en-US"/>
        </w:rPr>
        <w:t xml:space="preserve">31. 494-503. </w:t>
      </w:r>
      <w:hyperlink r:id="rId9" w:history="1">
        <w:r w:rsidRPr="002E096F">
          <w:rPr>
            <w:rStyle w:val="Hipervnculo"/>
            <w:rFonts w:eastAsia="Calibri"/>
            <w:color w:val="auto"/>
            <w:sz w:val="22"/>
            <w:szCs w:val="22"/>
            <w:u w:val="none"/>
            <w:lang w:eastAsia="en-US"/>
          </w:rPr>
          <w:t>https://doi.org/10.6018/analesps.31.2.172701</w:t>
        </w:r>
      </w:hyperlink>
    </w:p>
    <w:p w14:paraId="7C57396A" w14:textId="77777777" w:rsidR="009C3B2F" w:rsidRPr="00DE404D" w:rsidRDefault="009C3B2F" w:rsidP="009C3B2F">
      <w:pPr>
        <w:spacing w:line="360" w:lineRule="auto"/>
        <w:ind w:left="567" w:hanging="567"/>
        <w:rPr>
          <w:rFonts w:eastAsia="Calibri"/>
          <w:sz w:val="22"/>
          <w:szCs w:val="22"/>
          <w:lang w:eastAsia="en-US"/>
        </w:rPr>
      </w:pPr>
      <w:r w:rsidRPr="00DE404D">
        <w:rPr>
          <w:rFonts w:eastAsia="Calibri"/>
          <w:sz w:val="22"/>
          <w:szCs w:val="22"/>
          <w:lang w:eastAsia="en-US"/>
        </w:rPr>
        <w:t xml:space="preserve">Terol, M. C., López-Roíg, S., Rodríguez-Marín, J., Martín-Aragón, M., Pastor, M.A., </w:t>
      </w:r>
      <w:r>
        <w:rPr>
          <w:rFonts w:eastAsia="Calibri"/>
          <w:sz w:val="22"/>
          <w:szCs w:val="22"/>
          <w:lang w:eastAsia="en-US"/>
        </w:rPr>
        <w:t xml:space="preserve">&amp; </w:t>
      </w:r>
      <w:r w:rsidRPr="00DE404D">
        <w:rPr>
          <w:rFonts w:eastAsia="Calibri"/>
          <w:sz w:val="22"/>
          <w:szCs w:val="22"/>
          <w:lang w:eastAsia="en-US"/>
        </w:rPr>
        <w:t>Reig, M.T. (2007). Propiedades Psicométricas de la Escala Hospitalaria de Ansiedad y Depresión (HAD) en Población Española</w:t>
      </w:r>
      <w:r>
        <w:rPr>
          <w:rFonts w:eastAsia="Calibri"/>
          <w:sz w:val="22"/>
          <w:szCs w:val="22"/>
          <w:lang w:eastAsia="en-US"/>
        </w:rPr>
        <w:t xml:space="preserve"> [</w:t>
      </w:r>
      <w:r w:rsidRPr="002E096F">
        <w:rPr>
          <w:rFonts w:eastAsia="Calibri"/>
          <w:sz w:val="22"/>
          <w:szCs w:val="22"/>
          <w:lang w:eastAsia="en-US"/>
        </w:rPr>
        <w:t>Psychometric Properties of the Hospital Anxiety and Depression Scale (HAD) in Spanish Population</w:t>
      </w:r>
      <w:r>
        <w:rPr>
          <w:rFonts w:eastAsia="Calibri"/>
          <w:sz w:val="22"/>
          <w:szCs w:val="22"/>
          <w:lang w:eastAsia="en-US"/>
        </w:rPr>
        <w:t xml:space="preserve">]. </w:t>
      </w:r>
      <w:r w:rsidRPr="00DE404D">
        <w:rPr>
          <w:rFonts w:eastAsia="Calibri"/>
          <w:i/>
          <w:sz w:val="22"/>
          <w:szCs w:val="22"/>
          <w:lang w:eastAsia="en-US"/>
        </w:rPr>
        <w:t>Ansiedad y Estrés,</w:t>
      </w:r>
      <w:r w:rsidRPr="00DE404D">
        <w:rPr>
          <w:rFonts w:eastAsia="Calibri"/>
          <w:sz w:val="22"/>
          <w:szCs w:val="22"/>
          <w:lang w:eastAsia="en-US"/>
        </w:rPr>
        <w:t xml:space="preserve">13,163 -176. </w:t>
      </w:r>
    </w:p>
    <w:p w14:paraId="185286E5" w14:textId="77777777" w:rsidR="009C3B2F" w:rsidRPr="00DE404D" w:rsidRDefault="009C3B2F" w:rsidP="009C3B2F">
      <w:pPr>
        <w:spacing w:line="360" w:lineRule="auto"/>
        <w:ind w:left="567" w:hanging="567"/>
        <w:rPr>
          <w:rFonts w:eastAsia="Calibri"/>
          <w:sz w:val="22"/>
          <w:szCs w:val="22"/>
          <w:lang w:val="en-US" w:eastAsia="en-US"/>
        </w:rPr>
      </w:pPr>
      <w:r w:rsidRPr="00DE404D">
        <w:rPr>
          <w:rFonts w:eastAsia="Calibri"/>
          <w:sz w:val="22"/>
          <w:szCs w:val="22"/>
          <w:lang w:val="en-US" w:eastAsia="en-US"/>
        </w:rPr>
        <w:t xml:space="preserve">Vallejo, M. A., Rivera, .J, Esteve-Vives, J., Rodríguez-Muñoz, M. F., </w:t>
      </w:r>
      <w:r>
        <w:rPr>
          <w:rFonts w:eastAsia="Calibri"/>
          <w:sz w:val="22"/>
          <w:szCs w:val="22"/>
          <w:lang w:val="en-US" w:eastAsia="en-US"/>
        </w:rPr>
        <w:t xml:space="preserve">&amp; </w:t>
      </w:r>
      <w:r w:rsidRPr="00DE404D">
        <w:rPr>
          <w:rFonts w:eastAsia="Calibri"/>
          <w:sz w:val="22"/>
          <w:szCs w:val="22"/>
          <w:lang w:val="en-US" w:eastAsia="en-US"/>
        </w:rPr>
        <w:t xml:space="preserve">ICAF Group. (2012). Use of the Hospital Anxiety and Depression Scale (HADS) to evaluate anxiety and depression in fibromyalgia patients. </w:t>
      </w:r>
      <w:r w:rsidRPr="00DE404D">
        <w:rPr>
          <w:rFonts w:eastAsia="Calibri"/>
          <w:i/>
          <w:sz w:val="22"/>
          <w:szCs w:val="22"/>
          <w:lang w:val="en-US" w:eastAsia="en-US"/>
        </w:rPr>
        <w:t>Revista de Psiquiatría y Salud Menta</w:t>
      </w:r>
      <w:r>
        <w:rPr>
          <w:rFonts w:eastAsia="Calibri"/>
          <w:i/>
          <w:sz w:val="22"/>
          <w:szCs w:val="22"/>
          <w:lang w:val="en-US" w:eastAsia="en-US"/>
        </w:rPr>
        <w:t>l,</w:t>
      </w:r>
      <w:r w:rsidRPr="00DE404D">
        <w:rPr>
          <w:rFonts w:eastAsia="Calibri"/>
          <w:sz w:val="22"/>
          <w:szCs w:val="22"/>
          <w:lang w:val="en-US" w:eastAsia="en-US"/>
        </w:rPr>
        <w:t xml:space="preserve"> 5, 107-114. </w:t>
      </w:r>
      <w:hyperlink r:id="rId10" w:history="1">
        <w:r w:rsidRPr="00572BFA">
          <w:rPr>
            <w:rStyle w:val="Hipervnculo"/>
            <w:rFonts w:eastAsia="Calibri"/>
            <w:color w:val="auto"/>
            <w:sz w:val="22"/>
            <w:szCs w:val="22"/>
            <w:u w:val="none"/>
            <w:lang w:val="en-US" w:eastAsia="en-US"/>
          </w:rPr>
          <w:t>https://doi.org/10.1016/j.rpsmen.2012.01.004</w:t>
        </w:r>
      </w:hyperlink>
    </w:p>
    <w:p w14:paraId="310DCF4A" w14:textId="77777777" w:rsidR="009C3B2F" w:rsidRPr="00DE404D" w:rsidRDefault="009C3B2F" w:rsidP="009C3B2F">
      <w:pPr>
        <w:spacing w:line="360" w:lineRule="auto"/>
        <w:ind w:left="567" w:hanging="567"/>
        <w:rPr>
          <w:rFonts w:eastAsia="Calibri"/>
          <w:sz w:val="22"/>
          <w:szCs w:val="22"/>
          <w:lang w:val="en-US" w:eastAsia="en-US"/>
        </w:rPr>
      </w:pPr>
      <w:r w:rsidRPr="00DE404D">
        <w:rPr>
          <w:rFonts w:eastAsia="Calibri"/>
          <w:sz w:val="22"/>
          <w:szCs w:val="22"/>
          <w:lang w:val="en-US" w:eastAsia="en-US"/>
        </w:rPr>
        <w:lastRenderedPageBreak/>
        <w:t xml:space="preserve">Varker, T., Brand, R. M., Ward, J., Terhaag, S., &amp; Phelps, A. (2019). Efficacy of Synchronous Telepsychology Interventions for People With Anxiety, Depression, Posttraumatic Stress Disorder, and Adjustment Disorder: A Rapid Evidence. </w:t>
      </w:r>
      <w:r w:rsidRPr="00DE404D">
        <w:rPr>
          <w:rFonts w:eastAsia="Calibri"/>
          <w:i/>
          <w:sz w:val="22"/>
          <w:szCs w:val="22"/>
          <w:lang w:val="en-US" w:eastAsia="en-US"/>
        </w:rPr>
        <w:t>Assessment Psychological Services, 16</w:t>
      </w:r>
      <w:r w:rsidRPr="00DE404D">
        <w:rPr>
          <w:rFonts w:eastAsia="Calibri"/>
          <w:sz w:val="22"/>
          <w:szCs w:val="22"/>
          <w:lang w:val="en-US" w:eastAsia="en-US"/>
        </w:rPr>
        <w:t>, (4) 621– 635. 10.1037/ser0000239</w:t>
      </w:r>
    </w:p>
    <w:p w14:paraId="79D62A63" w14:textId="77777777" w:rsidR="009C3B2F" w:rsidRPr="00DE404D" w:rsidRDefault="009C3B2F" w:rsidP="009C3B2F">
      <w:pPr>
        <w:spacing w:line="360" w:lineRule="auto"/>
        <w:ind w:left="567" w:hanging="567"/>
        <w:rPr>
          <w:rFonts w:eastAsia="Calibri"/>
          <w:sz w:val="22"/>
          <w:szCs w:val="22"/>
          <w:lang w:val="en-US" w:eastAsia="en-US"/>
        </w:rPr>
      </w:pPr>
      <w:r w:rsidRPr="00DE404D">
        <w:rPr>
          <w:rFonts w:eastAsia="Calibri"/>
          <w:sz w:val="22"/>
          <w:szCs w:val="22"/>
          <w:lang w:val="en-US" w:eastAsia="en-US"/>
        </w:rPr>
        <w:t xml:space="preserve">Wang, Y., Di, Y., Ye, J., &amp; Wei, W. (2020). Study on the public psychological states and its related factors during the outbreak of coronavirus disease 2019 (COVID-19) in some regions of China. </w:t>
      </w:r>
      <w:r w:rsidRPr="00DE404D">
        <w:rPr>
          <w:rFonts w:eastAsia="Calibri"/>
          <w:i/>
          <w:sz w:val="22"/>
          <w:szCs w:val="22"/>
          <w:lang w:val="en-US" w:eastAsia="en-US"/>
        </w:rPr>
        <w:t>Psychology, Health &amp; Medicine</w:t>
      </w:r>
      <w:r w:rsidRPr="00DE404D">
        <w:rPr>
          <w:rFonts w:eastAsia="Calibri"/>
          <w:sz w:val="22"/>
          <w:szCs w:val="22"/>
          <w:lang w:val="en-US" w:eastAsia="en-US"/>
        </w:rPr>
        <w:t>, 1– 10. https://doi.org/10.1080/13548506.2020.1746817</w:t>
      </w:r>
    </w:p>
    <w:p w14:paraId="2825165F" w14:textId="77777777" w:rsidR="009C3B2F" w:rsidRPr="00DE404D" w:rsidRDefault="009C3B2F" w:rsidP="009C3B2F">
      <w:pPr>
        <w:spacing w:line="360" w:lineRule="auto"/>
        <w:ind w:left="567" w:hanging="567"/>
        <w:rPr>
          <w:rFonts w:eastAsia="Calibri"/>
          <w:sz w:val="22"/>
          <w:szCs w:val="22"/>
          <w:lang w:eastAsia="en-US"/>
        </w:rPr>
      </w:pPr>
      <w:r w:rsidRPr="00DE404D">
        <w:rPr>
          <w:rFonts w:eastAsia="Calibri"/>
          <w:sz w:val="22"/>
          <w:szCs w:val="22"/>
          <w:lang w:val="en-US" w:eastAsia="en-US"/>
        </w:rPr>
        <w:t xml:space="preserve">Wang, C., Pan, R., Wan, X., Tan, Y., Xu, L, Ho, C.S., &amp; Ho, R. C. (2020). Immediate Psychological Responses and associated factors during the Initial stage of the 2019 Coronavirus disease (COVID-19) epidemic among the general population in China. </w:t>
      </w:r>
      <w:r w:rsidRPr="00DE404D">
        <w:rPr>
          <w:rFonts w:eastAsia="Calibri"/>
          <w:i/>
          <w:sz w:val="22"/>
          <w:szCs w:val="22"/>
          <w:lang w:val="en-US" w:eastAsia="en-US"/>
        </w:rPr>
        <w:t>International Journal of Environmental Research and Public Health, 17</w:t>
      </w:r>
      <w:r w:rsidRPr="00DE404D">
        <w:rPr>
          <w:rFonts w:eastAsia="Calibri"/>
          <w:sz w:val="22"/>
          <w:szCs w:val="22"/>
          <w:lang w:val="en-US" w:eastAsia="en-US"/>
        </w:rPr>
        <w:t>, 1729. https://doi.org/10.3390/ijerph17051729</w:t>
      </w:r>
    </w:p>
    <w:p w14:paraId="31D7FE79" w14:textId="77777777" w:rsidR="009C3B2F" w:rsidRPr="00572BFA" w:rsidRDefault="009C3B2F" w:rsidP="009C3B2F">
      <w:pPr>
        <w:spacing w:line="360" w:lineRule="auto"/>
        <w:ind w:left="567" w:hanging="567"/>
        <w:rPr>
          <w:rFonts w:eastAsia="Calibri"/>
          <w:sz w:val="22"/>
          <w:szCs w:val="22"/>
          <w:lang w:eastAsia="en-US"/>
        </w:rPr>
      </w:pPr>
      <w:r w:rsidRPr="00DE404D">
        <w:rPr>
          <w:rFonts w:eastAsia="Calibri"/>
          <w:sz w:val="22"/>
          <w:szCs w:val="22"/>
          <w:lang w:eastAsia="en-US"/>
        </w:rPr>
        <w:t xml:space="preserve">World Health Organization-WHO (2020). Rolling updates on coronavirus disease (COVID-19). Retrieved from </w:t>
      </w:r>
      <w:hyperlink r:id="rId11" w:history="1">
        <w:r w:rsidRPr="00572BFA">
          <w:rPr>
            <w:rStyle w:val="Hipervnculo"/>
            <w:rFonts w:eastAsia="Calibri"/>
            <w:color w:val="auto"/>
            <w:sz w:val="22"/>
            <w:szCs w:val="22"/>
            <w:u w:val="none"/>
            <w:lang w:eastAsia="en-US"/>
          </w:rPr>
          <w:t>https://www.who.int/emergencies/diseases/novel-coronavirus-2019/events-as-they-happen</w:t>
        </w:r>
      </w:hyperlink>
      <w:r w:rsidRPr="00572BFA">
        <w:rPr>
          <w:rFonts w:eastAsia="Calibri"/>
          <w:sz w:val="22"/>
          <w:szCs w:val="22"/>
          <w:lang w:eastAsia="en-US"/>
        </w:rPr>
        <w:t xml:space="preserve"> </w:t>
      </w:r>
    </w:p>
    <w:p w14:paraId="464A3821" w14:textId="77777777" w:rsidR="009C3B2F" w:rsidRPr="00806F53" w:rsidRDefault="009C3B2F" w:rsidP="009C3B2F">
      <w:pPr>
        <w:spacing w:line="360" w:lineRule="auto"/>
        <w:ind w:left="567" w:hanging="567"/>
        <w:rPr>
          <w:sz w:val="22"/>
          <w:szCs w:val="22"/>
        </w:rPr>
      </w:pPr>
      <w:r w:rsidRPr="00DE404D">
        <w:rPr>
          <w:sz w:val="22"/>
          <w:szCs w:val="22"/>
        </w:rPr>
        <w:t xml:space="preserve">Xiang, Y. </w:t>
      </w:r>
      <w:r w:rsidRPr="00806F53">
        <w:rPr>
          <w:sz w:val="22"/>
          <w:szCs w:val="22"/>
        </w:rPr>
        <w:t xml:space="preserve">T. </w:t>
      </w:r>
      <w:r w:rsidRPr="00DE404D">
        <w:rPr>
          <w:sz w:val="22"/>
          <w:szCs w:val="22"/>
        </w:rPr>
        <w:t xml:space="preserve">(2020). </w:t>
      </w:r>
      <w:r w:rsidRPr="00806F53">
        <w:rPr>
          <w:sz w:val="22"/>
          <w:szCs w:val="22"/>
        </w:rPr>
        <w:t xml:space="preserve">Timely mental health care for the 2019 novel coronavirus outbreak is urgently needed. </w:t>
      </w:r>
      <w:r w:rsidRPr="00806F53">
        <w:rPr>
          <w:i/>
          <w:sz w:val="22"/>
          <w:szCs w:val="22"/>
        </w:rPr>
        <w:t>Lancet Psychiatry</w:t>
      </w:r>
      <w:r w:rsidRPr="00DE404D">
        <w:rPr>
          <w:i/>
          <w:sz w:val="22"/>
          <w:szCs w:val="22"/>
        </w:rPr>
        <w:t xml:space="preserve">, </w:t>
      </w:r>
      <w:r w:rsidRPr="00806F53">
        <w:rPr>
          <w:i/>
          <w:sz w:val="22"/>
          <w:szCs w:val="22"/>
        </w:rPr>
        <w:t>7</w:t>
      </w:r>
      <w:r w:rsidRPr="00DE404D">
        <w:rPr>
          <w:sz w:val="22"/>
          <w:szCs w:val="22"/>
        </w:rPr>
        <w:t xml:space="preserve">, </w:t>
      </w:r>
      <w:r w:rsidRPr="00806F53">
        <w:rPr>
          <w:sz w:val="22"/>
          <w:szCs w:val="22"/>
        </w:rPr>
        <w:t xml:space="preserve">228–229. </w:t>
      </w:r>
      <w:hyperlink r:id="rId12" w:history="1">
        <w:r w:rsidRPr="00DE404D">
          <w:rPr>
            <w:sz w:val="22"/>
            <w:szCs w:val="22"/>
          </w:rPr>
          <w:t>https://doi.org/10.1016/S2215-0366(20)30046-8</w:t>
        </w:r>
      </w:hyperlink>
    </w:p>
    <w:p w14:paraId="28583177" w14:textId="77777777" w:rsidR="009C3B2F" w:rsidRPr="00DE404D" w:rsidRDefault="009C3B2F" w:rsidP="009C3B2F">
      <w:pPr>
        <w:spacing w:line="360" w:lineRule="auto"/>
        <w:ind w:left="567" w:hanging="567"/>
        <w:rPr>
          <w:rFonts w:eastAsia="Calibri"/>
          <w:sz w:val="22"/>
          <w:szCs w:val="22"/>
          <w:lang w:eastAsia="en-US"/>
        </w:rPr>
      </w:pPr>
      <w:r w:rsidRPr="00DE404D">
        <w:rPr>
          <w:rFonts w:eastAsia="Calibri"/>
          <w:sz w:val="22"/>
          <w:szCs w:val="22"/>
          <w:lang w:eastAsia="en-US"/>
        </w:rPr>
        <w:t xml:space="preserve">Yoo, W., Namkoong, K., Choi, M., Shah, D.V., Tsang, S., Hong, Y., … Gustafson, D. (2014). Giving and Receiving Emotional Support Online: Communication Competence as a Moderator of Psychosocial Benefits for Women with Breast Cancer. </w:t>
      </w:r>
      <w:r w:rsidRPr="00DE404D">
        <w:rPr>
          <w:rFonts w:eastAsia="Calibri"/>
          <w:i/>
          <w:sz w:val="22"/>
          <w:szCs w:val="22"/>
          <w:lang w:eastAsia="en-US"/>
        </w:rPr>
        <w:t>Computers in Human Behavior, 30</w:t>
      </w:r>
      <w:r w:rsidRPr="00DE404D">
        <w:rPr>
          <w:rFonts w:eastAsia="Calibri"/>
          <w:sz w:val="22"/>
          <w:szCs w:val="22"/>
          <w:lang w:eastAsia="en-US"/>
        </w:rPr>
        <w:t xml:space="preserve">, 13-22. </w:t>
      </w:r>
    </w:p>
    <w:p w14:paraId="5A6E7626" w14:textId="77777777" w:rsidR="009C3B2F" w:rsidRPr="00DE404D" w:rsidRDefault="009C3B2F" w:rsidP="009C3B2F">
      <w:pPr>
        <w:spacing w:line="360" w:lineRule="auto"/>
        <w:ind w:left="567" w:hanging="567"/>
        <w:rPr>
          <w:sz w:val="22"/>
          <w:szCs w:val="22"/>
        </w:rPr>
      </w:pPr>
      <w:r w:rsidRPr="00DE404D">
        <w:rPr>
          <w:sz w:val="22"/>
          <w:szCs w:val="22"/>
        </w:rPr>
        <w:t>Zigmond, A. P.</w:t>
      </w:r>
      <w:r>
        <w:rPr>
          <w:sz w:val="22"/>
          <w:szCs w:val="22"/>
        </w:rPr>
        <w:t>,</w:t>
      </w:r>
      <w:r w:rsidRPr="00DE404D">
        <w:rPr>
          <w:sz w:val="22"/>
          <w:szCs w:val="22"/>
        </w:rPr>
        <w:t xml:space="preserve"> &amp; Snaith, R. P. (1983). The Hospital Anxiety and Depression Scale. </w:t>
      </w:r>
      <w:r w:rsidRPr="00DE404D">
        <w:rPr>
          <w:i/>
          <w:sz w:val="22"/>
          <w:szCs w:val="22"/>
        </w:rPr>
        <w:t>Acta Psychiatrica Scandinavica, 67</w:t>
      </w:r>
      <w:r w:rsidRPr="00DE404D">
        <w:rPr>
          <w:sz w:val="22"/>
          <w:szCs w:val="22"/>
        </w:rPr>
        <w:t xml:space="preserve">, 361 – 370. </w:t>
      </w:r>
      <w:r w:rsidRPr="00572BFA">
        <w:rPr>
          <w:sz w:val="22"/>
          <w:szCs w:val="22"/>
        </w:rPr>
        <w:t>https://doi.org/</w:t>
      </w:r>
      <w:r w:rsidRPr="00DE404D">
        <w:rPr>
          <w:sz w:val="22"/>
          <w:szCs w:val="22"/>
        </w:rPr>
        <w:t>10.1136/bmj.292.6516.344</w:t>
      </w:r>
    </w:p>
    <w:p w14:paraId="0C440AC5" w14:textId="77777777" w:rsidR="009C3B2F" w:rsidRPr="0060425A" w:rsidRDefault="009C3B2F" w:rsidP="005601FA">
      <w:pPr>
        <w:ind w:firstLine="708"/>
        <w:jc w:val="both"/>
        <w:rPr>
          <w:sz w:val="22"/>
          <w:szCs w:val="22"/>
        </w:rPr>
      </w:pPr>
    </w:p>
    <w:sectPr w:rsidR="009C3B2F" w:rsidRPr="0060425A" w:rsidSect="00DD59A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13543" w14:textId="77777777" w:rsidR="003A61BC" w:rsidRDefault="003A61BC" w:rsidP="009D47E9">
      <w:r>
        <w:separator/>
      </w:r>
    </w:p>
  </w:endnote>
  <w:endnote w:type="continuationSeparator" w:id="0">
    <w:p w14:paraId="450F7F7E" w14:textId="77777777" w:rsidR="003A61BC" w:rsidRDefault="003A61BC" w:rsidP="009D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84993" w14:textId="77777777" w:rsidR="003A61BC" w:rsidRDefault="003A61BC" w:rsidP="009D47E9">
      <w:r>
        <w:separator/>
      </w:r>
    </w:p>
  </w:footnote>
  <w:footnote w:type="continuationSeparator" w:id="0">
    <w:p w14:paraId="0C74368F" w14:textId="77777777" w:rsidR="003A61BC" w:rsidRDefault="003A61BC" w:rsidP="009D4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DC7"/>
    <w:multiLevelType w:val="hybridMultilevel"/>
    <w:tmpl w:val="1B46C9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171E55"/>
    <w:multiLevelType w:val="hybridMultilevel"/>
    <w:tmpl w:val="1B46C9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68F2FE2"/>
    <w:multiLevelType w:val="hybridMultilevel"/>
    <w:tmpl w:val="1B46C9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n-GB"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6B"/>
    <w:rsid w:val="000021D6"/>
    <w:rsid w:val="000073C2"/>
    <w:rsid w:val="000077AD"/>
    <w:rsid w:val="00007FB2"/>
    <w:rsid w:val="00011522"/>
    <w:rsid w:val="00013A2F"/>
    <w:rsid w:val="00020CB2"/>
    <w:rsid w:val="00022676"/>
    <w:rsid w:val="00023790"/>
    <w:rsid w:val="00025483"/>
    <w:rsid w:val="00027271"/>
    <w:rsid w:val="00031127"/>
    <w:rsid w:val="00031237"/>
    <w:rsid w:val="00031804"/>
    <w:rsid w:val="000321E8"/>
    <w:rsid w:val="00033891"/>
    <w:rsid w:val="00034146"/>
    <w:rsid w:val="00034B30"/>
    <w:rsid w:val="000426BD"/>
    <w:rsid w:val="000456FD"/>
    <w:rsid w:val="00051977"/>
    <w:rsid w:val="00051D5F"/>
    <w:rsid w:val="00053DD6"/>
    <w:rsid w:val="00061509"/>
    <w:rsid w:val="000617D0"/>
    <w:rsid w:val="00063BC0"/>
    <w:rsid w:val="00070A15"/>
    <w:rsid w:val="000751C4"/>
    <w:rsid w:val="00076899"/>
    <w:rsid w:val="000808A6"/>
    <w:rsid w:val="00080D7D"/>
    <w:rsid w:val="00080FC2"/>
    <w:rsid w:val="000818A2"/>
    <w:rsid w:val="00082FC3"/>
    <w:rsid w:val="000838CD"/>
    <w:rsid w:val="000864AD"/>
    <w:rsid w:val="0009169C"/>
    <w:rsid w:val="00091C74"/>
    <w:rsid w:val="00094207"/>
    <w:rsid w:val="0009567A"/>
    <w:rsid w:val="00096FB3"/>
    <w:rsid w:val="00097520"/>
    <w:rsid w:val="000A0C1E"/>
    <w:rsid w:val="000A2EEE"/>
    <w:rsid w:val="000C0196"/>
    <w:rsid w:val="000C029F"/>
    <w:rsid w:val="000C65AE"/>
    <w:rsid w:val="000C7D5B"/>
    <w:rsid w:val="000D0A5C"/>
    <w:rsid w:val="000D2AD1"/>
    <w:rsid w:val="000D2AF5"/>
    <w:rsid w:val="000D4F53"/>
    <w:rsid w:val="000D5C7D"/>
    <w:rsid w:val="000E07B9"/>
    <w:rsid w:val="000E111B"/>
    <w:rsid w:val="000E1F4C"/>
    <w:rsid w:val="000E4D1E"/>
    <w:rsid w:val="000E652E"/>
    <w:rsid w:val="001015E6"/>
    <w:rsid w:val="00102E22"/>
    <w:rsid w:val="0010394E"/>
    <w:rsid w:val="00104181"/>
    <w:rsid w:val="00105960"/>
    <w:rsid w:val="00107AE2"/>
    <w:rsid w:val="0011036C"/>
    <w:rsid w:val="001113F8"/>
    <w:rsid w:val="001235E9"/>
    <w:rsid w:val="0012390A"/>
    <w:rsid w:val="001277E3"/>
    <w:rsid w:val="00130E41"/>
    <w:rsid w:val="00132CA3"/>
    <w:rsid w:val="001335C0"/>
    <w:rsid w:val="001345CD"/>
    <w:rsid w:val="001360FC"/>
    <w:rsid w:val="00137792"/>
    <w:rsid w:val="00145D55"/>
    <w:rsid w:val="00150F06"/>
    <w:rsid w:val="00154444"/>
    <w:rsid w:val="00160BCE"/>
    <w:rsid w:val="0016402E"/>
    <w:rsid w:val="0016739B"/>
    <w:rsid w:val="00170E78"/>
    <w:rsid w:val="00172226"/>
    <w:rsid w:val="00180548"/>
    <w:rsid w:val="001875EB"/>
    <w:rsid w:val="00194C42"/>
    <w:rsid w:val="001A1210"/>
    <w:rsid w:val="001A2401"/>
    <w:rsid w:val="001A4E28"/>
    <w:rsid w:val="001B1C89"/>
    <w:rsid w:val="001B51F8"/>
    <w:rsid w:val="001C1F86"/>
    <w:rsid w:val="001C7668"/>
    <w:rsid w:val="001C768A"/>
    <w:rsid w:val="001D3CA7"/>
    <w:rsid w:val="001D406A"/>
    <w:rsid w:val="001D6691"/>
    <w:rsid w:val="001D78CE"/>
    <w:rsid w:val="001E0A63"/>
    <w:rsid w:val="001E0ACA"/>
    <w:rsid w:val="001E2348"/>
    <w:rsid w:val="001E269A"/>
    <w:rsid w:val="001F0FE5"/>
    <w:rsid w:val="001F3598"/>
    <w:rsid w:val="001F359A"/>
    <w:rsid w:val="001F451F"/>
    <w:rsid w:val="001F711F"/>
    <w:rsid w:val="00200D48"/>
    <w:rsid w:val="002043FD"/>
    <w:rsid w:val="0020473F"/>
    <w:rsid w:val="002064C3"/>
    <w:rsid w:val="0020780B"/>
    <w:rsid w:val="002213B4"/>
    <w:rsid w:val="002217E6"/>
    <w:rsid w:val="00231E27"/>
    <w:rsid w:val="002343E0"/>
    <w:rsid w:val="0024200A"/>
    <w:rsid w:val="002429A1"/>
    <w:rsid w:val="002537B5"/>
    <w:rsid w:val="00262433"/>
    <w:rsid w:val="0026589F"/>
    <w:rsid w:val="00267C76"/>
    <w:rsid w:val="00271AE1"/>
    <w:rsid w:val="002740A9"/>
    <w:rsid w:val="00274F22"/>
    <w:rsid w:val="00281047"/>
    <w:rsid w:val="00282514"/>
    <w:rsid w:val="002834DA"/>
    <w:rsid w:val="002839D7"/>
    <w:rsid w:val="00283C4A"/>
    <w:rsid w:val="002854F7"/>
    <w:rsid w:val="00286E26"/>
    <w:rsid w:val="002926D2"/>
    <w:rsid w:val="002940CF"/>
    <w:rsid w:val="0029641A"/>
    <w:rsid w:val="002A159E"/>
    <w:rsid w:val="002A1CEF"/>
    <w:rsid w:val="002A1D6F"/>
    <w:rsid w:val="002A3752"/>
    <w:rsid w:val="002B01A1"/>
    <w:rsid w:val="002C169C"/>
    <w:rsid w:val="002C572C"/>
    <w:rsid w:val="002D3057"/>
    <w:rsid w:val="002D6CCD"/>
    <w:rsid w:val="002E0E98"/>
    <w:rsid w:val="002E4B34"/>
    <w:rsid w:val="002F0661"/>
    <w:rsid w:val="002F090D"/>
    <w:rsid w:val="002F169D"/>
    <w:rsid w:val="002F370B"/>
    <w:rsid w:val="002F4A32"/>
    <w:rsid w:val="002F4DB2"/>
    <w:rsid w:val="002F66F9"/>
    <w:rsid w:val="002F7C71"/>
    <w:rsid w:val="003002FC"/>
    <w:rsid w:val="00305E85"/>
    <w:rsid w:val="0031017A"/>
    <w:rsid w:val="00316BE7"/>
    <w:rsid w:val="003223C5"/>
    <w:rsid w:val="00322AFA"/>
    <w:rsid w:val="00322F10"/>
    <w:rsid w:val="00323CAA"/>
    <w:rsid w:val="00324F32"/>
    <w:rsid w:val="00325E12"/>
    <w:rsid w:val="00330BBA"/>
    <w:rsid w:val="003322F4"/>
    <w:rsid w:val="00332864"/>
    <w:rsid w:val="00334384"/>
    <w:rsid w:val="00334AE0"/>
    <w:rsid w:val="00335260"/>
    <w:rsid w:val="00335A44"/>
    <w:rsid w:val="00340C34"/>
    <w:rsid w:val="00342C11"/>
    <w:rsid w:val="00354926"/>
    <w:rsid w:val="00355D06"/>
    <w:rsid w:val="0035703D"/>
    <w:rsid w:val="00362486"/>
    <w:rsid w:val="00363E60"/>
    <w:rsid w:val="003649F9"/>
    <w:rsid w:val="00374087"/>
    <w:rsid w:val="00376648"/>
    <w:rsid w:val="003824C3"/>
    <w:rsid w:val="00382C42"/>
    <w:rsid w:val="00385A1E"/>
    <w:rsid w:val="00392F8A"/>
    <w:rsid w:val="00395AD0"/>
    <w:rsid w:val="00395B56"/>
    <w:rsid w:val="003A3ADA"/>
    <w:rsid w:val="003A4826"/>
    <w:rsid w:val="003A588D"/>
    <w:rsid w:val="003A61BC"/>
    <w:rsid w:val="003A71FC"/>
    <w:rsid w:val="003B2D0A"/>
    <w:rsid w:val="003B7500"/>
    <w:rsid w:val="003C158A"/>
    <w:rsid w:val="003C44AC"/>
    <w:rsid w:val="003C62AB"/>
    <w:rsid w:val="003C6729"/>
    <w:rsid w:val="003C7643"/>
    <w:rsid w:val="003E0F61"/>
    <w:rsid w:val="003E1351"/>
    <w:rsid w:val="003E1B52"/>
    <w:rsid w:val="003F0F2E"/>
    <w:rsid w:val="003F2BC3"/>
    <w:rsid w:val="003F46AD"/>
    <w:rsid w:val="003F5E5F"/>
    <w:rsid w:val="003F66FE"/>
    <w:rsid w:val="00401124"/>
    <w:rsid w:val="00401EC5"/>
    <w:rsid w:val="00404787"/>
    <w:rsid w:val="00410628"/>
    <w:rsid w:val="00413EF0"/>
    <w:rsid w:val="00415B94"/>
    <w:rsid w:val="004169EB"/>
    <w:rsid w:val="004213B7"/>
    <w:rsid w:val="00423A78"/>
    <w:rsid w:val="00423ACB"/>
    <w:rsid w:val="00423C59"/>
    <w:rsid w:val="0042485A"/>
    <w:rsid w:val="00427FAE"/>
    <w:rsid w:val="00431042"/>
    <w:rsid w:val="00432249"/>
    <w:rsid w:val="0043353E"/>
    <w:rsid w:val="00434351"/>
    <w:rsid w:val="004345A9"/>
    <w:rsid w:val="0044156E"/>
    <w:rsid w:val="0044170F"/>
    <w:rsid w:val="0044686F"/>
    <w:rsid w:val="00451DD9"/>
    <w:rsid w:val="00452900"/>
    <w:rsid w:val="0045312B"/>
    <w:rsid w:val="0046184D"/>
    <w:rsid w:val="004637B5"/>
    <w:rsid w:val="00463996"/>
    <w:rsid w:val="00466ED9"/>
    <w:rsid w:val="004720A7"/>
    <w:rsid w:val="004771A2"/>
    <w:rsid w:val="00477200"/>
    <w:rsid w:val="0047750B"/>
    <w:rsid w:val="00484E79"/>
    <w:rsid w:val="00487F7B"/>
    <w:rsid w:val="0049299C"/>
    <w:rsid w:val="00493689"/>
    <w:rsid w:val="0049438C"/>
    <w:rsid w:val="004949ED"/>
    <w:rsid w:val="004A1652"/>
    <w:rsid w:val="004A29F1"/>
    <w:rsid w:val="004A5084"/>
    <w:rsid w:val="004B0E66"/>
    <w:rsid w:val="004B1AAD"/>
    <w:rsid w:val="004B264C"/>
    <w:rsid w:val="004B2F70"/>
    <w:rsid w:val="004B4405"/>
    <w:rsid w:val="004B4597"/>
    <w:rsid w:val="004B5B79"/>
    <w:rsid w:val="004B5F8E"/>
    <w:rsid w:val="004B640B"/>
    <w:rsid w:val="004B68EC"/>
    <w:rsid w:val="004C17BB"/>
    <w:rsid w:val="004C2FB6"/>
    <w:rsid w:val="004C4882"/>
    <w:rsid w:val="004C7FC8"/>
    <w:rsid w:val="004D0068"/>
    <w:rsid w:val="004D3C45"/>
    <w:rsid w:val="004D6225"/>
    <w:rsid w:val="004E19A3"/>
    <w:rsid w:val="004E7296"/>
    <w:rsid w:val="004F0F43"/>
    <w:rsid w:val="004F3AFA"/>
    <w:rsid w:val="004F414C"/>
    <w:rsid w:val="00502C5D"/>
    <w:rsid w:val="00521DB2"/>
    <w:rsid w:val="00527466"/>
    <w:rsid w:val="00536CA9"/>
    <w:rsid w:val="005510C7"/>
    <w:rsid w:val="0055618B"/>
    <w:rsid w:val="00556542"/>
    <w:rsid w:val="005601FA"/>
    <w:rsid w:val="00560DCD"/>
    <w:rsid w:val="00560E44"/>
    <w:rsid w:val="00563F63"/>
    <w:rsid w:val="005656AD"/>
    <w:rsid w:val="00565A90"/>
    <w:rsid w:val="00566B94"/>
    <w:rsid w:val="005674B7"/>
    <w:rsid w:val="00573F36"/>
    <w:rsid w:val="00574C29"/>
    <w:rsid w:val="00574D15"/>
    <w:rsid w:val="00577DC5"/>
    <w:rsid w:val="00597A45"/>
    <w:rsid w:val="005A1CD4"/>
    <w:rsid w:val="005B2CE1"/>
    <w:rsid w:val="005B3E0D"/>
    <w:rsid w:val="005B4321"/>
    <w:rsid w:val="005B4AE2"/>
    <w:rsid w:val="005B7232"/>
    <w:rsid w:val="005C0000"/>
    <w:rsid w:val="005C3986"/>
    <w:rsid w:val="005C4ACB"/>
    <w:rsid w:val="005C6443"/>
    <w:rsid w:val="005D2444"/>
    <w:rsid w:val="005D33DD"/>
    <w:rsid w:val="005D6244"/>
    <w:rsid w:val="005D6682"/>
    <w:rsid w:val="005E61B7"/>
    <w:rsid w:val="005E7E66"/>
    <w:rsid w:val="005E7E75"/>
    <w:rsid w:val="005F1671"/>
    <w:rsid w:val="0060121F"/>
    <w:rsid w:val="00602134"/>
    <w:rsid w:val="0060425A"/>
    <w:rsid w:val="00604315"/>
    <w:rsid w:val="00606B2A"/>
    <w:rsid w:val="006077D4"/>
    <w:rsid w:val="00622E74"/>
    <w:rsid w:val="00627377"/>
    <w:rsid w:val="00632C79"/>
    <w:rsid w:val="00641EB7"/>
    <w:rsid w:val="00642D35"/>
    <w:rsid w:val="00643CDA"/>
    <w:rsid w:val="00644E65"/>
    <w:rsid w:val="00651370"/>
    <w:rsid w:val="006539B3"/>
    <w:rsid w:val="006570B5"/>
    <w:rsid w:val="0065778F"/>
    <w:rsid w:val="00663CAA"/>
    <w:rsid w:val="006640C5"/>
    <w:rsid w:val="00672C27"/>
    <w:rsid w:val="006759B2"/>
    <w:rsid w:val="006831C7"/>
    <w:rsid w:val="00683E35"/>
    <w:rsid w:val="00684046"/>
    <w:rsid w:val="00685953"/>
    <w:rsid w:val="006867CC"/>
    <w:rsid w:val="00687ABC"/>
    <w:rsid w:val="00691AC9"/>
    <w:rsid w:val="00692C00"/>
    <w:rsid w:val="00693A9D"/>
    <w:rsid w:val="006944FE"/>
    <w:rsid w:val="00696B83"/>
    <w:rsid w:val="006A182E"/>
    <w:rsid w:val="006A3F0F"/>
    <w:rsid w:val="006A3FF5"/>
    <w:rsid w:val="006A4BBD"/>
    <w:rsid w:val="006A7EA2"/>
    <w:rsid w:val="006B6091"/>
    <w:rsid w:val="006C200F"/>
    <w:rsid w:val="006D2767"/>
    <w:rsid w:val="006D5794"/>
    <w:rsid w:val="006E1269"/>
    <w:rsid w:val="006E2339"/>
    <w:rsid w:val="006F018C"/>
    <w:rsid w:val="006F2CB5"/>
    <w:rsid w:val="006F417F"/>
    <w:rsid w:val="0070189E"/>
    <w:rsid w:val="00707599"/>
    <w:rsid w:val="00711941"/>
    <w:rsid w:val="0071244B"/>
    <w:rsid w:val="00713023"/>
    <w:rsid w:val="00714683"/>
    <w:rsid w:val="00724524"/>
    <w:rsid w:val="007253DA"/>
    <w:rsid w:val="00725F21"/>
    <w:rsid w:val="007310F1"/>
    <w:rsid w:val="00734FDA"/>
    <w:rsid w:val="0074010A"/>
    <w:rsid w:val="00741592"/>
    <w:rsid w:val="0074268E"/>
    <w:rsid w:val="00743D25"/>
    <w:rsid w:val="0074773F"/>
    <w:rsid w:val="00750CC6"/>
    <w:rsid w:val="00752AAB"/>
    <w:rsid w:val="00754AB5"/>
    <w:rsid w:val="00757ADF"/>
    <w:rsid w:val="00762FDB"/>
    <w:rsid w:val="00763F6A"/>
    <w:rsid w:val="0076579D"/>
    <w:rsid w:val="00765FA1"/>
    <w:rsid w:val="007674E7"/>
    <w:rsid w:val="00771D0B"/>
    <w:rsid w:val="00772590"/>
    <w:rsid w:val="007769BE"/>
    <w:rsid w:val="00780B71"/>
    <w:rsid w:val="00781621"/>
    <w:rsid w:val="00783E5F"/>
    <w:rsid w:val="007970F9"/>
    <w:rsid w:val="007A7E6A"/>
    <w:rsid w:val="007B23F4"/>
    <w:rsid w:val="007B24AE"/>
    <w:rsid w:val="007B43CE"/>
    <w:rsid w:val="007C5278"/>
    <w:rsid w:val="007C5A45"/>
    <w:rsid w:val="007D18E7"/>
    <w:rsid w:val="007D2AFF"/>
    <w:rsid w:val="007D4FE0"/>
    <w:rsid w:val="007D7E41"/>
    <w:rsid w:val="007E46CE"/>
    <w:rsid w:val="007E57D0"/>
    <w:rsid w:val="007E7754"/>
    <w:rsid w:val="007F14CF"/>
    <w:rsid w:val="007F197D"/>
    <w:rsid w:val="008010C1"/>
    <w:rsid w:val="008014BF"/>
    <w:rsid w:val="00801D7D"/>
    <w:rsid w:val="00804E36"/>
    <w:rsid w:val="00806CF7"/>
    <w:rsid w:val="00806F05"/>
    <w:rsid w:val="00811521"/>
    <w:rsid w:val="008146D1"/>
    <w:rsid w:val="008168F0"/>
    <w:rsid w:val="00822B39"/>
    <w:rsid w:val="00826DA4"/>
    <w:rsid w:val="00827697"/>
    <w:rsid w:val="008322E0"/>
    <w:rsid w:val="0083595F"/>
    <w:rsid w:val="00845A82"/>
    <w:rsid w:val="00846585"/>
    <w:rsid w:val="00851537"/>
    <w:rsid w:val="00851982"/>
    <w:rsid w:val="00854ACE"/>
    <w:rsid w:val="00855D09"/>
    <w:rsid w:val="008577F1"/>
    <w:rsid w:val="00857BED"/>
    <w:rsid w:val="008622B3"/>
    <w:rsid w:val="008630E6"/>
    <w:rsid w:val="008671D0"/>
    <w:rsid w:val="00871399"/>
    <w:rsid w:val="00876625"/>
    <w:rsid w:val="00882704"/>
    <w:rsid w:val="00884A68"/>
    <w:rsid w:val="0088588C"/>
    <w:rsid w:val="0089456B"/>
    <w:rsid w:val="008977D7"/>
    <w:rsid w:val="008A1D7B"/>
    <w:rsid w:val="008B0DB7"/>
    <w:rsid w:val="008B4BF0"/>
    <w:rsid w:val="008C3ED3"/>
    <w:rsid w:val="008C48ED"/>
    <w:rsid w:val="008C4AE9"/>
    <w:rsid w:val="008C58D1"/>
    <w:rsid w:val="008C601C"/>
    <w:rsid w:val="008C76D3"/>
    <w:rsid w:val="008D5E19"/>
    <w:rsid w:val="008D6B49"/>
    <w:rsid w:val="008D7E67"/>
    <w:rsid w:val="008E2B73"/>
    <w:rsid w:val="008E2D24"/>
    <w:rsid w:val="008E6616"/>
    <w:rsid w:val="008F0474"/>
    <w:rsid w:val="00905450"/>
    <w:rsid w:val="009102DC"/>
    <w:rsid w:val="00910A2C"/>
    <w:rsid w:val="00917C34"/>
    <w:rsid w:val="00920658"/>
    <w:rsid w:val="009235B2"/>
    <w:rsid w:val="009238BD"/>
    <w:rsid w:val="00924241"/>
    <w:rsid w:val="0093280F"/>
    <w:rsid w:val="00934F45"/>
    <w:rsid w:val="00942E87"/>
    <w:rsid w:val="0094655D"/>
    <w:rsid w:val="00947D47"/>
    <w:rsid w:val="009522DB"/>
    <w:rsid w:val="009528E8"/>
    <w:rsid w:val="00954297"/>
    <w:rsid w:val="00957129"/>
    <w:rsid w:val="00957C19"/>
    <w:rsid w:val="00960315"/>
    <w:rsid w:val="00961ED1"/>
    <w:rsid w:val="00962F1B"/>
    <w:rsid w:val="00966C54"/>
    <w:rsid w:val="009678DA"/>
    <w:rsid w:val="009726AB"/>
    <w:rsid w:val="0097618D"/>
    <w:rsid w:val="00976BA2"/>
    <w:rsid w:val="00986D10"/>
    <w:rsid w:val="009921ED"/>
    <w:rsid w:val="00996F89"/>
    <w:rsid w:val="009A1F16"/>
    <w:rsid w:val="009A22C6"/>
    <w:rsid w:val="009A474C"/>
    <w:rsid w:val="009A5405"/>
    <w:rsid w:val="009A70C8"/>
    <w:rsid w:val="009A7AFD"/>
    <w:rsid w:val="009A7D3C"/>
    <w:rsid w:val="009B39AC"/>
    <w:rsid w:val="009B5534"/>
    <w:rsid w:val="009C3685"/>
    <w:rsid w:val="009C3B2F"/>
    <w:rsid w:val="009C4DCF"/>
    <w:rsid w:val="009D2EF9"/>
    <w:rsid w:val="009D3A86"/>
    <w:rsid w:val="009D47E9"/>
    <w:rsid w:val="009D7299"/>
    <w:rsid w:val="009E3E5A"/>
    <w:rsid w:val="009E430A"/>
    <w:rsid w:val="009E48C2"/>
    <w:rsid w:val="009E7579"/>
    <w:rsid w:val="009E7EFD"/>
    <w:rsid w:val="009F03AB"/>
    <w:rsid w:val="009F3841"/>
    <w:rsid w:val="00A03280"/>
    <w:rsid w:val="00A04023"/>
    <w:rsid w:val="00A068EA"/>
    <w:rsid w:val="00A11365"/>
    <w:rsid w:val="00A20543"/>
    <w:rsid w:val="00A216D7"/>
    <w:rsid w:val="00A23102"/>
    <w:rsid w:val="00A326A4"/>
    <w:rsid w:val="00A3393D"/>
    <w:rsid w:val="00A3422C"/>
    <w:rsid w:val="00A37363"/>
    <w:rsid w:val="00A41F93"/>
    <w:rsid w:val="00A42C3E"/>
    <w:rsid w:val="00A44C08"/>
    <w:rsid w:val="00A4769D"/>
    <w:rsid w:val="00A510CC"/>
    <w:rsid w:val="00A66708"/>
    <w:rsid w:val="00A66FAE"/>
    <w:rsid w:val="00A672CE"/>
    <w:rsid w:val="00A71B4F"/>
    <w:rsid w:val="00A72EBD"/>
    <w:rsid w:val="00A76488"/>
    <w:rsid w:val="00A804CB"/>
    <w:rsid w:val="00A8311D"/>
    <w:rsid w:val="00A8335C"/>
    <w:rsid w:val="00A92EA3"/>
    <w:rsid w:val="00A95922"/>
    <w:rsid w:val="00A97244"/>
    <w:rsid w:val="00A978BD"/>
    <w:rsid w:val="00AA0F6D"/>
    <w:rsid w:val="00AA169B"/>
    <w:rsid w:val="00AA2815"/>
    <w:rsid w:val="00AB1CFC"/>
    <w:rsid w:val="00AB5818"/>
    <w:rsid w:val="00AC05FB"/>
    <w:rsid w:val="00AC1059"/>
    <w:rsid w:val="00AC2060"/>
    <w:rsid w:val="00AC4330"/>
    <w:rsid w:val="00AC5D80"/>
    <w:rsid w:val="00AC6AAB"/>
    <w:rsid w:val="00AD3CD1"/>
    <w:rsid w:val="00AD4E48"/>
    <w:rsid w:val="00AD6902"/>
    <w:rsid w:val="00AD6F79"/>
    <w:rsid w:val="00AD7079"/>
    <w:rsid w:val="00AD7849"/>
    <w:rsid w:val="00AE0957"/>
    <w:rsid w:val="00AE1C5A"/>
    <w:rsid w:val="00AE4BEC"/>
    <w:rsid w:val="00AF1BC4"/>
    <w:rsid w:val="00AF45E1"/>
    <w:rsid w:val="00B02D51"/>
    <w:rsid w:val="00B03753"/>
    <w:rsid w:val="00B04D1B"/>
    <w:rsid w:val="00B07DD1"/>
    <w:rsid w:val="00B124E5"/>
    <w:rsid w:val="00B14451"/>
    <w:rsid w:val="00B15C17"/>
    <w:rsid w:val="00B21DD4"/>
    <w:rsid w:val="00B22123"/>
    <w:rsid w:val="00B2308A"/>
    <w:rsid w:val="00B24F1F"/>
    <w:rsid w:val="00B3053A"/>
    <w:rsid w:val="00B35B84"/>
    <w:rsid w:val="00B41857"/>
    <w:rsid w:val="00B63703"/>
    <w:rsid w:val="00B72373"/>
    <w:rsid w:val="00B73A44"/>
    <w:rsid w:val="00B7640B"/>
    <w:rsid w:val="00B82807"/>
    <w:rsid w:val="00B86594"/>
    <w:rsid w:val="00B96F7E"/>
    <w:rsid w:val="00BA3EBE"/>
    <w:rsid w:val="00BA733C"/>
    <w:rsid w:val="00BB0EF2"/>
    <w:rsid w:val="00BB28A6"/>
    <w:rsid w:val="00BB29E4"/>
    <w:rsid w:val="00BC1CC8"/>
    <w:rsid w:val="00BD1BCA"/>
    <w:rsid w:val="00BD2735"/>
    <w:rsid w:val="00BD2C67"/>
    <w:rsid w:val="00BE516A"/>
    <w:rsid w:val="00BF2429"/>
    <w:rsid w:val="00BF5FB2"/>
    <w:rsid w:val="00C03F1E"/>
    <w:rsid w:val="00C0594B"/>
    <w:rsid w:val="00C078CD"/>
    <w:rsid w:val="00C1685D"/>
    <w:rsid w:val="00C20E72"/>
    <w:rsid w:val="00C23525"/>
    <w:rsid w:val="00C2472D"/>
    <w:rsid w:val="00C34ECF"/>
    <w:rsid w:val="00C373BB"/>
    <w:rsid w:val="00C412CF"/>
    <w:rsid w:val="00C557B5"/>
    <w:rsid w:val="00C571F2"/>
    <w:rsid w:val="00C60B9F"/>
    <w:rsid w:val="00C631A2"/>
    <w:rsid w:val="00C72F58"/>
    <w:rsid w:val="00C74B76"/>
    <w:rsid w:val="00C817EB"/>
    <w:rsid w:val="00C90524"/>
    <w:rsid w:val="00C9284B"/>
    <w:rsid w:val="00C95F4E"/>
    <w:rsid w:val="00CA6502"/>
    <w:rsid w:val="00CA6C01"/>
    <w:rsid w:val="00CA79F2"/>
    <w:rsid w:val="00CB0313"/>
    <w:rsid w:val="00CB0AA9"/>
    <w:rsid w:val="00CB4C01"/>
    <w:rsid w:val="00CB6EA3"/>
    <w:rsid w:val="00CB7AA2"/>
    <w:rsid w:val="00CC1E25"/>
    <w:rsid w:val="00CC200C"/>
    <w:rsid w:val="00CC286C"/>
    <w:rsid w:val="00CC423B"/>
    <w:rsid w:val="00CC45B1"/>
    <w:rsid w:val="00CC4BC9"/>
    <w:rsid w:val="00CC7672"/>
    <w:rsid w:val="00CD0C2D"/>
    <w:rsid w:val="00CD379D"/>
    <w:rsid w:val="00CD396B"/>
    <w:rsid w:val="00CE031F"/>
    <w:rsid w:val="00CE31F5"/>
    <w:rsid w:val="00CE4B7D"/>
    <w:rsid w:val="00CE6D7A"/>
    <w:rsid w:val="00CF66AC"/>
    <w:rsid w:val="00D003FC"/>
    <w:rsid w:val="00D00AB8"/>
    <w:rsid w:val="00D0348C"/>
    <w:rsid w:val="00D038C5"/>
    <w:rsid w:val="00D11458"/>
    <w:rsid w:val="00D13655"/>
    <w:rsid w:val="00D20A9A"/>
    <w:rsid w:val="00D20EC3"/>
    <w:rsid w:val="00D25670"/>
    <w:rsid w:val="00D26BB0"/>
    <w:rsid w:val="00D40A14"/>
    <w:rsid w:val="00D4623A"/>
    <w:rsid w:val="00D51537"/>
    <w:rsid w:val="00D604EF"/>
    <w:rsid w:val="00D60502"/>
    <w:rsid w:val="00D60F8F"/>
    <w:rsid w:val="00D62C9C"/>
    <w:rsid w:val="00D73C9D"/>
    <w:rsid w:val="00D76B0B"/>
    <w:rsid w:val="00D809CE"/>
    <w:rsid w:val="00D80B9E"/>
    <w:rsid w:val="00D82D2E"/>
    <w:rsid w:val="00D8620C"/>
    <w:rsid w:val="00D979B3"/>
    <w:rsid w:val="00D97C26"/>
    <w:rsid w:val="00DA08DF"/>
    <w:rsid w:val="00DB0020"/>
    <w:rsid w:val="00DB24B9"/>
    <w:rsid w:val="00DB2AB6"/>
    <w:rsid w:val="00DB50D1"/>
    <w:rsid w:val="00DB6C3A"/>
    <w:rsid w:val="00DB72D8"/>
    <w:rsid w:val="00DC0DA3"/>
    <w:rsid w:val="00DC2094"/>
    <w:rsid w:val="00DC267A"/>
    <w:rsid w:val="00DC462E"/>
    <w:rsid w:val="00DC738A"/>
    <w:rsid w:val="00DD5421"/>
    <w:rsid w:val="00DD59A6"/>
    <w:rsid w:val="00DD71B9"/>
    <w:rsid w:val="00DE14F5"/>
    <w:rsid w:val="00DE162B"/>
    <w:rsid w:val="00DE29DA"/>
    <w:rsid w:val="00DF1C7F"/>
    <w:rsid w:val="00DF3403"/>
    <w:rsid w:val="00DF384B"/>
    <w:rsid w:val="00DF405D"/>
    <w:rsid w:val="00E00416"/>
    <w:rsid w:val="00E0496B"/>
    <w:rsid w:val="00E05564"/>
    <w:rsid w:val="00E06E7E"/>
    <w:rsid w:val="00E125B4"/>
    <w:rsid w:val="00E21F31"/>
    <w:rsid w:val="00E22292"/>
    <w:rsid w:val="00E22E17"/>
    <w:rsid w:val="00E241CC"/>
    <w:rsid w:val="00E25EAE"/>
    <w:rsid w:val="00E32345"/>
    <w:rsid w:val="00E33E54"/>
    <w:rsid w:val="00E40B96"/>
    <w:rsid w:val="00E46CDC"/>
    <w:rsid w:val="00E55DEA"/>
    <w:rsid w:val="00E61804"/>
    <w:rsid w:val="00E61A04"/>
    <w:rsid w:val="00E63EC1"/>
    <w:rsid w:val="00E71429"/>
    <w:rsid w:val="00E7397E"/>
    <w:rsid w:val="00E74935"/>
    <w:rsid w:val="00E77AA6"/>
    <w:rsid w:val="00E82A48"/>
    <w:rsid w:val="00E93930"/>
    <w:rsid w:val="00E94A23"/>
    <w:rsid w:val="00E9574C"/>
    <w:rsid w:val="00E960C0"/>
    <w:rsid w:val="00E9730F"/>
    <w:rsid w:val="00EA0C25"/>
    <w:rsid w:val="00EA2601"/>
    <w:rsid w:val="00EB216E"/>
    <w:rsid w:val="00EB4B3F"/>
    <w:rsid w:val="00EB79ED"/>
    <w:rsid w:val="00EC632F"/>
    <w:rsid w:val="00EC7690"/>
    <w:rsid w:val="00ED0F25"/>
    <w:rsid w:val="00EE0615"/>
    <w:rsid w:val="00EE3FA4"/>
    <w:rsid w:val="00EF3CAC"/>
    <w:rsid w:val="00EF3DDA"/>
    <w:rsid w:val="00EF4121"/>
    <w:rsid w:val="00EF5A14"/>
    <w:rsid w:val="00EF64F3"/>
    <w:rsid w:val="00F04974"/>
    <w:rsid w:val="00F06956"/>
    <w:rsid w:val="00F12B24"/>
    <w:rsid w:val="00F13B53"/>
    <w:rsid w:val="00F16C60"/>
    <w:rsid w:val="00F177F0"/>
    <w:rsid w:val="00F216EA"/>
    <w:rsid w:val="00F334C2"/>
    <w:rsid w:val="00F36B50"/>
    <w:rsid w:val="00F37DD0"/>
    <w:rsid w:val="00F45349"/>
    <w:rsid w:val="00F457E5"/>
    <w:rsid w:val="00F4721E"/>
    <w:rsid w:val="00F51784"/>
    <w:rsid w:val="00F540F2"/>
    <w:rsid w:val="00F55091"/>
    <w:rsid w:val="00F573B4"/>
    <w:rsid w:val="00F57893"/>
    <w:rsid w:val="00F57AE0"/>
    <w:rsid w:val="00F60E24"/>
    <w:rsid w:val="00F70C7E"/>
    <w:rsid w:val="00F74344"/>
    <w:rsid w:val="00F7448D"/>
    <w:rsid w:val="00F80A74"/>
    <w:rsid w:val="00F84292"/>
    <w:rsid w:val="00F852AE"/>
    <w:rsid w:val="00F87B3F"/>
    <w:rsid w:val="00F901CB"/>
    <w:rsid w:val="00F91ADB"/>
    <w:rsid w:val="00F92D57"/>
    <w:rsid w:val="00F954DB"/>
    <w:rsid w:val="00F95B66"/>
    <w:rsid w:val="00FA2AD6"/>
    <w:rsid w:val="00FB0640"/>
    <w:rsid w:val="00FB6544"/>
    <w:rsid w:val="00FC0ABD"/>
    <w:rsid w:val="00FC1FF2"/>
    <w:rsid w:val="00FC48CA"/>
    <w:rsid w:val="00FC5294"/>
    <w:rsid w:val="00FD3C7A"/>
    <w:rsid w:val="00FD65D3"/>
    <w:rsid w:val="00FE12EA"/>
    <w:rsid w:val="00FE406E"/>
    <w:rsid w:val="00FF15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DC97A"/>
  <w15:chartTrackingRefBased/>
  <w15:docId w15:val="{EDDBC627-E7DB-4EBA-8FC5-10A1C200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F43"/>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link w:val="Ttulo1Car"/>
    <w:uiPriority w:val="9"/>
    <w:qFormat/>
    <w:rsid w:val="0042485A"/>
    <w:pPr>
      <w:widowControl w:val="0"/>
      <w:autoSpaceDE w:val="0"/>
      <w:autoSpaceDN w:val="0"/>
      <w:ind w:left="348" w:hanging="218"/>
      <w:outlineLvl w:val="0"/>
    </w:pPr>
    <w:rPr>
      <w:rFonts w:ascii="Book Antiqua" w:eastAsia="Book Antiqua" w:hAnsi="Book Antiqua" w:cs="Book Antiqua"/>
      <w:b/>
      <w:bCs/>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66F9"/>
    <w:rPr>
      <w:color w:val="0563C1" w:themeColor="hyperlink"/>
      <w:u w:val="single"/>
    </w:rPr>
  </w:style>
  <w:style w:type="paragraph" w:styleId="Encabezado">
    <w:name w:val="header"/>
    <w:basedOn w:val="Normal"/>
    <w:link w:val="EncabezadoCar"/>
    <w:uiPriority w:val="99"/>
    <w:unhideWhenUsed/>
    <w:rsid w:val="009D47E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9D47E9"/>
  </w:style>
  <w:style w:type="paragraph" w:styleId="Piedepgina">
    <w:name w:val="footer"/>
    <w:basedOn w:val="Normal"/>
    <w:link w:val="PiedepginaCar"/>
    <w:uiPriority w:val="99"/>
    <w:unhideWhenUsed/>
    <w:rsid w:val="009D47E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9D47E9"/>
  </w:style>
  <w:style w:type="character" w:customStyle="1" w:styleId="Mencinsinresolver1">
    <w:name w:val="Mención sin resolver1"/>
    <w:basedOn w:val="Fuentedeprrafopredeter"/>
    <w:uiPriority w:val="99"/>
    <w:semiHidden/>
    <w:unhideWhenUsed/>
    <w:rsid w:val="00395AD0"/>
    <w:rPr>
      <w:color w:val="605E5C"/>
      <w:shd w:val="clear" w:color="auto" w:fill="E1DFDD"/>
    </w:rPr>
  </w:style>
  <w:style w:type="paragraph" w:styleId="NormalWeb">
    <w:name w:val="Normal (Web)"/>
    <w:basedOn w:val="Normal"/>
    <w:uiPriority w:val="99"/>
    <w:unhideWhenUsed/>
    <w:rsid w:val="001D78CE"/>
    <w:pPr>
      <w:spacing w:before="100" w:beforeAutospacing="1" w:after="100" w:afterAutospacing="1"/>
    </w:pPr>
  </w:style>
  <w:style w:type="paragraph" w:styleId="HTMLconformatoprevio">
    <w:name w:val="HTML Preformatted"/>
    <w:basedOn w:val="Normal"/>
    <w:link w:val="HTMLconformatoprevioCar"/>
    <w:uiPriority w:val="99"/>
    <w:semiHidden/>
    <w:unhideWhenUsed/>
    <w:rsid w:val="0010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04181"/>
    <w:rPr>
      <w:rFonts w:ascii="Courier New" w:eastAsia="Times New Roman" w:hAnsi="Courier New" w:cs="Courier New"/>
      <w:sz w:val="20"/>
      <w:szCs w:val="20"/>
      <w:lang w:eastAsia="es-ES_tradnl"/>
    </w:rPr>
  </w:style>
  <w:style w:type="paragraph" w:styleId="Textoindependiente">
    <w:name w:val="Body Text"/>
    <w:basedOn w:val="Normal"/>
    <w:link w:val="TextoindependienteCar"/>
    <w:uiPriority w:val="1"/>
    <w:qFormat/>
    <w:rsid w:val="00D003FC"/>
    <w:pPr>
      <w:widowControl w:val="0"/>
      <w:autoSpaceDE w:val="0"/>
      <w:autoSpaceDN w:val="0"/>
    </w:pPr>
    <w:rPr>
      <w:sz w:val="19"/>
      <w:szCs w:val="19"/>
      <w:lang w:val="en-US" w:eastAsia="en-US"/>
    </w:rPr>
  </w:style>
  <w:style w:type="character" w:customStyle="1" w:styleId="TextoindependienteCar">
    <w:name w:val="Texto independiente Car"/>
    <w:basedOn w:val="Fuentedeprrafopredeter"/>
    <w:link w:val="Textoindependiente"/>
    <w:uiPriority w:val="1"/>
    <w:rsid w:val="00D003FC"/>
    <w:rPr>
      <w:rFonts w:ascii="Times New Roman" w:eastAsia="Times New Roman" w:hAnsi="Times New Roman" w:cs="Times New Roman"/>
      <w:sz w:val="19"/>
      <w:szCs w:val="19"/>
      <w:lang w:val="en-US"/>
    </w:rPr>
  </w:style>
  <w:style w:type="paragraph" w:customStyle="1" w:styleId="Default">
    <w:name w:val="Default"/>
    <w:rsid w:val="00E22292"/>
    <w:pPr>
      <w:autoSpaceDE w:val="0"/>
      <w:autoSpaceDN w:val="0"/>
      <w:adjustRightInd w:val="0"/>
      <w:spacing w:after="0" w:line="240" w:lineRule="auto"/>
    </w:pPr>
    <w:rPr>
      <w:rFonts w:ascii="Frutiger 45 Light" w:eastAsia="Calibri" w:hAnsi="Frutiger 45 Light" w:cs="Frutiger 45 Light"/>
      <w:color w:val="000000"/>
      <w:sz w:val="24"/>
      <w:szCs w:val="24"/>
      <w:lang w:eastAsia="es-ES"/>
    </w:rPr>
  </w:style>
  <w:style w:type="paragraph" w:styleId="Sangradetextonormal">
    <w:name w:val="Body Text Indent"/>
    <w:basedOn w:val="Normal"/>
    <w:link w:val="SangradetextonormalCar"/>
    <w:uiPriority w:val="99"/>
    <w:unhideWhenUsed/>
    <w:rsid w:val="00E22292"/>
    <w:pPr>
      <w:spacing w:after="120" w:line="259"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E22292"/>
  </w:style>
  <w:style w:type="table" w:styleId="Tablaconcuadrcula">
    <w:name w:val="Table Grid"/>
    <w:basedOn w:val="Tablanormal"/>
    <w:uiPriority w:val="39"/>
    <w:rsid w:val="00845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124E5"/>
    <w:rPr>
      <w:sz w:val="18"/>
      <w:szCs w:val="18"/>
    </w:rPr>
  </w:style>
  <w:style w:type="character" w:customStyle="1" w:styleId="TextodegloboCar">
    <w:name w:val="Texto de globo Car"/>
    <w:basedOn w:val="Fuentedeprrafopredeter"/>
    <w:link w:val="Textodeglobo"/>
    <w:uiPriority w:val="99"/>
    <w:semiHidden/>
    <w:rsid w:val="00B124E5"/>
    <w:rPr>
      <w:rFonts w:ascii="Times New Roman" w:hAnsi="Times New Roman" w:cs="Times New Roman"/>
      <w:sz w:val="18"/>
      <w:szCs w:val="18"/>
    </w:rPr>
  </w:style>
  <w:style w:type="character" w:customStyle="1" w:styleId="Ttulo1Car">
    <w:name w:val="Título 1 Car"/>
    <w:basedOn w:val="Fuentedeprrafopredeter"/>
    <w:link w:val="Ttulo1"/>
    <w:uiPriority w:val="9"/>
    <w:rsid w:val="0042485A"/>
    <w:rPr>
      <w:rFonts w:ascii="Book Antiqua" w:eastAsia="Book Antiqua" w:hAnsi="Book Antiqua" w:cs="Book Antiqua"/>
      <w:b/>
      <w:bCs/>
      <w:sz w:val="20"/>
      <w:szCs w:val="20"/>
      <w:lang w:val="en-US"/>
    </w:rPr>
  </w:style>
  <w:style w:type="character" w:customStyle="1" w:styleId="authors-list-item">
    <w:name w:val="authors-list-item"/>
    <w:basedOn w:val="Fuentedeprrafopredeter"/>
    <w:rsid w:val="00C74B76"/>
  </w:style>
  <w:style w:type="character" w:customStyle="1" w:styleId="author-sup-separator">
    <w:name w:val="author-sup-separator"/>
    <w:basedOn w:val="Fuentedeprrafopredeter"/>
    <w:rsid w:val="00C74B76"/>
  </w:style>
  <w:style w:type="character" w:customStyle="1" w:styleId="comma">
    <w:name w:val="comma"/>
    <w:basedOn w:val="Fuentedeprrafopredeter"/>
    <w:rsid w:val="00C74B76"/>
  </w:style>
  <w:style w:type="character" w:styleId="Hipervnculovisitado">
    <w:name w:val="FollowedHyperlink"/>
    <w:basedOn w:val="Fuentedeprrafopredeter"/>
    <w:uiPriority w:val="99"/>
    <w:semiHidden/>
    <w:unhideWhenUsed/>
    <w:rsid w:val="00C74B76"/>
    <w:rPr>
      <w:color w:val="954F72" w:themeColor="followedHyperlink"/>
      <w:u w:val="single"/>
    </w:rPr>
  </w:style>
  <w:style w:type="paragraph" w:styleId="Prrafodelista">
    <w:name w:val="List Paragraph"/>
    <w:basedOn w:val="Normal"/>
    <w:uiPriority w:val="34"/>
    <w:qFormat/>
    <w:rsid w:val="008E2D24"/>
    <w:pPr>
      <w:ind w:left="720"/>
      <w:contextualSpacing/>
    </w:pPr>
  </w:style>
  <w:style w:type="paragraph" w:customStyle="1" w:styleId="dx-doi">
    <w:name w:val="dx-doi"/>
    <w:basedOn w:val="Normal"/>
    <w:rsid w:val="009C3B2F"/>
    <w:pPr>
      <w:spacing w:before="100" w:beforeAutospacing="1" w:after="100" w:afterAutospacing="1"/>
    </w:pPr>
  </w:style>
  <w:style w:type="table" w:customStyle="1" w:styleId="Tablaconcuadrcula2">
    <w:name w:val="Tabla con cuadrícula2"/>
    <w:basedOn w:val="Tablanormal"/>
    <w:next w:val="Tablaconcuadrcula"/>
    <w:uiPriority w:val="39"/>
    <w:rsid w:val="009C3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1804">
      <w:bodyDiv w:val="1"/>
      <w:marLeft w:val="0"/>
      <w:marRight w:val="0"/>
      <w:marTop w:val="0"/>
      <w:marBottom w:val="0"/>
      <w:divBdr>
        <w:top w:val="none" w:sz="0" w:space="0" w:color="auto"/>
        <w:left w:val="none" w:sz="0" w:space="0" w:color="auto"/>
        <w:bottom w:val="none" w:sz="0" w:space="0" w:color="auto"/>
        <w:right w:val="none" w:sz="0" w:space="0" w:color="auto"/>
      </w:divBdr>
      <w:divsChild>
        <w:div w:id="1898084087">
          <w:marLeft w:val="0"/>
          <w:marRight w:val="0"/>
          <w:marTop w:val="0"/>
          <w:marBottom w:val="0"/>
          <w:divBdr>
            <w:top w:val="none" w:sz="0" w:space="0" w:color="auto"/>
            <w:left w:val="none" w:sz="0" w:space="0" w:color="auto"/>
            <w:bottom w:val="none" w:sz="0" w:space="0" w:color="auto"/>
            <w:right w:val="none" w:sz="0" w:space="0" w:color="auto"/>
          </w:divBdr>
          <w:divsChild>
            <w:div w:id="1994328321">
              <w:marLeft w:val="0"/>
              <w:marRight w:val="0"/>
              <w:marTop w:val="0"/>
              <w:marBottom w:val="0"/>
              <w:divBdr>
                <w:top w:val="none" w:sz="0" w:space="0" w:color="auto"/>
                <w:left w:val="none" w:sz="0" w:space="0" w:color="auto"/>
                <w:bottom w:val="none" w:sz="0" w:space="0" w:color="auto"/>
                <w:right w:val="none" w:sz="0" w:space="0" w:color="auto"/>
              </w:divBdr>
              <w:divsChild>
                <w:div w:id="15930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7855">
      <w:bodyDiv w:val="1"/>
      <w:marLeft w:val="0"/>
      <w:marRight w:val="0"/>
      <w:marTop w:val="0"/>
      <w:marBottom w:val="0"/>
      <w:divBdr>
        <w:top w:val="none" w:sz="0" w:space="0" w:color="auto"/>
        <w:left w:val="none" w:sz="0" w:space="0" w:color="auto"/>
        <w:bottom w:val="none" w:sz="0" w:space="0" w:color="auto"/>
        <w:right w:val="none" w:sz="0" w:space="0" w:color="auto"/>
      </w:divBdr>
      <w:divsChild>
        <w:div w:id="723912491">
          <w:marLeft w:val="0"/>
          <w:marRight w:val="0"/>
          <w:marTop w:val="0"/>
          <w:marBottom w:val="0"/>
          <w:divBdr>
            <w:top w:val="none" w:sz="0" w:space="0" w:color="auto"/>
            <w:left w:val="none" w:sz="0" w:space="0" w:color="auto"/>
            <w:bottom w:val="none" w:sz="0" w:space="0" w:color="auto"/>
            <w:right w:val="none" w:sz="0" w:space="0" w:color="auto"/>
          </w:divBdr>
          <w:divsChild>
            <w:div w:id="259216711">
              <w:marLeft w:val="0"/>
              <w:marRight w:val="0"/>
              <w:marTop w:val="0"/>
              <w:marBottom w:val="0"/>
              <w:divBdr>
                <w:top w:val="none" w:sz="0" w:space="0" w:color="auto"/>
                <w:left w:val="none" w:sz="0" w:space="0" w:color="auto"/>
                <w:bottom w:val="none" w:sz="0" w:space="0" w:color="auto"/>
                <w:right w:val="none" w:sz="0" w:space="0" w:color="auto"/>
              </w:divBdr>
              <w:divsChild>
                <w:div w:id="8054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8347">
      <w:bodyDiv w:val="1"/>
      <w:marLeft w:val="0"/>
      <w:marRight w:val="0"/>
      <w:marTop w:val="0"/>
      <w:marBottom w:val="0"/>
      <w:divBdr>
        <w:top w:val="none" w:sz="0" w:space="0" w:color="auto"/>
        <w:left w:val="none" w:sz="0" w:space="0" w:color="auto"/>
        <w:bottom w:val="none" w:sz="0" w:space="0" w:color="auto"/>
        <w:right w:val="none" w:sz="0" w:space="0" w:color="auto"/>
      </w:divBdr>
    </w:div>
    <w:div w:id="115219501">
      <w:bodyDiv w:val="1"/>
      <w:marLeft w:val="0"/>
      <w:marRight w:val="0"/>
      <w:marTop w:val="0"/>
      <w:marBottom w:val="0"/>
      <w:divBdr>
        <w:top w:val="none" w:sz="0" w:space="0" w:color="auto"/>
        <w:left w:val="none" w:sz="0" w:space="0" w:color="auto"/>
        <w:bottom w:val="none" w:sz="0" w:space="0" w:color="auto"/>
        <w:right w:val="none" w:sz="0" w:space="0" w:color="auto"/>
      </w:divBdr>
      <w:divsChild>
        <w:div w:id="127403542">
          <w:marLeft w:val="0"/>
          <w:marRight w:val="0"/>
          <w:marTop w:val="0"/>
          <w:marBottom w:val="0"/>
          <w:divBdr>
            <w:top w:val="none" w:sz="0" w:space="0" w:color="auto"/>
            <w:left w:val="none" w:sz="0" w:space="0" w:color="auto"/>
            <w:bottom w:val="none" w:sz="0" w:space="0" w:color="auto"/>
            <w:right w:val="none" w:sz="0" w:space="0" w:color="auto"/>
          </w:divBdr>
          <w:divsChild>
            <w:div w:id="589781442">
              <w:marLeft w:val="0"/>
              <w:marRight w:val="0"/>
              <w:marTop w:val="0"/>
              <w:marBottom w:val="0"/>
              <w:divBdr>
                <w:top w:val="none" w:sz="0" w:space="0" w:color="auto"/>
                <w:left w:val="none" w:sz="0" w:space="0" w:color="auto"/>
                <w:bottom w:val="none" w:sz="0" w:space="0" w:color="auto"/>
                <w:right w:val="none" w:sz="0" w:space="0" w:color="auto"/>
              </w:divBdr>
              <w:divsChild>
                <w:div w:id="197737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0810">
      <w:bodyDiv w:val="1"/>
      <w:marLeft w:val="0"/>
      <w:marRight w:val="0"/>
      <w:marTop w:val="0"/>
      <w:marBottom w:val="0"/>
      <w:divBdr>
        <w:top w:val="none" w:sz="0" w:space="0" w:color="auto"/>
        <w:left w:val="none" w:sz="0" w:space="0" w:color="auto"/>
        <w:bottom w:val="none" w:sz="0" w:space="0" w:color="auto"/>
        <w:right w:val="none" w:sz="0" w:space="0" w:color="auto"/>
      </w:divBdr>
      <w:divsChild>
        <w:div w:id="1080058580">
          <w:marLeft w:val="0"/>
          <w:marRight w:val="0"/>
          <w:marTop w:val="0"/>
          <w:marBottom w:val="0"/>
          <w:divBdr>
            <w:top w:val="none" w:sz="0" w:space="0" w:color="auto"/>
            <w:left w:val="none" w:sz="0" w:space="0" w:color="auto"/>
            <w:bottom w:val="none" w:sz="0" w:space="0" w:color="auto"/>
            <w:right w:val="none" w:sz="0" w:space="0" w:color="auto"/>
          </w:divBdr>
          <w:divsChild>
            <w:div w:id="430783257">
              <w:marLeft w:val="0"/>
              <w:marRight w:val="0"/>
              <w:marTop w:val="0"/>
              <w:marBottom w:val="0"/>
              <w:divBdr>
                <w:top w:val="none" w:sz="0" w:space="0" w:color="auto"/>
                <w:left w:val="none" w:sz="0" w:space="0" w:color="auto"/>
                <w:bottom w:val="none" w:sz="0" w:space="0" w:color="auto"/>
                <w:right w:val="none" w:sz="0" w:space="0" w:color="auto"/>
              </w:divBdr>
              <w:divsChild>
                <w:div w:id="1716931116">
                  <w:marLeft w:val="0"/>
                  <w:marRight w:val="0"/>
                  <w:marTop w:val="0"/>
                  <w:marBottom w:val="0"/>
                  <w:divBdr>
                    <w:top w:val="none" w:sz="0" w:space="0" w:color="auto"/>
                    <w:left w:val="none" w:sz="0" w:space="0" w:color="auto"/>
                    <w:bottom w:val="none" w:sz="0" w:space="0" w:color="auto"/>
                    <w:right w:val="none" w:sz="0" w:space="0" w:color="auto"/>
                  </w:divBdr>
                  <w:divsChild>
                    <w:div w:id="17215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66578">
      <w:bodyDiv w:val="1"/>
      <w:marLeft w:val="0"/>
      <w:marRight w:val="0"/>
      <w:marTop w:val="0"/>
      <w:marBottom w:val="0"/>
      <w:divBdr>
        <w:top w:val="none" w:sz="0" w:space="0" w:color="auto"/>
        <w:left w:val="none" w:sz="0" w:space="0" w:color="auto"/>
        <w:bottom w:val="none" w:sz="0" w:space="0" w:color="auto"/>
        <w:right w:val="none" w:sz="0" w:space="0" w:color="auto"/>
      </w:divBdr>
    </w:div>
    <w:div w:id="152069222">
      <w:bodyDiv w:val="1"/>
      <w:marLeft w:val="0"/>
      <w:marRight w:val="0"/>
      <w:marTop w:val="0"/>
      <w:marBottom w:val="0"/>
      <w:divBdr>
        <w:top w:val="none" w:sz="0" w:space="0" w:color="auto"/>
        <w:left w:val="none" w:sz="0" w:space="0" w:color="auto"/>
        <w:bottom w:val="none" w:sz="0" w:space="0" w:color="auto"/>
        <w:right w:val="none" w:sz="0" w:space="0" w:color="auto"/>
      </w:divBdr>
    </w:div>
    <w:div w:id="181288843">
      <w:bodyDiv w:val="1"/>
      <w:marLeft w:val="0"/>
      <w:marRight w:val="0"/>
      <w:marTop w:val="0"/>
      <w:marBottom w:val="0"/>
      <w:divBdr>
        <w:top w:val="none" w:sz="0" w:space="0" w:color="auto"/>
        <w:left w:val="none" w:sz="0" w:space="0" w:color="auto"/>
        <w:bottom w:val="none" w:sz="0" w:space="0" w:color="auto"/>
        <w:right w:val="none" w:sz="0" w:space="0" w:color="auto"/>
      </w:divBdr>
    </w:div>
    <w:div w:id="217479371">
      <w:bodyDiv w:val="1"/>
      <w:marLeft w:val="0"/>
      <w:marRight w:val="0"/>
      <w:marTop w:val="0"/>
      <w:marBottom w:val="0"/>
      <w:divBdr>
        <w:top w:val="none" w:sz="0" w:space="0" w:color="auto"/>
        <w:left w:val="none" w:sz="0" w:space="0" w:color="auto"/>
        <w:bottom w:val="none" w:sz="0" w:space="0" w:color="auto"/>
        <w:right w:val="none" w:sz="0" w:space="0" w:color="auto"/>
      </w:divBdr>
      <w:divsChild>
        <w:div w:id="1002584849">
          <w:marLeft w:val="0"/>
          <w:marRight w:val="0"/>
          <w:marTop w:val="0"/>
          <w:marBottom w:val="0"/>
          <w:divBdr>
            <w:top w:val="none" w:sz="0" w:space="0" w:color="auto"/>
            <w:left w:val="none" w:sz="0" w:space="0" w:color="auto"/>
            <w:bottom w:val="none" w:sz="0" w:space="0" w:color="auto"/>
            <w:right w:val="none" w:sz="0" w:space="0" w:color="auto"/>
          </w:divBdr>
          <w:divsChild>
            <w:div w:id="1010067752">
              <w:marLeft w:val="0"/>
              <w:marRight w:val="0"/>
              <w:marTop w:val="0"/>
              <w:marBottom w:val="0"/>
              <w:divBdr>
                <w:top w:val="none" w:sz="0" w:space="0" w:color="auto"/>
                <w:left w:val="none" w:sz="0" w:space="0" w:color="auto"/>
                <w:bottom w:val="none" w:sz="0" w:space="0" w:color="auto"/>
                <w:right w:val="none" w:sz="0" w:space="0" w:color="auto"/>
              </w:divBdr>
              <w:divsChild>
                <w:div w:id="6899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36106">
      <w:bodyDiv w:val="1"/>
      <w:marLeft w:val="0"/>
      <w:marRight w:val="0"/>
      <w:marTop w:val="0"/>
      <w:marBottom w:val="0"/>
      <w:divBdr>
        <w:top w:val="none" w:sz="0" w:space="0" w:color="auto"/>
        <w:left w:val="none" w:sz="0" w:space="0" w:color="auto"/>
        <w:bottom w:val="none" w:sz="0" w:space="0" w:color="auto"/>
        <w:right w:val="none" w:sz="0" w:space="0" w:color="auto"/>
      </w:divBdr>
      <w:divsChild>
        <w:div w:id="1515151370">
          <w:marLeft w:val="0"/>
          <w:marRight w:val="0"/>
          <w:marTop w:val="0"/>
          <w:marBottom w:val="0"/>
          <w:divBdr>
            <w:top w:val="none" w:sz="0" w:space="0" w:color="auto"/>
            <w:left w:val="none" w:sz="0" w:space="0" w:color="auto"/>
            <w:bottom w:val="none" w:sz="0" w:space="0" w:color="auto"/>
            <w:right w:val="none" w:sz="0" w:space="0" w:color="auto"/>
          </w:divBdr>
          <w:divsChild>
            <w:div w:id="790050255">
              <w:marLeft w:val="0"/>
              <w:marRight w:val="0"/>
              <w:marTop w:val="0"/>
              <w:marBottom w:val="0"/>
              <w:divBdr>
                <w:top w:val="none" w:sz="0" w:space="0" w:color="auto"/>
                <w:left w:val="none" w:sz="0" w:space="0" w:color="auto"/>
                <w:bottom w:val="none" w:sz="0" w:space="0" w:color="auto"/>
                <w:right w:val="none" w:sz="0" w:space="0" w:color="auto"/>
              </w:divBdr>
              <w:divsChild>
                <w:div w:id="16734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68877">
      <w:bodyDiv w:val="1"/>
      <w:marLeft w:val="0"/>
      <w:marRight w:val="0"/>
      <w:marTop w:val="0"/>
      <w:marBottom w:val="0"/>
      <w:divBdr>
        <w:top w:val="none" w:sz="0" w:space="0" w:color="auto"/>
        <w:left w:val="none" w:sz="0" w:space="0" w:color="auto"/>
        <w:bottom w:val="none" w:sz="0" w:space="0" w:color="auto"/>
        <w:right w:val="none" w:sz="0" w:space="0" w:color="auto"/>
      </w:divBdr>
      <w:divsChild>
        <w:div w:id="19938779">
          <w:marLeft w:val="0"/>
          <w:marRight w:val="0"/>
          <w:marTop w:val="0"/>
          <w:marBottom w:val="0"/>
          <w:divBdr>
            <w:top w:val="none" w:sz="0" w:space="0" w:color="auto"/>
            <w:left w:val="none" w:sz="0" w:space="0" w:color="auto"/>
            <w:bottom w:val="none" w:sz="0" w:space="0" w:color="auto"/>
            <w:right w:val="none" w:sz="0" w:space="0" w:color="auto"/>
          </w:divBdr>
          <w:divsChild>
            <w:div w:id="911157484">
              <w:marLeft w:val="0"/>
              <w:marRight w:val="0"/>
              <w:marTop w:val="0"/>
              <w:marBottom w:val="0"/>
              <w:divBdr>
                <w:top w:val="none" w:sz="0" w:space="0" w:color="auto"/>
                <w:left w:val="none" w:sz="0" w:space="0" w:color="auto"/>
                <w:bottom w:val="none" w:sz="0" w:space="0" w:color="auto"/>
                <w:right w:val="none" w:sz="0" w:space="0" w:color="auto"/>
              </w:divBdr>
              <w:divsChild>
                <w:div w:id="1185098473">
                  <w:marLeft w:val="0"/>
                  <w:marRight w:val="0"/>
                  <w:marTop w:val="0"/>
                  <w:marBottom w:val="0"/>
                  <w:divBdr>
                    <w:top w:val="none" w:sz="0" w:space="0" w:color="auto"/>
                    <w:left w:val="none" w:sz="0" w:space="0" w:color="auto"/>
                    <w:bottom w:val="none" w:sz="0" w:space="0" w:color="auto"/>
                    <w:right w:val="none" w:sz="0" w:space="0" w:color="auto"/>
                  </w:divBdr>
                  <w:divsChild>
                    <w:div w:id="13294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540875">
      <w:bodyDiv w:val="1"/>
      <w:marLeft w:val="0"/>
      <w:marRight w:val="0"/>
      <w:marTop w:val="0"/>
      <w:marBottom w:val="0"/>
      <w:divBdr>
        <w:top w:val="none" w:sz="0" w:space="0" w:color="auto"/>
        <w:left w:val="none" w:sz="0" w:space="0" w:color="auto"/>
        <w:bottom w:val="none" w:sz="0" w:space="0" w:color="auto"/>
        <w:right w:val="none" w:sz="0" w:space="0" w:color="auto"/>
      </w:divBdr>
      <w:divsChild>
        <w:div w:id="1469936815">
          <w:marLeft w:val="0"/>
          <w:marRight w:val="0"/>
          <w:marTop w:val="0"/>
          <w:marBottom w:val="0"/>
          <w:divBdr>
            <w:top w:val="none" w:sz="0" w:space="0" w:color="auto"/>
            <w:left w:val="none" w:sz="0" w:space="0" w:color="auto"/>
            <w:bottom w:val="none" w:sz="0" w:space="0" w:color="auto"/>
            <w:right w:val="none" w:sz="0" w:space="0" w:color="auto"/>
          </w:divBdr>
          <w:divsChild>
            <w:div w:id="1081292656">
              <w:marLeft w:val="0"/>
              <w:marRight w:val="0"/>
              <w:marTop w:val="0"/>
              <w:marBottom w:val="0"/>
              <w:divBdr>
                <w:top w:val="none" w:sz="0" w:space="0" w:color="auto"/>
                <w:left w:val="none" w:sz="0" w:space="0" w:color="auto"/>
                <w:bottom w:val="none" w:sz="0" w:space="0" w:color="auto"/>
                <w:right w:val="none" w:sz="0" w:space="0" w:color="auto"/>
              </w:divBdr>
              <w:divsChild>
                <w:div w:id="14152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6336">
      <w:bodyDiv w:val="1"/>
      <w:marLeft w:val="0"/>
      <w:marRight w:val="0"/>
      <w:marTop w:val="0"/>
      <w:marBottom w:val="0"/>
      <w:divBdr>
        <w:top w:val="none" w:sz="0" w:space="0" w:color="auto"/>
        <w:left w:val="none" w:sz="0" w:space="0" w:color="auto"/>
        <w:bottom w:val="none" w:sz="0" w:space="0" w:color="auto"/>
        <w:right w:val="none" w:sz="0" w:space="0" w:color="auto"/>
      </w:divBdr>
    </w:div>
    <w:div w:id="392385287">
      <w:bodyDiv w:val="1"/>
      <w:marLeft w:val="0"/>
      <w:marRight w:val="0"/>
      <w:marTop w:val="0"/>
      <w:marBottom w:val="0"/>
      <w:divBdr>
        <w:top w:val="none" w:sz="0" w:space="0" w:color="auto"/>
        <w:left w:val="none" w:sz="0" w:space="0" w:color="auto"/>
        <w:bottom w:val="none" w:sz="0" w:space="0" w:color="auto"/>
        <w:right w:val="none" w:sz="0" w:space="0" w:color="auto"/>
      </w:divBdr>
    </w:div>
    <w:div w:id="426922457">
      <w:bodyDiv w:val="1"/>
      <w:marLeft w:val="0"/>
      <w:marRight w:val="0"/>
      <w:marTop w:val="0"/>
      <w:marBottom w:val="0"/>
      <w:divBdr>
        <w:top w:val="none" w:sz="0" w:space="0" w:color="auto"/>
        <w:left w:val="none" w:sz="0" w:space="0" w:color="auto"/>
        <w:bottom w:val="none" w:sz="0" w:space="0" w:color="auto"/>
        <w:right w:val="none" w:sz="0" w:space="0" w:color="auto"/>
      </w:divBdr>
      <w:divsChild>
        <w:div w:id="353264157">
          <w:marLeft w:val="0"/>
          <w:marRight w:val="0"/>
          <w:marTop w:val="0"/>
          <w:marBottom w:val="0"/>
          <w:divBdr>
            <w:top w:val="none" w:sz="0" w:space="0" w:color="auto"/>
            <w:left w:val="none" w:sz="0" w:space="0" w:color="auto"/>
            <w:bottom w:val="none" w:sz="0" w:space="0" w:color="auto"/>
            <w:right w:val="none" w:sz="0" w:space="0" w:color="auto"/>
          </w:divBdr>
          <w:divsChild>
            <w:div w:id="1178039391">
              <w:marLeft w:val="0"/>
              <w:marRight w:val="0"/>
              <w:marTop w:val="0"/>
              <w:marBottom w:val="0"/>
              <w:divBdr>
                <w:top w:val="none" w:sz="0" w:space="0" w:color="auto"/>
                <w:left w:val="none" w:sz="0" w:space="0" w:color="auto"/>
                <w:bottom w:val="none" w:sz="0" w:space="0" w:color="auto"/>
                <w:right w:val="none" w:sz="0" w:space="0" w:color="auto"/>
              </w:divBdr>
              <w:divsChild>
                <w:div w:id="5172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51757">
      <w:bodyDiv w:val="1"/>
      <w:marLeft w:val="0"/>
      <w:marRight w:val="0"/>
      <w:marTop w:val="0"/>
      <w:marBottom w:val="0"/>
      <w:divBdr>
        <w:top w:val="none" w:sz="0" w:space="0" w:color="auto"/>
        <w:left w:val="none" w:sz="0" w:space="0" w:color="auto"/>
        <w:bottom w:val="none" w:sz="0" w:space="0" w:color="auto"/>
        <w:right w:val="none" w:sz="0" w:space="0" w:color="auto"/>
      </w:divBdr>
    </w:div>
    <w:div w:id="443503612">
      <w:bodyDiv w:val="1"/>
      <w:marLeft w:val="0"/>
      <w:marRight w:val="0"/>
      <w:marTop w:val="0"/>
      <w:marBottom w:val="0"/>
      <w:divBdr>
        <w:top w:val="none" w:sz="0" w:space="0" w:color="auto"/>
        <w:left w:val="none" w:sz="0" w:space="0" w:color="auto"/>
        <w:bottom w:val="none" w:sz="0" w:space="0" w:color="auto"/>
        <w:right w:val="none" w:sz="0" w:space="0" w:color="auto"/>
      </w:divBdr>
      <w:divsChild>
        <w:div w:id="825584788">
          <w:marLeft w:val="0"/>
          <w:marRight w:val="0"/>
          <w:marTop w:val="0"/>
          <w:marBottom w:val="0"/>
          <w:divBdr>
            <w:top w:val="none" w:sz="0" w:space="0" w:color="auto"/>
            <w:left w:val="none" w:sz="0" w:space="0" w:color="auto"/>
            <w:bottom w:val="none" w:sz="0" w:space="0" w:color="auto"/>
            <w:right w:val="none" w:sz="0" w:space="0" w:color="auto"/>
          </w:divBdr>
          <w:divsChild>
            <w:div w:id="140122699">
              <w:marLeft w:val="0"/>
              <w:marRight w:val="0"/>
              <w:marTop w:val="0"/>
              <w:marBottom w:val="0"/>
              <w:divBdr>
                <w:top w:val="none" w:sz="0" w:space="0" w:color="auto"/>
                <w:left w:val="none" w:sz="0" w:space="0" w:color="auto"/>
                <w:bottom w:val="none" w:sz="0" w:space="0" w:color="auto"/>
                <w:right w:val="none" w:sz="0" w:space="0" w:color="auto"/>
              </w:divBdr>
              <w:divsChild>
                <w:div w:id="1954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1235">
      <w:bodyDiv w:val="1"/>
      <w:marLeft w:val="0"/>
      <w:marRight w:val="0"/>
      <w:marTop w:val="0"/>
      <w:marBottom w:val="0"/>
      <w:divBdr>
        <w:top w:val="none" w:sz="0" w:space="0" w:color="auto"/>
        <w:left w:val="none" w:sz="0" w:space="0" w:color="auto"/>
        <w:bottom w:val="none" w:sz="0" w:space="0" w:color="auto"/>
        <w:right w:val="none" w:sz="0" w:space="0" w:color="auto"/>
      </w:divBdr>
    </w:div>
    <w:div w:id="465662528">
      <w:bodyDiv w:val="1"/>
      <w:marLeft w:val="0"/>
      <w:marRight w:val="0"/>
      <w:marTop w:val="0"/>
      <w:marBottom w:val="0"/>
      <w:divBdr>
        <w:top w:val="none" w:sz="0" w:space="0" w:color="auto"/>
        <w:left w:val="none" w:sz="0" w:space="0" w:color="auto"/>
        <w:bottom w:val="none" w:sz="0" w:space="0" w:color="auto"/>
        <w:right w:val="none" w:sz="0" w:space="0" w:color="auto"/>
      </w:divBdr>
      <w:divsChild>
        <w:div w:id="177931355">
          <w:marLeft w:val="0"/>
          <w:marRight w:val="0"/>
          <w:marTop w:val="0"/>
          <w:marBottom w:val="0"/>
          <w:divBdr>
            <w:top w:val="none" w:sz="0" w:space="0" w:color="auto"/>
            <w:left w:val="none" w:sz="0" w:space="0" w:color="auto"/>
            <w:bottom w:val="none" w:sz="0" w:space="0" w:color="auto"/>
            <w:right w:val="none" w:sz="0" w:space="0" w:color="auto"/>
          </w:divBdr>
          <w:divsChild>
            <w:div w:id="887843634">
              <w:marLeft w:val="0"/>
              <w:marRight w:val="0"/>
              <w:marTop w:val="0"/>
              <w:marBottom w:val="0"/>
              <w:divBdr>
                <w:top w:val="none" w:sz="0" w:space="0" w:color="auto"/>
                <w:left w:val="none" w:sz="0" w:space="0" w:color="auto"/>
                <w:bottom w:val="none" w:sz="0" w:space="0" w:color="auto"/>
                <w:right w:val="none" w:sz="0" w:space="0" w:color="auto"/>
              </w:divBdr>
              <w:divsChild>
                <w:div w:id="996037095">
                  <w:marLeft w:val="0"/>
                  <w:marRight w:val="0"/>
                  <w:marTop w:val="0"/>
                  <w:marBottom w:val="0"/>
                  <w:divBdr>
                    <w:top w:val="none" w:sz="0" w:space="0" w:color="auto"/>
                    <w:left w:val="none" w:sz="0" w:space="0" w:color="auto"/>
                    <w:bottom w:val="none" w:sz="0" w:space="0" w:color="auto"/>
                    <w:right w:val="none" w:sz="0" w:space="0" w:color="auto"/>
                  </w:divBdr>
                  <w:divsChild>
                    <w:div w:id="2515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057088">
      <w:bodyDiv w:val="1"/>
      <w:marLeft w:val="0"/>
      <w:marRight w:val="0"/>
      <w:marTop w:val="0"/>
      <w:marBottom w:val="0"/>
      <w:divBdr>
        <w:top w:val="none" w:sz="0" w:space="0" w:color="auto"/>
        <w:left w:val="none" w:sz="0" w:space="0" w:color="auto"/>
        <w:bottom w:val="none" w:sz="0" w:space="0" w:color="auto"/>
        <w:right w:val="none" w:sz="0" w:space="0" w:color="auto"/>
      </w:divBdr>
      <w:divsChild>
        <w:div w:id="166480829">
          <w:marLeft w:val="0"/>
          <w:marRight w:val="0"/>
          <w:marTop w:val="0"/>
          <w:marBottom w:val="0"/>
          <w:divBdr>
            <w:top w:val="none" w:sz="0" w:space="0" w:color="auto"/>
            <w:left w:val="none" w:sz="0" w:space="0" w:color="auto"/>
            <w:bottom w:val="none" w:sz="0" w:space="0" w:color="auto"/>
            <w:right w:val="none" w:sz="0" w:space="0" w:color="auto"/>
          </w:divBdr>
          <w:divsChild>
            <w:div w:id="353073247">
              <w:marLeft w:val="0"/>
              <w:marRight w:val="0"/>
              <w:marTop w:val="0"/>
              <w:marBottom w:val="0"/>
              <w:divBdr>
                <w:top w:val="none" w:sz="0" w:space="0" w:color="auto"/>
                <w:left w:val="none" w:sz="0" w:space="0" w:color="auto"/>
                <w:bottom w:val="none" w:sz="0" w:space="0" w:color="auto"/>
                <w:right w:val="none" w:sz="0" w:space="0" w:color="auto"/>
              </w:divBdr>
              <w:divsChild>
                <w:div w:id="18862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7075">
      <w:bodyDiv w:val="1"/>
      <w:marLeft w:val="0"/>
      <w:marRight w:val="0"/>
      <w:marTop w:val="0"/>
      <w:marBottom w:val="0"/>
      <w:divBdr>
        <w:top w:val="none" w:sz="0" w:space="0" w:color="auto"/>
        <w:left w:val="none" w:sz="0" w:space="0" w:color="auto"/>
        <w:bottom w:val="none" w:sz="0" w:space="0" w:color="auto"/>
        <w:right w:val="none" w:sz="0" w:space="0" w:color="auto"/>
      </w:divBdr>
    </w:div>
    <w:div w:id="646519081">
      <w:bodyDiv w:val="1"/>
      <w:marLeft w:val="0"/>
      <w:marRight w:val="0"/>
      <w:marTop w:val="0"/>
      <w:marBottom w:val="0"/>
      <w:divBdr>
        <w:top w:val="none" w:sz="0" w:space="0" w:color="auto"/>
        <w:left w:val="none" w:sz="0" w:space="0" w:color="auto"/>
        <w:bottom w:val="none" w:sz="0" w:space="0" w:color="auto"/>
        <w:right w:val="none" w:sz="0" w:space="0" w:color="auto"/>
      </w:divBdr>
      <w:divsChild>
        <w:div w:id="1505821670">
          <w:marLeft w:val="0"/>
          <w:marRight w:val="0"/>
          <w:marTop w:val="0"/>
          <w:marBottom w:val="0"/>
          <w:divBdr>
            <w:top w:val="none" w:sz="0" w:space="0" w:color="auto"/>
            <w:left w:val="none" w:sz="0" w:space="0" w:color="auto"/>
            <w:bottom w:val="none" w:sz="0" w:space="0" w:color="auto"/>
            <w:right w:val="none" w:sz="0" w:space="0" w:color="auto"/>
          </w:divBdr>
          <w:divsChild>
            <w:div w:id="1254975321">
              <w:marLeft w:val="0"/>
              <w:marRight w:val="0"/>
              <w:marTop w:val="0"/>
              <w:marBottom w:val="0"/>
              <w:divBdr>
                <w:top w:val="none" w:sz="0" w:space="0" w:color="auto"/>
                <w:left w:val="none" w:sz="0" w:space="0" w:color="auto"/>
                <w:bottom w:val="none" w:sz="0" w:space="0" w:color="auto"/>
                <w:right w:val="none" w:sz="0" w:space="0" w:color="auto"/>
              </w:divBdr>
              <w:divsChild>
                <w:div w:id="10422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62723">
      <w:bodyDiv w:val="1"/>
      <w:marLeft w:val="0"/>
      <w:marRight w:val="0"/>
      <w:marTop w:val="0"/>
      <w:marBottom w:val="0"/>
      <w:divBdr>
        <w:top w:val="none" w:sz="0" w:space="0" w:color="auto"/>
        <w:left w:val="none" w:sz="0" w:space="0" w:color="auto"/>
        <w:bottom w:val="none" w:sz="0" w:space="0" w:color="auto"/>
        <w:right w:val="none" w:sz="0" w:space="0" w:color="auto"/>
      </w:divBdr>
      <w:divsChild>
        <w:div w:id="1924222542">
          <w:marLeft w:val="0"/>
          <w:marRight w:val="0"/>
          <w:marTop w:val="0"/>
          <w:marBottom w:val="0"/>
          <w:divBdr>
            <w:top w:val="none" w:sz="0" w:space="0" w:color="auto"/>
            <w:left w:val="none" w:sz="0" w:space="0" w:color="auto"/>
            <w:bottom w:val="none" w:sz="0" w:space="0" w:color="auto"/>
            <w:right w:val="none" w:sz="0" w:space="0" w:color="auto"/>
          </w:divBdr>
          <w:divsChild>
            <w:div w:id="1764715954">
              <w:marLeft w:val="0"/>
              <w:marRight w:val="0"/>
              <w:marTop w:val="0"/>
              <w:marBottom w:val="0"/>
              <w:divBdr>
                <w:top w:val="none" w:sz="0" w:space="0" w:color="auto"/>
                <w:left w:val="none" w:sz="0" w:space="0" w:color="auto"/>
                <w:bottom w:val="none" w:sz="0" w:space="0" w:color="auto"/>
                <w:right w:val="none" w:sz="0" w:space="0" w:color="auto"/>
              </w:divBdr>
              <w:divsChild>
                <w:div w:id="137962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07748">
      <w:bodyDiv w:val="1"/>
      <w:marLeft w:val="0"/>
      <w:marRight w:val="0"/>
      <w:marTop w:val="0"/>
      <w:marBottom w:val="0"/>
      <w:divBdr>
        <w:top w:val="none" w:sz="0" w:space="0" w:color="auto"/>
        <w:left w:val="none" w:sz="0" w:space="0" w:color="auto"/>
        <w:bottom w:val="none" w:sz="0" w:space="0" w:color="auto"/>
        <w:right w:val="none" w:sz="0" w:space="0" w:color="auto"/>
      </w:divBdr>
    </w:div>
    <w:div w:id="758404362">
      <w:bodyDiv w:val="1"/>
      <w:marLeft w:val="0"/>
      <w:marRight w:val="0"/>
      <w:marTop w:val="0"/>
      <w:marBottom w:val="0"/>
      <w:divBdr>
        <w:top w:val="none" w:sz="0" w:space="0" w:color="auto"/>
        <w:left w:val="none" w:sz="0" w:space="0" w:color="auto"/>
        <w:bottom w:val="none" w:sz="0" w:space="0" w:color="auto"/>
        <w:right w:val="none" w:sz="0" w:space="0" w:color="auto"/>
      </w:divBdr>
    </w:div>
    <w:div w:id="771243861">
      <w:bodyDiv w:val="1"/>
      <w:marLeft w:val="0"/>
      <w:marRight w:val="0"/>
      <w:marTop w:val="0"/>
      <w:marBottom w:val="0"/>
      <w:divBdr>
        <w:top w:val="none" w:sz="0" w:space="0" w:color="auto"/>
        <w:left w:val="none" w:sz="0" w:space="0" w:color="auto"/>
        <w:bottom w:val="none" w:sz="0" w:space="0" w:color="auto"/>
        <w:right w:val="none" w:sz="0" w:space="0" w:color="auto"/>
      </w:divBdr>
    </w:div>
    <w:div w:id="775369864">
      <w:bodyDiv w:val="1"/>
      <w:marLeft w:val="0"/>
      <w:marRight w:val="0"/>
      <w:marTop w:val="0"/>
      <w:marBottom w:val="0"/>
      <w:divBdr>
        <w:top w:val="none" w:sz="0" w:space="0" w:color="auto"/>
        <w:left w:val="none" w:sz="0" w:space="0" w:color="auto"/>
        <w:bottom w:val="none" w:sz="0" w:space="0" w:color="auto"/>
        <w:right w:val="none" w:sz="0" w:space="0" w:color="auto"/>
      </w:divBdr>
      <w:divsChild>
        <w:div w:id="1688360847">
          <w:marLeft w:val="0"/>
          <w:marRight w:val="0"/>
          <w:marTop w:val="0"/>
          <w:marBottom w:val="0"/>
          <w:divBdr>
            <w:top w:val="none" w:sz="0" w:space="0" w:color="auto"/>
            <w:left w:val="none" w:sz="0" w:space="0" w:color="auto"/>
            <w:bottom w:val="none" w:sz="0" w:space="0" w:color="auto"/>
            <w:right w:val="none" w:sz="0" w:space="0" w:color="auto"/>
          </w:divBdr>
          <w:divsChild>
            <w:div w:id="1578663600">
              <w:marLeft w:val="0"/>
              <w:marRight w:val="0"/>
              <w:marTop w:val="0"/>
              <w:marBottom w:val="0"/>
              <w:divBdr>
                <w:top w:val="none" w:sz="0" w:space="0" w:color="auto"/>
                <w:left w:val="none" w:sz="0" w:space="0" w:color="auto"/>
                <w:bottom w:val="none" w:sz="0" w:space="0" w:color="auto"/>
                <w:right w:val="none" w:sz="0" w:space="0" w:color="auto"/>
              </w:divBdr>
              <w:divsChild>
                <w:div w:id="20294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8081">
      <w:bodyDiv w:val="1"/>
      <w:marLeft w:val="0"/>
      <w:marRight w:val="0"/>
      <w:marTop w:val="0"/>
      <w:marBottom w:val="0"/>
      <w:divBdr>
        <w:top w:val="none" w:sz="0" w:space="0" w:color="auto"/>
        <w:left w:val="none" w:sz="0" w:space="0" w:color="auto"/>
        <w:bottom w:val="none" w:sz="0" w:space="0" w:color="auto"/>
        <w:right w:val="none" w:sz="0" w:space="0" w:color="auto"/>
      </w:divBdr>
      <w:divsChild>
        <w:div w:id="178545345">
          <w:marLeft w:val="0"/>
          <w:marRight w:val="0"/>
          <w:marTop w:val="0"/>
          <w:marBottom w:val="0"/>
          <w:divBdr>
            <w:top w:val="none" w:sz="0" w:space="0" w:color="auto"/>
            <w:left w:val="none" w:sz="0" w:space="0" w:color="auto"/>
            <w:bottom w:val="none" w:sz="0" w:space="0" w:color="auto"/>
            <w:right w:val="none" w:sz="0" w:space="0" w:color="auto"/>
          </w:divBdr>
          <w:divsChild>
            <w:div w:id="1714646307">
              <w:marLeft w:val="0"/>
              <w:marRight w:val="0"/>
              <w:marTop w:val="0"/>
              <w:marBottom w:val="0"/>
              <w:divBdr>
                <w:top w:val="none" w:sz="0" w:space="0" w:color="auto"/>
                <w:left w:val="none" w:sz="0" w:space="0" w:color="auto"/>
                <w:bottom w:val="none" w:sz="0" w:space="0" w:color="auto"/>
                <w:right w:val="none" w:sz="0" w:space="0" w:color="auto"/>
              </w:divBdr>
              <w:divsChild>
                <w:div w:id="70301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98867">
      <w:bodyDiv w:val="1"/>
      <w:marLeft w:val="0"/>
      <w:marRight w:val="0"/>
      <w:marTop w:val="0"/>
      <w:marBottom w:val="0"/>
      <w:divBdr>
        <w:top w:val="none" w:sz="0" w:space="0" w:color="auto"/>
        <w:left w:val="none" w:sz="0" w:space="0" w:color="auto"/>
        <w:bottom w:val="none" w:sz="0" w:space="0" w:color="auto"/>
        <w:right w:val="none" w:sz="0" w:space="0" w:color="auto"/>
      </w:divBdr>
    </w:div>
    <w:div w:id="841316487">
      <w:bodyDiv w:val="1"/>
      <w:marLeft w:val="0"/>
      <w:marRight w:val="0"/>
      <w:marTop w:val="0"/>
      <w:marBottom w:val="0"/>
      <w:divBdr>
        <w:top w:val="none" w:sz="0" w:space="0" w:color="auto"/>
        <w:left w:val="none" w:sz="0" w:space="0" w:color="auto"/>
        <w:bottom w:val="none" w:sz="0" w:space="0" w:color="auto"/>
        <w:right w:val="none" w:sz="0" w:space="0" w:color="auto"/>
      </w:divBdr>
    </w:div>
    <w:div w:id="852764684">
      <w:bodyDiv w:val="1"/>
      <w:marLeft w:val="0"/>
      <w:marRight w:val="0"/>
      <w:marTop w:val="0"/>
      <w:marBottom w:val="0"/>
      <w:divBdr>
        <w:top w:val="none" w:sz="0" w:space="0" w:color="auto"/>
        <w:left w:val="none" w:sz="0" w:space="0" w:color="auto"/>
        <w:bottom w:val="none" w:sz="0" w:space="0" w:color="auto"/>
        <w:right w:val="none" w:sz="0" w:space="0" w:color="auto"/>
      </w:divBdr>
    </w:div>
    <w:div w:id="859320266">
      <w:bodyDiv w:val="1"/>
      <w:marLeft w:val="0"/>
      <w:marRight w:val="0"/>
      <w:marTop w:val="0"/>
      <w:marBottom w:val="0"/>
      <w:divBdr>
        <w:top w:val="none" w:sz="0" w:space="0" w:color="auto"/>
        <w:left w:val="none" w:sz="0" w:space="0" w:color="auto"/>
        <w:bottom w:val="none" w:sz="0" w:space="0" w:color="auto"/>
        <w:right w:val="none" w:sz="0" w:space="0" w:color="auto"/>
      </w:divBdr>
      <w:divsChild>
        <w:div w:id="709108473">
          <w:marLeft w:val="0"/>
          <w:marRight w:val="0"/>
          <w:marTop w:val="0"/>
          <w:marBottom w:val="0"/>
          <w:divBdr>
            <w:top w:val="none" w:sz="0" w:space="0" w:color="auto"/>
            <w:left w:val="none" w:sz="0" w:space="0" w:color="auto"/>
            <w:bottom w:val="none" w:sz="0" w:space="0" w:color="auto"/>
            <w:right w:val="none" w:sz="0" w:space="0" w:color="auto"/>
          </w:divBdr>
          <w:divsChild>
            <w:div w:id="608047400">
              <w:marLeft w:val="0"/>
              <w:marRight w:val="0"/>
              <w:marTop w:val="0"/>
              <w:marBottom w:val="0"/>
              <w:divBdr>
                <w:top w:val="none" w:sz="0" w:space="0" w:color="auto"/>
                <w:left w:val="none" w:sz="0" w:space="0" w:color="auto"/>
                <w:bottom w:val="none" w:sz="0" w:space="0" w:color="auto"/>
                <w:right w:val="none" w:sz="0" w:space="0" w:color="auto"/>
              </w:divBdr>
              <w:divsChild>
                <w:div w:id="1781946405">
                  <w:marLeft w:val="0"/>
                  <w:marRight w:val="0"/>
                  <w:marTop w:val="0"/>
                  <w:marBottom w:val="0"/>
                  <w:divBdr>
                    <w:top w:val="none" w:sz="0" w:space="0" w:color="auto"/>
                    <w:left w:val="none" w:sz="0" w:space="0" w:color="auto"/>
                    <w:bottom w:val="none" w:sz="0" w:space="0" w:color="auto"/>
                    <w:right w:val="none" w:sz="0" w:space="0" w:color="auto"/>
                  </w:divBdr>
                  <w:divsChild>
                    <w:div w:id="13388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897901">
      <w:bodyDiv w:val="1"/>
      <w:marLeft w:val="0"/>
      <w:marRight w:val="0"/>
      <w:marTop w:val="0"/>
      <w:marBottom w:val="0"/>
      <w:divBdr>
        <w:top w:val="none" w:sz="0" w:space="0" w:color="auto"/>
        <w:left w:val="none" w:sz="0" w:space="0" w:color="auto"/>
        <w:bottom w:val="none" w:sz="0" w:space="0" w:color="auto"/>
        <w:right w:val="none" w:sz="0" w:space="0" w:color="auto"/>
      </w:divBdr>
      <w:divsChild>
        <w:div w:id="1680884402">
          <w:marLeft w:val="0"/>
          <w:marRight w:val="0"/>
          <w:marTop w:val="0"/>
          <w:marBottom w:val="0"/>
          <w:divBdr>
            <w:top w:val="none" w:sz="0" w:space="0" w:color="auto"/>
            <w:left w:val="none" w:sz="0" w:space="0" w:color="auto"/>
            <w:bottom w:val="none" w:sz="0" w:space="0" w:color="auto"/>
            <w:right w:val="none" w:sz="0" w:space="0" w:color="auto"/>
          </w:divBdr>
          <w:divsChild>
            <w:div w:id="731386207">
              <w:marLeft w:val="0"/>
              <w:marRight w:val="0"/>
              <w:marTop w:val="0"/>
              <w:marBottom w:val="0"/>
              <w:divBdr>
                <w:top w:val="none" w:sz="0" w:space="0" w:color="auto"/>
                <w:left w:val="none" w:sz="0" w:space="0" w:color="auto"/>
                <w:bottom w:val="none" w:sz="0" w:space="0" w:color="auto"/>
                <w:right w:val="none" w:sz="0" w:space="0" w:color="auto"/>
              </w:divBdr>
              <w:divsChild>
                <w:div w:id="284309712">
                  <w:marLeft w:val="0"/>
                  <w:marRight w:val="0"/>
                  <w:marTop w:val="0"/>
                  <w:marBottom w:val="0"/>
                  <w:divBdr>
                    <w:top w:val="none" w:sz="0" w:space="0" w:color="auto"/>
                    <w:left w:val="none" w:sz="0" w:space="0" w:color="auto"/>
                    <w:bottom w:val="none" w:sz="0" w:space="0" w:color="auto"/>
                    <w:right w:val="none" w:sz="0" w:space="0" w:color="auto"/>
                  </w:divBdr>
                  <w:divsChild>
                    <w:div w:id="18625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03575">
      <w:bodyDiv w:val="1"/>
      <w:marLeft w:val="0"/>
      <w:marRight w:val="0"/>
      <w:marTop w:val="0"/>
      <w:marBottom w:val="0"/>
      <w:divBdr>
        <w:top w:val="none" w:sz="0" w:space="0" w:color="auto"/>
        <w:left w:val="none" w:sz="0" w:space="0" w:color="auto"/>
        <w:bottom w:val="none" w:sz="0" w:space="0" w:color="auto"/>
        <w:right w:val="none" w:sz="0" w:space="0" w:color="auto"/>
      </w:divBdr>
    </w:div>
    <w:div w:id="880173189">
      <w:bodyDiv w:val="1"/>
      <w:marLeft w:val="0"/>
      <w:marRight w:val="0"/>
      <w:marTop w:val="0"/>
      <w:marBottom w:val="0"/>
      <w:divBdr>
        <w:top w:val="none" w:sz="0" w:space="0" w:color="auto"/>
        <w:left w:val="none" w:sz="0" w:space="0" w:color="auto"/>
        <w:bottom w:val="none" w:sz="0" w:space="0" w:color="auto"/>
        <w:right w:val="none" w:sz="0" w:space="0" w:color="auto"/>
      </w:divBdr>
    </w:div>
    <w:div w:id="889071145">
      <w:bodyDiv w:val="1"/>
      <w:marLeft w:val="0"/>
      <w:marRight w:val="0"/>
      <w:marTop w:val="0"/>
      <w:marBottom w:val="0"/>
      <w:divBdr>
        <w:top w:val="none" w:sz="0" w:space="0" w:color="auto"/>
        <w:left w:val="none" w:sz="0" w:space="0" w:color="auto"/>
        <w:bottom w:val="none" w:sz="0" w:space="0" w:color="auto"/>
        <w:right w:val="none" w:sz="0" w:space="0" w:color="auto"/>
      </w:divBdr>
      <w:divsChild>
        <w:div w:id="1627732400">
          <w:marLeft w:val="0"/>
          <w:marRight w:val="0"/>
          <w:marTop w:val="0"/>
          <w:marBottom w:val="0"/>
          <w:divBdr>
            <w:top w:val="none" w:sz="0" w:space="0" w:color="auto"/>
            <w:left w:val="none" w:sz="0" w:space="0" w:color="auto"/>
            <w:bottom w:val="none" w:sz="0" w:space="0" w:color="auto"/>
            <w:right w:val="none" w:sz="0" w:space="0" w:color="auto"/>
          </w:divBdr>
          <w:divsChild>
            <w:div w:id="187454696">
              <w:marLeft w:val="0"/>
              <w:marRight w:val="0"/>
              <w:marTop w:val="0"/>
              <w:marBottom w:val="0"/>
              <w:divBdr>
                <w:top w:val="none" w:sz="0" w:space="0" w:color="auto"/>
                <w:left w:val="none" w:sz="0" w:space="0" w:color="auto"/>
                <w:bottom w:val="none" w:sz="0" w:space="0" w:color="auto"/>
                <w:right w:val="none" w:sz="0" w:space="0" w:color="auto"/>
              </w:divBdr>
              <w:divsChild>
                <w:div w:id="15090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8893">
      <w:bodyDiv w:val="1"/>
      <w:marLeft w:val="0"/>
      <w:marRight w:val="0"/>
      <w:marTop w:val="0"/>
      <w:marBottom w:val="0"/>
      <w:divBdr>
        <w:top w:val="none" w:sz="0" w:space="0" w:color="auto"/>
        <w:left w:val="none" w:sz="0" w:space="0" w:color="auto"/>
        <w:bottom w:val="none" w:sz="0" w:space="0" w:color="auto"/>
        <w:right w:val="none" w:sz="0" w:space="0" w:color="auto"/>
      </w:divBdr>
      <w:divsChild>
        <w:div w:id="1989750799">
          <w:marLeft w:val="0"/>
          <w:marRight w:val="0"/>
          <w:marTop w:val="0"/>
          <w:marBottom w:val="0"/>
          <w:divBdr>
            <w:top w:val="none" w:sz="0" w:space="0" w:color="auto"/>
            <w:left w:val="none" w:sz="0" w:space="0" w:color="auto"/>
            <w:bottom w:val="none" w:sz="0" w:space="0" w:color="auto"/>
            <w:right w:val="none" w:sz="0" w:space="0" w:color="auto"/>
          </w:divBdr>
          <w:divsChild>
            <w:div w:id="1018124531">
              <w:marLeft w:val="0"/>
              <w:marRight w:val="0"/>
              <w:marTop w:val="0"/>
              <w:marBottom w:val="0"/>
              <w:divBdr>
                <w:top w:val="none" w:sz="0" w:space="0" w:color="auto"/>
                <w:left w:val="none" w:sz="0" w:space="0" w:color="auto"/>
                <w:bottom w:val="none" w:sz="0" w:space="0" w:color="auto"/>
                <w:right w:val="none" w:sz="0" w:space="0" w:color="auto"/>
              </w:divBdr>
              <w:divsChild>
                <w:div w:id="2050640452">
                  <w:marLeft w:val="0"/>
                  <w:marRight w:val="0"/>
                  <w:marTop w:val="0"/>
                  <w:marBottom w:val="0"/>
                  <w:divBdr>
                    <w:top w:val="none" w:sz="0" w:space="0" w:color="auto"/>
                    <w:left w:val="none" w:sz="0" w:space="0" w:color="auto"/>
                    <w:bottom w:val="none" w:sz="0" w:space="0" w:color="auto"/>
                    <w:right w:val="none" w:sz="0" w:space="0" w:color="auto"/>
                  </w:divBdr>
                  <w:divsChild>
                    <w:div w:id="1728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405645">
      <w:bodyDiv w:val="1"/>
      <w:marLeft w:val="0"/>
      <w:marRight w:val="0"/>
      <w:marTop w:val="0"/>
      <w:marBottom w:val="0"/>
      <w:divBdr>
        <w:top w:val="none" w:sz="0" w:space="0" w:color="auto"/>
        <w:left w:val="none" w:sz="0" w:space="0" w:color="auto"/>
        <w:bottom w:val="none" w:sz="0" w:space="0" w:color="auto"/>
        <w:right w:val="none" w:sz="0" w:space="0" w:color="auto"/>
      </w:divBdr>
      <w:divsChild>
        <w:div w:id="1378044241">
          <w:marLeft w:val="0"/>
          <w:marRight w:val="0"/>
          <w:marTop w:val="0"/>
          <w:marBottom w:val="0"/>
          <w:divBdr>
            <w:top w:val="none" w:sz="0" w:space="0" w:color="auto"/>
            <w:left w:val="none" w:sz="0" w:space="0" w:color="auto"/>
            <w:bottom w:val="none" w:sz="0" w:space="0" w:color="auto"/>
            <w:right w:val="none" w:sz="0" w:space="0" w:color="auto"/>
          </w:divBdr>
          <w:divsChild>
            <w:div w:id="1987397956">
              <w:marLeft w:val="0"/>
              <w:marRight w:val="0"/>
              <w:marTop w:val="0"/>
              <w:marBottom w:val="0"/>
              <w:divBdr>
                <w:top w:val="none" w:sz="0" w:space="0" w:color="auto"/>
                <w:left w:val="none" w:sz="0" w:space="0" w:color="auto"/>
                <w:bottom w:val="none" w:sz="0" w:space="0" w:color="auto"/>
                <w:right w:val="none" w:sz="0" w:space="0" w:color="auto"/>
              </w:divBdr>
              <w:divsChild>
                <w:div w:id="38583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5383">
      <w:bodyDiv w:val="1"/>
      <w:marLeft w:val="0"/>
      <w:marRight w:val="0"/>
      <w:marTop w:val="0"/>
      <w:marBottom w:val="0"/>
      <w:divBdr>
        <w:top w:val="none" w:sz="0" w:space="0" w:color="auto"/>
        <w:left w:val="none" w:sz="0" w:space="0" w:color="auto"/>
        <w:bottom w:val="none" w:sz="0" w:space="0" w:color="auto"/>
        <w:right w:val="none" w:sz="0" w:space="0" w:color="auto"/>
      </w:divBdr>
      <w:divsChild>
        <w:div w:id="629095246">
          <w:marLeft w:val="0"/>
          <w:marRight w:val="0"/>
          <w:marTop w:val="0"/>
          <w:marBottom w:val="0"/>
          <w:divBdr>
            <w:top w:val="none" w:sz="0" w:space="0" w:color="auto"/>
            <w:left w:val="none" w:sz="0" w:space="0" w:color="auto"/>
            <w:bottom w:val="none" w:sz="0" w:space="0" w:color="auto"/>
            <w:right w:val="none" w:sz="0" w:space="0" w:color="auto"/>
          </w:divBdr>
          <w:divsChild>
            <w:div w:id="328607190">
              <w:marLeft w:val="0"/>
              <w:marRight w:val="0"/>
              <w:marTop w:val="0"/>
              <w:marBottom w:val="0"/>
              <w:divBdr>
                <w:top w:val="none" w:sz="0" w:space="0" w:color="auto"/>
                <w:left w:val="none" w:sz="0" w:space="0" w:color="auto"/>
                <w:bottom w:val="none" w:sz="0" w:space="0" w:color="auto"/>
                <w:right w:val="none" w:sz="0" w:space="0" w:color="auto"/>
              </w:divBdr>
              <w:divsChild>
                <w:div w:id="17492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17193">
      <w:bodyDiv w:val="1"/>
      <w:marLeft w:val="0"/>
      <w:marRight w:val="0"/>
      <w:marTop w:val="0"/>
      <w:marBottom w:val="0"/>
      <w:divBdr>
        <w:top w:val="none" w:sz="0" w:space="0" w:color="auto"/>
        <w:left w:val="none" w:sz="0" w:space="0" w:color="auto"/>
        <w:bottom w:val="none" w:sz="0" w:space="0" w:color="auto"/>
        <w:right w:val="none" w:sz="0" w:space="0" w:color="auto"/>
      </w:divBdr>
    </w:div>
    <w:div w:id="1053040784">
      <w:bodyDiv w:val="1"/>
      <w:marLeft w:val="0"/>
      <w:marRight w:val="0"/>
      <w:marTop w:val="0"/>
      <w:marBottom w:val="0"/>
      <w:divBdr>
        <w:top w:val="none" w:sz="0" w:space="0" w:color="auto"/>
        <w:left w:val="none" w:sz="0" w:space="0" w:color="auto"/>
        <w:bottom w:val="none" w:sz="0" w:space="0" w:color="auto"/>
        <w:right w:val="none" w:sz="0" w:space="0" w:color="auto"/>
      </w:divBdr>
      <w:divsChild>
        <w:div w:id="614480238">
          <w:marLeft w:val="0"/>
          <w:marRight w:val="0"/>
          <w:marTop w:val="0"/>
          <w:marBottom w:val="0"/>
          <w:divBdr>
            <w:top w:val="none" w:sz="0" w:space="0" w:color="auto"/>
            <w:left w:val="none" w:sz="0" w:space="0" w:color="auto"/>
            <w:bottom w:val="none" w:sz="0" w:space="0" w:color="auto"/>
            <w:right w:val="none" w:sz="0" w:space="0" w:color="auto"/>
          </w:divBdr>
          <w:divsChild>
            <w:div w:id="1293559768">
              <w:marLeft w:val="0"/>
              <w:marRight w:val="0"/>
              <w:marTop w:val="0"/>
              <w:marBottom w:val="0"/>
              <w:divBdr>
                <w:top w:val="none" w:sz="0" w:space="0" w:color="auto"/>
                <w:left w:val="none" w:sz="0" w:space="0" w:color="auto"/>
                <w:bottom w:val="none" w:sz="0" w:space="0" w:color="auto"/>
                <w:right w:val="none" w:sz="0" w:space="0" w:color="auto"/>
              </w:divBdr>
              <w:divsChild>
                <w:div w:id="16438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93762">
      <w:bodyDiv w:val="1"/>
      <w:marLeft w:val="0"/>
      <w:marRight w:val="0"/>
      <w:marTop w:val="0"/>
      <w:marBottom w:val="0"/>
      <w:divBdr>
        <w:top w:val="none" w:sz="0" w:space="0" w:color="auto"/>
        <w:left w:val="none" w:sz="0" w:space="0" w:color="auto"/>
        <w:bottom w:val="none" w:sz="0" w:space="0" w:color="auto"/>
        <w:right w:val="none" w:sz="0" w:space="0" w:color="auto"/>
      </w:divBdr>
    </w:div>
    <w:div w:id="1096290303">
      <w:bodyDiv w:val="1"/>
      <w:marLeft w:val="0"/>
      <w:marRight w:val="0"/>
      <w:marTop w:val="0"/>
      <w:marBottom w:val="0"/>
      <w:divBdr>
        <w:top w:val="none" w:sz="0" w:space="0" w:color="auto"/>
        <w:left w:val="none" w:sz="0" w:space="0" w:color="auto"/>
        <w:bottom w:val="none" w:sz="0" w:space="0" w:color="auto"/>
        <w:right w:val="none" w:sz="0" w:space="0" w:color="auto"/>
      </w:divBdr>
    </w:div>
    <w:div w:id="1111169182">
      <w:bodyDiv w:val="1"/>
      <w:marLeft w:val="0"/>
      <w:marRight w:val="0"/>
      <w:marTop w:val="0"/>
      <w:marBottom w:val="0"/>
      <w:divBdr>
        <w:top w:val="none" w:sz="0" w:space="0" w:color="auto"/>
        <w:left w:val="none" w:sz="0" w:space="0" w:color="auto"/>
        <w:bottom w:val="none" w:sz="0" w:space="0" w:color="auto"/>
        <w:right w:val="none" w:sz="0" w:space="0" w:color="auto"/>
      </w:divBdr>
      <w:divsChild>
        <w:div w:id="1332677007">
          <w:marLeft w:val="0"/>
          <w:marRight w:val="0"/>
          <w:marTop w:val="0"/>
          <w:marBottom w:val="0"/>
          <w:divBdr>
            <w:top w:val="none" w:sz="0" w:space="0" w:color="auto"/>
            <w:left w:val="none" w:sz="0" w:space="0" w:color="auto"/>
            <w:bottom w:val="none" w:sz="0" w:space="0" w:color="auto"/>
            <w:right w:val="none" w:sz="0" w:space="0" w:color="auto"/>
          </w:divBdr>
          <w:divsChild>
            <w:div w:id="1664507449">
              <w:marLeft w:val="0"/>
              <w:marRight w:val="0"/>
              <w:marTop w:val="0"/>
              <w:marBottom w:val="0"/>
              <w:divBdr>
                <w:top w:val="none" w:sz="0" w:space="0" w:color="auto"/>
                <w:left w:val="none" w:sz="0" w:space="0" w:color="auto"/>
                <w:bottom w:val="none" w:sz="0" w:space="0" w:color="auto"/>
                <w:right w:val="none" w:sz="0" w:space="0" w:color="auto"/>
              </w:divBdr>
              <w:divsChild>
                <w:div w:id="11930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04587">
      <w:bodyDiv w:val="1"/>
      <w:marLeft w:val="0"/>
      <w:marRight w:val="0"/>
      <w:marTop w:val="0"/>
      <w:marBottom w:val="0"/>
      <w:divBdr>
        <w:top w:val="none" w:sz="0" w:space="0" w:color="auto"/>
        <w:left w:val="none" w:sz="0" w:space="0" w:color="auto"/>
        <w:bottom w:val="none" w:sz="0" w:space="0" w:color="auto"/>
        <w:right w:val="none" w:sz="0" w:space="0" w:color="auto"/>
      </w:divBdr>
      <w:divsChild>
        <w:div w:id="1635866612">
          <w:marLeft w:val="0"/>
          <w:marRight w:val="0"/>
          <w:marTop w:val="0"/>
          <w:marBottom w:val="0"/>
          <w:divBdr>
            <w:top w:val="none" w:sz="0" w:space="0" w:color="auto"/>
            <w:left w:val="none" w:sz="0" w:space="0" w:color="auto"/>
            <w:bottom w:val="none" w:sz="0" w:space="0" w:color="auto"/>
            <w:right w:val="none" w:sz="0" w:space="0" w:color="auto"/>
          </w:divBdr>
          <w:divsChild>
            <w:div w:id="2071272359">
              <w:marLeft w:val="0"/>
              <w:marRight w:val="0"/>
              <w:marTop w:val="0"/>
              <w:marBottom w:val="0"/>
              <w:divBdr>
                <w:top w:val="none" w:sz="0" w:space="0" w:color="auto"/>
                <w:left w:val="none" w:sz="0" w:space="0" w:color="auto"/>
                <w:bottom w:val="none" w:sz="0" w:space="0" w:color="auto"/>
                <w:right w:val="none" w:sz="0" w:space="0" w:color="auto"/>
              </w:divBdr>
              <w:divsChild>
                <w:div w:id="1338313395">
                  <w:marLeft w:val="0"/>
                  <w:marRight w:val="0"/>
                  <w:marTop w:val="0"/>
                  <w:marBottom w:val="0"/>
                  <w:divBdr>
                    <w:top w:val="none" w:sz="0" w:space="0" w:color="auto"/>
                    <w:left w:val="none" w:sz="0" w:space="0" w:color="auto"/>
                    <w:bottom w:val="none" w:sz="0" w:space="0" w:color="auto"/>
                    <w:right w:val="none" w:sz="0" w:space="0" w:color="auto"/>
                  </w:divBdr>
                  <w:divsChild>
                    <w:div w:id="10526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4283">
      <w:bodyDiv w:val="1"/>
      <w:marLeft w:val="0"/>
      <w:marRight w:val="0"/>
      <w:marTop w:val="0"/>
      <w:marBottom w:val="0"/>
      <w:divBdr>
        <w:top w:val="none" w:sz="0" w:space="0" w:color="auto"/>
        <w:left w:val="none" w:sz="0" w:space="0" w:color="auto"/>
        <w:bottom w:val="none" w:sz="0" w:space="0" w:color="auto"/>
        <w:right w:val="none" w:sz="0" w:space="0" w:color="auto"/>
      </w:divBdr>
    </w:div>
    <w:div w:id="1182353107">
      <w:bodyDiv w:val="1"/>
      <w:marLeft w:val="0"/>
      <w:marRight w:val="0"/>
      <w:marTop w:val="0"/>
      <w:marBottom w:val="0"/>
      <w:divBdr>
        <w:top w:val="none" w:sz="0" w:space="0" w:color="auto"/>
        <w:left w:val="none" w:sz="0" w:space="0" w:color="auto"/>
        <w:bottom w:val="none" w:sz="0" w:space="0" w:color="auto"/>
        <w:right w:val="none" w:sz="0" w:space="0" w:color="auto"/>
      </w:divBdr>
    </w:div>
    <w:div w:id="1183932152">
      <w:bodyDiv w:val="1"/>
      <w:marLeft w:val="0"/>
      <w:marRight w:val="0"/>
      <w:marTop w:val="0"/>
      <w:marBottom w:val="0"/>
      <w:divBdr>
        <w:top w:val="none" w:sz="0" w:space="0" w:color="auto"/>
        <w:left w:val="none" w:sz="0" w:space="0" w:color="auto"/>
        <w:bottom w:val="none" w:sz="0" w:space="0" w:color="auto"/>
        <w:right w:val="none" w:sz="0" w:space="0" w:color="auto"/>
      </w:divBdr>
    </w:div>
    <w:div w:id="1193107496">
      <w:bodyDiv w:val="1"/>
      <w:marLeft w:val="0"/>
      <w:marRight w:val="0"/>
      <w:marTop w:val="0"/>
      <w:marBottom w:val="0"/>
      <w:divBdr>
        <w:top w:val="none" w:sz="0" w:space="0" w:color="auto"/>
        <w:left w:val="none" w:sz="0" w:space="0" w:color="auto"/>
        <w:bottom w:val="none" w:sz="0" w:space="0" w:color="auto"/>
        <w:right w:val="none" w:sz="0" w:space="0" w:color="auto"/>
      </w:divBdr>
      <w:divsChild>
        <w:div w:id="26108830">
          <w:marLeft w:val="0"/>
          <w:marRight w:val="0"/>
          <w:marTop w:val="0"/>
          <w:marBottom w:val="0"/>
          <w:divBdr>
            <w:top w:val="none" w:sz="0" w:space="0" w:color="auto"/>
            <w:left w:val="none" w:sz="0" w:space="0" w:color="auto"/>
            <w:bottom w:val="none" w:sz="0" w:space="0" w:color="auto"/>
            <w:right w:val="none" w:sz="0" w:space="0" w:color="auto"/>
          </w:divBdr>
          <w:divsChild>
            <w:div w:id="1024400613">
              <w:marLeft w:val="0"/>
              <w:marRight w:val="0"/>
              <w:marTop w:val="0"/>
              <w:marBottom w:val="0"/>
              <w:divBdr>
                <w:top w:val="none" w:sz="0" w:space="0" w:color="auto"/>
                <w:left w:val="none" w:sz="0" w:space="0" w:color="auto"/>
                <w:bottom w:val="none" w:sz="0" w:space="0" w:color="auto"/>
                <w:right w:val="none" w:sz="0" w:space="0" w:color="auto"/>
              </w:divBdr>
              <w:divsChild>
                <w:div w:id="15460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971731">
      <w:bodyDiv w:val="1"/>
      <w:marLeft w:val="0"/>
      <w:marRight w:val="0"/>
      <w:marTop w:val="0"/>
      <w:marBottom w:val="0"/>
      <w:divBdr>
        <w:top w:val="none" w:sz="0" w:space="0" w:color="auto"/>
        <w:left w:val="none" w:sz="0" w:space="0" w:color="auto"/>
        <w:bottom w:val="none" w:sz="0" w:space="0" w:color="auto"/>
        <w:right w:val="none" w:sz="0" w:space="0" w:color="auto"/>
      </w:divBdr>
    </w:div>
    <w:div w:id="121708856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7">
          <w:marLeft w:val="0"/>
          <w:marRight w:val="0"/>
          <w:marTop w:val="0"/>
          <w:marBottom w:val="0"/>
          <w:divBdr>
            <w:top w:val="none" w:sz="0" w:space="0" w:color="auto"/>
            <w:left w:val="none" w:sz="0" w:space="0" w:color="auto"/>
            <w:bottom w:val="none" w:sz="0" w:space="0" w:color="auto"/>
            <w:right w:val="none" w:sz="0" w:space="0" w:color="auto"/>
          </w:divBdr>
          <w:divsChild>
            <w:div w:id="311061533">
              <w:marLeft w:val="0"/>
              <w:marRight w:val="0"/>
              <w:marTop w:val="0"/>
              <w:marBottom w:val="0"/>
              <w:divBdr>
                <w:top w:val="none" w:sz="0" w:space="0" w:color="auto"/>
                <w:left w:val="none" w:sz="0" w:space="0" w:color="auto"/>
                <w:bottom w:val="none" w:sz="0" w:space="0" w:color="auto"/>
                <w:right w:val="none" w:sz="0" w:space="0" w:color="auto"/>
              </w:divBdr>
              <w:divsChild>
                <w:div w:id="12875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97110">
      <w:bodyDiv w:val="1"/>
      <w:marLeft w:val="0"/>
      <w:marRight w:val="0"/>
      <w:marTop w:val="0"/>
      <w:marBottom w:val="0"/>
      <w:divBdr>
        <w:top w:val="none" w:sz="0" w:space="0" w:color="auto"/>
        <w:left w:val="none" w:sz="0" w:space="0" w:color="auto"/>
        <w:bottom w:val="none" w:sz="0" w:space="0" w:color="auto"/>
        <w:right w:val="none" w:sz="0" w:space="0" w:color="auto"/>
      </w:divBdr>
    </w:div>
    <w:div w:id="1271742648">
      <w:bodyDiv w:val="1"/>
      <w:marLeft w:val="0"/>
      <w:marRight w:val="0"/>
      <w:marTop w:val="0"/>
      <w:marBottom w:val="0"/>
      <w:divBdr>
        <w:top w:val="none" w:sz="0" w:space="0" w:color="auto"/>
        <w:left w:val="none" w:sz="0" w:space="0" w:color="auto"/>
        <w:bottom w:val="none" w:sz="0" w:space="0" w:color="auto"/>
        <w:right w:val="none" w:sz="0" w:space="0" w:color="auto"/>
      </w:divBdr>
      <w:divsChild>
        <w:div w:id="1390030993">
          <w:marLeft w:val="0"/>
          <w:marRight w:val="0"/>
          <w:marTop w:val="0"/>
          <w:marBottom w:val="0"/>
          <w:divBdr>
            <w:top w:val="none" w:sz="0" w:space="0" w:color="auto"/>
            <w:left w:val="none" w:sz="0" w:space="0" w:color="auto"/>
            <w:bottom w:val="none" w:sz="0" w:space="0" w:color="auto"/>
            <w:right w:val="none" w:sz="0" w:space="0" w:color="auto"/>
          </w:divBdr>
          <w:divsChild>
            <w:div w:id="612597257">
              <w:marLeft w:val="0"/>
              <w:marRight w:val="0"/>
              <w:marTop w:val="0"/>
              <w:marBottom w:val="0"/>
              <w:divBdr>
                <w:top w:val="none" w:sz="0" w:space="0" w:color="auto"/>
                <w:left w:val="none" w:sz="0" w:space="0" w:color="auto"/>
                <w:bottom w:val="none" w:sz="0" w:space="0" w:color="auto"/>
                <w:right w:val="none" w:sz="0" w:space="0" w:color="auto"/>
              </w:divBdr>
              <w:divsChild>
                <w:div w:id="206229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97109">
      <w:bodyDiv w:val="1"/>
      <w:marLeft w:val="0"/>
      <w:marRight w:val="0"/>
      <w:marTop w:val="0"/>
      <w:marBottom w:val="0"/>
      <w:divBdr>
        <w:top w:val="none" w:sz="0" w:space="0" w:color="auto"/>
        <w:left w:val="none" w:sz="0" w:space="0" w:color="auto"/>
        <w:bottom w:val="none" w:sz="0" w:space="0" w:color="auto"/>
        <w:right w:val="none" w:sz="0" w:space="0" w:color="auto"/>
      </w:divBdr>
    </w:div>
    <w:div w:id="1369799887">
      <w:bodyDiv w:val="1"/>
      <w:marLeft w:val="0"/>
      <w:marRight w:val="0"/>
      <w:marTop w:val="0"/>
      <w:marBottom w:val="0"/>
      <w:divBdr>
        <w:top w:val="none" w:sz="0" w:space="0" w:color="auto"/>
        <w:left w:val="none" w:sz="0" w:space="0" w:color="auto"/>
        <w:bottom w:val="none" w:sz="0" w:space="0" w:color="auto"/>
        <w:right w:val="none" w:sz="0" w:space="0" w:color="auto"/>
      </w:divBdr>
      <w:divsChild>
        <w:div w:id="803545086">
          <w:marLeft w:val="0"/>
          <w:marRight w:val="0"/>
          <w:marTop w:val="0"/>
          <w:marBottom w:val="0"/>
          <w:divBdr>
            <w:top w:val="none" w:sz="0" w:space="0" w:color="auto"/>
            <w:left w:val="none" w:sz="0" w:space="0" w:color="auto"/>
            <w:bottom w:val="none" w:sz="0" w:space="0" w:color="auto"/>
            <w:right w:val="none" w:sz="0" w:space="0" w:color="auto"/>
          </w:divBdr>
          <w:divsChild>
            <w:div w:id="1921910329">
              <w:marLeft w:val="0"/>
              <w:marRight w:val="0"/>
              <w:marTop w:val="0"/>
              <w:marBottom w:val="0"/>
              <w:divBdr>
                <w:top w:val="none" w:sz="0" w:space="0" w:color="auto"/>
                <w:left w:val="none" w:sz="0" w:space="0" w:color="auto"/>
                <w:bottom w:val="none" w:sz="0" w:space="0" w:color="auto"/>
                <w:right w:val="none" w:sz="0" w:space="0" w:color="auto"/>
              </w:divBdr>
              <w:divsChild>
                <w:div w:id="10209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9139">
      <w:bodyDiv w:val="1"/>
      <w:marLeft w:val="0"/>
      <w:marRight w:val="0"/>
      <w:marTop w:val="0"/>
      <w:marBottom w:val="0"/>
      <w:divBdr>
        <w:top w:val="none" w:sz="0" w:space="0" w:color="auto"/>
        <w:left w:val="none" w:sz="0" w:space="0" w:color="auto"/>
        <w:bottom w:val="none" w:sz="0" w:space="0" w:color="auto"/>
        <w:right w:val="none" w:sz="0" w:space="0" w:color="auto"/>
      </w:divBdr>
      <w:divsChild>
        <w:div w:id="1419790653">
          <w:marLeft w:val="0"/>
          <w:marRight w:val="0"/>
          <w:marTop w:val="0"/>
          <w:marBottom w:val="0"/>
          <w:divBdr>
            <w:top w:val="none" w:sz="0" w:space="0" w:color="auto"/>
            <w:left w:val="none" w:sz="0" w:space="0" w:color="auto"/>
            <w:bottom w:val="none" w:sz="0" w:space="0" w:color="auto"/>
            <w:right w:val="none" w:sz="0" w:space="0" w:color="auto"/>
          </w:divBdr>
          <w:divsChild>
            <w:div w:id="864174373">
              <w:marLeft w:val="0"/>
              <w:marRight w:val="0"/>
              <w:marTop w:val="0"/>
              <w:marBottom w:val="0"/>
              <w:divBdr>
                <w:top w:val="none" w:sz="0" w:space="0" w:color="auto"/>
                <w:left w:val="none" w:sz="0" w:space="0" w:color="auto"/>
                <w:bottom w:val="none" w:sz="0" w:space="0" w:color="auto"/>
                <w:right w:val="none" w:sz="0" w:space="0" w:color="auto"/>
              </w:divBdr>
              <w:divsChild>
                <w:div w:id="10546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38505">
      <w:bodyDiv w:val="1"/>
      <w:marLeft w:val="0"/>
      <w:marRight w:val="0"/>
      <w:marTop w:val="0"/>
      <w:marBottom w:val="0"/>
      <w:divBdr>
        <w:top w:val="none" w:sz="0" w:space="0" w:color="auto"/>
        <w:left w:val="none" w:sz="0" w:space="0" w:color="auto"/>
        <w:bottom w:val="none" w:sz="0" w:space="0" w:color="auto"/>
        <w:right w:val="none" w:sz="0" w:space="0" w:color="auto"/>
      </w:divBdr>
      <w:divsChild>
        <w:div w:id="1300069737">
          <w:marLeft w:val="0"/>
          <w:marRight w:val="0"/>
          <w:marTop w:val="0"/>
          <w:marBottom w:val="0"/>
          <w:divBdr>
            <w:top w:val="none" w:sz="0" w:space="0" w:color="auto"/>
            <w:left w:val="none" w:sz="0" w:space="0" w:color="auto"/>
            <w:bottom w:val="none" w:sz="0" w:space="0" w:color="auto"/>
            <w:right w:val="none" w:sz="0" w:space="0" w:color="auto"/>
          </w:divBdr>
          <w:divsChild>
            <w:div w:id="2140296040">
              <w:marLeft w:val="0"/>
              <w:marRight w:val="0"/>
              <w:marTop w:val="0"/>
              <w:marBottom w:val="0"/>
              <w:divBdr>
                <w:top w:val="none" w:sz="0" w:space="0" w:color="auto"/>
                <w:left w:val="none" w:sz="0" w:space="0" w:color="auto"/>
                <w:bottom w:val="none" w:sz="0" w:space="0" w:color="auto"/>
                <w:right w:val="none" w:sz="0" w:space="0" w:color="auto"/>
              </w:divBdr>
              <w:divsChild>
                <w:div w:id="21376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728693">
      <w:bodyDiv w:val="1"/>
      <w:marLeft w:val="0"/>
      <w:marRight w:val="0"/>
      <w:marTop w:val="0"/>
      <w:marBottom w:val="0"/>
      <w:divBdr>
        <w:top w:val="none" w:sz="0" w:space="0" w:color="auto"/>
        <w:left w:val="none" w:sz="0" w:space="0" w:color="auto"/>
        <w:bottom w:val="none" w:sz="0" w:space="0" w:color="auto"/>
        <w:right w:val="none" w:sz="0" w:space="0" w:color="auto"/>
      </w:divBdr>
      <w:divsChild>
        <w:div w:id="1031029039">
          <w:marLeft w:val="0"/>
          <w:marRight w:val="0"/>
          <w:marTop w:val="0"/>
          <w:marBottom w:val="0"/>
          <w:divBdr>
            <w:top w:val="none" w:sz="0" w:space="0" w:color="auto"/>
            <w:left w:val="none" w:sz="0" w:space="0" w:color="auto"/>
            <w:bottom w:val="none" w:sz="0" w:space="0" w:color="auto"/>
            <w:right w:val="none" w:sz="0" w:space="0" w:color="auto"/>
          </w:divBdr>
          <w:divsChild>
            <w:div w:id="100224501">
              <w:marLeft w:val="0"/>
              <w:marRight w:val="0"/>
              <w:marTop w:val="0"/>
              <w:marBottom w:val="0"/>
              <w:divBdr>
                <w:top w:val="none" w:sz="0" w:space="0" w:color="auto"/>
                <w:left w:val="none" w:sz="0" w:space="0" w:color="auto"/>
                <w:bottom w:val="none" w:sz="0" w:space="0" w:color="auto"/>
                <w:right w:val="none" w:sz="0" w:space="0" w:color="auto"/>
              </w:divBdr>
              <w:divsChild>
                <w:div w:id="8581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4539">
      <w:bodyDiv w:val="1"/>
      <w:marLeft w:val="0"/>
      <w:marRight w:val="0"/>
      <w:marTop w:val="0"/>
      <w:marBottom w:val="0"/>
      <w:divBdr>
        <w:top w:val="none" w:sz="0" w:space="0" w:color="auto"/>
        <w:left w:val="none" w:sz="0" w:space="0" w:color="auto"/>
        <w:bottom w:val="none" w:sz="0" w:space="0" w:color="auto"/>
        <w:right w:val="none" w:sz="0" w:space="0" w:color="auto"/>
      </w:divBdr>
      <w:divsChild>
        <w:div w:id="885916374">
          <w:marLeft w:val="0"/>
          <w:marRight w:val="0"/>
          <w:marTop w:val="0"/>
          <w:marBottom w:val="0"/>
          <w:divBdr>
            <w:top w:val="none" w:sz="0" w:space="0" w:color="auto"/>
            <w:left w:val="none" w:sz="0" w:space="0" w:color="auto"/>
            <w:bottom w:val="none" w:sz="0" w:space="0" w:color="auto"/>
            <w:right w:val="none" w:sz="0" w:space="0" w:color="auto"/>
          </w:divBdr>
          <w:divsChild>
            <w:div w:id="1166017694">
              <w:marLeft w:val="0"/>
              <w:marRight w:val="0"/>
              <w:marTop w:val="0"/>
              <w:marBottom w:val="0"/>
              <w:divBdr>
                <w:top w:val="none" w:sz="0" w:space="0" w:color="auto"/>
                <w:left w:val="none" w:sz="0" w:space="0" w:color="auto"/>
                <w:bottom w:val="none" w:sz="0" w:space="0" w:color="auto"/>
                <w:right w:val="none" w:sz="0" w:space="0" w:color="auto"/>
              </w:divBdr>
              <w:divsChild>
                <w:div w:id="55593514">
                  <w:marLeft w:val="0"/>
                  <w:marRight w:val="0"/>
                  <w:marTop w:val="0"/>
                  <w:marBottom w:val="0"/>
                  <w:divBdr>
                    <w:top w:val="none" w:sz="0" w:space="0" w:color="auto"/>
                    <w:left w:val="none" w:sz="0" w:space="0" w:color="auto"/>
                    <w:bottom w:val="none" w:sz="0" w:space="0" w:color="auto"/>
                    <w:right w:val="none" w:sz="0" w:space="0" w:color="auto"/>
                  </w:divBdr>
                  <w:divsChild>
                    <w:div w:id="3354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907584">
      <w:bodyDiv w:val="1"/>
      <w:marLeft w:val="0"/>
      <w:marRight w:val="0"/>
      <w:marTop w:val="0"/>
      <w:marBottom w:val="0"/>
      <w:divBdr>
        <w:top w:val="none" w:sz="0" w:space="0" w:color="auto"/>
        <w:left w:val="none" w:sz="0" w:space="0" w:color="auto"/>
        <w:bottom w:val="none" w:sz="0" w:space="0" w:color="auto"/>
        <w:right w:val="none" w:sz="0" w:space="0" w:color="auto"/>
      </w:divBdr>
      <w:divsChild>
        <w:div w:id="1932617617">
          <w:marLeft w:val="0"/>
          <w:marRight w:val="0"/>
          <w:marTop w:val="0"/>
          <w:marBottom w:val="0"/>
          <w:divBdr>
            <w:top w:val="none" w:sz="0" w:space="0" w:color="auto"/>
            <w:left w:val="none" w:sz="0" w:space="0" w:color="auto"/>
            <w:bottom w:val="none" w:sz="0" w:space="0" w:color="auto"/>
            <w:right w:val="none" w:sz="0" w:space="0" w:color="auto"/>
          </w:divBdr>
          <w:divsChild>
            <w:div w:id="132718337">
              <w:marLeft w:val="0"/>
              <w:marRight w:val="0"/>
              <w:marTop w:val="0"/>
              <w:marBottom w:val="0"/>
              <w:divBdr>
                <w:top w:val="none" w:sz="0" w:space="0" w:color="auto"/>
                <w:left w:val="none" w:sz="0" w:space="0" w:color="auto"/>
                <w:bottom w:val="none" w:sz="0" w:space="0" w:color="auto"/>
                <w:right w:val="none" w:sz="0" w:space="0" w:color="auto"/>
              </w:divBdr>
              <w:divsChild>
                <w:div w:id="6555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82553">
      <w:bodyDiv w:val="1"/>
      <w:marLeft w:val="0"/>
      <w:marRight w:val="0"/>
      <w:marTop w:val="0"/>
      <w:marBottom w:val="0"/>
      <w:divBdr>
        <w:top w:val="none" w:sz="0" w:space="0" w:color="auto"/>
        <w:left w:val="none" w:sz="0" w:space="0" w:color="auto"/>
        <w:bottom w:val="none" w:sz="0" w:space="0" w:color="auto"/>
        <w:right w:val="none" w:sz="0" w:space="0" w:color="auto"/>
      </w:divBdr>
    </w:div>
    <w:div w:id="1564103074">
      <w:bodyDiv w:val="1"/>
      <w:marLeft w:val="0"/>
      <w:marRight w:val="0"/>
      <w:marTop w:val="0"/>
      <w:marBottom w:val="0"/>
      <w:divBdr>
        <w:top w:val="none" w:sz="0" w:space="0" w:color="auto"/>
        <w:left w:val="none" w:sz="0" w:space="0" w:color="auto"/>
        <w:bottom w:val="none" w:sz="0" w:space="0" w:color="auto"/>
        <w:right w:val="none" w:sz="0" w:space="0" w:color="auto"/>
      </w:divBdr>
      <w:divsChild>
        <w:div w:id="705831420">
          <w:marLeft w:val="0"/>
          <w:marRight w:val="0"/>
          <w:marTop w:val="0"/>
          <w:marBottom w:val="0"/>
          <w:divBdr>
            <w:top w:val="none" w:sz="0" w:space="0" w:color="auto"/>
            <w:left w:val="none" w:sz="0" w:space="0" w:color="auto"/>
            <w:bottom w:val="none" w:sz="0" w:space="0" w:color="auto"/>
            <w:right w:val="none" w:sz="0" w:space="0" w:color="auto"/>
          </w:divBdr>
          <w:divsChild>
            <w:div w:id="279148326">
              <w:marLeft w:val="0"/>
              <w:marRight w:val="0"/>
              <w:marTop w:val="0"/>
              <w:marBottom w:val="0"/>
              <w:divBdr>
                <w:top w:val="none" w:sz="0" w:space="0" w:color="auto"/>
                <w:left w:val="none" w:sz="0" w:space="0" w:color="auto"/>
                <w:bottom w:val="none" w:sz="0" w:space="0" w:color="auto"/>
                <w:right w:val="none" w:sz="0" w:space="0" w:color="auto"/>
              </w:divBdr>
              <w:divsChild>
                <w:div w:id="14851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45181">
      <w:bodyDiv w:val="1"/>
      <w:marLeft w:val="0"/>
      <w:marRight w:val="0"/>
      <w:marTop w:val="0"/>
      <w:marBottom w:val="0"/>
      <w:divBdr>
        <w:top w:val="none" w:sz="0" w:space="0" w:color="auto"/>
        <w:left w:val="none" w:sz="0" w:space="0" w:color="auto"/>
        <w:bottom w:val="none" w:sz="0" w:space="0" w:color="auto"/>
        <w:right w:val="none" w:sz="0" w:space="0" w:color="auto"/>
      </w:divBdr>
      <w:divsChild>
        <w:div w:id="1968582308">
          <w:marLeft w:val="0"/>
          <w:marRight w:val="0"/>
          <w:marTop w:val="0"/>
          <w:marBottom w:val="0"/>
          <w:divBdr>
            <w:top w:val="none" w:sz="0" w:space="0" w:color="auto"/>
            <w:left w:val="none" w:sz="0" w:space="0" w:color="auto"/>
            <w:bottom w:val="none" w:sz="0" w:space="0" w:color="auto"/>
            <w:right w:val="none" w:sz="0" w:space="0" w:color="auto"/>
          </w:divBdr>
          <w:divsChild>
            <w:div w:id="949356007">
              <w:marLeft w:val="0"/>
              <w:marRight w:val="0"/>
              <w:marTop w:val="0"/>
              <w:marBottom w:val="0"/>
              <w:divBdr>
                <w:top w:val="none" w:sz="0" w:space="0" w:color="auto"/>
                <w:left w:val="none" w:sz="0" w:space="0" w:color="auto"/>
                <w:bottom w:val="none" w:sz="0" w:space="0" w:color="auto"/>
                <w:right w:val="none" w:sz="0" w:space="0" w:color="auto"/>
              </w:divBdr>
              <w:divsChild>
                <w:div w:id="5540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203">
      <w:bodyDiv w:val="1"/>
      <w:marLeft w:val="0"/>
      <w:marRight w:val="0"/>
      <w:marTop w:val="0"/>
      <w:marBottom w:val="0"/>
      <w:divBdr>
        <w:top w:val="none" w:sz="0" w:space="0" w:color="auto"/>
        <w:left w:val="none" w:sz="0" w:space="0" w:color="auto"/>
        <w:bottom w:val="none" w:sz="0" w:space="0" w:color="auto"/>
        <w:right w:val="none" w:sz="0" w:space="0" w:color="auto"/>
      </w:divBdr>
    </w:div>
    <w:div w:id="1708293978">
      <w:bodyDiv w:val="1"/>
      <w:marLeft w:val="0"/>
      <w:marRight w:val="0"/>
      <w:marTop w:val="0"/>
      <w:marBottom w:val="0"/>
      <w:divBdr>
        <w:top w:val="none" w:sz="0" w:space="0" w:color="auto"/>
        <w:left w:val="none" w:sz="0" w:space="0" w:color="auto"/>
        <w:bottom w:val="none" w:sz="0" w:space="0" w:color="auto"/>
        <w:right w:val="none" w:sz="0" w:space="0" w:color="auto"/>
      </w:divBdr>
    </w:div>
    <w:div w:id="1709060979">
      <w:bodyDiv w:val="1"/>
      <w:marLeft w:val="0"/>
      <w:marRight w:val="0"/>
      <w:marTop w:val="0"/>
      <w:marBottom w:val="0"/>
      <w:divBdr>
        <w:top w:val="none" w:sz="0" w:space="0" w:color="auto"/>
        <w:left w:val="none" w:sz="0" w:space="0" w:color="auto"/>
        <w:bottom w:val="none" w:sz="0" w:space="0" w:color="auto"/>
        <w:right w:val="none" w:sz="0" w:space="0" w:color="auto"/>
      </w:divBdr>
      <w:divsChild>
        <w:div w:id="945578827">
          <w:marLeft w:val="0"/>
          <w:marRight w:val="0"/>
          <w:marTop w:val="0"/>
          <w:marBottom w:val="0"/>
          <w:divBdr>
            <w:top w:val="none" w:sz="0" w:space="0" w:color="auto"/>
            <w:left w:val="none" w:sz="0" w:space="0" w:color="auto"/>
            <w:bottom w:val="none" w:sz="0" w:space="0" w:color="auto"/>
            <w:right w:val="none" w:sz="0" w:space="0" w:color="auto"/>
          </w:divBdr>
          <w:divsChild>
            <w:div w:id="1353989676">
              <w:marLeft w:val="0"/>
              <w:marRight w:val="0"/>
              <w:marTop w:val="0"/>
              <w:marBottom w:val="0"/>
              <w:divBdr>
                <w:top w:val="none" w:sz="0" w:space="0" w:color="auto"/>
                <w:left w:val="none" w:sz="0" w:space="0" w:color="auto"/>
                <w:bottom w:val="none" w:sz="0" w:space="0" w:color="auto"/>
                <w:right w:val="none" w:sz="0" w:space="0" w:color="auto"/>
              </w:divBdr>
              <w:divsChild>
                <w:div w:id="8451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3608">
      <w:bodyDiv w:val="1"/>
      <w:marLeft w:val="0"/>
      <w:marRight w:val="0"/>
      <w:marTop w:val="0"/>
      <w:marBottom w:val="0"/>
      <w:divBdr>
        <w:top w:val="none" w:sz="0" w:space="0" w:color="auto"/>
        <w:left w:val="none" w:sz="0" w:space="0" w:color="auto"/>
        <w:bottom w:val="none" w:sz="0" w:space="0" w:color="auto"/>
        <w:right w:val="none" w:sz="0" w:space="0" w:color="auto"/>
      </w:divBdr>
    </w:div>
    <w:div w:id="1736656800">
      <w:bodyDiv w:val="1"/>
      <w:marLeft w:val="0"/>
      <w:marRight w:val="0"/>
      <w:marTop w:val="0"/>
      <w:marBottom w:val="0"/>
      <w:divBdr>
        <w:top w:val="none" w:sz="0" w:space="0" w:color="auto"/>
        <w:left w:val="none" w:sz="0" w:space="0" w:color="auto"/>
        <w:bottom w:val="none" w:sz="0" w:space="0" w:color="auto"/>
        <w:right w:val="none" w:sz="0" w:space="0" w:color="auto"/>
      </w:divBdr>
      <w:divsChild>
        <w:div w:id="594215932">
          <w:marLeft w:val="0"/>
          <w:marRight w:val="0"/>
          <w:marTop w:val="0"/>
          <w:marBottom w:val="0"/>
          <w:divBdr>
            <w:top w:val="none" w:sz="0" w:space="0" w:color="auto"/>
            <w:left w:val="none" w:sz="0" w:space="0" w:color="auto"/>
            <w:bottom w:val="none" w:sz="0" w:space="0" w:color="auto"/>
            <w:right w:val="none" w:sz="0" w:space="0" w:color="auto"/>
          </w:divBdr>
          <w:divsChild>
            <w:div w:id="396515452">
              <w:marLeft w:val="0"/>
              <w:marRight w:val="0"/>
              <w:marTop w:val="0"/>
              <w:marBottom w:val="0"/>
              <w:divBdr>
                <w:top w:val="none" w:sz="0" w:space="0" w:color="auto"/>
                <w:left w:val="none" w:sz="0" w:space="0" w:color="auto"/>
                <w:bottom w:val="none" w:sz="0" w:space="0" w:color="auto"/>
                <w:right w:val="none" w:sz="0" w:space="0" w:color="auto"/>
              </w:divBdr>
              <w:divsChild>
                <w:div w:id="169032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91013">
      <w:bodyDiv w:val="1"/>
      <w:marLeft w:val="0"/>
      <w:marRight w:val="0"/>
      <w:marTop w:val="0"/>
      <w:marBottom w:val="0"/>
      <w:divBdr>
        <w:top w:val="none" w:sz="0" w:space="0" w:color="auto"/>
        <w:left w:val="none" w:sz="0" w:space="0" w:color="auto"/>
        <w:bottom w:val="none" w:sz="0" w:space="0" w:color="auto"/>
        <w:right w:val="none" w:sz="0" w:space="0" w:color="auto"/>
      </w:divBdr>
      <w:divsChild>
        <w:div w:id="1519585977">
          <w:marLeft w:val="0"/>
          <w:marRight w:val="0"/>
          <w:marTop w:val="0"/>
          <w:marBottom w:val="0"/>
          <w:divBdr>
            <w:top w:val="none" w:sz="0" w:space="0" w:color="auto"/>
            <w:left w:val="none" w:sz="0" w:space="0" w:color="auto"/>
            <w:bottom w:val="none" w:sz="0" w:space="0" w:color="auto"/>
            <w:right w:val="none" w:sz="0" w:space="0" w:color="auto"/>
          </w:divBdr>
          <w:divsChild>
            <w:div w:id="1126124545">
              <w:marLeft w:val="0"/>
              <w:marRight w:val="0"/>
              <w:marTop w:val="0"/>
              <w:marBottom w:val="0"/>
              <w:divBdr>
                <w:top w:val="none" w:sz="0" w:space="0" w:color="auto"/>
                <w:left w:val="none" w:sz="0" w:space="0" w:color="auto"/>
                <w:bottom w:val="none" w:sz="0" w:space="0" w:color="auto"/>
                <w:right w:val="none" w:sz="0" w:space="0" w:color="auto"/>
              </w:divBdr>
              <w:divsChild>
                <w:div w:id="15671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0992">
      <w:bodyDiv w:val="1"/>
      <w:marLeft w:val="0"/>
      <w:marRight w:val="0"/>
      <w:marTop w:val="0"/>
      <w:marBottom w:val="0"/>
      <w:divBdr>
        <w:top w:val="none" w:sz="0" w:space="0" w:color="auto"/>
        <w:left w:val="none" w:sz="0" w:space="0" w:color="auto"/>
        <w:bottom w:val="none" w:sz="0" w:space="0" w:color="auto"/>
        <w:right w:val="none" w:sz="0" w:space="0" w:color="auto"/>
      </w:divBdr>
      <w:divsChild>
        <w:div w:id="1433090078">
          <w:marLeft w:val="0"/>
          <w:marRight w:val="0"/>
          <w:marTop w:val="0"/>
          <w:marBottom w:val="0"/>
          <w:divBdr>
            <w:top w:val="none" w:sz="0" w:space="0" w:color="auto"/>
            <w:left w:val="none" w:sz="0" w:space="0" w:color="auto"/>
            <w:bottom w:val="none" w:sz="0" w:space="0" w:color="auto"/>
            <w:right w:val="none" w:sz="0" w:space="0" w:color="auto"/>
          </w:divBdr>
          <w:divsChild>
            <w:div w:id="164367296">
              <w:marLeft w:val="0"/>
              <w:marRight w:val="0"/>
              <w:marTop w:val="0"/>
              <w:marBottom w:val="0"/>
              <w:divBdr>
                <w:top w:val="none" w:sz="0" w:space="0" w:color="auto"/>
                <w:left w:val="none" w:sz="0" w:space="0" w:color="auto"/>
                <w:bottom w:val="none" w:sz="0" w:space="0" w:color="auto"/>
                <w:right w:val="none" w:sz="0" w:space="0" w:color="auto"/>
              </w:divBdr>
              <w:divsChild>
                <w:div w:id="3959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4401">
      <w:bodyDiv w:val="1"/>
      <w:marLeft w:val="0"/>
      <w:marRight w:val="0"/>
      <w:marTop w:val="0"/>
      <w:marBottom w:val="0"/>
      <w:divBdr>
        <w:top w:val="none" w:sz="0" w:space="0" w:color="auto"/>
        <w:left w:val="none" w:sz="0" w:space="0" w:color="auto"/>
        <w:bottom w:val="none" w:sz="0" w:space="0" w:color="auto"/>
        <w:right w:val="none" w:sz="0" w:space="0" w:color="auto"/>
      </w:divBdr>
    </w:div>
    <w:div w:id="1888638950">
      <w:bodyDiv w:val="1"/>
      <w:marLeft w:val="0"/>
      <w:marRight w:val="0"/>
      <w:marTop w:val="0"/>
      <w:marBottom w:val="0"/>
      <w:divBdr>
        <w:top w:val="none" w:sz="0" w:space="0" w:color="auto"/>
        <w:left w:val="none" w:sz="0" w:space="0" w:color="auto"/>
        <w:bottom w:val="none" w:sz="0" w:space="0" w:color="auto"/>
        <w:right w:val="none" w:sz="0" w:space="0" w:color="auto"/>
      </w:divBdr>
    </w:div>
    <w:div w:id="1898858009">
      <w:bodyDiv w:val="1"/>
      <w:marLeft w:val="0"/>
      <w:marRight w:val="0"/>
      <w:marTop w:val="0"/>
      <w:marBottom w:val="0"/>
      <w:divBdr>
        <w:top w:val="none" w:sz="0" w:space="0" w:color="auto"/>
        <w:left w:val="none" w:sz="0" w:space="0" w:color="auto"/>
        <w:bottom w:val="none" w:sz="0" w:space="0" w:color="auto"/>
        <w:right w:val="none" w:sz="0" w:space="0" w:color="auto"/>
      </w:divBdr>
      <w:divsChild>
        <w:div w:id="1677072819">
          <w:marLeft w:val="0"/>
          <w:marRight w:val="0"/>
          <w:marTop w:val="0"/>
          <w:marBottom w:val="0"/>
          <w:divBdr>
            <w:top w:val="none" w:sz="0" w:space="0" w:color="auto"/>
            <w:left w:val="none" w:sz="0" w:space="0" w:color="auto"/>
            <w:bottom w:val="none" w:sz="0" w:space="0" w:color="auto"/>
            <w:right w:val="none" w:sz="0" w:space="0" w:color="auto"/>
          </w:divBdr>
          <w:divsChild>
            <w:div w:id="673344492">
              <w:marLeft w:val="0"/>
              <w:marRight w:val="0"/>
              <w:marTop w:val="0"/>
              <w:marBottom w:val="0"/>
              <w:divBdr>
                <w:top w:val="none" w:sz="0" w:space="0" w:color="auto"/>
                <w:left w:val="none" w:sz="0" w:space="0" w:color="auto"/>
                <w:bottom w:val="none" w:sz="0" w:space="0" w:color="auto"/>
                <w:right w:val="none" w:sz="0" w:space="0" w:color="auto"/>
              </w:divBdr>
              <w:divsChild>
                <w:div w:id="20102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18437">
      <w:bodyDiv w:val="1"/>
      <w:marLeft w:val="0"/>
      <w:marRight w:val="0"/>
      <w:marTop w:val="0"/>
      <w:marBottom w:val="0"/>
      <w:divBdr>
        <w:top w:val="none" w:sz="0" w:space="0" w:color="auto"/>
        <w:left w:val="none" w:sz="0" w:space="0" w:color="auto"/>
        <w:bottom w:val="none" w:sz="0" w:space="0" w:color="auto"/>
        <w:right w:val="none" w:sz="0" w:space="0" w:color="auto"/>
      </w:divBdr>
      <w:divsChild>
        <w:div w:id="2024430384">
          <w:marLeft w:val="0"/>
          <w:marRight w:val="0"/>
          <w:marTop w:val="0"/>
          <w:marBottom w:val="0"/>
          <w:divBdr>
            <w:top w:val="none" w:sz="0" w:space="0" w:color="auto"/>
            <w:left w:val="none" w:sz="0" w:space="0" w:color="auto"/>
            <w:bottom w:val="none" w:sz="0" w:space="0" w:color="auto"/>
            <w:right w:val="none" w:sz="0" w:space="0" w:color="auto"/>
          </w:divBdr>
          <w:divsChild>
            <w:div w:id="1282146577">
              <w:marLeft w:val="0"/>
              <w:marRight w:val="0"/>
              <w:marTop w:val="0"/>
              <w:marBottom w:val="0"/>
              <w:divBdr>
                <w:top w:val="none" w:sz="0" w:space="0" w:color="auto"/>
                <w:left w:val="none" w:sz="0" w:space="0" w:color="auto"/>
                <w:bottom w:val="none" w:sz="0" w:space="0" w:color="auto"/>
                <w:right w:val="none" w:sz="0" w:space="0" w:color="auto"/>
              </w:divBdr>
              <w:divsChild>
                <w:div w:id="14535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18893">
      <w:bodyDiv w:val="1"/>
      <w:marLeft w:val="0"/>
      <w:marRight w:val="0"/>
      <w:marTop w:val="0"/>
      <w:marBottom w:val="0"/>
      <w:divBdr>
        <w:top w:val="none" w:sz="0" w:space="0" w:color="auto"/>
        <w:left w:val="none" w:sz="0" w:space="0" w:color="auto"/>
        <w:bottom w:val="none" w:sz="0" w:space="0" w:color="auto"/>
        <w:right w:val="none" w:sz="0" w:space="0" w:color="auto"/>
      </w:divBdr>
      <w:divsChild>
        <w:div w:id="1957055570">
          <w:marLeft w:val="0"/>
          <w:marRight w:val="0"/>
          <w:marTop w:val="0"/>
          <w:marBottom w:val="0"/>
          <w:divBdr>
            <w:top w:val="none" w:sz="0" w:space="0" w:color="auto"/>
            <w:left w:val="none" w:sz="0" w:space="0" w:color="auto"/>
            <w:bottom w:val="none" w:sz="0" w:space="0" w:color="auto"/>
            <w:right w:val="none" w:sz="0" w:space="0" w:color="auto"/>
          </w:divBdr>
          <w:divsChild>
            <w:div w:id="2059474451">
              <w:marLeft w:val="0"/>
              <w:marRight w:val="0"/>
              <w:marTop w:val="0"/>
              <w:marBottom w:val="0"/>
              <w:divBdr>
                <w:top w:val="none" w:sz="0" w:space="0" w:color="auto"/>
                <w:left w:val="none" w:sz="0" w:space="0" w:color="auto"/>
                <w:bottom w:val="none" w:sz="0" w:space="0" w:color="auto"/>
                <w:right w:val="none" w:sz="0" w:space="0" w:color="auto"/>
              </w:divBdr>
              <w:divsChild>
                <w:div w:id="20871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25946">
      <w:bodyDiv w:val="1"/>
      <w:marLeft w:val="0"/>
      <w:marRight w:val="0"/>
      <w:marTop w:val="0"/>
      <w:marBottom w:val="0"/>
      <w:divBdr>
        <w:top w:val="none" w:sz="0" w:space="0" w:color="auto"/>
        <w:left w:val="none" w:sz="0" w:space="0" w:color="auto"/>
        <w:bottom w:val="none" w:sz="0" w:space="0" w:color="auto"/>
        <w:right w:val="none" w:sz="0" w:space="0" w:color="auto"/>
      </w:divBdr>
    </w:div>
    <w:div w:id="1969512012">
      <w:bodyDiv w:val="1"/>
      <w:marLeft w:val="0"/>
      <w:marRight w:val="0"/>
      <w:marTop w:val="0"/>
      <w:marBottom w:val="0"/>
      <w:divBdr>
        <w:top w:val="none" w:sz="0" w:space="0" w:color="auto"/>
        <w:left w:val="none" w:sz="0" w:space="0" w:color="auto"/>
        <w:bottom w:val="none" w:sz="0" w:space="0" w:color="auto"/>
        <w:right w:val="none" w:sz="0" w:space="0" w:color="auto"/>
      </w:divBdr>
    </w:div>
    <w:div w:id="2008703108">
      <w:bodyDiv w:val="1"/>
      <w:marLeft w:val="0"/>
      <w:marRight w:val="0"/>
      <w:marTop w:val="0"/>
      <w:marBottom w:val="0"/>
      <w:divBdr>
        <w:top w:val="none" w:sz="0" w:space="0" w:color="auto"/>
        <w:left w:val="none" w:sz="0" w:space="0" w:color="auto"/>
        <w:bottom w:val="none" w:sz="0" w:space="0" w:color="auto"/>
        <w:right w:val="none" w:sz="0" w:space="0" w:color="auto"/>
      </w:divBdr>
      <w:divsChild>
        <w:div w:id="1484853205">
          <w:marLeft w:val="0"/>
          <w:marRight w:val="0"/>
          <w:marTop w:val="0"/>
          <w:marBottom w:val="0"/>
          <w:divBdr>
            <w:top w:val="none" w:sz="0" w:space="0" w:color="auto"/>
            <w:left w:val="none" w:sz="0" w:space="0" w:color="auto"/>
            <w:bottom w:val="none" w:sz="0" w:space="0" w:color="auto"/>
            <w:right w:val="none" w:sz="0" w:space="0" w:color="auto"/>
          </w:divBdr>
          <w:divsChild>
            <w:div w:id="552159059">
              <w:marLeft w:val="0"/>
              <w:marRight w:val="0"/>
              <w:marTop w:val="0"/>
              <w:marBottom w:val="0"/>
              <w:divBdr>
                <w:top w:val="none" w:sz="0" w:space="0" w:color="auto"/>
                <w:left w:val="none" w:sz="0" w:space="0" w:color="auto"/>
                <w:bottom w:val="none" w:sz="0" w:space="0" w:color="auto"/>
                <w:right w:val="none" w:sz="0" w:space="0" w:color="auto"/>
              </w:divBdr>
              <w:divsChild>
                <w:div w:id="17914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61325">
      <w:bodyDiv w:val="1"/>
      <w:marLeft w:val="0"/>
      <w:marRight w:val="0"/>
      <w:marTop w:val="0"/>
      <w:marBottom w:val="0"/>
      <w:divBdr>
        <w:top w:val="none" w:sz="0" w:space="0" w:color="auto"/>
        <w:left w:val="none" w:sz="0" w:space="0" w:color="auto"/>
        <w:bottom w:val="none" w:sz="0" w:space="0" w:color="auto"/>
        <w:right w:val="none" w:sz="0" w:space="0" w:color="auto"/>
      </w:divBdr>
      <w:divsChild>
        <w:div w:id="1298100108">
          <w:marLeft w:val="0"/>
          <w:marRight w:val="0"/>
          <w:marTop w:val="0"/>
          <w:marBottom w:val="0"/>
          <w:divBdr>
            <w:top w:val="none" w:sz="0" w:space="0" w:color="auto"/>
            <w:left w:val="none" w:sz="0" w:space="0" w:color="auto"/>
            <w:bottom w:val="none" w:sz="0" w:space="0" w:color="auto"/>
            <w:right w:val="none" w:sz="0" w:space="0" w:color="auto"/>
          </w:divBdr>
          <w:divsChild>
            <w:div w:id="2145271194">
              <w:marLeft w:val="0"/>
              <w:marRight w:val="0"/>
              <w:marTop w:val="0"/>
              <w:marBottom w:val="0"/>
              <w:divBdr>
                <w:top w:val="none" w:sz="0" w:space="0" w:color="auto"/>
                <w:left w:val="none" w:sz="0" w:space="0" w:color="auto"/>
                <w:bottom w:val="none" w:sz="0" w:space="0" w:color="auto"/>
                <w:right w:val="none" w:sz="0" w:space="0" w:color="auto"/>
              </w:divBdr>
              <w:divsChild>
                <w:div w:id="68513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030260">
      <w:bodyDiv w:val="1"/>
      <w:marLeft w:val="0"/>
      <w:marRight w:val="0"/>
      <w:marTop w:val="0"/>
      <w:marBottom w:val="0"/>
      <w:divBdr>
        <w:top w:val="none" w:sz="0" w:space="0" w:color="auto"/>
        <w:left w:val="none" w:sz="0" w:space="0" w:color="auto"/>
        <w:bottom w:val="none" w:sz="0" w:space="0" w:color="auto"/>
        <w:right w:val="none" w:sz="0" w:space="0" w:color="auto"/>
      </w:divBdr>
      <w:divsChild>
        <w:div w:id="1110590071">
          <w:marLeft w:val="0"/>
          <w:marRight w:val="0"/>
          <w:marTop w:val="0"/>
          <w:marBottom w:val="0"/>
          <w:divBdr>
            <w:top w:val="none" w:sz="0" w:space="0" w:color="auto"/>
            <w:left w:val="none" w:sz="0" w:space="0" w:color="auto"/>
            <w:bottom w:val="none" w:sz="0" w:space="0" w:color="auto"/>
            <w:right w:val="none" w:sz="0" w:space="0" w:color="auto"/>
          </w:divBdr>
          <w:divsChild>
            <w:div w:id="480660033">
              <w:marLeft w:val="0"/>
              <w:marRight w:val="0"/>
              <w:marTop w:val="0"/>
              <w:marBottom w:val="0"/>
              <w:divBdr>
                <w:top w:val="none" w:sz="0" w:space="0" w:color="auto"/>
                <w:left w:val="none" w:sz="0" w:space="0" w:color="auto"/>
                <w:bottom w:val="none" w:sz="0" w:space="0" w:color="auto"/>
                <w:right w:val="none" w:sz="0" w:space="0" w:color="auto"/>
              </w:divBdr>
              <w:divsChild>
                <w:div w:id="3699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8647">
      <w:bodyDiv w:val="1"/>
      <w:marLeft w:val="0"/>
      <w:marRight w:val="0"/>
      <w:marTop w:val="0"/>
      <w:marBottom w:val="0"/>
      <w:divBdr>
        <w:top w:val="none" w:sz="0" w:space="0" w:color="auto"/>
        <w:left w:val="none" w:sz="0" w:space="0" w:color="auto"/>
        <w:bottom w:val="none" w:sz="0" w:space="0" w:color="auto"/>
        <w:right w:val="none" w:sz="0" w:space="0" w:color="auto"/>
      </w:divBdr>
    </w:div>
    <w:div w:id="2091459782">
      <w:bodyDiv w:val="1"/>
      <w:marLeft w:val="0"/>
      <w:marRight w:val="0"/>
      <w:marTop w:val="0"/>
      <w:marBottom w:val="0"/>
      <w:divBdr>
        <w:top w:val="none" w:sz="0" w:space="0" w:color="auto"/>
        <w:left w:val="none" w:sz="0" w:space="0" w:color="auto"/>
        <w:bottom w:val="none" w:sz="0" w:space="0" w:color="auto"/>
        <w:right w:val="none" w:sz="0" w:space="0" w:color="auto"/>
      </w:divBdr>
    </w:div>
    <w:div w:id="2120103634">
      <w:bodyDiv w:val="1"/>
      <w:marLeft w:val="0"/>
      <w:marRight w:val="0"/>
      <w:marTop w:val="0"/>
      <w:marBottom w:val="0"/>
      <w:divBdr>
        <w:top w:val="none" w:sz="0" w:space="0" w:color="auto"/>
        <w:left w:val="none" w:sz="0" w:space="0" w:color="auto"/>
        <w:bottom w:val="none" w:sz="0" w:space="0" w:color="auto"/>
        <w:right w:val="none" w:sz="0" w:space="0" w:color="auto"/>
      </w:divBdr>
      <w:divsChild>
        <w:div w:id="123813769">
          <w:marLeft w:val="0"/>
          <w:marRight w:val="0"/>
          <w:marTop w:val="0"/>
          <w:marBottom w:val="0"/>
          <w:divBdr>
            <w:top w:val="none" w:sz="0" w:space="0" w:color="auto"/>
            <w:left w:val="none" w:sz="0" w:space="0" w:color="auto"/>
            <w:bottom w:val="none" w:sz="0" w:space="0" w:color="auto"/>
            <w:right w:val="none" w:sz="0" w:space="0" w:color="auto"/>
          </w:divBdr>
          <w:divsChild>
            <w:div w:id="365565343">
              <w:marLeft w:val="0"/>
              <w:marRight w:val="0"/>
              <w:marTop w:val="0"/>
              <w:marBottom w:val="0"/>
              <w:divBdr>
                <w:top w:val="none" w:sz="0" w:space="0" w:color="auto"/>
                <w:left w:val="none" w:sz="0" w:space="0" w:color="auto"/>
                <w:bottom w:val="none" w:sz="0" w:space="0" w:color="auto"/>
                <w:right w:val="none" w:sz="0" w:space="0" w:color="auto"/>
              </w:divBdr>
              <w:divsChild>
                <w:div w:id="18814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42199">
      <w:bodyDiv w:val="1"/>
      <w:marLeft w:val="0"/>
      <w:marRight w:val="0"/>
      <w:marTop w:val="0"/>
      <w:marBottom w:val="0"/>
      <w:divBdr>
        <w:top w:val="none" w:sz="0" w:space="0" w:color="auto"/>
        <w:left w:val="none" w:sz="0" w:space="0" w:color="auto"/>
        <w:bottom w:val="none" w:sz="0" w:space="0" w:color="auto"/>
        <w:right w:val="none" w:sz="0" w:space="0" w:color="auto"/>
      </w:divBdr>
      <w:divsChild>
        <w:div w:id="902569589">
          <w:marLeft w:val="0"/>
          <w:marRight w:val="0"/>
          <w:marTop w:val="0"/>
          <w:marBottom w:val="0"/>
          <w:divBdr>
            <w:top w:val="none" w:sz="0" w:space="0" w:color="auto"/>
            <w:left w:val="none" w:sz="0" w:space="0" w:color="auto"/>
            <w:bottom w:val="none" w:sz="0" w:space="0" w:color="auto"/>
            <w:right w:val="none" w:sz="0" w:space="0" w:color="auto"/>
          </w:divBdr>
          <w:divsChild>
            <w:div w:id="705715852">
              <w:marLeft w:val="0"/>
              <w:marRight w:val="0"/>
              <w:marTop w:val="0"/>
              <w:marBottom w:val="0"/>
              <w:divBdr>
                <w:top w:val="none" w:sz="0" w:space="0" w:color="auto"/>
                <w:left w:val="none" w:sz="0" w:space="0" w:color="auto"/>
                <w:bottom w:val="none" w:sz="0" w:space="0" w:color="auto"/>
                <w:right w:val="none" w:sz="0" w:space="0" w:color="auto"/>
              </w:divBdr>
              <w:divsChild>
                <w:div w:id="2841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cbs.gob.es/profesionales/saludPublica/ccayes/alertasActual/nCov-China/documento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S2215-0366(20)3004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emergencies/diseases/novel-coronavirus-2019/events-as-they-happen" TargetMode="External"/><Relationship Id="rId5" Type="http://schemas.openxmlformats.org/officeDocument/2006/relationships/webSettings" Target="webSettings.xml"/><Relationship Id="rId10" Type="http://schemas.openxmlformats.org/officeDocument/2006/relationships/hyperlink" Target="https://doi.org/10.1016/j.rpsmen.2012.01.004" TargetMode="External"/><Relationship Id="rId4" Type="http://schemas.openxmlformats.org/officeDocument/2006/relationships/settings" Target="settings.xml"/><Relationship Id="rId9" Type="http://schemas.openxmlformats.org/officeDocument/2006/relationships/hyperlink" Target="https://doi.org/10.6018/analesps.31.2.172701"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A7A3D-7A0C-4D94-B679-D3D657AF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12</Pages>
  <Words>5069</Words>
  <Characters>27881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Universidad de Jaén</Company>
  <LinksUpToDate>false</LinksUpToDate>
  <CharactersWithSpaces>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dc:creator>
  <cp:keywords/>
  <dc:description/>
  <cp:lastModifiedBy>UJA</cp:lastModifiedBy>
  <cp:revision>41</cp:revision>
  <cp:lastPrinted>2020-05-08T21:12:00Z</cp:lastPrinted>
  <dcterms:created xsi:type="dcterms:W3CDTF">2020-05-11T10:06:00Z</dcterms:created>
  <dcterms:modified xsi:type="dcterms:W3CDTF">2020-11-28T12:40:00Z</dcterms:modified>
</cp:coreProperties>
</file>