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BC8CE" w14:textId="5053EEC2" w:rsidR="00742E4A" w:rsidRPr="00E25900" w:rsidRDefault="00153DC5" w:rsidP="00977250">
      <w:pPr>
        <w:pStyle w:val="Titulodeartculo"/>
        <w:rPr>
          <w:lang w:val="en-US" w:eastAsia="pt-BR"/>
        </w:rPr>
      </w:pPr>
      <w:r w:rsidRPr="002B2297">
        <w:rPr>
          <w:lang w:val="en-US"/>
        </w:rPr>
        <w:t xml:space="preserve"> </w:t>
      </w:r>
      <w:r w:rsidR="0073179D" w:rsidRPr="0073179D">
        <w:rPr>
          <w:lang w:val="en-US"/>
        </w:rPr>
        <w:t>Psychological impact of COVID-19: A comparative study of health status, coping strategies and resilience</w:t>
      </w:r>
      <w:r w:rsidR="0073179D">
        <w:rPr>
          <w:lang w:val="en-US"/>
        </w:rPr>
        <w:t xml:space="preserve"> between general population and healthcare community</w:t>
      </w: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5EA543"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BWjLQH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547103FF" w14:textId="428C4096" w:rsidR="00C413D4" w:rsidRDefault="0073179D" w:rsidP="0073179D">
      <w:pPr>
        <w:jc w:val="both"/>
        <w:rPr>
          <w:sz w:val="20"/>
          <w:szCs w:val="20"/>
          <w:lang w:val="en-US"/>
        </w:rPr>
      </w:pPr>
      <w:r w:rsidRPr="0073179D">
        <w:rPr>
          <w:b/>
          <w:sz w:val="20"/>
          <w:szCs w:val="20"/>
          <w:lang w:val="en-US"/>
        </w:rPr>
        <w:t>Objective</w:t>
      </w:r>
      <w:r>
        <w:rPr>
          <w:sz w:val="20"/>
          <w:szCs w:val="20"/>
          <w:lang w:val="en-US"/>
        </w:rPr>
        <w:t xml:space="preserve">: </w:t>
      </w:r>
      <w:r w:rsidRPr="0073179D">
        <w:rPr>
          <w:sz w:val="20"/>
          <w:szCs w:val="20"/>
          <w:lang w:val="en-US"/>
        </w:rPr>
        <w:t>The pandemic caused by COVID-19 has meant a period of confinement likely to generate population distress. This study evaluates the psychological impact of COVID-19, self-perceived health, coping</w:t>
      </w:r>
      <w:r w:rsidR="003A6634">
        <w:rPr>
          <w:sz w:val="20"/>
          <w:szCs w:val="20"/>
          <w:lang w:val="en-US"/>
        </w:rPr>
        <w:t>,</w:t>
      </w:r>
      <w:r w:rsidRPr="0073179D">
        <w:rPr>
          <w:sz w:val="20"/>
          <w:szCs w:val="20"/>
          <w:lang w:val="en-US"/>
        </w:rPr>
        <w:t xml:space="preserve"> and resilience in the general </w:t>
      </w:r>
      <w:r>
        <w:rPr>
          <w:sz w:val="20"/>
          <w:szCs w:val="20"/>
          <w:lang w:val="en-US"/>
        </w:rPr>
        <w:t xml:space="preserve">population </w:t>
      </w:r>
      <w:r w:rsidRPr="0073179D">
        <w:rPr>
          <w:sz w:val="20"/>
          <w:szCs w:val="20"/>
          <w:lang w:val="en-US"/>
        </w:rPr>
        <w:t>(n=15</w:t>
      </w:r>
      <w:r>
        <w:rPr>
          <w:sz w:val="20"/>
          <w:szCs w:val="20"/>
          <w:lang w:val="en-US"/>
        </w:rPr>
        <w:t>8) and healthcare professionals</w:t>
      </w:r>
      <w:r w:rsidRPr="0073179D">
        <w:rPr>
          <w:sz w:val="20"/>
          <w:szCs w:val="20"/>
          <w:lang w:val="en-US"/>
        </w:rPr>
        <w:t xml:space="preserve"> (n=78) during the first confinement in Spain (March-April 2020). </w:t>
      </w:r>
      <w:r w:rsidRPr="0073179D">
        <w:rPr>
          <w:b/>
          <w:sz w:val="20"/>
          <w:szCs w:val="20"/>
          <w:lang w:val="en-US"/>
        </w:rPr>
        <w:t>Methods</w:t>
      </w:r>
      <w:r w:rsidRPr="0073179D">
        <w:rPr>
          <w:sz w:val="20"/>
          <w:szCs w:val="20"/>
          <w:lang w:val="en-US"/>
        </w:rPr>
        <w:t xml:space="preserve">: Cross-sectional online survey study. </w:t>
      </w:r>
      <w:r w:rsidRPr="0073179D">
        <w:rPr>
          <w:b/>
          <w:sz w:val="20"/>
          <w:szCs w:val="20"/>
          <w:lang w:val="en-US"/>
        </w:rPr>
        <w:t>Results</w:t>
      </w:r>
      <w:r w:rsidRPr="0073179D">
        <w:rPr>
          <w:sz w:val="20"/>
          <w:szCs w:val="20"/>
          <w:lang w:val="en-US"/>
        </w:rPr>
        <w:t>: Comp</w:t>
      </w:r>
      <w:r>
        <w:rPr>
          <w:sz w:val="20"/>
          <w:szCs w:val="20"/>
          <w:lang w:val="en-US"/>
        </w:rPr>
        <w:t xml:space="preserve">ared to the general population, </w:t>
      </w:r>
      <w:r w:rsidRPr="0073179D">
        <w:rPr>
          <w:sz w:val="20"/>
          <w:szCs w:val="20"/>
          <w:lang w:val="en-US"/>
        </w:rPr>
        <w:t>health</w:t>
      </w:r>
      <w:r>
        <w:rPr>
          <w:sz w:val="20"/>
          <w:szCs w:val="20"/>
          <w:lang w:val="en-US"/>
        </w:rPr>
        <w:t xml:space="preserve">care professionals </w:t>
      </w:r>
      <w:r w:rsidRPr="0073179D">
        <w:rPr>
          <w:sz w:val="20"/>
          <w:szCs w:val="20"/>
          <w:lang w:val="en-US"/>
        </w:rPr>
        <w:t>were no more i</w:t>
      </w:r>
      <w:r>
        <w:rPr>
          <w:sz w:val="20"/>
          <w:szCs w:val="20"/>
          <w:lang w:val="en-US"/>
        </w:rPr>
        <w:t xml:space="preserve">mpacted, nor did they express </w:t>
      </w:r>
      <w:r w:rsidRPr="0073179D">
        <w:rPr>
          <w:sz w:val="20"/>
          <w:szCs w:val="20"/>
          <w:lang w:val="en-US"/>
        </w:rPr>
        <w:t>worse self-perceived health. However, they did reveal a lower use of coping strategies ba</w:t>
      </w:r>
      <w:r w:rsidR="00531B12">
        <w:rPr>
          <w:sz w:val="20"/>
          <w:szCs w:val="20"/>
          <w:lang w:val="en-US"/>
        </w:rPr>
        <w:t>sed on emotional expression (p=</w:t>
      </w:r>
      <w:r w:rsidRPr="0073179D">
        <w:rPr>
          <w:sz w:val="20"/>
          <w:szCs w:val="20"/>
          <w:lang w:val="en-US"/>
        </w:rPr>
        <w:t>.001), the search for social support (p=</w:t>
      </w:r>
      <w:r w:rsidR="00531B12">
        <w:rPr>
          <w:sz w:val="20"/>
          <w:szCs w:val="20"/>
          <w:lang w:val="en-US"/>
        </w:rPr>
        <w:t>.019)</w:t>
      </w:r>
      <w:r w:rsidR="003A6634">
        <w:rPr>
          <w:sz w:val="20"/>
          <w:szCs w:val="20"/>
          <w:lang w:val="en-US"/>
        </w:rPr>
        <w:t>,</w:t>
      </w:r>
      <w:r w:rsidR="00531B12">
        <w:rPr>
          <w:sz w:val="20"/>
          <w:szCs w:val="20"/>
          <w:lang w:val="en-US"/>
        </w:rPr>
        <w:t xml:space="preserve"> or social withdrawal (p=</w:t>
      </w:r>
      <w:r w:rsidRPr="0073179D">
        <w:rPr>
          <w:sz w:val="20"/>
          <w:szCs w:val="20"/>
          <w:lang w:val="en-US"/>
        </w:rPr>
        <w:t>.001). They also tended to show a more resilient profile than the ge</w:t>
      </w:r>
      <w:r w:rsidR="00531B12">
        <w:rPr>
          <w:sz w:val="20"/>
          <w:szCs w:val="20"/>
          <w:lang w:val="en-US"/>
        </w:rPr>
        <w:t>neral population (p=</w:t>
      </w:r>
      <w:r>
        <w:rPr>
          <w:sz w:val="20"/>
          <w:szCs w:val="20"/>
          <w:lang w:val="en-US"/>
        </w:rPr>
        <w:t xml:space="preserve">.056). Profiles </w:t>
      </w:r>
      <w:r w:rsidRPr="0073179D">
        <w:rPr>
          <w:sz w:val="20"/>
          <w:szCs w:val="20"/>
          <w:lang w:val="en-US"/>
        </w:rPr>
        <w:t xml:space="preserve">with the greatest emotional impact are usually composed of women </w:t>
      </w:r>
      <w:r w:rsidR="003A6634">
        <w:rPr>
          <w:sz w:val="20"/>
          <w:szCs w:val="20"/>
          <w:lang w:val="en-US"/>
        </w:rPr>
        <w:t xml:space="preserve">(independently of being or not healthcare professionals) </w:t>
      </w:r>
      <w:r w:rsidRPr="0073179D">
        <w:rPr>
          <w:sz w:val="20"/>
          <w:szCs w:val="20"/>
          <w:lang w:val="en-US"/>
        </w:rPr>
        <w:t>who have suffered the loss of a loved one, referring poor health and making greater use of coping strategies of social support, problem</w:t>
      </w:r>
      <w:r w:rsidR="003A6634">
        <w:rPr>
          <w:sz w:val="20"/>
          <w:szCs w:val="20"/>
          <w:lang w:val="en-US"/>
        </w:rPr>
        <w:t>-</w:t>
      </w:r>
      <w:r w:rsidRPr="0073179D">
        <w:rPr>
          <w:sz w:val="20"/>
          <w:szCs w:val="20"/>
          <w:lang w:val="en-US"/>
        </w:rPr>
        <w:t>solving, cognitive restructuring</w:t>
      </w:r>
      <w:r w:rsidR="003A6634">
        <w:rPr>
          <w:sz w:val="20"/>
          <w:szCs w:val="20"/>
          <w:lang w:val="en-US"/>
        </w:rPr>
        <w:t>,</w:t>
      </w:r>
      <w:r w:rsidRPr="0073179D">
        <w:rPr>
          <w:sz w:val="20"/>
          <w:szCs w:val="20"/>
          <w:lang w:val="en-US"/>
        </w:rPr>
        <w:t xml:space="preserve"> and social withdrawal (explained variance between 20-28%). </w:t>
      </w:r>
      <w:r w:rsidRPr="0073179D">
        <w:rPr>
          <w:b/>
          <w:sz w:val="20"/>
          <w:szCs w:val="20"/>
          <w:lang w:val="en-US"/>
        </w:rPr>
        <w:t>Conclusions</w:t>
      </w:r>
      <w:r w:rsidRPr="0073179D">
        <w:rPr>
          <w:sz w:val="20"/>
          <w:szCs w:val="20"/>
          <w:lang w:val="en-US"/>
        </w:rPr>
        <w:t xml:space="preserve">: Despite these results, it is recommended not only to monitor the emotional impact of women in the general population who have suffered losses or have reported poor self-perceived health, but also the healthcare community since they have revealed less use of coping strategies during the experience of potentially destabilizing situations such as that created by the COVID-19 and, in the medium-long term, this could </w:t>
      </w:r>
      <w:r>
        <w:rPr>
          <w:sz w:val="20"/>
          <w:szCs w:val="20"/>
          <w:lang w:val="en-US"/>
        </w:rPr>
        <w:t>be detrimental for</w:t>
      </w:r>
      <w:r w:rsidRPr="0073179D">
        <w:rPr>
          <w:sz w:val="20"/>
          <w:szCs w:val="20"/>
          <w:lang w:val="en-US"/>
        </w:rPr>
        <w:t xml:space="preserve"> their mental health.</w:t>
      </w:r>
    </w:p>
    <w:p w14:paraId="32730B37" w14:textId="77777777" w:rsidR="0073179D" w:rsidRPr="00E25900" w:rsidRDefault="0073179D"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3C2A8692" w14:textId="289AEE78" w:rsidR="00153DC5" w:rsidRDefault="0073179D" w:rsidP="007A7C7C">
      <w:pPr>
        <w:jc w:val="both"/>
        <w:rPr>
          <w:bCs/>
          <w:sz w:val="20"/>
          <w:szCs w:val="20"/>
          <w:lang w:val="en-US"/>
        </w:rPr>
      </w:pPr>
      <w:proofErr w:type="gramStart"/>
      <w:r w:rsidRPr="0073179D">
        <w:rPr>
          <w:bCs/>
          <w:sz w:val="20"/>
          <w:szCs w:val="20"/>
          <w:lang w:val="en-US"/>
        </w:rPr>
        <w:t>COVID-19; mental health; general population; healthcare community; self-perceived health; coping style; resilience.</w:t>
      </w:r>
      <w:proofErr w:type="gramEnd"/>
    </w:p>
    <w:p w14:paraId="5ABB461D" w14:textId="77777777" w:rsidR="0073179D" w:rsidRPr="0073179D" w:rsidRDefault="0073179D" w:rsidP="007A7C7C">
      <w:pPr>
        <w:jc w:val="both"/>
        <w:rPr>
          <w:bCs/>
          <w:sz w:val="20"/>
          <w:szCs w:val="20"/>
          <w:lang w:val="en-US"/>
        </w:rPr>
      </w:pPr>
    </w:p>
    <w:p w14:paraId="1D18B459" w14:textId="6E9E5C44" w:rsidR="009E37BF" w:rsidRPr="0073179D" w:rsidRDefault="009E37BF" w:rsidP="009E37BF">
      <w:pPr>
        <w:pBdr>
          <w:top w:val="nil"/>
          <w:left w:val="nil"/>
          <w:bottom w:val="nil"/>
          <w:right w:val="nil"/>
          <w:between w:val="nil"/>
        </w:pBdr>
        <w:spacing w:after="120"/>
        <w:jc w:val="center"/>
        <w:rPr>
          <w:b/>
          <w:smallCaps/>
          <w:color w:val="000000"/>
          <w:sz w:val="20"/>
          <w:szCs w:val="20"/>
          <w:lang w:val="es-ES"/>
        </w:rPr>
      </w:pPr>
      <w:r w:rsidRPr="0073179D">
        <w:rPr>
          <w:b/>
          <w:smallCaps/>
          <w:color w:val="000000"/>
          <w:sz w:val="20"/>
          <w:szCs w:val="20"/>
          <w:lang w:val="es-ES"/>
        </w:rPr>
        <w:t>Resumen</w:t>
      </w:r>
    </w:p>
    <w:p w14:paraId="550C526F" w14:textId="5D22E44E" w:rsidR="0073179D" w:rsidRDefault="0073179D" w:rsidP="009E37BF">
      <w:pPr>
        <w:jc w:val="both"/>
        <w:rPr>
          <w:sz w:val="20"/>
          <w:szCs w:val="20"/>
          <w:lang w:val="es-ES"/>
        </w:rPr>
      </w:pPr>
      <w:r w:rsidRPr="0073179D">
        <w:rPr>
          <w:b/>
          <w:sz w:val="20"/>
          <w:szCs w:val="20"/>
          <w:lang w:val="es-ES"/>
        </w:rPr>
        <w:t>Objetivo:</w:t>
      </w:r>
      <w:r w:rsidRPr="0073179D">
        <w:rPr>
          <w:sz w:val="20"/>
          <w:szCs w:val="20"/>
          <w:lang w:val="es-ES"/>
        </w:rPr>
        <w:t xml:space="preserve"> La pandemia causada por la COVID-19 ha supuesto un periodo de confinamiento susceptible </w:t>
      </w:r>
      <w:r w:rsidR="00C40BE8">
        <w:rPr>
          <w:sz w:val="20"/>
          <w:szCs w:val="20"/>
          <w:lang w:val="es-ES"/>
        </w:rPr>
        <w:t xml:space="preserve">de generar distrés poblacional. </w:t>
      </w:r>
      <w:r w:rsidRPr="0073179D">
        <w:rPr>
          <w:sz w:val="20"/>
          <w:szCs w:val="20"/>
          <w:lang w:val="es-ES"/>
        </w:rPr>
        <w:t>Este estudio evalúa el impacto psicológico de la COVID-19, la salud auto-percibida, el afrontamiento y la resiliencia en población general (n=158) y sanitaria (n=78) durante el primer confinamiento en España (marzo-abril 2020).</w:t>
      </w:r>
      <w:r w:rsidR="00C40BE8">
        <w:rPr>
          <w:sz w:val="20"/>
          <w:szCs w:val="20"/>
          <w:lang w:val="es-ES"/>
        </w:rPr>
        <w:t xml:space="preserve"> </w:t>
      </w:r>
      <w:r w:rsidRPr="0073179D">
        <w:rPr>
          <w:b/>
          <w:sz w:val="20"/>
          <w:szCs w:val="20"/>
          <w:lang w:val="es-ES"/>
        </w:rPr>
        <w:t>Método</w:t>
      </w:r>
      <w:r w:rsidRPr="0073179D">
        <w:rPr>
          <w:sz w:val="20"/>
          <w:szCs w:val="20"/>
          <w:lang w:val="es-ES"/>
        </w:rPr>
        <w:t xml:space="preserve">: Diseño transversal a partir de una encuesta </w:t>
      </w:r>
      <w:r w:rsidRPr="00F23DDE">
        <w:rPr>
          <w:i/>
          <w:sz w:val="20"/>
          <w:szCs w:val="20"/>
          <w:lang w:val="es-ES"/>
        </w:rPr>
        <w:t>online</w:t>
      </w:r>
      <w:r w:rsidRPr="0073179D">
        <w:rPr>
          <w:sz w:val="20"/>
          <w:szCs w:val="20"/>
          <w:lang w:val="es-ES"/>
        </w:rPr>
        <w:t xml:space="preserve">. </w:t>
      </w:r>
      <w:r w:rsidRPr="0073179D">
        <w:rPr>
          <w:b/>
          <w:sz w:val="20"/>
          <w:szCs w:val="20"/>
          <w:lang w:val="es-ES"/>
        </w:rPr>
        <w:t>Resultados</w:t>
      </w:r>
      <w:r w:rsidRPr="0073179D">
        <w:rPr>
          <w:sz w:val="20"/>
          <w:szCs w:val="20"/>
          <w:lang w:val="es-ES"/>
        </w:rPr>
        <w:t>: En comparación con la población general, los sanitarios no estaban más impactos, ni expresaron peor salud auto-percibida. No obstante</w:t>
      </w:r>
      <w:r w:rsidR="00C40BE8">
        <w:rPr>
          <w:sz w:val="20"/>
          <w:szCs w:val="20"/>
          <w:lang w:val="es-ES"/>
        </w:rPr>
        <w:t>,</w:t>
      </w:r>
      <w:r w:rsidRPr="0073179D">
        <w:rPr>
          <w:sz w:val="20"/>
          <w:szCs w:val="20"/>
          <w:lang w:val="es-ES"/>
        </w:rPr>
        <w:t xml:space="preserve"> sí revelaron un menor uso de estrategias de afrontamiento basada</w:t>
      </w:r>
      <w:r w:rsidR="00531B12">
        <w:rPr>
          <w:sz w:val="20"/>
          <w:szCs w:val="20"/>
          <w:lang w:val="es-ES"/>
        </w:rPr>
        <w:t>s en la expresión emocional (p&lt;</w:t>
      </w:r>
      <w:r w:rsidRPr="0073179D">
        <w:rPr>
          <w:sz w:val="20"/>
          <w:szCs w:val="20"/>
          <w:lang w:val="es-ES"/>
        </w:rPr>
        <w:t>.001), la búsqueda de ap</w:t>
      </w:r>
      <w:r w:rsidR="00531B12">
        <w:rPr>
          <w:sz w:val="20"/>
          <w:szCs w:val="20"/>
          <w:lang w:val="es-ES"/>
        </w:rPr>
        <w:t>oyo social (p=.019) o la retirada social (p=</w:t>
      </w:r>
      <w:r w:rsidRPr="0073179D">
        <w:rPr>
          <w:sz w:val="20"/>
          <w:szCs w:val="20"/>
          <w:lang w:val="es-ES"/>
        </w:rPr>
        <w:t>.001). Asimismo, tendían a mostrar un perfil más resilien</w:t>
      </w:r>
      <w:r w:rsidR="00531B12">
        <w:rPr>
          <w:sz w:val="20"/>
          <w:szCs w:val="20"/>
          <w:lang w:val="es-ES"/>
        </w:rPr>
        <w:t>te que la población general (p=</w:t>
      </w:r>
      <w:r w:rsidRPr="0073179D">
        <w:rPr>
          <w:sz w:val="20"/>
          <w:szCs w:val="20"/>
          <w:lang w:val="es-ES"/>
        </w:rPr>
        <w:t xml:space="preserve">.056). Los perfiles de mayor impacto emocional suelen estar constituidos por mujeres </w:t>
      </w:r>
      <w:r w:rsidR="003A6634">
        <w:rPr>
          <w:sz w:val="20"/>
          <w:szCs w:val="20"/>
          <w:lang w:val="es-ES"/>
        </w:rPr>
        <w:t xml:space="preserve">(independientemente de ser sanitarias o no) </w:t>
      </w:r>
      <w:r w:rsidRPr="0073179D">
        <w:rPr>
          <w:sz w:val="20"/>
          <w:szCs w:val="20"/>
          <w:lang w:val="es-ES"/>
        </w:rPr>
        <w:t xml:space="preserve">que han padecido la pérdida de un ser querido, que refieren mala salud y que hacen mayor uso de estrategias de afrontamiento de apoyo social, resolución de problemas, reestructuración cognitiva y retirada social (varianza explicada entre el 20-28%). </w:t>
      </w:r>
      <w:r w:rsidRPr="0073179D">
        <w:rPr>
          <w:b/>
          <w:sz w:val="20"/>
          <w:szCs w:val="20"/>
          <w:lang w:val="es-ES"/>
        </w:rPr>
        <w:t>Conclusiones</w:t>
      </w:r>
      <w:r w:rsidRPr="0073179D">
        <w:rPr>
          <w:sz w:val="20"/>
          <w:szCs w:val="20"/>
          <w:lang w:val="es-ES"/>
        </w:rPr>
        <w:t>: A pesar de estos resultados, se recomienda no sólo monitorizar el impacto emocional de las mujeres de la población general que han padecido pérdidas o refieren mala salud, sino también al colectivo de sanitarios/as dado que han revelado menor uso de estrategias de afrontamiento durante la experiencia de situaciones potencialmente desestabilizadoras como la creada por la COVID-19 y, a medio-largo plazo, esto podría repercutir en su salud mental.</w:t>
      </w:r>
    </w:p>
    <w:p w14:paraId="0C5833F0" w14:textId="77777777" w:rsidR="0073179D" w:rsidRDefault="0073179D" w:rsidP="009E37BF">
      <w:pPr>
        <w:jc w:val="both"/>
        <w:rPr>
          <w:b/>
          <w:sz w:val="20"/>
          <w:szCs w:val="20"/>
          <w:lang w:val="es-ES"/>
        </w:rPr>
      </w:pPr>
    </w:p>
    <w:p w14:paraId="126AA7B0" w14:textId="1580E184" w:rsidR="009E37BF" w:rsidRPr="0073179D" w:rsidRDefault="009E37BF" w:rsidP="009E37BF">
      <w:pPr>
        <w:jc w:val="both"/>
        <w:rPr>
          <w:b/>
          <w:sz w:val="20"/>
          <w:szCs w:val="20"/>
          <w:lang w:val="es-ES"/>
        </w:rPr>
      </w:pPr>
      <w:r w:rsidRPr="0073179D">
        <w:rPr>
          <w:b/>
          <w:sz w:val="20"/>
          <w:szCs w:val="20"/>
          <w:lang w:val="es-ES"/>
        </w:rPr>
        <w:t>Palabras clave</w:t>
      </w:r>
    </w:p>
    <w:p w14:paraId="3B35E00C" w14:textId="1DA9FD96" w:rsidR="00483D6B" w:rsidRPr="009E37BF" w:rsidRDefault="0073179D" w:rsidP="00C40BE8">
      <w:pPr>
        <w:jc w:val="both"/>
        <w:rPr>
          <w:b/>
          <w:lang w:val="pt-BR"/>
        </w:rPr>
      </w:pPr>
      <w:r w:rsidRPr="0073179D">
        <w:rPr>
          <w:sz w:val="20"/>
          <w:szCs w:val="20"/>
          <w:lang w:val="pt-BR"/>
        </w:rPr>
        <w:t>COVID-19; salud mental; población general; profesionales sanitarios; salud auto-percibida; afrontamiento; resiliencia.</w:t>
      </w:r>
    </w:p>
    <w:p w14:paraId="3F538DA7" w14:textId="4FD90BDE" w:rsidR="00153DC5" w:rsidRPr="0037429C" w:rsidRDefault="0059034C" w:rsidP="0006616B">
      <w:pPr>
        <w:pStyle w:val="Ttuloprincipiodeartculo"/>
      </w:pPr>
      <w:r w:rsidRPr="009E37BF">
        <w:br w:type="page"/>
      </w:r>
      <w:r w:rsidR="0073179D" w:rsidRPr="0037429C">
        <w:lastRenderedPageBreak/>
        <w:t xml:space="preserve">Impacto psicológico de </w:t>
      </w:r>
      <w:proofErr w:type="gramStart"/>
      <w:r w:rsidR="0073179D" w:rsidRPr="0037429C">
        <w:t>la</w:t>
      </w:r>
      <w:proofErr w:type="gramEnd"/>
      <w:r w:rsidR="0073179D" w:rsidRPr="0037429C">
        <w:t xml:space="preserve"> COVID-19: Estudio comparativo del estado de salud, estrategias de afrontamiento y resiliencia en población española general y en el colectivo sanitario</w:t>
      </w:r>
    </w:p>
    <w:p w14:paraId="4FA726CB" w14:textId="589F8E1A" w:rsidR="006A1BA2" w:rsidRPr="00916D95" w:rsidRDefault="00687825" w:rsidP="00375833">
      <w:pPr>
        <w:pStyle w:val="Ttulosinternos"/>
        <w:rPr>
          <w:bCs/>
          <w:lang w:val="es-ES"/>
        </w:rPr>
      </w:pPr>
      <w:r w:rsidRPr="00916D95">
        <w:rPr>
          <w:lang w:val="es-ES"/>
        </w:rPr>
        <w:t>Introducción</w:t>
      </w:r>
    </w:p>
    <w:p w14:paraId="2161B261" w14:textId="19A8B8A4" w:rsidR="0073179D" w:rsidRPr="00F60CE8" w:rsidRDefault="0073179D" w:rsidP="00375833">
      <w:pPr>
        <w:pStyle w:val="SubtituloInterno"/>
        <w:rPr>
          <w:b w:val="0"/>
        </w:rPr>
      </w:pPr>
      <w:r w:rsidRPr="00F60CE8">
        <w:rPr>
          <w:b w:val="0"/>
        </w:rPr>
        <w:t xml:space="preserve">Una de las emergencias más importantes de salud pública vivida a nivel internacional en las últimas décadas ha sido la ocasionada por el coronavirus SARS-CoV-2 (o COVID-19). Los primeros casos fueron detectados en Wuhan (China) en diciembre de 2019 y, a partir de ese momento, el número de positivos y fallecidos a causa de esta infección vírica ha aumentado de forma exponencial en todo el mundo. Globalmente, a principios de diciembre 2020 ya había notificados más de 63.719.213 casos y 1.482.084 fallecidos a causa de la COVID-19. España se encuentra entre los países europeos con mayor número de casos confirmados </w:t>
      </w:r>
      <w:r w:rsidR="005D1A26" w:rsidRPr="00F60CE8">
        <w:rPr>
          <w:b w:val="0"/>
        </w:rPr>
        <w:t xml:space="preserve">y cuenta ya con más de 50.000 fallecidos por COVID-19 </w:t>
      </w:r>
      <w:r w:rsidR="00C40BE8" w:rsidRPr="00F60CE8">
        <w:rPr>
          <w:b w:val="0"/>
        </w:rPr>
        <w:t xml:space="preserve">(MSCBS, 2020). </w:t>
      </w:r>
      <w:r w:rsidRPr="00F60CE8">
        <w:rPr>
          <w:b w:val="0"/>
        </w:rPr>
        <w:t xml:space="preserve">   </w:t>
      </w:r>
    </w:p>
    <w:p w14:paraId="3C04F16E" w14:textId="2C7C051E" w:rsidR="0073179D" w:rsidRPr="00F60CE8" w:rsidRDefault="0073179D" w:rsidP="00375833">
      <w:pPr>
        <w:pStyle w:val="SubtituloInterno"/>
        <w:rPr>
          <w:b w:val="0"/>
        </w:rPr>
      </w:pPr>
      <w:r w:rsidRPr="00F60CE8">
        <w:rPr>
          <w:b w:val="0"/>
        </w:rPr>
        <w:t>El confinamiento de la población como medida para frenar la curva de crecimiento del número de casos, ha dado lugar a la aparición o al agravamiento de una serie de problemas psicológicos entre los cuales se encuentran el estrés, la ansiedad y la depresión</w:t>
      </w:r>
      <w:r w:rsidR="005D1A26" w:rsidRPr="00F60CE8">
        <w:rPr>
          <w:b w:val="0"/>
        </w:rPr>
        <w:t xml:space="preserve"> (Jianbo et al., 2020; Ozamiz-Etxebarria et al., 2020). </w:t>
      </w:r>
      <w:r w:rsidRPr="00F60CE8">
        <w:rPr>
          <w:b w:val="0"/>
        </w:rPr>
        <w:t>Un estudio realizado con población general del País Vasco (España) describe cómo al inicio de la pandemia los niveles de estrés, ansiedad y depresión eran leves y parecían asociados a la falta de conciencia del problema como propio, entendiendo que, en aquel momento éste afectaba únicamente a la población asiática. Sin embargo, la sintomatología empezó a aumentar a partir del 14 de marzo de 2020 cuando la población comenzó a percibir los efectos del confinamiento, siendo los/las más jóvenes y aquellos/as con enfermedades crónicas los/las que puntuaron más alto en estrés, ansiedad y depresión en comparación con el resto de la población</w:t>
      </w:r>
      <w:r w:rsidR="005D1A26" w:rsidRPr="00F60CE8">
        <w:rPr>
          <w:b w:val="0"/>
        </w:rPr>
        <w:t xml:space="preserve"> (Ozamiz-Etxebarria et al., 2020)</w:t>
      </w:r>
      <w:r w:rsidRPr="00F60CE8">
        <w:rPr>
          <w:b w:val="0"/>
        </w:rPr>
        <w:t>. González-Sanguino et al.</w:t>
      </w:r>
      <w:r w:rsidR="005D1A26" w:rsidRPr="00F60CE8">
        <w:rPr>
          <w:b w:val="0"/>
        </w:rPr>
        <w:t xml:space="preserve"> (2020)</w:t>
      </w:r>
      <w:r w:rsidRPr="00F60CE8">
        <w:rPr>
          <w:b w:val="0"/>
        </w:rPr>
        <w:t xml:space="preserve"> señalan que uno de los factores de protección más relevantes para </w:t>
      </w:r>
      <w:r w:rsidR="005D1A26" w:rsidRPr="00F60CE8">
        <w:rPr>
          <w:b w:val="0"/>
        </w:rPr>
        <w:t>la</w:t>
      </w:r>
      <w:r w:rsidRPr="00F60CE8">
        <w:rPr>
          <w:b w:val="0"/>
        </w:rPr>
        <w:t xml:space="preserve"> depresión, ansiedad, estrés postraumático y la soledad fue el bienestar espiritual.</w:t>
      </w:r>
    </w:p>
    <w:p w14:paraId="24AED9A9" w14:textId="7A8A325C" w:rsidR="0073179D" w:rsidRPr="00F60CE8" w:rsidRDefault="0073179D" w:rsidP="00375833">
      <w:pPr>
        <w:pStyle w:val="SubtituloInterno"/>
        <w:rPr>
          <w:b w:val="0"/>
        </w:rPr>
      </w:pPr>
      <w:r w:rsidRPr="00F60CE8">
        <w:rPr>
          <w:b w:val="0"/>
        </w:rPr>
        <w:t>Un estudio llevado a cabo en China</w:t>
      </w:r>
      <w:r w:rsidR="005D1A26" w:rsidRPr="00F60CE8">
        <w:rPr>
          <w:b w:val="0"/>
        </w:rPr>
        <w:t xml:space="preserve"> (Jianbo et al., 2020)</w:t>
      </w:r>
      <w:r w:rsidRPr="00F60CE8">
        <w:rPr>
          <w:b w:val="0"/>
        </w:rPr>
        <w:t xml:space="preserve"> evaluó la magnitud de los efectos de la pandemia en la salud mental de profesionales sanitarios trabajando en primera línea con pacientes con COVID-19</w:t>
      </w:r>
      <w:r w:rsidR="003A6634">
        <w:rPr>
          <w:b w:val="0"/>
        </w:rPr>
        <w:t>, y o</w:t>
      </w:r>
      <w:r w:rsidRPr="00F60CE8">
        <w:rPr>
          <w:b w:val="0"/>
        </w:rPr>
        <w:t xml:space="preserve">bservaron que el personal involucrado en el diagnóstico, </w:t>
      </w:r>
      <w:r w:rsidR="003A6634">
        <w:rPr>
          <w:b w:val="0"/>
        </w:rPr>
        <w:t xml:space="preserve">y </w:t>
      </w:r>
      <w:r w:rsidRPr="00F60CE8">
        <w:rPr>
          <w:b w:val="0"/>
        </w:rPr>
        <w:t>tratami</w:t>
      </w:r>
      <w:r w:rsidR="0006616B">
        <w:rPr>
          <w:b w:val="0"/>
        </w:rPr>
        <w:t>ento de éstos</w:t>
      </w:r>
      <w:r w:rsidR="003A6634">
        <w:rPr>
          <w:b w:val="0"/>
        </w:rPr>
        <w:t>,</w:t>
      </w:r>
      <w:r w:rsidR="0006616B">
        <w:rPr>
          <w:b w:val="0"/>
        </w:rPr>
        <w:t xml:space="preserve"> expresaba</w:t>
      </w:r>
      <w:r w:rsidRPr="00F60CE8">
        <w:rPr>
          <w:b w:val="0"/>
        </w:rPr>
        <w:t xml:space="preserve"> carga psicológica </w:t>
      </w:r>
      <w:r w:rsidR="004D1077" w:rsidRPr="00F60CE8">
        <w:rPr>
          <w:b w:val="0"/>
        </w:rPr>
        <w:t>significativa,</w:t>
      </w:r>
      <w:r w:rsidRPr="00F60CE8">
        <w:rPr>
          <w:b w:val="0"/>
        </w:rPr>
        <w:t xml:space="preserve"> así como síntomas de ansiedad, depresión, insomnio y angustia. Además, a causa del malestar psicológico experimentado, se sugería que </w:t>
      </w:r>
      <w:r w:rsidR="0006616B">
        <w:rPr>
          <w:b w:val="0"/>
        </w:rPr>
        <w:t>dicho personal iba</w:t>
      </w:r>
      <w:r w:rsidRPr="00F60CE8">
        <w:rPr>
          <w:b w:val="0"/>
        </w:rPr>
        <w:t xml:space="preserve"> a necesitar algún tipo de soporte psicológico posterior.</w:t>
      </w:r>
      <w:r w:rsidR="00FE2A27" w:rsidRPr="00F60CE8">
        <w:rPr>
          <w:b w:val="0"/>
        </w:rPr>
        <w:t xml:space="preserve"> </w:t>
      </w:r>
      <w:r w:rsidRPr="00F60CE8">
        <w:rPr>
          <w:b w:val="0"/>
        </w:rPr>
        <w:t xml:space="preserve">En la </w:t>
      </w:r>
      <w:r w:rsidRPr="00F60CE8">
        <w:rPr>
          <w:b w:val="0"/>
        </w:rPr>
        <w:lastRenderedPageBreak/>
        <w:t>misma línea, el estudio de Cabrera y García</w:t>
      </w:r>
      <w:r w:rsidR="00FE2A27" w:rsidRPr="00F60CE8">
        <w:rPr>
          <w:b w:val="0"/>
        </w:rPr>
        <w:t xml:space="preserve"> (2020)</w:t>
      </w:r>
      <w:r w:rsidRPr="00F60CE8">
        <w:rPr>
          <w:b w:val="0"/>
        </w:rPr>
        <w:t xml:space="preserve"> con profesionales sanitarios de la ciudad de Ceuta reportó que la pandemia había supuesto un aumento significativo de </w:t>
      </w:r>
      <w:r w:rsidR="004D1077" w:rsidRPr="00F60CE8">
        <w:rPr>
          <w:b w:val="0"/>
        </w:rPr>
        <w:t>las cogniciones</w:t>
      </w:r>
      <w:r w:rsidRPr="00F60CE8">
        <w:rPr>
          <w:b w:val="0"/>
        </w:rPr>
        <w:t xml:space="preserve"> negativas y de los síntomas psicopatológicos en este colectivo, así como un deterioro de su salud física, un aumento de su irascibilidad y </w:t>
      </w:r>
      <w:r w:rsidR="003A6634">
        <w:rPr>
          <w:b w:val="0"/>
        </w:rPr>
        <w:t xml:space="preserve">también, </w:t>
      </w:r>
      <w:r w:rsidRPr="00F60CE8">
        <w:rPr>
          <w:b w:val="0"/>
        </w:rPr>
        <w:t>del volumen de conflictos laborales y personales. Aunque la necesidad de atención psicológica era reconocida, el colectivo de profesionales sanitarios apenas acudió a los servicios psicológicos disponibles refiriendo reticencias relacionadas con posibles consecuencias laborales o el miedo a preocupar a su entorno más cercano. La revisión sistemática de García-Iglesias et al.</w:t>
      </w:r>
      <w:r w:rsidR="00FE2A27" w:rsidRPr="00F60CE8">
        <w:rPr>
          <w:b w:val="0"/>
        </w:rPr>
        <w:t xml:space="preserve"> (2020) </w:t>
      </w:r>
      <w:r w:rsidR="00D70B4B">
        <w:rPr>
          <w:b w:val="0"/>
        </w:rPr>
        <w:t>concluye</w:t>
      </w:r>
      <w:r w:rsidRPr="00F60CE8">
        <w:rPr>
          <w:b w:val="0"/>
        </w:rPr>
        <w:t xml:space="preserve"> que el impacto psicológico originado por la COVID-19 en sanitarios se concreta en niveles medio-altos de ansiedad, depresión, </w:t>
      </w:r>
      <w:r w:rsidRPr="0006616B">
        <w:rPr>
          <w:b w:val="0"/>
          <w:i/>
        </w:rPr>
        <w:t>burnout</w:t>
      </w:r>
      <w:r w:rsidRPr="00F60CE8">
        <w:rPr>
          <w:b w:val="0"/>
        </w:rPr>
        <w:t>, preocupación e insomnio.</w:t>
      </w:r>
    </w:p>
    <w:p w14:paraId="62E0F3EC" w14:textId="76DC5076" w:rsidR="0073179D" w:rsidRPr="00F60CE8" w:rsidRDefault="0073179D" w:rsidP="00442B07">
      <w:pPr>
        <w:pStyle w:val="SubtituloInterno"/>
        <w:rPr>
          <w:b w:val="0"/>
        </w:rPr>
      </w:pPr>
      <w:r w:rsidRPr="00F60CE8">
        <w:rPr>
          <w:b w:val="0"/>
        </w:rPr>
        <w:t>Para hacer frente a los estresores</w:t>
      </w:r>
      <w:r w:rsidR="006F180B">
        <w:rPr>
          <w:b w:val="0"/>
        </w:rPr>
        <w:t>,</w:t>
      </w:r>
      <w:r w:rsidRPr="00F60CE8">
        <w:rPr>
          <w:b w:val="0"/>
        </w:rPr>
        <w:t xml:space="preserve"> las personas ponemos en marcha una serie de estrategias de afrontamiento que permiten gestionar las situaciones que se dan en un contexto concreto</w:t>
      </w:r>
      <w:r w:rsidR="00FE2A27" w:rsidRPr="00F60CE8">
        <w:rPr>
          <w:b w:val="0"/>
        </w:rPr>
        <w:t xml:space="preserve"> (Cedeño et al., 2020)</w:t>
      </w:r>
      <w:r w:rsidRPr="00F60CE8">
        <w:rPr>
          <w:b w:val="0"/>
        </w:rPr>
        <w:t>. Sameer et al.</w:t>
      </w:r>
      <w:r w:rsidR="00FE2A27" w:rsidRPr="00F60CE8">
        <w:rPr>
          <w:b w:val="0"/>
        </w:rPr>
        <w:t xml:space="preserve"> (2020)</w:t>
      </w:r>
      <w:r w:rsidRPr="00F60CE8">
        <w:rPr>
          <w:b w:val="0"/>
        </w:rPr>
        <w:t xml:space="preserve"> identificaron que las estrategias de afrontamiento más comunes durante el confinamiento </w:t>
      </w:r>
      <w:r w:rsidR="006F180B">
        <w:rPr>
          <w:b w:val="0"/>
        </w:rPr>
        <w:t>fueron</w:t>
      </w:r>
      <w:r w:rsidRPr="00F60CE8">
        <w:rPr>
          <w:b w:val="0"/>
        </w:rPr>
        <w:t xml:space="preserve"> mirar la televisión, </w:t>
      </w:r>
      <w:r w:rsidR="006F180B">
        <w:rPr>
          <w:b w:val="0"/>
        </w:rPr>
        <w:t>utilizar</w:t>
      </w:r>
      <w:r w:rsidRPr="00F60CE8">
        <w:rPr>
          <w:b w:val="0"/>
        </w:rPr>
        <w:t xml:space="preserve"> redes sociales, escuchar música, dormir, realizar tareas domésticas, comer bien y abordar tareas acumuladas antes de la pandemia. Ante una situación estresante como puede ser el confinamiento debido a la COVID-19, también es importante tener en cuenta </w:t>
      </w:r>
      <w:r w:rsidR="00191AB2">
        <w:rPr>
          <w:b w:val="0"/>
        </w:rPr>
        <w:t>la</w:t>
      </w:r>
      <w:r w:rsidRPr="00F60CE8">
        <w:rPr>
          <w:b w:val="0"/>
        </w:rPr>
        <w:t xml:space="preserve"> resiliencia, es decir, la capacidad del individuo para recuperarse pese a las circunstancias adversas y/o amenazantes que envuelven una situación determinada</w:t>
      </w:r>
      <w:r w:rsidR="00FE2A27" w:rsidRPr="00F60CE8">
        <w:rPr>
          <w:b w:val="0"/>
        </w:rPr>
        <w:t xml:space="preserve"> (Iglesias, 2006)</w:t>
      </w:r>
      <w:r w:rsidRPr="00F60CE8">
        <w:rPr>
          <w:b w:val="0"/>
        </w:rPr>
        <w:t>. En el estudio lle</w:t>
      </w:r>
      <w:r w:rsidR="00FE2A27" w:rsidRPr="00F60CE8">
        <w:rPr>
          <w:b w:val="0"/>
        </w:rPr>
        <w:t>vado a cabo por Killgore et al. (2020)</w:t>
      </w:r>
      <w:r w:rsidRPr="00F60CE8">
        <w:rPr>
          <w:b w:val="0"/>
        </w:rPr>
        <w:t xml:space="preserve"> en Estados Unidos, se observó </w:t>
      </w:r>
      <w:r w:rsidR="004D1077" w:rsidRPr="00F60CE8">
        <w:rPr>
          <w:b w:val="0"/>
        </w:rPr>
        <w:t>que</w:t>
      </w:r>
      <w:r w:rsidRPr="00F60CE8">
        <w:rPr>
          <w:b w:val="0"/>
        </w:rPr>
        <w:t xml:space="preserve"> durante las 3 primeras semanas de confinamiento</w:t>
      </w:r>
      <w:r w:rsidR="00442B07">
        <w:rPr>
          <w:b w:val="0"/>
        </w:rPr>
        <w:t xml:space="preserve"> </w:t>
      </w:r>
      <w:r w:rsidRPr="00F60CE8">
        <w:rPr>
          <w:b w:val="0"/>
        </w:rPr>
        <w:t>la puntuación en resiliencia de la población (evaluadas mediante el CD-RISC) era ligeramente menor a la puntuación normativa. Además, se observó que una menor puntuación en resiliencia se asociaba a mayor preocupación por los efectos de la COVID-19 y una mayor dificultad para hacer frente a los desafíos de la pandemia. Por otro lado, mostraron mayor resiliencia durante el confinamiento aquellos que tenían mayor apoyo social y realizaban actividades de autocuidado como hacer ejercicio o tomar el sol. En la misma línea, Barzilay et al.</w:t>
      </w:r>
      <w:r w:rsidR="00FE2A27" w:rsidRPr="00F60CE8">
        <w:rPr>
          <w:b w:val="0"/>
        </w:rPr>
        <w:t xml:space="preserve"> (2020) </w:t>
      </w:r>
      <w:r w:rsidRPr="00F60CE8">
        <w:rPr>
          <w:b w:val="0"/>
        </w:rPr>
        <w:t>llevaron a cabo un estudio con el objetivo de conocer el grado de resiliencia y su vinculación con los niveles de estrés, ansiedad y depresión du</w:t>
      </w:r>
      <w:r w:rsidR="00FE2A27" w:rsidRPr="00F60CE8">
        <w:rPr>
          <w:b w:val="0"/>
        </w:rPr>
        <w:t xml:space="preserve">rante la pandemia por COVID-19. </w:t>
      </w:r>
      <w:r w:rsidRPr="00F60CE8">
        <w:rPr>
          <w:b w:val="0"/>
        </w:rPr>
        <w:t xml:space="preserve">Los resultados muestran que las personas con mayor puntuación en resiliencia obtuvieron niveles menores de ansiedad y depresión, así como también </w:t>
      </w:r>
      <w:r w:rsidR="00442B07">
        <w:rPr>
          <w:b w:val="0"/>
        </w:rPr>
        <w:t xml:space="preserve">presentaban </w:t>
      </w:r>
      <w:r w:rsidRPr="00F60CE8">
        <w:rPr>
          <w:b w:val="0"/>
        </w:rPr>
        <w:t xml:space="preserve">menos preocupaciones. Esta asociación entre mayor nivel de resiliencia y menor sintomatología ansioso-depresiva no se </w:t>
      </w:r>
      <w:r w:rsidR="00FE2A27" w:rsidRPr="00F60CE8">
        <w:rPr>
          <w:b w:val="0"/>
        </w:rPr>
        <w:t>vio</w:t>
      </w:r>
      <w:r w:rsidRPr="00F60CE8">
        <w:rPr>
          <w:b w:val="0"/>
        </w:rPr>
        <w:t xml:space="preserve"> modificada en función del género</w:t>
      </w:r>
      <w:r w:rsidR="00442B07">
        <w:rPr>
          <w:b w:val="0"/>
        </w:rPr>
        <w:t>. L</w:t>
      </w:r>
      <w:r w:rsidRPr="00F60CE8">
        <w:rPr>
          <w:b w:val="0"/>
        </w:rPr>
        <w:t xml:space="preserve">a principal </w:t>
      </w:r>
      <w:r w:rsidRPr="00F60CE8">
        <w:rPr>
          <w:b w:val="0"/>
        </w:rPr>
        <w:lastRenderedPageBreak/>
        <w:t xml:space="preserve">preocupación que refirió la muestra fue la de contagiar a otras personas más que la de contagiarse ellos/as mismos/as. Preocuparse por otros en situaciones de riesgo </w:t>
      </w:r>
      <w:r w:rsidR="004D1077" w:rsidRPr="00F60CE8">
        <w:rPr>
          <w:b w:val="0"/>
        </w:rPr>
        <w:t>es una</w:t>
      </w:r>
      <w:r w:rsidRPr="00F60CE8">
        <w:rPr>
          <w:b w:val="0"/>
        </w:rPr>
        <w:t xml:space="preserve"> conducta altruista relacionada con mecanismos resilientes </w:t>
      </w:r>
      <w:r w:rsidR="00C443AB" w:rsidRPr="00F60CE8">
        <w:rPr>
          <w:b w:val="0"/>
        </w:rPr>
        <w:t>que,</w:t>
      </w:r>
      <w:r w:rsidRPr="00F60CE8">
        <w:rPr>
          <w:b w:val="0"/>
        </w:rPr>
        <w:t xml:space="preserve"> a su vez, facilitan afrontar dificultades. </w:t>
      </w:r>
    </w:p>
    <w:p w14:paraId="6AFA822B" w14:textId="58893956" w:rsidR="0073179D" w:rsidRPr="00F60CE8" w:rsidRDefault="0073179D" w:rsidP="00375833">
      <w:pPr>
        <w:pStyle w:val="SubtituloInterno"/>
        <w:rPr>
          <w:b w:val="0"/>
        </w:rPr>
      </w:pPr>
      <w:r w:rsidRPr="00F60CE8">
        <w:rPr>
          <w:b w:val="0"/>
        </w:rPr>
        <w:t>Por otro lado, Wang et al.</w:t>
      </w:r>
      <w:r w:rsidR="0037429C" w:rsidRPr="00F60CE8">
        <w:rPr>
          <w:b w:val="0"/>
        </w:rPr>
        <w:t xml:space="preserve"> (2020) </w:t>
      </w:r>
      <w:r w:rsidRPr="00F60CE8">
        <w:rPr>
          <w:b w:val="0"/>
        </w:rPr>
        <w:t xml:space="preserve">identificaron un perfil de riesgo en la población general, en el que la COVID-19 había provocado niveles significativamente más elevados de </w:t>
      </w:r>
      <w:r w:rsidR="003A6634">
        <w:rPr>
          <w:b w:val="0"/>
        </w:rPr>
        <w:t>malestar emocional</w:t>
      </w:r>
      <w:r w:rsidRPr="00F60CE8">
        <w:rPr>
          <w:b w:val="0"/>
        </w:rPr>
        <w:t xml:space="preserve"> auto-percibido. Este </w:t>
      </w:r>
      <w:r w:rsidR="003A6634">
        <w:rPr>
          <w:b w:val="0"/>
        </w:rPr>
        <w:t xml:space="preserve">perfil </w:t>
      </w:r>
      <w:r w:rsidR="00B97642">
        <w:rPr>
          <w:b w:val="0"/>
        </w:rPr>
        <w:t>estaba formado</w:t>
      </w:r>
      <w:r w:rsidRPr="00F60CE8">
        <w:rPr>
          <w:b w:val="0"/>
        </w:rPr>
        <w:t xml:space="preserve"> </w:t>
      </w:r>
      <w:r w:rsidR="00B97642">
        <w:rPr>
          <w:b w:val="0"/>
        </w:rPr>
        <w:t>por</w:t>
      </w:r>
      <w:r w:rsidRPr="00F60CE8">
        <w:rPr>
          <w:b w:val="0"/>
        </w:rPr>
        <w:t xml:space="preserve"> personas solteras que habían visitado Wuhan en el último mes y que durante la pandemia manifestaban haber </w:t>
      </w:r>
      <w:r w:rsidR="00B97642">
        <w:rPr>
          <w:b w:val="0"/>
        </w:rPr>
        <w:t>empleado</w:t>
      </w:r>
      <w:r w:rsidRPr="00F60CE8">
        <w:rPr>
          <w:b w:val="0"/>
        </w:rPr>
        <w:t xml:space="preserve"> estrategias de afrontamiento pasivas o no dirigidas a la acción</w:t>
      </w:r>
      <w:r w:rsidR="003A6634">
        <w:rPr>
          <w:b w:val="0"/>
        </w:rPr>
        <w:t>,</w:t>
      </w:r>
      <w:r w:rsidRPr="00F60CE8">
        <w:rPr>
          <w:b w:val="0"/>
        </w:rPr>
        <w:t xml:space="preserve"> que se habían traducido en conductas y cogniciones</w:t>
      </w:r>
      <w:r w:rsidR="00B97642">
        <w:rPr>
          <w:b w:val="0"/>
        </w:rPr>
        <w:t xml:space="preserve"> perjudiciales</w:t>
      </w:r>
      <w:r w:rsidRPr="00F60CE8">
        <w:rPr>
          <w:b w:val="0"/>
        </w:rPr>
        <w:t xml:space="preserve"> tales como la evitación de problemas, pensamientos ansiosos, aumento de la autocrítica y</w:t>
      </w:r>
      <w:r w:rsidR="003A6634">
        <w:rPr>
          <w:b w:val="0"/>
        </w:rPr>
        <w:t>/o</w:t>
      </w:r>
      <w:r w:rsidRPr="00F60CE8">
        <w:rPr>
          <w:b w:val="0"/>
        </w:rPr>
        <w:t xml:space="preserve"> retirada social. </w:t>
      </w:r>
      <w:r w:rsidR="0006616B">
        <w:rPr>
          <w:b w:val="0"/>
        </w:rPr>
        <w:t xml:space="preserve">En un trabajo similar, </w:t>
      </w:r>
      <w:r w:rsidRPr="00F60CE8">
        <w:rPr>
          <w:b w:val="0"/>
        </w:rPr>
        <w:t>González-Sanguino et al.</w:t>
      </w:r>
      <w:r w:rsidR="0037429C" w:rsidRPr="00F60CE8">
        <w:rPr>
          <w:b w:val="0"/>
        </w:rPr>
        <w:t xml:space="preserve"> (2020)</w:t>
      </w:r>
      <w:r w:rsidRPr="00F60CE8">
        <w:rPr>
          <w:b w:val="0"/>
        </w:rPr>
        <w:t xml:space="preserve"> encontraron que ser estudiante y pertenecer al género femenino se asociaba a mayor riesgo de sufrir síntomas de depresión, ansiedad y estrés postraumático.</w:t>
      </w:r>
    </w:p>
    <w:p w14:paraId="7B433B98" w14:textId="608D90FA" w:rsidR="00B97642" w:rsidRPr="00B97642" w:rsidRDefault="0073179D" w:rsidP="003A6634">
      <w:pPr>
        <w:pStyle w:val="SubtituloInterno"/>
        <w:rPr>
          <w:b w:val="0"/>
        </w:rPr>
      </w:pPr>
      <w:r w:rsidRPr="00F60CE8">
        <w:rPr>
          <w:b w:val="0"/>
        </w:rPr>
        <w:t xml:space="preserve">En conclusión, las consecuencias psicológicas derivadas de la pandemia por la COVID-19 </w:t>
      </w:r>
      <w:r w:rsidR="003A6634">
        <w:rPr>
          <w:b w:val="0"/>
        </w:rPr>
        <w:t>parecen empezar a aflorar y se ha observado que no todo el mundo presenta el mismo riesgo de padecerlas. Por ello, esta investigación pretende aportar nu</w:t>
      </w:r>
      <w:r w:rsidRPr="00F60CE8">
        <w:rPr>
          <w:b w:val="0"/>
        </w:rPr>
        <w:t>eva información en esta línea, teniendo como objetivo principal describir el impacto psicológico y sus potenciales correlatos en población general y en profesionales sanitarios españoles duran</w:t>
      </w:r>
      <w:r w:rsidR="00696E1C" w:rsidRPr="00F60CE8">
        <w:rPr>
          <w:b w:val="0"/>
        </w:rPr>
        <w:t xml:space="preserve">te el período de confinamiento. </w:t>
      </w:r>
      <w:r w:rsidRPr="00F60CE8">
        <w:rPr>
          <w:b w:val="0"/>
        </w:rPr>
        <w:t xml:space="preserve">Concretamente, se pretende identificar y comparar entre ambas poblaciones de estudio los estilos de afrontamiento y el grado de resiliencia durante el confinamiento, su salud auto-percibida y, por último, evaluar si existe un perfil que presente mayor riesgo de experimentar un impacto emocional intenso y/o persistente a raíz de la pandemia. Es de esperar que los resultados de esta investigación permitan conocer cuáles son los mecanismos más adaptativos para hacer frente a los estresores derivados de la pandemia para, a partir de esas evidencias, poder diseñar intervenciones destinadas a potenciarlos o a facilitar la mejora o el mantenimiento del bienestar general de los/las individuos/as.  </w:t>
      </w:r>
    </w:p>
    <w:p w14:paraId="2254AC27" w14:textId="0694FA2F" w:rsidR="006F7E7E" w:rsidRPr="00916D95" w:rsidRDefault="001516ED" w:rsidP="00375833">
      <w:pPr>
        <w:pStyle w:val="Ttulosinternos"/>
        <w:rPr>
          <w:lang w:val="es-ES"/>
        </w:rPr>
      </w:pPr>
      <w:r w:rsidRPr="00916D95">
        <w:rPr>
          <w:lang w:val="es-ES"/>
        </w:rPr>
        <w:t>M</w:t>
      </w:r>
      <w:r w:rsidR="001B39A7" w:rsidRPr="00916D95">
        <w:rPr>
          <w:lang w:val="es-ES"/>
        </w:rPr>
        <w:t>étodo</w:t>
      </w:r>
    </w:p>
    <w:p w14:paraId="2F19162A" w14:textId="57CF9538" w:rsidR="006F7E7E" w:rsidRPr="0015480A" w:rsidRDefault="005B5614" w:rsidP="00375833">
      <w:pPr>
        <w:pStyle w:val="SubtituloInterno"/>
        <w:rPr>
          <w:rFonts w:eastAsia="Calibri"/>
          <w:i/>
        </w:rPr>
      </w:pPr>
      <w:r w:rsidRPr="0015480A">
        <w:rPr>
          <w:rFonts w:eastAsia="Calibri"/>
          <w:i/>
        </w:rPr>
        <w:t>Participant</w:t>
      </w:r>
      <w:r w:rsidR="00A741DF" w:rsidRPr="0015480A">
        <w:rPr>
          <w:rFonts w:eastAsia="Calibri"/>
          <w:i/>
        </w:rPr>
        <w:t>e</w:t>
      </w:r>
      <w:r w:rsidRPr="0015480A">
        <w:rPr>
          <w:rFonts w:eastAsia="Calibri"/>
          <w:i/>
        </w:rPr>
        <w:t>s</w:t>
      </w:r>
    </w:p>
    <w:p w14:paraId="0BF4759E" w14:textId="4D9EDAC7" w:rsidR="00A741DF" w:rsidRPr="00F60CE8" w:rsidRDefault="00A741DF" w:rsidP="00375833">
      <w:pPr>
        <w:pStyle w:val="SubtituloInterno"/>
        <w:rPr>
          <w:b w:val="0"/>
        </w:rPr>
      </w:pPr>
      <w:r w:rsidRPr="00F60CE8">
        <w:rPr>
          <w:b w:val="0"/>
        </w:rPr>
        <w:t>El estudio se ejecutó con una muestra española de 243 participantes mayores de 18 años</w:t>
      </w:r>
      <w:r w:rsidR="00531B12" w:rsidRPr="00F60CE8">
        <w:rPr>
          <w:b w:val="0"/>
        </w:rPr>
        <w:t xml:space="preserve">. </w:t>
      </w:r>
      <w:r w:rsidRPr="00F60CE8">
        <w:rPr>
          <w:b w:val="0"/>
        </w:rPr>
        <w:t>De éstos, 12 fueron eliminados por ser menores de edad (n=11) y vivir fuera de España (n</w:t>
      </w:r>
      <w:r w:rsidR="003A6634">
        <w:rPr>
          <w:b w:val="0"/>
        </w:rPr>
        <w:t xml:space="preserve">=1). Finalmente se contó con </w:t>
      </w:r>
      <w:r w:rsidRPr="00F60CE8">
        <w:rPr>
          <w:b w:val="0"/>
        </w:rPr>
        <w:t xml:space="preserve">231 participantes (n=158 población general, n=73 profesionales </w:t>
      </w:r>
      <w:r w:rsidRPr="00F60CE8">
        <w:rPr>
          <w:b w:val="0"/>
        </w:rPr>
        <w:lastRenderedPageBreak/>
        <w:t>sanita</w:t>
      </w:r>
      <w:r w:rsidR="00531B12" w:rsidRPr="00F60CE8">
        <w:rPr>
          <w:b w:val="0"/>
        </w:rPr>
        <w:t xml:space="preserve">rios) </w:t>
      </w:r>
      <w:r w:rsidR="00541F1F">
        <w:rPr>
          <w:b w:val="0"/>
        </w:rPr>
        <w:t>de entre 18 y 67 años (35.28±14.</w:t>
      </w:r>
      <w:r w:rsidRPr="00F60CE8">
        <w:rPr>
          <w:b w:val="0"/>
        </w:rPr>
        <w:t>89) siendo un 75</w:t>
      </w:r>
      <w:r w:rsidR="00541F1F">
        <w:rPr>
          <w:b w:val="0"/>
        </w:rPr>
        <w:t>.</w:t>
      </w:r>
      <w:r w:rsidRPr="00F60CE8">
        <w:rPr>
          <w:b w:val="0"/>
        </w:rPr>
        <w:t>8% mujeres (n=175)</w:t>
      </w:r>
      <w:r w:rsidR="00531B12" w:rsidRPr="00F60CE8">
        <w:rPr>
          <w:b w:val="0"/>
        </w:rPr>
        <w:t>; (véase Tabla 1)</w:t>
      </w:r>
      <w:r w:rsidRPr="00F60CE8">
        <w:rPr>
          <w:b w:val="0"/>
        </w:rPr>
        <w:t>. Un 73</w:t>
      </w:r>
      <w:r w:rsidR="00541F1F">
        <w:rPr>
          <w:b w:val="0"/>
        </w:rPr>
        <w:t>.</w:t>
      </w:r>
      <w:r w:rsidRPr="00F60CE8">
        <w:rPr>
          <w:b w:val="0"/>
        </w:rPr>
        <w:t>5% (n=170) estuvieron confinados/as con entre 1 y 3 personas (sin incluirse). Cabe destacar que los resultados muestran que un total de 4 participantes convivieron con entre 14 y 30 personas, lo que por la edad de los encuestados podría explicarse por estar viviendo en una residencia de estudiantes o colegio mayor. Un 45% tuvo personas a su cargo, en su mayoría hijos/as (n=55, 23</w:t>
      </w:r>
      <w:r w:rsidR="00541F1F">
        <w:rPr>
          <w:b w:val="0"/>
        </w:rPr>
        <w:t>.</w:t>
      </w:r>
      <w:r w:rsidRPr="00F60CE8">
        <w:rPr>
          <w:b w:val="0"/>
        </w:rPr>
        <w:t>8%) y personas mayores (n=27, 11</w:t>
      </w:r>
      <w:r w:rsidR="00541F1F">
        <w:rPr>
          <w:b w:val="0"/>
        </w:rPr>
        <w:t>.</w:t>
      </w:r>
      <w:r w:rsidRPr="00F60CE8">
        <w:rPr>
          <w:b w:val="0"/>
        </w:rPr>
        <w:t>7%), y un 18</w:t>
      </w:r>
      <w:r w:rsidR="00541F1F">
        <w:rPr>
          <w:b w:val="0"/>
        </w:rPr>
        <w:t>.</w:t>
      </w:r>
      <w:r w:rsidRPr="00F60CE8">
        <w:rPr>
          <w:b w:val="0"/>
        </w:rPr>
        <w:t xml:space="preserve">2% (n=42) de la muestra presenta alguna enfermedad crónica siendo las más prevalentes el asma </w:t>
      </w:r>
      <w:r w:rsidR="00531B12" w:rsidRPr="00F60CE8">
        <w:rPr>
          <w:b w:val="0"/>
        </w:rPr>
        <w:t xml:space="preserve">(n=15) y la hipertensión (n=6). </w:t>
      </w:r>
      <w:r w:rsidRPr="00F60CE8">
        <w:rPr>
          <w:b w:val="0"/>
        </w:rPr>
        <w:t>Un 28</w:t>
      </w:r>
      <w:r w:rsidR="00541F1F">
        <w:rPr>
          <w:b w:val="0"/>
        </w:rPr>
        <w:t>.</w:t>
      </w:r>
      <w:r w:rsidRPr="00F60CE8">
        <w:rPr>
          <w:b w:val="0"/>
        </w:rPr>
        <w:t>1% (n=65) reportó el fallecimiento de familiares de primer grado (n=2), amigos/as (n=9) u otros/as (n=54) a causa de la COVID-19.</w:t>
      </w:r>
    </w:p>
    <w:p w14:paraId="3C50DFC7" w14:textId="2DD0FA6C" w:rsidR="00A741DF" w:rsidRPr="00F60CE8" w:rsidRDefault="00A741DF" w:rsidP="00375833">
      <w:pPr>
        <w:pStyle w:val="SubtituloInterno"/>
        <w:rPr>
          <w:b w:val="0"/>
        </w:rPr>
      </w:pPr>
      <w:r w:rsidRPr="00F60CE8">
        <w:rPr>
          <w:b w:val="0"/>
        </w:rPr>
        <w:t>Por lo que respecta a la submuestra de población general, la mayoría fueron mujeres (75</w:t>
      </w:r>
      <w:r w:rsidR="00541F1F">
        <w:rPr>
          <w:b w:val="0"/>
        </w:rPr>
        <w:t>.</w:t>
      </w:r>
      <w:r w:rsidRPr="00F60CE8">
        <w:rPr>
          <w:b w:val="0"/>
        </w:rPr>
        <w:t>9%, n=120) que estuvieron confinadas (82</w:t>
      </w:r>
      <w:r w:rsidR="00541F1F">
        <w:rPr>
          <w:b w:val="0"/>
        </w:rPr>
        <w:t>.</w:t>
      </w:r>
      <w:r w:rsidRPr="00F60CE8">
        <w:rPr>
          <w:b w:val="0"/>
        </w:rPr>
        <w:t>3%, n=130) durante el periodo de marzo-abril 2020 y mayormente, sin trabajar durante el confinamiento (44</w:t>
      </w:r>
      <w:r w:rsidR="00541F1F">
        <w:rPr>
          <w:b w:val="0"/>
        </w:rPr>
        <w:t>.</w:t>
      </w:r>
      <w:r w:rsidRPr="00F60CE8">
        <w:rPr>
          <w:b w:val="0"/>
        </w:rPr>
        <w:t>9%, n=71) o en situación de ERTE (15</w:t>
      </w:r>
      <w:r w:rsidR="00541F1F">
        <w:rPr>
          <w:b w:val="0"/>
        </w:rPr>
        <w:t>.</w:t>
      </w:r>
      <w:r w:rsidRPr="00F60CE8">
        <w:rPr>
          <w:b w:val="0"/>
        </w:rPr>
        <w:t>2%, n=26). Por último, 31 participantes (19</w:t>
      </w:r>
      <w:r w:rsidR="00541F1F">
        <w:rPr>
          <w:b w:val="0"/>
        </w:rPr>
        <w:t>.</w:t>
      </w:r>
      <w:r w:rsidRPr="00F60CE8">
        <w:rPr>
          <w:b w:val="0"/>
        </w:rPr>
        <w:t>6%) han estado en contacto con personas que padecieron COVID-19 de gravedad leve (n=13, 8</w:t>
      </w:r>
      <w:r w:rsidR="00541F1F">
        <w:rPr>
          <w:b w:val="0"/>
        </w:rPr>
        <w:t>.</w:t>
      </w:r>
      <w:r w:rsidRPr="00F60CE8">
        <w:rPr>
          <w:b w:val="0"/>
        </w:rPr>
        <w:t>2%), o bien, ellos/as mismos/as estuvieron afectados por el virus (n=2, 1</w:t>
      </w:r>
      <w:r w:rsidR="00541F1F">
        <w:rPr>
          <w:b w:val="0"/>
        </w:rPr>
        <w:t>.</w:t>
      </w:r>
      <w:r w:rsidRPr="00F60CE8">
        <w:rPr>
          <w:b w:val="0"/>
        </w:rPr>
        <w:t>3%) con una gravedad percibida leve (n=3, 1</w:t>
      </w:r>
      <w:r w:rsidR="00541F1F">
        <w:rPr>
          <w:b w:val="0"/>
        </w:rPr>
        <w:t>.</w:t>
      </w:r>
      <w:r w:rsidRPr="00F60CE8">
        <w:rPr>
          <w:b w:val="0"/>
        </w:rPr>
        <w:t>9%).</w:t>
      </w:r>
    </w:p>
    <w:p w14:paraId="5C4E3A90" w14:textId="48074AF7" w:rsidR="00A741DF" w:rsidRDefault="00A741DF" w:rsidP="003A6634">
      <w:pPr>
        <w:pStyle w:val="SubtituloInterno"/>
        <w:rPr>
          <w:b w:val="0"/>
        </w:rPr>
      </w:pPr>
      <w:r w:rsidRPr="00F60CE8">
        <w:rPr>
          <w:b w:val="0"/>
        </w:rPr>
        <w:t>En la submuestra</w:t>
      </w:r>
      <w:r w:rsidR="002A7FAB">
        <w:rPr>
          <w:b w:val="0"/>
        </w:rPr>
        <w:t xml:space="preserve"> de sanitarios/as (n=73), un 75.</w:t>
      </w:r>
      <w:r w:rsidRPr="00F60CE8">
        <w:rPr>
          <w:b w:val="0"/>
        </w:rPr>
        <w:t>3% eran mujeres (n=55) pertenecientes al colectivo de médicos/as (n=26, 35</w:t>
      </w:r>
      <w:r w:rsidR="002A7FAB">
        <w:rPr>
          <w:b w:val="0"/>
        </w:rPr>
        <w:t>.</w:t>
      </w:r>
      <w:r w:rsidRPr="00F60CE8">
        <w:rPr>
          <w:b w:val="0"/>
        </w:rPr>
        <w:t>6%) y enfermería (n=20, 27</w:t>
      </w:r>
      <w:r w:rsidR="002A7FAB">
        <w:rPr>
          <w:b w:val="0"/>
        </w:rPr>
        <w:t>.</w:t>
      </w:r>
      <w:r w:rsidRPr="00F60CE8">
        <w:rPr>
          <w:b w:val="0"/>
        </w:rPr>
        <w:t>4%) y, en gran medida, trabajando en Centros de Atención primaria (CAPs); (54</w:t>
      </w:r>
      <w:r w:rsidR="002A7FAB">
        <w:rPr>
          <w:b w:val="0"/>
        </w:rPr>
        <w:t>.</w:t>
      </w:r>
      <w:r w:rsidRPr="00F60CE8">
        <w:rPr>
          <w:b w:val="0"/>
        </w:rPr>
        <w:t>8%, n=40). En este colectivo de sanitarios, un 50</w:t>
      </w:r>
      <w:r w:rsidR="002A7FAB">
        <w:rPr>
          <w:b w:val="0"/>
        </w:rPr>
        <w:t>.</w:t>
      </w:r>
      <w:r w:rsidRPr="00F60CE8">
        <w:rPr>
          <w:b w:val="0"/>
        </w:rPr>
        <w:t>7% (n=37) ha trabajado directamente con pacientes afectados por COVID-19 durante un periodo de tiempo superior a 4 semanas (n=30, 41</w:t>
      </w:r>
      <w:r w:rsidR="002A7FAB">
        <w:rPr>
          <w:b w:val="0"/>
        </w:rPr>
        <w:t>.</w:t>
      </w:r>
      <w:r w:rsidRPr="00F60CE8">
        <w:rPr>
          <w:b w:val="0"/>
        </w:rPr>
        <w:t>1%) y, además, un 2</w:t>
      </w:r>
      <w:r w:rsidR="002A7FAB">
        <w:rPr>
          <w:b w:val="0"/>
        </w:rPr>
        <w:t>.</w:t>
      </w:r>
      <w:r w:rsidRPr="00F60CE8">
        <w:rPr>
          <w:b w:val="0"/>
        </w:rPr>
        <w:t>6% (n=6) de ellos/as ha dado positivo en COVID-19 con una gravedad percibida leve (n=6, 2</w:t>
      </w:r>
      <w:r w:rsidR="002A7FAB">
        <w:rPr>
          <w:b w:val="0"/>
        </w:rPr>
        <w:t>.</w:t>
      </w:r>
      <w:r w:rsidRPr="00F60CE8">
        <w:rPr>
          <w:b w:val="0"/>
        </w:rPr>
        <w:t xml:space="preserve">6%). </w:t>
      </w:r>
    </w:p>
    <w:p w14:paraId="54121268" w14:textId="77777777" w:rsidR="003A6634" w:rsidRDefault="003A6634" w:rsidP="003A6634">
      <w:pPr>
        <w:pStyle w:val="SubtituloInterno"/>
        <w:ind w:firstLine="0"/>
        <w:rPr>
          <w:b w:val="0"/>
        </w:rPr>
      </w:pPr>
    </w:p>
    <w:p w14:paraId="16900287" w14:textId="1C9C3BCD" w:rsidR="00A741DF" w:rsidRPr="003A6634" w:rsidRDefault="00A741DF" w:rsidP="003A6634">
      <w:pPr>
        <w:pStyle w:val="SubtituloInterno"/>
        <w:ind w:firstLine="0"/>
        <w:rPr>
          <w:b w:val="0"/>
          <w:i/>
        </w:rPr>
      </w:pPr>
      <w:r w:rsidRPr="00F60CE8">
        <w:rPr>
          <w:b w:val="0"/>
          <w:i/>
        </w:rPr>
        <w:t>[Insertar Tabla 1]</w:t>
      </w:r>
    </w:p>
    <w:p w14:paraId="3E859449" w14:textId="77777777" w:rsidR="003A6634" w:rsidRDefault="003A6634">
      <w:pPr>
        <w:rPr>
          <w:b/>
          <w:lang w:val="es-ES" w:eastAsia="en-US"/>
        </w:rPr>
      </w:pPr>
      <w:r>
        <w:rPr>
          <w:b/>
          <w:lang w:val="es-ES" w:eastAsia="en-US"/>
        </w:rPr>
        <w:br w:type="page"/>
      </w:r>
    </w:p>
    <w:p w14:paraId="6856C004" w14:textId="30AED747" w:rsidR="00C40BE8" w:rsidRDefault="00A741DF" w:rsidP="00531B12">
      <w:pPr>
        <w:spacing w:line="360" w:lineRule="auto"/>
        <w:jc w:val="both"/>
        <w:rPr>
          <w:lang w:val="es-ES" w:eastAsia="en-US"/>
        </w:rPr>
      </w:pPr>
      <w:r w:rsidRPr="00A741DF">
        <w:rPr>
          <w:b/>
          <w:lang w:val="es-ES" w:eastAsia="en-US"/>
        </w:rPr>
        <w:lastRenderedPageBreak/>
        <w:t>Tabla 1.</w:t>
      </w:r>
      <w:r w:rsidRPr="00A741DF">
        <w:rPr>
          <w:lang w:val="es-ES" w:eastAsia="en-US"/>
        </w:rPr>
        <w:t xml:space="preserve"> </w:t>
      </w:r>
    </w:p>
    <w:p w14:paraId="316388ED" w14:textId="16ABD295" w:rsidR="00A741DF" w:rsidRPr="00531B12" w:rsidRDefault="00A741DF" w:rsidP="00531B12">
      <w:pPr>
        <w:spacing w:line="360" w:lineRule="auto"/>
        <w:jc w:val="both"/>
        <w:rPr>
          <w:i/>
          <w:lang w:val="es-ES" w:eastAsia="en-US"/>
        </w:rPr>
      </w:pPr>
      <w:r w:rsidRPr="00531B12">
        <w:rPr>
          <w:i/>
          <w:lang w:val="es-ES" w:eastAsia="en-US"/>
        </w:rPr>
        <w:t>Descriptivos de las variables sociodemográficas (N=231)</w:t>
      </w:r>
      <w:r w:rsidR="003A6634">
        <w:rPr>
          <w:i/>
          <w:lang w:val="es-ES" w:eastAsia="en-US"/>
        </w:rPr>
        <w:t>.</w:t>
      </w:r>
    </w:p>
    <w:tbl>
      <w:tblPr>
        <w:tblStyle w:val="Tablaconcuadrcula"/>
        <w:tblW w:w="5000" w:type="pct"/>
        <w:tblBorders>
          <w:insideH w:val="none" w:sz="0" w:space="0" w:color="auto"/>
          <w:insideV w:val="none" w:sz="0" w:space="0" w:color="auto"/>
        </w:tblBorders>
        <w:tblLook w:val="0600" w:firstRow="0" w:lastRow="0" w:firstColumn="0" w:lastColumn="0" w:noHBand="1" w:noVBand="1"/>
      </w:tblPr>
      <w:tblGrid>
        <w:gridCol w:w="4630"/>
        <w:gridCol w:w="1772"/>
        <w:gridCol w:w="1608"/>
        <w:gridCol w:w="1610"/>
      </w:tblGrid>
      <w:tr w:rsidR="003E7F07" w:rsidRPr="001824FA" w14:paraId="0472696D" w14:textId="77777777" w:rsidTr="00EF2D36">
        <w:trPr>
          <w:trHeight w:val="57"/>
        </w:trPr>
        <w:tc>
          <w:tcPr>
            <w:tcW w:w="2406" w:type="pct"/>
            <w:tcBorders>
              <w:top w:val="single" w:sz="4" w:space="0" w:color="auto"/>
              <w:left w:val="nil"/>
            </w:tcBorders>
          </w:tcPr>
          <w:p w14:paraId="5288BE25" w14:textId="77777777" w:rsidR="001824FA" w:rsidRPr="001824FA" w:rsidRDefault="001824FA" w:rsidP="001824FA">
            <w:pPr>
              <w:contextualSpacing/>
              <w:rPr>
                <w:sz w:val="20"/>
                <w:szCs w:val="20"/>
              </w:rPr>
            </w:pPr>
          </w:p>
        </w:tc>
        <w:tc>
          <w:tcPr>
            <w:tcW w:w="921" w:type="pct"/>
            <w:tcBorders>
              <w:top w:val="single" w:sz="4" w:space="0" w:color="auto"/>
              <w:bottom w:val="single" w:sz="4" w:space="0" w:color="auto"/>
            </w:tcBorders>
          </w:tcPr>
          <w:p w14:paraId="62F3674F" w14:textId="77777777" w:rsidR="001824FA" w:rsidRPr="001824FA" w:rsidRDefault="001824FA" w:rsidP="001824FA">
            <w:pPr>
              <w:contextualSpacing/>
              <w:jc w:val="center"/>
              <w:rPr>
                <w:sz w:val="20"/>
                <w:szCs w:val="20"/>
              </w:rPr>
            </w:pPr>
            <w:r w:rsidRPr="001824FA">
              <w:rPr>
                <w:b/>
                <w:sz w:val="20"/>
                <w:szCs w:val="20"/>
              </w:rPr>
              <w:t>Población Total</w:t>
            </w:r>
          </w:p>
          <w:p w14:paraId="2ECF21AF" w14:textId="77777777" w:rsidR="001824FA" w:rsidRPr="001824FA" w:rsidRDefault="001824FA" w:rsidP="001824FA">
            <w:pPr>
              <w:contextualSpacing/>
              <w:jc w:val="center"/>
              <w:rPr>
                <w:sz w:val="20"/>
                <w:szCs w:val="20"/>
              </w:rPr>
            </w:pPr>
            <w:r w:rsidRPr="001824FA">
              <w:rPr>
                <w:b/>
                <w:sz w:val="20"/>
                <w:szCs w:val="20"/>
              </w:rPr>
              <w:t>(N=231)</w:t>
            </w:r>
          </w:p>
        </w:tc>
        <w:tc>
          <w:tcPr>
            <w:tcW w:w="836" w:type="pct"/>
            <w:tcBorders>
              <w:top w:val="single" w:sz="4" w:space="0" w:color="auto"/>
              <w:bottom w:val="single" w:sz="4" w:space="0" w:color="auto"/>
            </w:tcBorders>
          </w:tcPr>
          <w:p w14:paraId="0E49F943" w14:textId="5E9A6041" w:rsidR="001824FA" w:rsidRPr="001824FA" w:rsidRDefault="001824FA" w:rsidP="001824FA">
            <w:pPr>
              <w:contextualSpacing/>
              <w:jc w:val="center"/>
              <w:rPr>
                <w:b/>
                <w:sz w:val="20"/>
                <w:szCs w:val="20"/>
              </w:rPr>
            </w:pPr>
            <w:r w:rsidRPr="001824FA">
              <w:rPr>
                <w:b/>
                <w:sz w:val="20"/>
                <w:szCs w:val="20"/>
              </w:rPr>
              <w:t>Población no sanitaria</w:t>
            </w:r>
          </w:p>
          <w:p w14:paraId="46EC45EC" w14:textId="77777777" w:rsidR="001824FA" w:rsidRPr="001824FA" w:rsidRDefault="001824FA" w:rsidP="001824FA">
            <w:pPr>
              <w:contextualSpacing/>
              <w:jc w:val="center"/>
              <w:rPr>
                <w:sz w:val="20"/>
                <w:szCs w:val="20"/>
              </w:rPr>
            </w:pPr>
            <w:r w:rsidRPr="001824FA">
              <w:rPr>
                <w:b/>
                <w:sz w:val="20"/>
                <w:szCs w:val="20"/>
              </w:rPr>
              <w:t>(n=158)</w:t>
            </w:r>
          </w:p>
        </w:tc>
        <w:tc>
          <w:tcPr>
            <w:tcW w:w="837" w:type="pct"/>
            <w:tcBorders>
              <w:top w:val="single" w:sz="4" w:space="0" w:color="auto"/>
              <w:bottom w:val="single" w:sz="4" w:space="0" w:color="auto"/>
              <w:right w:val="nil"/>
            </w:tcBorders>
          </w:tcPr>
          <w:p w14:paraId="3DDF3A17" w14:textId="31645A2E" w:rsidR="001824FA" w:rsidRPr="001824FA" w:rsidRDefault="001824FA" w:rsidP="001824FA">
            <w:pPr>
              <w:contextualSpacing/>
              <w:jc w:val="center"/>
              <w:rPr>
                <w:sz w:val="20"/>
                <w:szCs w:val="20"/>
              </w:rPr>
            </w:pPr>
            <w:r w:rsidRPr="001824FA">
              <w:rPr>
                <w:b/>
                <w:sz w:val="20"/>
                <w:szCs w:val="20"/>
              </w:rPr>
              <w:t>Población sanitaria</w:t>
            </w:r>
          </w:p>
          <w:p w14:paraId="37C46563" w14:textId="77777777" w:rsidR="001824FA" w:rsidRPr="001824FA" w:rsidRDefault="001824FA" w:rsidP="001824FA">
            <w:pPr>
              <w:contextualSpacing/>
              <w:jc w:val="center"/>
              <w:rPr>
                <w:sz w:val="20"/>
                <w:szCs w:val="20"/>
              </w:rPr>
            </w:pPr>
            <w:r w:rsidRPr="001824FA">
              <w:rPr>
                <w:b/>
                <w:sz w:val="20"/>
                <w:szCs w:val="20"/>
              </w:rPr>
              <w:t>(n=73)</w:t>
            </w:r>
          </w:p>
        </w:tc>
      </w:tr>
      <w:tr w:rsidR="003E7F07" w:rsidRPr="001824FA" w14:paraId="19D1850A" w14:textId="77777777" w:rsidTr="00EF2D36">
        <w:trPr>
          <w:trHeight w:val="117"/>
        </w:trPr>
        <w:tc>
          <w:tcPr>
            <w:tcW w:w="2406" w:type="pct"/>
            <w:tcBorders>
              <w:left w:val="nil"/>
            </w:tcBorders>
          </w:tcPr>
          <w:p w14:paraId="0E6E360C" w14:textId="77777777" w:rsidR="001824FA" w:rsidRPr="001824FA" w:rsidRDefault="001824FA" w:rsidP="001824FA">
            <w:pPr>
              <w:contextualSpacing/>
              <w:rPr>
                <w:sz w:val="20"/>
                <w:szCs w:val="20"/>
              </w:rPr>
            </w:pPr>
          </w:p>
        </w:tc>
        <w:tc>
          <w:tcPr>
            <w:tcW w:w="921" w:type="pct"/>
            <w:tcBorders>
              <w:top w:val="single" w:sz="4" w:space="0" w:color="auto"/>
              <w:bottom w:val="single" w:sz="4" w:space="0" w:color="auto"/>
            </w:tcBorders>
          </w:tcPr>
          <w:p w14:paraId="351C16F1" w14:textId="1819E1B6" w:rsidR="001824FA" w:rsidRPr="001824FA" w:rsidRDefault="001824FA" w:rsidP="001824FA">
            <w:pPr>
              <w:contextualSpacing/>
              <w:jc w:val="center"/>
              <w:rPr>
                <w:sz w:val="20"/>
                <w:szCs w:val="20"/>
              </w:rPr>
            </w:pPr>
            <w:proofErr w:type="gramStart"/>
            <w:r w:rsidRPr="00EF2778">
              <w:rPr>
                <w:b/>
                <w:sz w:val="20"/>
                <w:szCs w:val="20"/>
              </w:rPr>
              <w:t>n</w:t>
            </w:r>
            <w:proofErr w:type="gramEnd"/>
            <w:r w:rsidRPr="00EF2778">
              <w:rPr>
                <w:b/>
                <w:sz w:val="20"/>
                <w:szCs w:val="20"/>
              </w:rPr>
              <w:t xml:space="preserve"> (%)</w:t>
            </w:r>
          </w:p>
        </w:tc>
        <w:tc>
          <w:tcPr>
            <w:tcW w:w="836" w:type="pct"/>
            <w:tcBorders>
              <w:top w:val="single" w:sz="4" w:space="0" w:color="auto"/>
              <w:bottom w:val="single" w:sz="4" w:space="0" w:color="auto"/>
            </w:tcBorders>
          </w:tcPr>
          <w:p w14:paraId="46FE2E20" w14:textId="5110143B" w:rsidR="001824FA" w:rsidRPr="001824FA" w:rsidRDefault="001824FA" w:rsidP="001824FA">
            <w:pPr>
              <w:contextualSpacing/>
              <w:jc w:val="center"/>
              <w:rPr>
                <w:b/>
                <w:sz w:val="20"/>
                <w:szCs w:val="20"/>
              </w:rPr>
            </w:pPr>
            <w:proofErr w:type="gramStart"/>
            <w:r w:rsidRPr="00EF2778">
              <w:rPr>
                <w:b/>
                <w:sz w:val="20"/>
                <w:szCs w:val="20"/>
              </w:rPr>
              <w:t>n</w:t>
            </w:r>
            <w:proofErr w:type="gramEnd"/>
            <w:r w:rsidRPr="00EF2778">
              <w:rPr>
                <w:b/>
                <w:sz w:val="20"/>
                <w:szCs w:val="20"/>
              </w:rPr>
              <w:t xml:space="preserve"> (%)</w:t>
            </w:r>
          </w:p>
        </w:tc>
        <w:tc>
          <w:tcPr>
            <w:tcW w:w="837" w:type="pct"/>
            <w:tcBorders>
              <w:top w:val="single" w:sz="4" w:space="0" w:color="auto"/>
              <w:bottom w:val="single" w:sz="4" w:space="0" w:color="auto"/>
              <w:right w:val="nil"/>
            </w:tcBorders>
          </w:tcPr>
          <w:p w14:paraId="0088C3F0" w14:textId="1BC782EA" w:rsidR="001824FA" w:rsidRPr="001824FA" w:rsidRDefault="001824FA" w:rsidP="001824FA">
            <w:pPr>
              <w:contextualSpacing/>
              <w:jc w:val="center"/>
              <w:rPr>
                <w:sz w:val="20"/>
                <w:szCs w:val="20"/>
              </w:rPr>
            </w:pPr>
            <w:proofErr w:type="gramStart"/>
            <w:r w:rsidRPr="00EF2778">
              <w:rPr>
                <w:b/>
                <w:sz w:val="20"/>
                <w:szCs w:val="20"/>
              </w:rPr>
              <w:t>n</w:t>
            </w:r>
            <w:proofErr w:type="gramEnd"/>
            <w:r w:rsidRPr="00EF2778">
              <w:rPr>
                <w:b/>
                <w:sz w:val="20"/>
                <w:szCs w:val="20"/>
              </w:rPr>
              <w:t xml:space="preserve"> (%)</w:t>
            </w:r>
          </w:p>
        </w:tc>
      </w:tr>
      <w:tr w:rsidR="001824FA" w:rsidRPr="001824FA" w14:paraId="6768C5E9" w14:textId="77777777" w:rsidTr="00EF2D36">
        <w:trPr>
          <w:trHeight w:val="57"/>
        </w:trPr>
        <w:tc>
          <w:tcPr>
            <w:tcW w:w="2406" w:type="pct"/>
            <w:tcBorders>
              <w:left w:val="nil"/>
            </w:tcBorders>
          </w:tcPr>
          <w:p w14:paraId="15E9829D" w14:textId="77777777" w:rsidR="001824FA" w:rsidRPr="001824FA" w:rsidRDefault="001824FA" w:rsidP="001824FA">
            <w:pPr>
              <w:contextualSpacing/>
              <w:rPr>
                <w:sz w:val="20"/>
                <w:szCs w:val="20"/>
              </w:rPr>
            </w:pPr>
            <w:r w:rsidRPr="001824FA">
              <w:rPr>
                <w:b/>
                <w:sz w:val="20"/>
                <w:szCs w:val="20"/>
              </w:rPr>
              <w:t>Género</w:t>
            </w:r>
          </w:p>
        </w:tc>
        <w:tc>
          <w:tcPr>
            <w:tcW w:w="921" w:type="pct"/>
            <w:tcBorders>
              <w:top w:val="single" w:sz="4" w:space="0" w:color="auto"/>
            </w:tcBorders>
          </w:tcPr>
          <w:p w14:paraId="3A4485EF" w14:textId="77777777" w:rsidR="001824FA" w:rsidRPr="001824FA" w:rsidRDefault="001824FA" w:rsidP="001824FA">
            <w:pPr>
              <w:contextualSpacing/>
              <w:jc w:val="center"/>
              <w:rPr>
                <w:sz w:val="20"/>
                <w:szCs w:val="20"/>
              </w:rPr>
            </w:pPr>
          </w:p>
        </w:tc>
        <w:tc>
          <w:tcPr>
            <w:tcW w:w="836" w:type="pct"/>
            <w:tcBorders>
              <w:top w:val="single" w:sz="4" w:space="0" w:color="auto"/>
            </w:tcBorders>
          </w:tcPr>
          <w:p w14:paraId="4348EA59" w14:textId="77777777" w:rsidR="001824FA" w:rsidRPr="001824FA" w:rsidRDefault="001824FA" w:rsidP="001824FA">
            <w:pPr>
              <w:contextualSpacing/>
              <w:jc w:val="center"/>
              <w:rPr>
                <w:sz w:val="20"/>
                <w:szCs w:val="20"/>
              </w:rPr>
            </w:pPr>
          </w:p>
        </w:tc>
        <w:tc>
          <w:tcPr>
            <w:tcW w:w="837" w:type="pct"/>
            <w:tcBorders>
              <w:top w:val="single" w:sz="4" w:space="0" w:color="auto"/>
              <w:right w:val="nil"/>
            </w:tcBorders>
          </w:tcPr>
          <w:p w14:paraId="1334B0A1" w14:textId="77777777" w:rsidR="001824FA" w:rsidRPr="001824FA" w:rsidRDefault="001824FA" w:rsidP="001824FA">
            <w:pPr>
              <w:contextualSpacing/>
              <w:jc w:val="center"/>
              <w:rPr>
                <w:sz w:val="20"/>
                <w:szCs w:val="20"/>
              </w:rPr>
            </w:pPr>
          </w:p>
        </w:tc>
      </w:tr>
      <w:tr w:rsidR="001824FA" w:rsidRPr="001824FA" w14:paraId="541920AC" w14:textId="77777777" w:rsidTr="00EF2D36">
        <w:trPr>
          <w:trHeight w:val="57"/>
        </w:trPr>
        <w:tc>
          <w:tcPr>
            <w:tcW w:w="2406" w:type="pct"/>
            <w:tcBorders>
              <w:left w:val="nil"/>
            </w:tcBorders>
          </w:tcPr>
          <w:p w14:paraId="397D690A" w14:textId="77777777" w:rsidR="001824FA" w:rsidRPr="001824FA" w:rsidRDefault="001824FA" w:rsidP="001824FA">
            <w:pPr>
              <w:contextualSpacing/>
              <w:rPr>
                <w:sz w:val="20"/>
                <w:szCs w:val="20"/>
              </w:rPr>
            </w:pPr>
            <w:r w:rsidRPr="001824FA">
              <w:rPr>
                <w:sz w:val="20"/>
                <w:szCs w:val="20"/>
              </w:rPr>
              <w:t>Mujer</w:t>
            </w:r>
          </w:p>
        </w:tc>
        <w:tc>
          <w:tcPr>
            <w:tcW w:w="921" w:type="pct"/>
          </w:tcPr>
          <w:p w14:paraId="1B3385F8" w14:textId="4E0CC980" w:rsidR="001824FA" w:rsidRPr="001824FA" w:rsidRDefault="002A7FAB" w:rsidP="001824FA">
            <w:pPr>
              <w:contextualSpacing/>
              <w:jc w:val="center"/>
              <w:rPr>
                <w:sz w:val="20"/>
                <w:szCs w:val="20"/>
              </w:rPr>
            </w:pPr>
            <w:r>
              <w:rPr>
                <w:sz w:val="20"/>
                <w:szCs w:val="20"/>
              </w:rPr>
              <w:t>175 (75.</w:t>
            </w:r>
            <w:r w:rsidR="001824FA" w:rsidRPr="001824FA">
              <w:rPr>
                <w:sz w:val="20"/>
                <w:szCs w:val="20"/>
              </w:rPr>
              <w:t>8%)</w:t>
            </w:r>
          </w:p>
        </w:tc>
        <w:tc>
          <w:tcPr>
            <w:tcW w:w="836" w:type="pct"/>
          </w:tcPr>
          <w:p w14:paraId="026A8BF3" w14:textId="7840CA98" w:rsidR="001824FA" w:rsidRPr="001824FA" w:rsidRDefault="002A7FAB" w:rsidP="001824FA">
            <w:pPr>
              <w:contextualSpacing/>
              <w:jc w:val="center"/>
              <w:rPr>
                <w:sz w:val="20"/>
                <w:szCs w:val="20"/>
              </w:rPr>
            </w:pPr>
            <w:r>
              <w:rPr>
                <w:sz w:val="20"/>
                <w:szCs w:val="20"/>
              </w:rPr>
              <w:t>120 (75.</w:t>
            </w:r>
            <w:r w:rsidR="001824FA" w:rsidRPr="001824FA">
              <w:rPr>
                <w:sz w:val="20"/>
                <w:szCs w:val="20"/>
              </w:rPr>
              <w:t>9%)</w:t>
            </w:r>
          </w:p>
        </w:tc>
        <w:tc>
          <w:tcPr>
            <w:tcW w:w="837" w:type="pct"/>
            <w:tcBorders>
              <w:right w:val="nil"/>
            </w:tcBorders>
          </w:tcPr>
          <w:p w14:paraId="07B55F63" w14:textId="797CA636" w:rsidR="001824FA" w:rsidRPr="001824FA" w:rsidRDefault="002A7FAB" w:rsidP="001824FA">
            <w:pPr>
              <w:contextualSpacing/>
              <w:jc w:val="center"/>
              <w:rPr>
                <w:sz w:val="20"/>
                <w:szCs w:val="20"/>
              </w:rPr>
            </w:pPr>
            <w:r>
              <w:rPr>
                <w:sz w:val="20"/>
                <w:szCs w:val="20"/>
              </w:rPr>
              <w:t>55 (75.</w:t>
            </w:r>
            <w:r w:rsidR="001824FA" w:rsidRPr="001824FA">
              <w:rPr>
                <w:sz w:val="20"/>
                <w:szCs w:val="20"/>
              </w:rPr>
              <w:t>3%)</w:t>
            </w:r>
          </w:p>
        </w:tc>
      </w:tr>
      <w:tr w:rsidR="001824FA" w:rsidRPr="001824FA" w14:paraId="76DD72E9" w14:textId="77777777" w:rsidTr="00EF2D36">
        <w:trPr>
          <w:trHeight w:val="57"/>
        </w:trPr>
        <w:tc>
          <w:tcPr>
            <w:tcW w:w="2406" w:type="pct"/>
            <w:tcBorders>
              <w:left w:val="nil"/>
            </w:tcBorders>
          </w:tcPr>
          <w:p w14:paraId="630739CE" w14:textId="77777777" w:rsidR="001824FA" w:rsidRPr="001824FA" w:rsidRDefault="001824FA" w:rsidP="001824FA">
            <w:pPr>
              <w:contextualSpacing/>
              <w:rPr>
                <w:sz w:val="20"/>
                <w:szCs w:val="20"/>
              </w:rPr>
            </w:pPr>
            <w:r w:rsidRPr="001824FA">
              <w:rPr>
                <w:sz w:val="20"/>
                <w:szCs w:val="20"/>
              </w:rPr>
              <w:t>Hombre</w:t>
            </w:r>
          </w:p>
        </w:tc>
        <w:tc>
          <w:tcPr>
            <w:tcW w:w="921" w:type="pct"/>
          </w:tcPr>
          <w:p w14:paraId="27416D14" w14:textId="65EC5A00" w:rsidR="001824FA" w:rsidRPr="001824FA" w:rsidRDefault="002A7FAB" w:rsidP="001824FA">
            <w:pPr>
              <w:contextualSpacing/>
              <w:jc w:val="center"/>
              <w:rPr>
                <w:sz w:val="20"/>
                <w:szCs w:val="20"/>
              </w:rPr>
            </w:pPr>
            <w:r>
              <w:rPr>
                <w:sz w:val="20"/>
                <w:szCs w:val="20"/>
              </w:rPr>
              <w:t>55 (23.</w:t>
            </w:r>
            <w:r w:rsidR="001824FA" w:rsidRPr="001824FA">
              <w:rPr>
                <w:sz w:val="20"/>
                <w:szCs w:val="20"/>
              </w:rPr>
              <w:t>8%)</w:t>
            </w:r>
          </w:p>
        </w:tc>
        <w:tc>
          <w:tcPr>
            <w:tcW w:w="836" w:type="pct"/>
          </w:tcPr>
          <w:p w14:paraId="390C1395" w14:textId="336DED2E" w:rsidR="001824FA" w:rsidRPr="001824FA" w:rsidRDefault="002A7FAB" w:rsidP="001824FA">
            <w:pPr>
              <w:contextualSpacing/>
              <w:jc w:val="center"/>
              <w:rPr>
                <w:sz w:val="20"/>
                <w:szCs w:val="20"/>
              </w:rPr>
            </w:pPr>
            <w:r>
              <w:rPr>
                <w:sz w:val="20"/>
                <w:szCs w:val="20"/>
              </w:rPr>
              <w:t>37 (23.</w:t>
            </w:r>
            <w:r w:rsidR="001824FA" w:rsidRPr="001824FA">
              <w:rPr>
                <w:sz w:val="20"/>
                <w:szCs w:val="20"/>
              </w:rPr>
              <w:t>4%)</w:t>
            </w:r>
          </w:p>
        </w:tc>
        <w:tc>
          <w:tcPr>
            <w:tcW w:w="837" w:type="pct"/>
            <w:tcBorders>
              <w:right w:val="nil"/>
            </w:tcBorders>
          </w:tcPr>
          <w:p w14:paraId="0EF8B8FD" w14:textId="4ACCFB98" w:rsidR="001824FA" w:rsidRPr="001824FA" w:rsidRDefault="002A7FAB" w:rsidP="001824FA">
            <w:pPr>
              <w:contextualSpacing/>
              <w:jc w:val="center"/>
              <w:rPr>
                <w:sz w:val="20"/>
                <w:szCs w:val="20"/>
              </w:rPr>
            </w:pPr>
            <w:r>
              <w:rPr>
                <w:sz w:val="20"/>
                <w:szCs w:val="20"/>
              </w:rPr>
              <w:t>18 (24.</w:t>
            </w:r>
            <w:r w:rsidR="001824FA" w:rsidRPr="001824FA">
              <w:rPr>
                <w:sz w:val="20"/>
                <w:szCs w:val="20"/>
              </w:rPr>
              <w:t>7%)</w:t>
            </w:r>
          </w:p>
        </w:tc>
      </w:tr>
      <w:tr w:rsidR="001824FA" w:rsidRPr="001824FA" w14:paraId="193B13B7" w14:textId="77777777" w:rsidTr="00EF2D36">
        <w:trPr>
          <w:trHeight w:val="57"/>
        </w:trPr>
        <w:tc>
          <w:tcPr>
            <w:tcW w:w="2406" w:type="pct"/>
            <w:tcBorders>
              <w:left w:val="nil"/>
            </w:tcBorders>
          </w:tcPr>
          <w:p w14:paraId="288E4CE8" w14:textId="77777777" w:rsidR="001824FA" w:rsidRPr="001824FA" w:rsidRDefault="001824FA" w:rsidP="001824FA">
            <w:pPr>
              <w:contextualSpacing/>
              <w:rPr>
                <w:sz w:val="20"/>
                <w:szCs w:val="20"/>
              </w:rPr>
            </w:pPr>
            <w:r w:rsidRPr="001824FA">
              <w:rPr>
                <w:sz w:val="20"/>
                <w:szCs w:val="20"/>
              </w:rPr>
              <w:t>No binario</w:t>
            </w:r>
          </w:p>
        </w:tc>
        <w:tc>
          <w:tcPr>
            <w:tcW w:w="921" w:type="pct"/>
          </w:tcPr>
          <w:p w14:paraId="76292849" w14:textId="2217F272" w:rsidR="001824FA" w:rsidRPr="001824FA" w:rsidRDefault="002A7FAB" w:rsidP="001824FA">
            <w:pPr>
              <w:contextualSpacing/>
              <w:jc w:val="center"/>
              <w:rPr>
                <w:sz w:val="20"/>
                <w:szCs w:val="20"/>
              </w:rPr>
            </w:pPr>
            <w:r>
              <w:rPr>
                <w:sz w:val="20"/>
                <w:szCs w:val="20"/>
              </w:rPr>
              <w:t>1 (0.</w:t>
            </w:r>
            <w:r w:rsidR="001824FA" w:rsidRPr="001824FA">
              <w:rPr>
                <w:sz w:val="20"/>
                <w:szCs w:val="20"/>
              </w:rPr>
              <w:t>4%)</w:t>
            </w:r>
          </w:p>
        </w:tc>
        <w:tc>
          <w:tcPr>
            <w:tcW w:w="836" w:type="pct"/>
          </w:tcPr>
          <w:p w14:paraId="7EC6A03B" w14:textId="6BADEF2C" w:rsidR="001824FA" w:rsidRPr="001824FA" w:rsidRDefault="002A7FAB" w:rsidP="001824FA">
            <w:pPr>
              <w:contextualSpacing/>
              <w:jc w:val="center"/>
              <w:rPr>
                <w:sz w:val="20"/>
                <w:szCs w:val="20"/>
              </w:rPr>
            </w:pPr>
            <w:r>
              <w:rPr>
                <w:sz w:val="20"/>
                <w:szCs w:val="20"/>
              </w:rPr>
              <w:t>1 (0.</w:t>
            </w:r>
            <w:r w:rsidR="001824FA" w:rsidRPr="001824FA">
              <w:rPr>
                <w:sz w:val="20"/>
                <w:szCs w:val="20"/>
              </w:rPr>
              <w:t>6%)</w:t>
            </w:r>
          </w:p>
        </w:tc>
        <w:tc>
          <w:tcPr>
            <w:tcW w:w="837" w:type="pct"/>
            <w:tcBorders>
              <w:right w:val="nil"/>
            </w:tcBorders>
          </w:tcPr>
          <w:p w14:paraId="40370156" w14:textId="77777777" w:rsidR="001824FA" w:rsidRPr="001824FA" w:rsidRDefault="001824FA" w:rsidP="001824FA">
            <w:pPr>
              <w:contextualSpacing/>
              <w:jc w:val="center"/>
              <w:rPr>
                <w:sz w:val="20"/>
                <w:szCs w:val="20"/>
              </w:rPr>
            </w:pPr>
            <w:r w:rsidRPr="001824FA">
              <w:rPr>
                <w:sz w:val="20"/>
                <w:szCs w:val="20"/>
              </w:rPr>
              <w:t>-</w:t>
            </w:r>
          </w:p>
        </w:tc>
      </w:tr>
      <w:tr w:rsidR="001824FA" w:rsidRPr="001824FA" w14:paraId="242161AB" w14:textId="77777777" w:rsidTr="00EF2D36">
        <w:trPr>
          <w:trHeight w:val="57"/>
        </w:trPr>
        <w:tc>
          <w:tcPr>
            <w:tcW w:w="2406" w:type="pct"/>
            <w:tcBorders>
              <w:left w:val="nil"/>
            </w:tcBorders>
          </w:tcPr>
          <w:p w14:paraId="0A70144C" w14:textId="4205FF5C" w:rsidR="001824FA" w:rsidRPr="001824FA" w:rsidRDefault="001824FA" w:rsidP="001824FA">
            <w:pPr>
              <w:contextualSpacing/>
              <w:rPr>
                <w:b/>
                <w:sz w:val="20"/>
                <w:szCs w:val="20"/>
              </w:rPr>
            </w:pPr>
            <w:r w:rsidRPr="001824FA">
              <w:rPr>
                <w:b/>
                <w:sz w:val="20"/>
                <w:szCs w:val="20"/>
              </w:rPr>
              <w:t>Personas a cargo</w:t>
            </w:r>
          </w:p>
        </w:tc>
        <w:tc>
          <w:tcPr>
            <w:tcW w:w="921" w:type="pct"/>
          </w:tcPr>
          <w:p w14:paraId="08C75FA9" w14:textId="77777777" w:rsidR="001824FA" w:rsidRPr="001824FA" w:rsidRDefault="001824FA" w:rsidP="001824FA">
            <w:pPr>
              <w:contextualSpacing/>
              <w:jc w:val="center"/>
              <w:rPr>
                <w:sz w:val="20"/>
                <w:szCs w:val="20"/>
              </w:rPr>
            </w:pPr>
          </w:p>
        </w:tc>
        <w:tc>
          <w:tcPr>
            <w:tcW w:w="836" w:type="pct"/>
          </w:tcPr>
          <w:p w14:paraId="12CB8A7B" w14:textId="77777777" w:rsidR="001824FA" w:rsidRPr="001824FA" w:rsidRDefault="001824FA" w:rsidP="001824FA">
            <w:pPr>
              <w:contextualSpacing/>
              <w:jc w:val="center"/>
              <w:rPr>
                <w:sz w:val="20"/>
                <w:szCs w:val="20"/>
              </w:rPr>
            </w:pPr>
          </w:p>
        </w:tc>
        <w:tc>
          <w:tcPr>
            <w:tcW w:w="837" w:type="pct"/>
            <w:tcBorders>
              <w:right w:val="nil"/>
            </w:tcBorders>
          </w:tcPr>
          <w:p w14:paraId="12CED72C" w14:textId="77777777" w:rsidR="001824FA" w:rsidRPr="001824FA" w:rsidRDefault="001824FA" w:rsidP="001824FA">
            <w:pPr>
              <w:contextualSpacing/>
              <w:jc w:val="center"/>
              <w:rPr>
                <w:sz w:val="20"/>
                <w:szCs w:val="20"/>
              </w:rPr>
            </w:pPr>
          </w:p>
        </w:tc>
      </w:tr>
      <w:tr w:rsidR="003E7F07" w:rsidRPr="001824FA" w14:paraId="7C60CF78" w14:textId="77777777" w:rsidTr="00EF2D36">
        <w:trPr>
          <w:trHeight w:val="57"/>
        </w:trPr>
        <w:tc>
          <w:tcPr>
            <w:tcW w:w="2406" w:type="pct"/>
            <w:tcBorders>
              <w:left w:val="nil"/>
            </w:tcBorders>
          </w:tcPr>
          <w:p w14:paraId="2FAC96D1" w14:textId="77777777" w:rsidR="001824FA" w:rsidRPr="001824FA" w:rsidRDefault="001824FA" w:rsidP="001824FA">
            <w:pPr>
              <w:contextualSpacing/>
              <w:rPr>
                <w:sz w:val="20"/>
                <w:szCs w:val="20"/>
              </w:rPr>
            </w:pPr>
            <w:r w:rsidRPr="001824FA">
              <w:rPr>
                <w:sz w:val="20"/>
                <w:szCs w:val="20"/>
              </w:rPr>
              <w:t>Hijos/as**</w:t>
            </w:r>
          </w:p>
        </w:tc>
        <w:tc>
          <w:tcPr>
            <w:tcW w:w="921" w:type="pct"/>
          </w:tcPr>
          <w:p w14:paraId="0B22A486" w14:textId="6B7E72FA" w:rsidR="001824FA" w:rsidRPr="001824FA" w:rsidRDefault="002A7FAB" w:rsidP="001824FA">
            <w:pPr>
              <w:contextualSpacing/>
              <w:jc w:val="center"/>
              <w:rPr>
                <w:sz w:val="20"/>
                <w:szCs w:val="20"/>
              </w:rPr>
            </w:pPr>
            <w:r>
              <w:rPr>
                <w:sz w:val="20"/>
                <w:szCs w:val="20"/>
              </w:rPr>
              <w:t>55 (22.</w:t>
            </w:r>
            <w:r w:rsidR="001824FA" w:rsidRPr="001824FA">
              <w:rPr>
                <w:sz w:val="20"/>
                <w:szCs w:val="20"/>
              </w:rPr>
              <w:t>6%)</w:t>
            </w:r>
          </w:p>
        </w:tc>
        <w:tc>
          <w:tcPr>
            <w:tcW w:w="836" w:type="pct"/>
          </w:tcPr>
          <w:p w14:paraId="015C976C" w14:textId="71EC8234" w:rsidR="001824FA" w:rsidRPr="001824FA" w:rsidRDefault="002A7FAB" w:rsidP="001824FA">
            <w:pPr>
              <w:contextualSpacing/>
              <w:jc w:val="center"/>
              <w:rPr>
                <w:sz w:val="20"/>
                <w:szCs w:val="20"/>
              </w:rPr>
            </w:pPr>
            <w:r>
              <w:rPr>
                <w:sz w:val="20"/>
                <w:szCs w:val="20"/>
              </w:rPr>
              <w:t>21 (12.</w:t>
            </w:r>
            <w:r w:rsidR="001824FA" w:rsidRPr="001824FA">
              <w:rPr>
                <w:sz w:val="20"/>
                <w:szCs w:val="20"/>
              </w:rPr>
              <w:t>5%)</w:t>
            </w:r>
          </w:p>
        </w:tc>
        <w:tc>
          <w:tcPr>
            <w:tcW w:w="837" w:type="pct"/>
            <w:tcBorders>
              <w:right w:val="nil"/>
            </w:tcBorders>
          </w:tcPr>
          <w:p w14:paraId="5473DFE2" w14:textId="5CA6AC6D" w:rsidR="001824FA" w:rsidRPr="001824FA" w:rsidRDefault="001824FA" w:rsidP="001824FA">
            <w:pPr>
              <w:contextualSpacing/>
              <w:jc w:val="center"/>
              <w:rPr>
                <w:sz w:val="20"/>
                <w:szCs w:val="20"/>
              </w:rPr>
            </w:pPr>
            <w:r w:rsidRPr="001824FA">
              <w:rPr>
                <w:sz w:val="20"/>
                <w:szCs w:val="20"/>
              </w:rPr>
              <w:t xml:space="preserve">34 </w:t>
            </w:r>
            <w:r w:rsidR="002A7FAB">
              <w:rPr>
                <w:sz w:val="20"/>
                <w:szCs w:val="20"/>
              </w:rPr>
              <w:t>(45.</w:t>
            </w:r>
            <w:r w:rsidRPr="001824FA">
              <w:rPr>
                <w:sz w:val="20"/>
                <w:szCs w:val="20"/>
              </w:rPr>
              <w:t>3%)</w:t>
            </w:r>
          </w:p>
        </w:tc>
      </w:tr>
      <w:tr w:rsidR="003E7F07" w:rsidRPr="001824FA" w14:paraId="4FD6F71B" w14:textId="77777777" w:rsidTr="00EF2D36">
        <w:trPr>
          <w:trHeight w:val="57"/>
        </w:trPr>
        <w:tc>
          <w:tcPr>
            <w:tcW w:w="2406" w:type="pct"/>
            <w:tcBorders>
              <w:left w:val="nil"/>
            </w:tcBorders>
          </w:tcPr>
          <w:p w14:paraId="29041DCA" w14:textId="77777777" w:rsidR="001824FA" w:rsidRPr="001824FA" w:rsidRDefault="001824FA" w:rsidP="001824FA">
            <w:pPr>
              <w:contextualSpacing/>
              <w:rPr>
                <w:sz w:val="20"/>
                <w:szCs w:val="20"/>
              </w:rPr>
            </w:pPr>
            <w:r w:rsidRPr="001824FA">
              <w:rPr>
                <w:sz w:val="20"/>
                <w:szCs w:val="20"/>
              </w:rPr>
              <w:t>Personas mayores</w:t>
            </w:r>
          </w:p>
        </w:tc>
        <w:tc>
          <w:tcPr>
            <w:tcW w:w="921" w:type="pct"/>
          </w:tcPr>
          <w:p w14:paraId="1DF79724" w14:textId="3C21352D" w:rsidR="001824FA" w:rsidRPr="001824FA" w:rsidRDefault="002A7FAB" w:rsidP="001824FA">
            <w:pPr>
              <w:contextualSpacing/>
              <w:jc w:val="center"/>
              <w:rPr>
                <w:sz w:val="20"/>
                <w:szCs w:val="20"/>
              </w:rPr>
            </w:pPr>
            <w:r>
              <w:rPr>
                <w:sz w:val="20"/>
                <w:szCs w:val="20"/>
              </w:rPr>
              <w:t>27 (11.</w:t>
            </w:r>
            <w:r w:rsidR="001824FA" w:rsidRPr="001824FA">
              <w:rPr>
                <w:sz w:val="20"/>
                <w:szCs w:val="20"/>
              </w:rPr>
              <w:t>1%)</w:t>
            </w:r>
          </w:p>
        </w:tc>
        <w:tc>
          <w:tcPr>
            <w:tcW w:w="836" w:type="pct"/>
          </w:tcPr>
          <w:p w14:paraId="1D4A678F" w14:textId="5DB323B8" w:rsidR="001824FA" w:rsidRPr="001824FA" w:rsidRDefault="002A7FAB" w:rsidP="001824FA">
            <w:pPr>
              <w:contextualSpacing/>
              <w:jc w:val="center"/>
              <w:rPr>
                <w:sz w:val="20"/>
                <w:szCs w:val="20"/>
              </w:rPr>
            </w:pPr>
            <w:r>
              <w:rPr>
                <w:sz w:val="20"/>
                <w:szCs w:val="20"/>
              </w:rPr>
              <w:t>20 (11.</w:t>
            </w:r>
            <w:r w:rsidR="001824FA" w:rsidRPr="001824FA">
              <w:rPr>
                <w:sz w:val="20"/>
                <w:szCs w:val="20"/>
              </w:rPr>
              <w:t>9%)</w:t>
            </w:r>
          </w:p>
        </w:tc>
        <w:tc>
          <w:tcPr>
            <w:tcW w:w="837" w:type="pct"/>
            <w:tcBorders>
              <w:right w:val="nil"/>
            </w:tcBorders>
          </w:tcPr>
          <w:p w14:paraId="5093C41A" w14:textId="69A16D54" w:rsidR="001824FA" w:rsidRPr="001824FA" w:rsidRDefault="002A7FAB" w:rsidP="001824FA">
            <w:pPr>
              <w:contextualSpacing/>
              <w:jc w:val="center"/>
              <w:rPr>
                <w:sz w:val="20"/>
                <w:szCs w:val="20"/>
              </w:rPr>
            </w:pPr>
            <w:r>
              <w:rPr>
                <w:sz w:val="20"/>
                <w:szCs w:val="20"/>
              </w:rPr>
              <w:t>7 (9.</w:t>
            </w:r>
            <w:r w:rsidR="001824FA" w:rsidRPr="001824FA">
              <w:rPr>
                <w:sz w:val="20"/>
                <w:szCs w:val="20"/>
              </w:rPr>
              <w:t>3%)</w:t>
            </w:r>
          </w:p>
        </w:tc>
      </w:tr>
      <w:tr w:rsidR="001824FA" w:rsidRPr="001824FA" w14:paraId="61D20754" w14:textId="77777777" w:rsidTr="00EF2D36">
        <w:trPr>
          <w:trHeight w:val="57"/>
        </w:trPr>
        <w:tc>
          <w:tcPr>
            <w:tcW w:w="2406" w:type="pct"/>
            <w:tcBorders>
              <w:left w:val="nil"/>
            </w:tcBorders>
          </w:tcPr>
          <w:p w14:paraId="04D2A29A" w14:textId="77777777" w:rsidR="001824FA" w:rsidRPr="001824FA" w:rsidRDefault="001824FA" w:rsidP="001824FA">
            <w:pPr>
              <w:contextualSpacing/>
              <w:rPr>
                <w:sz w:val="20"/>
                <w:szCs w:val="20"/>
              </w:rPr>
            </w:pPr>
            <w:r w:rsidRPr="001824FA">
              <w:rPr>
                <w:sz w:val="20"/>
                <w:szCs w:val="20"/>
              </w:rPr>
              <w:t>Personas con discapacidad</w:t>
            </w:r>
          </w:p>
        </w:tc>
        <w:tc>
          <w:tcPr>
            <w:tcW w:w="921" w:type="pct"/>
          </w:tcPr>
          <w:p w14:paraId="1FB48E9E" w14:textId="14B17563" w:rsidR="001824FA" w:rsidRPr="001824FA" w:rsidRDefault="002A7FAB" w:rsidP="001824FA">
            <w:pPr>
              <w:contextualSpacing/>
              <w:jc w:val="center"/>
              <w:rPr>
                <w:sz w:val="20"/>
                <w:szCs w:val="20"/>
              </w:rPr>
            </w:pPr>
            <w:r>
              <w:rPr>
                <w:sz w:val="20"/>
                <w:szCs w:val="20"/>
              </w:rPr>
              <w:t>12 (4.</w:t>
            </w:r>
            <w:r w:rsidR="001824FA" w:rsidRPr="001824FA">
              <w:rPr>
                <w:sz w:val="20"/>
                <w:szCs w:val="20"/>
              </w:rPr>
              <w:t>9%)</w:t>
            </w:r>
          </w:p>
        </w:tc>
        <w:tc>
          <w:tcPr>
            <w:tcW w:w="836" w:type="pct"/>
          </w:tcPr>
          <w:p w14:paraId="025E341E" w14:textId="694AB43E" w:rsidR="001824FA" w:rsidRPr="001824FA" w:rsidRDefault="002A7FAB" w:rsidP="001824FA">
            <w:pPr>
              <w:contextualSpacing/>
              <w:jc w:val="center"/>
              <w:rPr>
                <w:sz w:val="20"/>
                <w:szCs w:val="20"/>
              </w:rPr>
            </w:pPr>
            <w:r>
              <w:rPr>
                <w:sz w:val="20"/>
                <w:szCs w:val="20"/>
              </w:rPr>
              <w:t>10 (6.</w:t>
            </w:r>
            <w:r w:rsidR="001824FA" w:rsidRPr="001824FA">
              <w:rPr>
                <w:sz w:val="20"/>
                <w:szCs w:val="20"/>
              </w:rPr>
              <w:t>0%)</w:t>
            </w:r>
          </w:p>
        </w:tc>
        <w:tc>
          <w:tcPr>
            <w:tcW w:w="837" w:type="pct"/>
            <w:tcBorders>
              <w:right w:val="nil"/>
            </w:tcBorders>
          </w:tcPr>
          <w:p w14:paraId="339121FF" w14:textId="103E158F" w:rsidR="001824FA" w:rsidRPr="001824FA" w:rsidRDefault="002A7FAB" w:rsidP="001824FA">
            <w:pPr>
              <w:contextualSpacing/>
              <w:jc w:val="center"/>
              <w:rPr>
                <w:sz w:val="20"/>
                <w:szCs w:val="20"/>
              </w:rPr>
            </w:pPr>
            <w:r>
              <w:rPr>
                <w:sz w:val="20"/>
                <w:szCs w:val="20"/>
              </w:rPr>
              <w:t>2 (2.</w:t>
            </w:r>
            <w:r w:rsidR="001824FA" w:rsidRPr="001824FA">
              <w:rPr>
                <w:sz w:val="20"/>
                <w:szCs w:val="20"/>
              </w:rPr>
              <w:t>7%)</w:t>
            </w:r>
          </w:p>
        </w:tc>
      </w:tr>
      <w:tr w:rsidR="001824FA" w:rsidRPr="001824FA" w14:paraId="6E4E8AB7" w14:textId="77777777" w:rsidTr="00EF2D36">
        <w:trPr>
          <w:trHeight w:val="57"/>
        </w:trPr>
        <w:tc>
          <w:tcPr>
            <w:tcW w:w="2406" w:type="pct"/>
            <w:tcBorders>
              <w:left w:val="nil"/>
            </w:tcBorders>
          </w:tcPr>
          <w:p w14:paraId="51701D99" w14:textId="77777777" w:rsidR="001824FA" w:rsidRPr="001824FA" w:rsidRDefault="001824FA" w:rsidP="001824FA">
            <w:pPr>
              <w:contextualSpacing/>
              <w:rPr>
                <w:sz w:val="20"/>
                <w:szCs w:val="20"/>
              </w:rPr>
            </w:pPr>
            <w:r w:rsidRPr="001824FA">
              <w:rPr>
                <w:sz w:val="20"/>
                <w:szCs w:val="20"/>
              </w:rPr>
              <w:t>No ha tenido personas a cargo**</w:t>
            </w:r>
          </w:p>
        </w:tc>
        <w:tc>
          <w:tcPr>
            <w:tcW w:w="921" w:type="pct"/>
          </w:tcPr>
          <w:p w14:paraId="552C48A1" w14:textId="10F63233" w:rsidR="001824FA" w:rsidRPr="001824FA" w:rsidRDefault="002A7FAB" w:rsidP="001824FA">
            <w:pPr>
              <w:contextualSpacing/>
              <w:jc w:val="center"/>
              <w:rPr>
                <w:sz w:val="20"/>
                <w:szCs w:val="20"/>
              </w:rPr>
            </w:pPr>
            <w:r>
              <w:rPr>
                <w:sz w:val="20"/>
                <w:szCs w:val="20"/>
              </w:rPr>
              <w:t>149 (61.</w:t>
            </w:r>
            <w:r w:rsidR="001824FA" w:rsidRPr="001824FA">
              <w:rPr>
                <w:sz w:val="20"/>
                <w:szCs w:val="20"/>
              </w:rPr>
              <w:t>3%)</w:t>
            </w:r>
          </w:p>
        </w:tc>
        <w:tc>
          <w:tcPr>
            <w:tcW w:w="836" w:type="pct"/>
          </w:tcPr>
          <w:p w14:paraId="3CF8690B" w14:textId="3D108830" w:rsidR="001824FA" w:rsidRPr="001824FA" w:rsidRDefault="002A7FAB" w:rsidP="001824FA">
            <w:pPr>
              <w:contextualSpacing/>
              <w:jc w:val="center"/>
              <w:rPr>
                <w:sz w:val="20"/>
                <w:szCs w:val="20"/>
              </w:rPr>
            </w:pPr>
            <w:r>
              <w:rPr>
                <w:sz w:val="20"/>
                <w:szCs w:val="20"/>
              </w:rPr>
              <w:t>117 (69.</w:t>
            </w:r>
            <w:r w:rsidR="001824FA" w:rsidRPr="001824FA">
              <w:rPr>
                <w:sz w:val="20"/>
                <w:szCs w:val="20"/>
              </w:rPr>
              <w:t>6%)</w:t>
            </w:r>
          </w:p>
        </w:tc>
        <w:tc>
          <w:tcPr>
            <w:tcW w:w="837" w:type="pct"/>
            <w:tcBorders>
              <w:right w:val="nil"/>
            </w:tcBorders>
          </w:tcPr>
          <w:p w14:paraId="3005EC7F" w14:textId="786D5D9B" w:rsidR="001824FA" w:rsidRPr="001824FA" w:rsidRDefault="002A7FAB" w:rsidP="001824FA">
            <w:pPr>
              <w:contextualSpacing/>
              <w:jc w:val="center"/>
              <w:rPr>
                <w:sz w:val="20"/>
                <w:szCs w:val="20"/>
              </w:rPr>
            </w:pPr>
            <w:r>
              <w:rPr>
                <w:sz w:val="20"/>
                <w:szCs w:val="20"/>
              </w:rPr>
              <w:t>32 (42.</w:t>
            </w:r>
            <w:r w:rsidR="001824FA" w:rsidRPr="001824FA">
              <w:rPr>
                <w:sz w:val="20"/>
                <w:szCs w:val="20"/>
              </w:rPr>
              <w:t>7%)</w:t>
            </w:r>
          </w:p>
        </w:tc>
      </w:tr>
      <w:tr w:rsidR="001824FA" w:rsidRPr="001824FA" w14:paraId="1DCCF296" w14:textId="77777777" w:rsidTr="00EF2D36">
        <w:trPr>
          <w:trHeight w:val="57"/>
        </w:trPr>
        <w:tc>
          <w:tcPr>
            <w:tcW w:w="2406" w:type="pct"/>
            <w:tcBorders>
              <w:left w:val="nil"/>
            </w:tcBorders>
          </w:tcPr>
          <w:p w14:paraId="562C92BA" w14:textId="77777777" w:rsidR="001824FA" w:rsidRPr="001824FA" w:rsidRDefault="001824FA" w:rsidP="001824FA">
            <w:pPr>
              <w:contextualSpacing/>
              <w:rPr>
                <w:b/>
                <w:sz w:val="20"/>
                <w:szCs w:val="20"/>
              </w:rPr>
            </w:pPr>
            <w:r w:rsidRPr="001824FA">
              <w:rPr>
                <w:b/>
                <w:sz w:val="20"/>
                <w:szCs w:val="20"/>
              </w:rPr>
              <w:t>Enfermedad crónica</w:t>
            </w:r>
          </w:p>
        </w:tc>
        <w:tc>
          <w:tcPr>
            <w:tcW w:w="921" w:type="pct"/>
          </w:tcPr>
          <w:p w14:paraId="0705DA57" w14:textId="77777777" w:rsidR="001824FA" w:rsidRPr="001824FA" w:rsidRDefault="001824FA" w:rsidP="001824FA">
            <w:pPr>
              <w:contextualSpacing/>
              <w:jc w:val="center"/>
              <w:rPr>
                <w:sz w:val="20"/>
                <w:szCs w:val="20"/>
              </w:rPr>
            </w:pPr>
          </w:p>
        </w:tc>
        <w:tc>
          <w:tcPr>
            <w:tcW w:w="836" w:type="pct"/>
          </w:tcPr>
          <w:p w14:paraId="432111DC" w14:textId="77777777" w:rsidR="001824FA" w:rsidRPr="001824FA" w:rsidRDefault="001824FA" w:rsidP="001824FA">
            <w:pPr>
              <w:contextualSpacing/>
              <w:jc w:val="center"/>
              <w:rPr>
                <w:sz w:val="20"/>
                <w:szCs w:val="20"/>
              </w:rPr>
            </w:pPr>
          </w:p>
        </w:tc>
        <w:tc>
          <w:tcPr>
            <w:tcW w:w="837" w:type="pct"/>
            <w:tcBorders>
              <w:right w:val="nil"/>
            </w:tcBorders>
          </w:tcPr>
          <w:p w14:paraId="13898556" w14:textId="77777777" w:rsidR="001824FA" w:rsidRPr="001824FA" w:rsidRDefault="001824FA" w:rsidP="001824FA">
            <w:pPr>
              <w:contextualSpacing/>
              <w:jc w:val="center"/>
              <w:rPr>
                <w:sz w:val="20"/>
                <w:szCs w:val="20"/>
              </w:rPr>
            </w:pPr>
          </w:p>
        </w:tc>
      </w:tr>
      <w:tr w:rsidR="001824FA" w:rsidRPr="001824FA" w14:paraId="50B4A371" w14:textId="77777777" w:rsidTr="00EF2D36">
        <w:trPr>
          <w:trHeight w:val="57"/>
        </w:trPr>
        <w:tc>
          <w:tcPr>
            <w:tcW w:w="2406" w:type="pct"/>
            <w:tcBorders>
              <w:left w:val="nil"/>
            </w:tcBorders>
          </w:tcPr>
          <w:p w14:paraId="5A831CC3" w14:textId="77777777" w:rsidR="001824FA" w:rsidRPr="001824FA" w:rsidRDefault="001824FA" w:rsidP="001824FA">
            <w:pPr>
              <w:contextualSpacing/>
              <w:rPr>
                <w:sz w:val="20"/>
                <w:szCs w:val="20"/>
              </w:rPr>
            </w:pPr>
            <w:r w:rsidRPr="001824FA">
              <w:rPr>
                <w:sz w:val="20"/>
                <w:szCs w:val="20"/>
              </w:rPr>
              <w:t>Sí</w:t>
            </w:r>
          </w:p>
        </w:tc>
        <w:tc>
          <w:tcPr>
            <w:tcW w:w="921" w:type="pct"/>
          </w:tcPr>
          <w:p w14:paraId="72F34E7C" w14:textId="2517376C" w:rsidR="001824FA" w:rsidRPr="001824FA" w:rsidRDefault="002A7FAB" w:rsidP="001824FA">
            <w:pPr>
              <w:contextualSpacing/>
              <w:jc w:val="center"/>
              <w:rPr>
                <w:sz w:val="20"/>
                <w:szCs w:val="20"/>
              </w:rPr>
            </w:pPr>
            <w:r>
              <w:rPr>
                <w:sz w:val="20"/>
                <w:szCs w:val="20"/>
              </w:rPr>
              <w:t>42 (18.</w:t>
            </w:r>
            <w:r w:rsidR="001824FA" w:rsidRPr="001824FA">
              <w:rPr>
                <w:sz w:val="20"/>
                <w:szCs w:val="20"/>
              </w:rPr>
              <w:t>2%)</w:t>
            </w:r>
          </w:p>
        </w:tc>
        <w:tc>
          <w:tcPr>
            <w:tcW w:w="836" w:type="pct"/>
          </w:tcPr>
          <w:p w14:paraId="39F2807F" w14:textId="59B8CE20" w:rsidR="001824FA" w:rsidRPr="001824FA" w:rsidRDefault="002A7FAB" w:rsidP="001824FA">
            <w:pPr>
              <w:contextualSpacing/>
              <w:jc w:val="center"/>
              <w:rPr>
                <w:sz w:val="20"/>
                <w:szCs w:val="20"/>
              </w:rPr>
            </w:pPr>
            <w:r>
              <w:rPr>
                <w:sz w:val="20"/>
                <w:szCs w:val="20"/>
              </w:rPr>
              <w:t>30 (19.</w:t>
            </w:r>
            <w:r w:rsidR="001824FA" w:rsidRPr="001824FA">
              <w:rPr>
                <w:sz w:val="20"/>
                <w:szCs w:val="20"/>
              </w:rPr>
              <w:t>0%)</w:t>
            </w:r>
          </w:p>
        </w:tc>
        <w:tc>
          <w:tcPr>
            <w:tcW w:w="837" w:type="pct"/>
            <w:tcBorders>
              <w:right w:val="nil"/>
            </w:tcBorders>
          </w:tcPr>
          <w:p w14:paraId="38BD495F" w14:textId="42CAB7D2" w:rsidR="001824FA" w:rsidRPr="001824FA" w:rsidRDefault="002A7FAB" w:rsidP="001824FA">
            <w:pPr>
              <w:contextualSpacing/>
              <w:jc w:val="center"/>
              <w:rPr>
                <w:sz w:val="20"/>
                <w:szCs w:val="20"/>
              </w:rPr>
            </w:pPr>
            <w:r>
              <w:rPr>
                <w:sz w:val="20"/>
                <w:szCs w:val="20"/>
              </w:rPr>
              <w:t>12 (16.</w:t>
            </w:r>
            <w:r w:rsidR="001824FA" w:rsidRPr="001824FA">
              <w:rPr>
                <w:sz w:val="20"/>
                <w:szCs w:val="20"/>
              </w:rPr>
              <w:t>4%)</w:t>
            </w:r>
          </w:p>
        </w:tc>
      </w:tr>
      <w:tr w:rsidR="001824FA" w:rsidRPr="001824FA" w14:paraId="764EBC7C" w14:textId="77777777" w:rsidTr="00EF2D36">
        <w:trPr>
          <w:trHeight w:val="57"/>
        </w:trPr>
        <w:tc>
          <w:tcPr>
            <w:tcW w:w="2406" w:type="pct"/>
            <w:tcBorders>
              <w:left w:val="nil"/>
            </w:tcBorders>
          </w:tcPr>
          <w:p w14:paraId="3CEF0F67" w14:textId="77777777" w:rsidR="001824FA" w:rsidRPr="001824FA" w:rsidRDefault="001824FA" w:rsidP="001824FA">
            <w:pPr>
              <w:contextualSpacing/>
              <w:rPr>
                <w:b/>
                <w:sz w:val="20"/>
                <w:szCs w:val="20"/>
              </w:rPr>
            </w:pPr>
            <w:r w:rsidRPr="001824FA">
              <w:rPr>
                <w:b/>
                <w:sz w:val="20"/>
                <w:szCs w:val="20"/>
              </w:rPr>
              <w:t>Positivo en COVID-19</w:t>
            </w:r>
          </w:p>
        </w:tc>
        <w:tc>
          <w:tcPr>
            <w:tcW w:w="921" w:type="pct"/>
          </w:tcPr>
          <w:p w14:paraId="3A2EA4BB" w14:textId="77777777" w:rsidR="001824FA" w:rsidRPr="001824FA" w:rsidRDefault="001824FA" w:rsidP="001824FA">
            <w:pPr>
              <w:contextualSpacing/>
              <w:jc w:val="center"/>
              <w:rPr>
                <w:sz w:val="20"/>
                <w:szCs w:val="20"/>
              </w:rPr>
            </w:pPr>
          </w:p>
        </w:tc>
        <w:tc>
          <w:tcPr>
            <w:tcW w:w="836" w:type="pct"/>
          </w:tcPr>
          <w:p w14:paraId="02633508" w14:textId="77777777" w:rsidR="001824FA" w:rsidRPr="001824FA" w:rsidRDefault="001824FA" w:rsidP="001824FA">
            <w:pPr>
              <w:contextualSpacing/>
              <w:jc w:val="center"/>
              <w:rPr>
                <w:sz w:val="20"/>
                <w:szCs w:val="20"/>
              </w:rPr>
            </w:pPr>
          </w:p>
        </w:tc>
        <w:tc>
          <w:tcPr>
            <w:tcW w:w="837" w:type="pct"/>
            <w:tcBorders>
              <w:right w:val="nil"/>
            </w:tcBorders>
          </w:tcPr>
          <w:p w14:paraId="263264B8" w14:textId="77777777" w:rsidR="001824FA" w:rsidRPr="001824FA" w:rsidRDefault="001824FA" w:rsidP="001824FA">
            <w:pPr>
              <w:contextualSpacing/>
              <w:jc w:val="center"/>
              <w:rPr>
                <w:sz w:val="20"/>
                <w:szCs w:val="20"/>
              </w:rPr>
            </w:pPr>
          </w:p>
        </w:tc>
      </w:tr>
      <w:tr w:rsidR="001824FA" w:rsidRPr="001824FA" w14:paraId="5499B92D" w14:textId="77777777" w:rsidTr="00EF2D36">
        <w:trPr>
          <w:trHeight w:val="57"/>
        </w:trPr>
        <w:tc>
          <w:tcPr>
            <w:tcW w:w="2406" w:type="pct"/>
            <w:tcBorders>
              <w:left w:val="nil"/>
            </w:tcBorders>
          </w:tcPr>
          <w:p w14:paraId="45A1D27D" w14:textId="77777777" w:rsidR="001824FA" w:rsidRPr="001824FA" w:rsidRDefault="001824FA" w:rsidP="001824FA">
            <w:pPr>
              <w:contextualSpacing/>
              <w:rPr>
                <w:sz w:val="20"/>
                <w:szCs w:val="20"/>
              </w:rPr>
            </w:pPr>
            <w:r w:rsidRPr="001824FA">
              <w:rPr>
                <w:sz w:val="20"/>
                <w:szCs w:val="20"/>
              </w:rPr>
              <w:t>Sí</w:t>
            </w:r>
          </w:p>
        </w:tc>
        <w:tc>
          <w:tcPr>
            <w:tcW w:w="921" w:type="pct"/>
          </w:tcPr>
          <w:p w14:paraId="6C14DF8C" w14:textId="7C173115" w:rsidR="001824FA" w:rsidRPr="001824FA" w:rsidRDefault="002A7FAB" w:rsidP="001824FA">
            <w:pPr>
              <w:contextualSpacing/>
              <w:jc w:val="center"/>
              <w:rPr>
                <w:sz w:val="20"/>
                <w:szCs w:val="20"/>
              </w:rPr>
            </w:pPr>
            <w:r>
              <w:rPr>
                <w:sz w:val="20"/>
                <w:szCs w:val="20"/>
              </w:rPr>
              <w:t>6 (2.</w:t>
            </w:r>
            <w:r w:rsidR="001824FA" w:rsidRPr="001824FA">
              <w:rPr>
                <w:sz w:val="20"/>
                <w:szCs w:val="20"/>
              </w:rPr>
              <w:t>6%)</w:t>
            </w:r>
          </w:p>
        </w:tc>
        <w:tc>
          <w:tcPr>
            <w:tcW w:w="836" w:type="pct"/>
          </w:tcPr>
          <w:p w14:paraId="24E3BDD7" w14:textId="7BDE92FA" w:rsidR="001824FA" w:rsidRPr="001824FA" w:rsidRDefault="002A7FAB" w:rsidP="001824FA">
            <w:pPr>
              <w:contextualSpacing/>
              <w:jc w:val="center"/>
              <w:rPr>
                <w:sz w:val="20"/>
                <w:szCs w:val="20"/>
              </w:rPr>
            </w:pPr>
            <w:r>
              <w:rPr>
                <w:sz w:val="20"/>
                <w:szCs w:val="20"/>
              </w:rPr>
              <w:t>2 (1.</w:t>
            </w:r>
            <w:r w:rsidR="001824FA" w:rsidRPr="001824FA">
              <w:rPr>
                <w:sz w:val="20"/>
                <w:szCs w:val="20"/>
              </w:rPr>
              <w:t>3%)</w:t>
            </w:r>
          </w:p>
        </w:tc>
        <w:tc>
          <w:tcPr>
            <w:tcW w:w="837" w:type="pct"/>
            <w:tcBorders>
              <w:right w:val="nil"/>
            </w:tcBorders>
          </w:tcPr>
          <w:p w14:paraId="42446313" w14:textId="3D23E48E" w:rsidR="001824FA" w:rsidRPr="001824FA" w:rsidRDefault="002A7FAB" w:rsidP="001824FA">
            <w:pPr>
              <w:contextualSpacing/>
              <w:jc w:val="center"/>
              <w:rPr>
                <w:sz w:val="20"/>
                <w:szCs w:val="20"/>
              </w:rPr>
            </w:pPr>
            <w:r>
              <w:rPr>
                <w:sz w:val="20"/>
                <w:szCs w:val="20"/>
              </w:rPr>
              <w:t>4 (5.</w:t>
            </w:r>
            <w:r w:rsidR="001824FA" w:rsidRPr="001824FA">
              <w:rPr>
                <w:sz w:val="20"/>
                <w:szCs w:val="20"/>
              </w:rPr>
              <w:t>5%)</w:t>
            </w:r>
          </w:p>
        </w:tc>
      </w:tr>
      <w:tr w:rsidR="001824FA" w:rsidRPr="001824FA" w14:paraId="6B41AE5D" w14:textId="77777777" w:rsidTr="00EF2D36">
        <w:trPr>
          <w:trHeight w:val="57"/>
        </w:trPr>
        <w:tc>
          <w:tcPr>
            <w:tcW w:w="2406" w:type="pct"/>
            <w:tcBorders>
              <w:left w:val="nil"/>
            </w:tcBorders>
          </w:tcPr>
          <w:p w14:paraId="2861D50E" w14:textId="77777777" w:rsidR="001824FA" w:rsidRPr="001824FA" w:rsidRDefault="001824FA" w:rsidP="001824FA">
            <w:pPr>
              <w:contextualSpacing/>
              <w:rPr>
                <w:b/>
                <w:sz w:val="20"/>
                <w:szCs w:val="20"/>
              </w:rPr>
            </w:pPr>
            <w:r w:rsidRPr="001824FA">
              <w:rPr>
                <w:b/>
                <w:sz w:val="20"/>
                <w:szCs w:val="20"/>
              </w:rPr>
              <w:t>Gravedad síntomas propios</w:t>
            </w:r>
          </w:p>
        </w:tc>
        <w:tc>
          <w:tcPr>
            <w:tcW w:w="921" w:type="pct"/>
          </w:tcPr>
          <w:p w14:paraId="4C374E88" w14:textId="77777777" w:rsidR="001824FA" w:rsidRPr="001824FA" w:rsidRDefault="001824FA" w:rsidP="001824FA">
            <w:pPr>
              <w:contextualSpacing/>
              <w:jc w:val="center"/>
              <w:rPr>
                <w:sz w:val="20"/>
                <w:szCs w:val="20"/>
              </w:rPr>
            </w:pPr>
          </w:p>
        </w:tc>
        <w:tc>
          <w:tcPr>
            <w:tcW w:w="836" w:type="pct"/>
          </w:tcPr>
          <w:p w14:paraId="4140A2D4" w14:textId="77777777" w:rsidR="001824FA" w:rsidRPr="001824FA" w:rsidRDefault="001824FA" w:rsidP="001824FA">
            <w:pPr>
              <w:contextualSpacing/>
              <w:jc w:val="center"/>
              <w:rPr>
                <w:sz w:val="20"/>
                <w:szCs w:val="20"/>
              </w:rPr>
            </w:pPr>
          </w:p>
        </w:tc>
        <w:tc>
          <w:tcPr>
            <w:tcW w:w="837" w:type="pct"/>
            <w:tcBorders>
              <w:right w:val="nil"/>
            </w:tcBorders>
          </w:tcPr>
          <w:p w14:paraId="6B27A715" w14:textId="77777777" w:rsidR="001824FA" w:rsidRPr="001824FA" w:rsidRDefault="001824FA" w:rsidP="001824FA">
            <w:pPr>
              <w:contextualSpacing/>
              <w:jc w:val="center"/>
              <w:rPr>
                <w:sz w:val="20"/>
                <w:szCs w:val="20"/>
              </w:rPr>
            </w:pPr>
          </w:p>
        </w:tc>
      </w:tr>
      <w:tr w:rsidR="001824FA" w:rsidRPr="001824FA" w14:paraId="55775EC2" w14:textId="77777777" w:rsidTr="00EF2D36">
        <w:trPr>
          <w:trHeight w:val="57"/>
        </w:trPr>
        <w:tc>
          <w:tcPr>
            <w:tcW w:w="2406" w:type="pct"/>
            <w:tcBorders>
              <w:left w:val="nil"/>
            </w:tcBorders>
          </w:tcPr>
          <w:p w14:paraId="51CB089D" w14:textId="77777777" w:rsidR="001824FA" w:rsidRPr="001824FA" w:rsidRDefault="001824FA" w:rsidP="001824FA">
            <w:pPr>
              <w:contextualSpacing/>
              <w:rPr>
                <w:sz w:val="20"/>
                <w:szCs w:val="20"/>
              </w:rPr>
            </w:pPr>
            <w:r w:rsidRPr="001824FA">
              <w:rPr>
                <w:sz w:val="20"/>
                <w:szCs w:val="20"/>
              </w:rPr>
              <w:t>Asintomático</w:t>
            </w:r>
          </w:p>
        </w:tc>
        <w:tc>
          <w:tcPr>
            <w:tcW w:w="921" w:type="pct"/>
          </w:tcPr>
          <w:p w14:paraId="75165F5A" w14:textId="298601A7" w:rsidR="001824FA" w:rsidRPr="001824FA" w:rsidRDefault="002A7FAB" w:rsidP="001824FA">
            <w:pPr>
              <w:contextualSpacing/>
              <w:jc w:val="center"/>
              <w:rPr>
                <w:sz w:val="20"/>
                <w:szCs w:val="20"/>
              </w:rPr>
            </w:pPr>
            <w:r>
              <w:rPr>
                <w:sz w:val="20"/>
                <w:szCs w:val="20"/>
              </w:rPr>
              <w:t>3 (1.</w:t>
            </w:r>
            <w:r w:rsidR="001824FA" w:rsidRPr="001824FA">
              <w:rPr>
                <w:sz w:val="20"/>
                <w:szCs w:val="20"/>
              </w:rPr>
              <w:t>3%)</w:t>
            </w:r>
          </w:p>
        </w:tc>
        <w:tc>
          <w:tcPr>
            <w:tcW w:w="836" w:type="pct"/>
          </w:tcPr>
          <w:p w14:paraId="31C53C19" w14:textId="3F0F2C93" w:rsidR="001824FA" w:rsidRPr="001824FA" w:rsidRDefault="002A7FAB" w:rsidP="001824FA">
            <w:pPr>
              <w:contextualSpacing/>
              <w:jc w:val="center"/>
              <w:rPr>
                <w:sz w:val="20"/>
                <w:szCs w:val="20"/>
              </w:rPr>
            </w:pPr>
            <w:r>
              <w:rPr>
                <w:sz w:val="20"/>
                <w:szCs w:val="20"/>
              </w:rPr>
              <w:t>2 (1.</w:t>
            </w:r>
            <w:r w:rsidR="001824FA" w:rsidRPr="001824FA">
              <w:rPr>
                <w:sz w:val="20"/>
                <w:szCs w:val="20"/>
              </w:rPr>
              <w:t>3%)</w:t>
            </w:r>
          </w:p>
        </w:tc>
        <w:tc>
          <w:tcPr>
            <w:tcW w:w="837" w:type="pct"/>
            <w:tcBorders>
              <w:right w:val="nil"/>
            </w:tcBorders>
          </w:tcPr>
          <w:p w14:paraId="5BE403EC" w14:textId="36B8E9DF" w:rsidR="001824FA" w:rsidRPr="001824FA" w:rsidRDefault="002A7FAB" w:rsidP="001824FA">
            <w:pPr>
              <w:contextualSpacing/>
              <w:jc w:val="center"/>
              <w:rPr>
                <w:sz w:val="20"/>
                <w:szCs w:val="20"/>
              </w:rPr>
            </w:pPr>
            <w:r>
              <w:rPr>
                <w:sz w:val="20"/>
                <w:szCs w:val="20"/>
              </w:rPr>
              <w:t>1 (1.</w:t>
            </w:r>
            <w:r w:rsidR="001824FA" w:rsidRPr="001824FA">
              <w:rPr>
                <w:sz w:val="20"/>
                <w:szCs w:val="20"/>
              </w:rPr>
              <w:t>4%)</w:t>
            </w:r>
          </w:p>
        </w:tc>
      </w:tr>
      <w:tr w:rsidR="001824FA" w:rsidRPr="001824FA" w14:paraId="57B2E3EE" w14:textId="77777777" w:rsidTr="00EF2D36">
        <w:trPr>
          <w:trHeight w:val="57"/>
        </w:trPr>
        <w:tc>
          <w:tcPr>
            <w:tcW w:w="2406" w:type="pct"/>
            <w:tcBorders>
              <w:left w:val="nil"/>
            </w:tcBorders>
          </w:tcPr>
          <w:p w14:paraId="5F7B1323" w14:textId="77777777" w:rsidR="001824FA" w:rsidRPr="001824FA" w:rsidRDefault="001824FA" w:rsidP="001824FA">
            <w:pPr>
              <w:contextualSpacing/>
              <w:rPr>
                <w:sz w:val="20"/>
                <w:szCs w:val="20"/>
              </w:rPr>
            </w:pPr>
            <w:r w:rsidRPr="001824FA">
              <w:rPr>
                <w:sz w:val="20"/>
                <w:szCs w:val="20"/>
              </w:rPr>
              <w:t xml:space="preserve">Leve </w:t>
            </w:r>
          </w:p>
        </w:tc>
        <w:tc>
          <w:tcPr>
            <w:tcW w:w="921" w:type="pct"/>
          </w:tcPr>
          <w:p w14:paraId="0F9A1DAE" w14:textId="25FA81AE" w:rsidR="001824FA" w:rsidRPr="001824FA" w:rsidRDefault="002A7FAB" w:rsidP="001824FA">
            <w:pPr>
              <w:contextualSpacing/>
              <w:jc w:val="center"/>
              <w:rPr>
                <w:sz w:val="20"/>
                <w:szCs w:val="20"/>
              </w:rPr>
            </w:pPr>
            <w:r>
              <w:rPr>
                <w:sz w:val="20"/>
                <w:szCs w:val="20"/>
              </w:rPr>
              <w:t>6 (2.</w:t>
            </w:r>
            <w:r w:rsidR="001824FA" w:rsidRPr="001824FA">
              <w:rPr>
                <w:sz w:val="20"/>
                <w:szCs w:val="20"/>
              </w:rPr>
              <w:t>6%)</w:t>
            </w:r>
          </w:p>
        </w:tc>
        <w:tc>
          <w:tcPr>
            <w:tcW w:w="836" w:type="pct"/>
          </w:tcPr>
          <w:p w14:paraId="62EE5169" w14:textId="6AE928F1" w:rsidR="001824FA" w:rsidRPr="001824FA" w:rsidRDefault="002A7FAB" w:rsidP="001824FA">
            <w:pPr>
              <w:contextualSpacing/>
              <w:jc w:val="center"/>
              <w:rPr>
                <w:sz w:val="20"/>
                <w:szCs w:val="20"/>
              </w:rPr>
            </w:pPr>
            <w:r>
              <w:rPr>
                <w:sz w:val="20"/>
                <w:szCs w:val="20"/>
              </w:rPr>
              <w:t>3 (1.</w:t>
            </w:r>
            <w:r w:rsidR="001824FA" w:rsidRPr="001824FA">
              <w:rPr>
                <w:sz w:val="20"/>
                <w:szCs w:val="20"/>
              </w:rPr>
              <w:t>9%)</w:t>
            </w:r>
          </w:p>
        </w:tc>
        <w:tc>
          <w:tcPr>
            <w:tcW w:w="837" w:type="pct"/>
            <w:tcBorders>
              <w:right w:val="nil"/>
            </w:tcBorders>
          </w:tcPr>
          <w:p w14:paraId="443245F7" w14:textId="003C6DFB" w:rsidR="001824FA" w:rsidRPr="001824FA" w:rsidRDefault="002A7FAB" w:rsidP="001824FA">
            <w:pPr>
              <w:contextualSpacing/>
              <w:jc w:val="center"/>
              <w:rPr>
                <w:sz w:val="20"/>
                <w:szCs w:val="20"/>
              </w:rPr>
            </w:pPr>
            <w:r>
              <w:rPr>
                <w:sz w:val="20"/>
                <w:szCs w:val="20"/>
              </w:rPr>
              <w:t>3 (4.</w:t>
            </w:r>
            <w:r w:rsidR="001824FA" w:rsidRPr="001824FA">
              <w:rPr>
                <w:sz w:val="20"/>
                <w:szCs w:val="20"/>
              </w:rPr>
              <w:t>1%)</w:t>
            </w:r>
          </w:p>
        </w:tc>
      </w:tr>
      <w:tr w:rsidR="001824FA" w:rsidRPr="001824FA" w14:paraId="4069EC99" w14:textId="77777777" w:rsidTr="00EF2D36">
        <w:trPr>
          <w:trHeight w:val="57"/>
        </w:trPr>
        <w:tc>
          <w:tcPr>
            <w:tcW w:w="2406" w:type="pct"/>
            <w:tcBorders>
              <w:left w:val="nil"/>
            </w:tcBorders>
          </w:tcPr>
          <w:p w14:paraId="04DEFB14" w14:textId="77777777" w:rsidR="001824FA" w:rsidRPr="001824FA" w:rsidRDefault="001824FA" w:rsidP="001824FA">
            <w:pPr>
              <w:contextualSpacing/>
              <w:rPr>
                <w:sz w:val="20"/>
                <w:szCs w:val="20"/>
              </w:rPr>
            </w:pPr>
            <w:r w:rsidRPr="001824FA">
              <w:rPr>
                <w:sz w:val="20"/>
                <w:szCs w:val="20"/>
              </w:rPr>
              <w:t>Moderado</w:t>
            </w:r>
          </w:p>
        </w:tc>
        <w:tc>
          <w:tcPr>
            <w:tcW w:w="921" w:type="pct"/>
          </w:tcPr>
          <w:p w14:paraId="7952EB08" w14:textId="3D7E535A" w:rsidR="001824FA" w:rsidRPr="001824FA" w:rsidRDefault="002A7FAB" w:rsidP="001824FA">
            <w:pPr>
              <w:contextualSpacing/>
              <w:jc w:val="center"/>
              <w:rPr>
                <w:sz w:val="20"/>
                <w:szCs w:val="20"/>
              </w:rPr>
            </w:pPr>
            <w:r>
              <w:rPr>
                <w:sz w:val="20"/>
                <w:szCs w:val="20"/>
              </w:rPr>
              <w:t>1 (0.</w:t>
            </w:r>
            <w:r w:rsidR="001824FA" w:rsidRPr="001824FA">
              <w:rPr>
                <w:sz w:val="20"/>
                <w:szCs w:val="20"/>
              </w:rPr>
              <w:t>4%)</w:t>
            </w:r>
          </w:p>
        </w:tc>
        <w:tc>
          <w:tcPr>
            <w:tcW w:w="836" w:type="pct"/>
          </w:tcPr>
          <w:p w14:paraId="556E5BA5" w14:textId="77777777" w:rsidR="001824FA" w:rsidRPr="001824FA" w:rsidRDefault="001824FA" w:rsidP="001824FA">
            <w:pPr>
              <w:contextualSpacing/>
              <w:jc w:val="center"/>
              <w:rPr>
                <w:sz w:val="20"/>
                <w:szCs w:val="20"/>
              </w:rPr>
            </w:pPr>
            <w:r w:rsidRPr="001824FA">
              <w:rPr>
                <w:sz w:val="20"/>
                <w:szCs w:val="20"/>
              </w:rPr>
              <w:t>-</w:t>
            </w:r>
          </w:p>
        </w:tc>
        <w:tc>
          <w:tcPr>
            <w:tcW w:w="837" w:type="pct"/>
            <w:tcBorders>
              <w:right w:val="nil"/>
            </w:tcBorders>
          </w:tcPr>
          <w:p w14:paraId="7F0A1238" w14:textId="24B9CD58" w:rsidR="001824FA" w:rsidRPr="001824FA" w:rsidRDefault="002A7FAB" w:rsidP="001824FA">
            <w:pPr>
              <w:contextualSpacing/>
              <w:jc w:val="center"/>
              <w:rPr>
                <w:sz w:val="20"/>
                <w:szCs w:val="20"/>
              </w:rPr>
            </w:pPr>
            <w:r>
              <w:rPr>
                <w:sz w:val="20"/>
                <w:szCs w:val="20"/>
              </w:rPr>
              <w:t>1 (1.</w:t>
            </w:r>
            <w:r w:rsidR="001824FA" w:rsidRPr="001824FA">
              <w:rPr>
                <w:sz w:val="20"/>
                <w:szCs w:val="20"/>
              </w:rPr>
              <w:t>4%)</w:t>
            </w:r>
          </w:p>
        </w:tc>
      </w:tr>
      <w:tr w:rsidR="001824FA" w:rsidRPr="001824FA" w14:paraId="3411E983" w14:textId="77777777" w:rsidTr="00EF2D36">
        <w:trPr>
          <w:trHeight w:val="57"/>
        </w:trPr>
        <w:tc>
          <w:tcPr>
            <w:tcW w:w="2406" w:type="pct"/>
            <w:tcBorders>
              <w:left w:val="nil"/>
            </w:tcBorders>
          </w:tcPr>
          <w:p w14:paraId="0BD233E5" w14:textId="7B224775" w:rsidR="001824FA" w:rsidRPr="001824FA" w:rsidRDefault="001824FA" w:rsidP="001824FA">
            <w:pPr>
              <w:contextualSpacing/>
              <w:rPr>
                <w:b/>
                <w:sz w:val="20"/>
                <w:szCs w:val="20"/>
              </w:rPr>
            </w:pPr>
            <w:r w:rsidRPr="001824FA">
              <w:rPr>
                <w:b/>
                <w:sz w:val="20"/>
                <w:szCs w:val="20"/>
              </w:rPr>
              <w:t>Contacto con personas con COVID-19</w:t>
            </w:r>
          </w:p>
        </w:tc>
        <w:tc>
          <w:tcPr>
            <w:tcW w:w="921" w:type="pct"/>
          </w:tcPr>
          <w:p w14:paraId="1A1D7F88" w14:textId="77777777" w:rsidR="001824FA" w:rsidRPr="001824FA" w:rsidRDefault="001824FA" w:rsidP="001824FA">
            <w:pPr>
              <w:contextualSpacing/>
              <w:jc w:val="center"/>
              <w:rPr>
                <w:sz w:val="20"/>
                <w:szCs w:val="20"/>
              </w:rPr>
            </w:pPr>
          </w:p>
        </w:tc>
        <w:tc>
          <w:tcPr>
            <w:tcW w:w="836" w:type="pct"/>
          </w:tcPr>
          <w:p w14:paraId="6A2A72D9" w14:textId="77777777" w:rsidR="001824FA" w:rsidRPr="001824FA" w:rsidRDefault="001824FA" w:rsidP="001824FA">
            <w:pPr>
              <w:contextualSpacing/>
              <w:jc w:val="center"/>
              <w:rPr>
                <w:sz w:val="20"/>
                <w:szCs w:val="20"/>
              </w:rPr>
            </w:pPr>
          </w:p>
        </w:tc>
        <w:tc>
          <w:tcPr>
            <w:tcW w:w="837" w:type="pct"/>
            <w:tcBorders>
              <w:right w:val="nil"/>
            </w:tcBorders>
          </w:tcPr>
          <w:p w14:paraId="76BFB865" w14:textId="77777777" w:rsidR="001824FA" w:rsidRPr="001824FA" w:rsidRDefault="001824FA" w:rsidP="001824FA">
            <w:pPr>
              <w:contextualSpacing/>
              <w:jc w:val="center"/>
              <w:rPr>
                <w:sz w:val="20"/>
                <w:szCs w:val="20"/>
              </w:rPr>
            </w:pPr>
          </w:p>
        </w:tc>
      </w:tr>
      <w:tr w:rsidR="001824FA" w:rsidRPr="001824FA" w14:paraId="40367730" w14:textId="77777777" w:rsidTr="00EF2D36">
        <w:trPr>
          <w:trHeight w:val="57"/>
        </w:trPr>
        <w:tc>
          <w:tcPr>
            <w:tcW w:w="2406" w:type="pct"/>
            <w:tcBorders>
              <w:left w:val="nil"/>
            </w:tcBorders>
          </w:tcPr>
          <w:p w14:paraId="2E3812F1" w14:textId="77777777" w:rsidR="001824FA" w:rsidRPr="001824FA" w:rsidRDefault="001824FA" w:rsidP="001824FA">
            <w:pPr>
              <w:contextualSpacing/>
              <w:rPr>
                <w:sz w:val="20"/>
                <w:szCs w:val="20"/>
              </w:rPr>
            </w:pPr>
            <w:r w:rsidRPr="001824FA">
              <w:rPr>
                <w:sz w:val="20"/>
                <w:szCs w:val="20"/>
              </w:rPr>
              <w:t>No</w:t>
            </w:r>
          </w:p>
        </w:tc>
        <w:tc>
          <w:tcPr>
            <w:tcW w:w="921" w:type="pct"/>
          </w:tcPr>
          <w:p w14:paraId="383B84EA" w14:textId="5EABDE37" w:rsidR="001824FA" w:rsidRPr="001824FA" w:rsidRDefault="001824FA" w:rsidP="001824FA">
            <w:pPr>
              <w:contextualSpacing/>
              <w:jc w:val="center"/>
              <w:rPr>
                <w:sz w:val="20"/>
                <w:szCs w:val="20"/>
              </w:rPr>
            </w:pPr>
            <w:r w:rsidRPr="001824FA">
              <w:rPr>
                <w:sz w:val="20"/>
                <w:szCs w:val="20"/>
              </w:rPr>
              <w:t>72 (31</w:t>
            </w:r>
            <w:r w:rsidR="002A7FAB">
              <w:rPr>
                <w:sz w:val="20"/>
                <w:szCs w:val="20"/>
              </w:rPr>
              <w:t>.</w:t>
            </w:r>
            <w:r w:rsidRPr="001824FA">
              <w:rPr>
                <w:sz w:val="20"/>
                <w:szCs w:val="20"/>
              </w:rPr>
              <w:t>2%)</w:t>
            </w:r>
          </w:p>
        </w:tc>
        <w:tc>
          <w:tcPr>
            <w:tcW w:w="836" w:type="pct"/>
          </w:tcPr>
          <w:p w14:paraId="279D6941" w14:textId="720AB0EE" w:rsidR="001824FA" w:rsidRPr="001824FA" w:rsidRDefault="001824FA" w:rsidP="001824FA">
            <w:pPr>
              <w:contextualSpacing/>
              <w:jc w:val="center"/>
              <w:rPr>
                <w:sz w:val="20"/>
                <w:szCs w:val="20"/>
              </w:rPr>
            </w:pPr>
            <w:r w:rsidRPr="001824FA">
              <w:rPr>
                <w:sz w:val="20"/>
                <w:szCs w:val="20"/>
              </w:rPr>
              <w:t>56 (35</w:t>
            </w:r>
            <w:r w:rsidR="002A7FAB">
              <w:rPr>
                <w:sz w:val="20"/>
                <w:szCs w:val="20"/>
              </w:rPr>
              <w:t>.</w:t>
            </w:r>
            <w:r w:rsidRPr="001824FA">
              <w:rPr>
                <w:sz w:val="20"/>
                <w:szCs w:val="20"/>
              </w:rPr>
              <w:t>4%)</w:t>
            </w:r>
          </w:p>
        </w:tc>
        <w:tc>
          <w:tcPr>
            <w:tcW w:w="837" w:type="pct"/>
            <w:tcBorders>
              <w:right w:val="nil"/>
            </w:tcBorders>
          </w:tcPr>
          <w:p w14:paraId="6FFFB7AE" w14:textId="6FD23D8E" w:rsidR="001824FA" w:rsidRPr="001824FA" w:rsidRDefault="001824FA" w:rsidP="001824FA">
            <w:pPr>
              <w:contextualSpacing/>
              <w:jc w:val="center"/>
              <w:rPr>
                <w:sz w:val="20"/>
                <w:szCs w:val="20"/>
              </w:rPr>
            </w:pPr>
            <w:r w:rsidRPr="001824FA">
              <w:rPr>
                <w:sz w:val="20"/>
                <w:szCs w:val="20"/>
              </w:rPr>
              <w:t>16 (21</w:t>
            </w:r>
            <w:r w:rsidR="002A7FAB">
              <w:rPr>
                <w:sz w:val="20"/>
                <w:szCs w:val="20"/>
              </w:rPr>
              <w:t>.</w:t>
            </w:r>
            <w:r w:rsidRPr="001824FA">
              <w:rPr>
                <w:sz w:val="20"/>
                <w:szCs w:val="20"/>
              </w:rPr>
              <w:t>9%)</w:t>
            </w:r>
          </w:p>
        </w:tc>
      </w:tr>
      <w:tr w:rsidR="001824FA" w:rsidRPr="001824FA" w14:paraId="16059FD3" w14:textId="77777777" w:rsidTr="00EF2D36">
        <w:trPr>
          <w:trHeight w:val="57"/>
        </w:trPr>
        <w:tc>
          <w:tcPr>
            <w:tcW w:w="2406" w:type="pct"/>
            <w:tcBorders>
              <w:left w:val="nil"/>
            </w:tcBorders>
          </w:tcPr>
          <w:p w14:paraId="04873259" w14:textId="77777777" w:rsidR="001824FA" w:rsidRPr="001824FA" w:rsidRDefault="001824FA" w:rsidP="001824FA">
            <w:pPr>
              <w:contextualSpacing/>
              <w:rPr>
                <w:sz w:val="20"/>
                <w:szCs w:val="20"/>
              </w:rPr>
            </w:pPr>
            <w:r w:rsidRPr="001824FA">
              <w:rPr>
                <w:sz w:val="20"/>
                <w:szCs w:val="20"/>
              </w:rPr>
              <w:t>Sí**</w:t>
            </w:r>
          </w:p>
        </w:tc>
        <w:tc>
          <w:tcPr>
            <w:tcW w:w="921" w:type="pct"/>
          </w:tcPr>
          <w:p w14:paraId="51A345DD" w14:textId="12C26D07" w:rsidR="001824FA" w:rsidRPr="001824FA" w:rsidRDefault="001824FA" w:rsidP="001824FA">
            <w:pPr>
              <w:contextualSpacing/>
              <w:jc w:val="center"/>
              <w:rPr>
                <w:sz w:val="20"/>
                <w:szCs w:val="20"/>
              </w:rPr>
            </w:pPr>
            <w:r w:rsidRPr="001824FA">
              <w:rPr>
                <w:sz w:val="20"/>
                <w:szCs w:val="20"/>
              </w:rPr>
              <w:t>74 (32</w:t>
            </w:r>
            <w:r w:rsidR="002A7FAB">
              <w:rPr>
                <w:sz w:val="20"/>
                <w:szCs w:val="20"/>
              </w:rPr>
              <w:t>.</w:t>
            </w:r>
            <w:r w:rsidRPr="001824FA">
              <w:rPr>
                <w:sz w:val="20"/>
                <w:szCs w:val="20"/>
              </w:rPr>
              <w:t>0%)</w:t>
            </w:r>
          </w:p>
        </w:tc>
        <w:tc>
          <w:tcPr>
            <w:tcW w:w="836" w:type="pct"/>
          </w:tcPr>
          <w:p w14:paraId="6EF2BD0C" w14:textId="12C0DA13" w:rsidR="001824FA" w:rsidRPr="001824FA" w:rsidRDefault="001824FA" w:rsidP="001824FA">
            <w:pPr>
              <w:contextualSpacing/>
              <w:jc w:val="center"/>
              <w:rPr>
                <w:sz w:val="20"/>
                <w:szCs w:val="20"/>
              </w:rPr>
            </w:pPr>
            <w:r w:rsidRPr="001824FA">
              <w:rPr>
                <w:sz w:val="20"/>
                <w:szCs w:val="20"/>
              </w:rPr>
              <w:t>31 (19</w:t>
            </w:r>
            <w:r w:rsidR="002A7FAB">
              <w:rPr>
                <w:sz w:val="20"/>
                <w:szCs w:val="20"/>
              </w:rPr>
              <w:t>.</w:t>
            </w:r>
            <w:r w:rsidRPr="001824FA">
              <w:rPr>
                <w:sz w:val="20"/>
                <w:szCs w:val="20"/>
              </w:rPr>
              <w:t>6%)</w:t>
            </w:r>
          </w:p>
        </w:tc>
        <w:tc>
          <w:tcPr>
            <w:tcW w:w="837" w:type="pct"/>
            <w:tcBorders>
              <w:right w:val="nil"/>
            </w:tcBorders>
          </w:tcPr>
          <w:p w14:paraId="773A636F" w14:textId="02C8F42B" w:rsidR="001824FA" w:rsidRPr="001824FA" w:rsidRDefault="001824FA" w:rsidP="001824FA">
            <w:pPr>
              <w:contextualSpacing/>
              <w:jc w:val="center"/>
              <w:rPr>
                <w:sz w:val="20"/>
                <w:szCs w:val="20"/>
              </w:rPr>
            </w:pPr>
            <w:r w:rsidRPr="001824FA">
              <w:rPr>
                <w:sz w:val="20"/>
                <w:szCs w:val="20"/>
              </w:rPr>
              <w:t>43 (58</w:t>
            </w:r>
            <w:r w:rsidR="002A7FAB">
              <w:rPr>
                <w:sz w:val="20"/>
                <w:szCs w:val="20"/>
              </w:rPr>
              <w:t>.</w:t>
            </w:r>
            <w:r w:rsidRPr="001824FA">
              <w:rPr>
                <w:sz w:val="20"/>
                <w:szCs w:val="20"/>
              </w:rPr>
              <w:t>9%)</w:t>
            </w:r>
          </w:p>
        </w:tc>
      </w:tr>
      <w:tr w:rsidR="001824FA" w:rsidRPr="001824FA" w14:paraId="6EC19AE9" w14:textId="77777777" w:rsidTr="00EF2D36">
        <w:trPr>
          <w:trHeight w:val="57"/>
        </w:trPr>
        <w:tc>
          <w:tcPr>
            <w:tcW w:w="2406" w:type="pct"/>
            <w:tcBorders>
              <w:left w:val="nil"/>
            </w:tcBorders>
          </w:tcPr>
          <w:p w14:paraId="70D116EC" w14:textId="77777777" w:rsidR="001824FA" w:rsidRPr="001824FA" w:rsidRDefault="001824FA" w:rsidP="001824FA">
            <w:pPr>
              <w:contextualSpacing/>
              <w:rPr>
                <w:sz w:val="20"/>
                <w:szCs w:val="20"/>
              </w:rPr>
            </w:pPr>
            <w:r w:rsidRPr="001824FA">
              <w:rPr>
                <w:sz w:val="20"/>
                <w:szCs w:val="20"/>
              </w:rPr>
              <w:t>Lo desconozco</w:t>
            </w:r>
          </w:p>
        </w:tc>
        <w:tc>
          <w:tcPr>
            <w:tcW w:w="921" w:type="pct"/>
          </w:tcPr>
          <w:p w14:paraId="2069618F" w14:textId="5F6621A7" w:rsidR="001824FA" w:rsidRPr="001824FA" w:rsidRDefault="001824FA" w:rsidP="001824FA">
            <w:pPr>
              <w:contextualSpacing/>
              <w:jc w:val="center"/>
              <w:rPr>
                <w:sz w:val="20"/>
                <w:szCs w:val="20"/>
              </w:rPr>
            </w:pPr>
            <w:r w:rsidRPr="001824FA">
              <w:rPr>
                <w:sz w:val="20"/>
                <w:szCs w:val="20"/>
              </w:rPr>
              <w:t>85 (36</w:t>
            </w:r>
            <w:r w:rsidR="002A7FAB">
              <w:rPr>
                <w:sz w:val="20"/>
                <w:szCs w:val="20"/>
              </w:rPr>
              <w:t>.</w:t>
            </w:r>
            <w:r w:rsidRPr="001824FA">
              <w:rPr>
                <w:sz w:val="20"/>
                <w:szCs w:val="20"/>
              </w:rPr>
              <w:t>8%)</w:t>
            </w:r>
          </w:p>
        </w:tc>
        <w:tc>
          <w:tcPr>
            <w:tcW w:w="836" w:type="pct"/>
          </w:tcPr>
          <w:p w14:paraId="2824B1DB" w14:textId="0667369B" w:rsidR="001824FA" w:rsidRPr="001824FA" w:rsidRDefault="001824FA" w:rsidP="001824FA">
            <w:pPr>
              <w:contextualSpacing/>
              <w:jc w:val="center"/>
              <w:rPr>
                <w:sz w:val="20"/>
                <w:szCs w:val="20"/>
              </w:rPr>
            </w:pPr>
            <w:r w:rsidRPr="001824FA">
              <w:rPr>
                <w:sz w:val="20"/>
                <w:szCs w:val="20"/>
              </w:rPr>
              <w:t>71 (44</w:t>
            </w:r>
            <w:r w:rsidR="002A7FAB">
              <w:rPr>
                <w:sz w:val="20"/>
                <w:szCs w:val="20"/>
              </w:rPr>
              <w:t>.</w:t>
            </w:r>
            <w:r w:rsidRPr="001824FA">
              <w:rPr>
                <w:sz w:val="20"/>
                <w:szCs w:val="20"/>
              </w:rPr>
              <w:t>9%)</w:t>
            </w:r>
          </w:p>
        </w:tc>
        <w:tc>
          <w:tcPr>
            <w:tcW w:w="837" w:type="pct"/>
            <w:tcBorders>
              <w:right w:val="nil"/>
            </w:tcBorders>
          </w:tcPr>
          <w:p w14:paraId="680DA6B7" w14:textId="5041F035" w:rsidR="001824FA" w:rsidRPr="001824FA" w:rsidRDefault="001824FA" w:rsidP="001824FA">
            <w:pPr>
              <w:contextualSpacing/>
              <w:jc w:val="center"/>
              <w:rPr>
                <w:sz w:val="20"/>
                <w:szCs w:val="20"/>
              </w:rPr>
            </w:pPr>
            <w:r w:rsidRPr="001824FA">
              <w:rPr>
                <w:sz w:val="20"/>
                <w:szCs w:val="20"/>
              </w:rPr>
              <w:t>14 (19</w:t>
            </w:r>
            <w:r w:rsidR="002A7FAB">
              <w:rPr>
                <w:sz w:val="20"/>
                <w:szCs w:val="20"/>
              </w:rPr>
              <w:t>.</w:t>
            </w:r>
            <w:r w:rsidRPr="001824FA">
              <w:rPr>
                <w:sz w:val="20"/>
                <w:szCs w:val="20"/>
              </w:rPr>
              <w:t>2%)</w:t>
            </w:r>
          </w:p>
        </w:tc>
      </w:tr>
      <w:tr w:rsidR="001824FA" w:rsidRPr="001824FA" w14:paraId="440FE6F1" w14:textId="77777777" w:rsidTr="00EF2D36">
        <w:trPr>
          <w:trHeight w:val="57"/>
        </w:trPr>
        <w:tc>
          <w:tcPr>
            <w:tcW w:w="2406" w:type="pct"/>
            <w:tcBorders>
              <w:left w:val="nil"/>
            </w:tcBorders>
          </w:tcPr>
          <w:p w14:paraId="1460D415" w14:textId="01DCE3F7" w:rsidR="001824FA" w:rsidRPr="001824FA" w:rsidRDefault="001824FA" w:rsidP="001824FA">
            <w:pPr>
              <w:contextualSpacing/>
              <w:rPr>
                <w:b/>
                <w:sz w:val="20"/>
                <w:szCs w:val="20"/>
              </w:rPr>
            </w:pPr>
            <w:r w:rsidRPr="001824FA">
              <w:rPr>
                <w:b/>
                <w:sz w:val="20"/>
                <w:szCs w:val="20"/>
              </w:rPr>
              <w:t xml:space="preserve">Gravedad de los contactos </w:t>
            </w:r>
          </w:p>
        </w:tc>
        <w:tc>
          <w:tcPr>
            <w:tcW w:w="921" w:type="pct"/>
          </w:tcPr>
          <w:p w14:paraId="61B4F1C8" w14:textId="77777777" w:rsidR="001824FA" w:rsidRPr="001824FA" w:rsidRDefault="001824FA" w:rsidP="001824FA">
            <w:pPr>
              <w:contextualSpacing/>
              <w:jc w:val="center"/>
              <w:rPr>
                <w:sz w:val="20"/>
                <w:szCs w:val="20"/>
              </w:rPr>
            </w:pPr>
          </w:p>
        </w:tc>
        <w:tc>
          <w:tcPr>
            <w:tcW w:w="836" w:type="pct"/>
          </w:tcPr>
          <w:p w14:paraId="76223FE5" w14:textId="77777777" w:rsidR="001824FA" w:rsidRPr="001824FA" w:rsidRDefault="001824FA" w:rsidP="001824FA">
            <w:pPr>
              <w:contextualSpacing/>
              <w:jc w:val="center"/>
              <w:rPr>
                <w:sz w:val="20"/>
                <w:szCs w:val="20"/>
              </w:rPr>
            </w:pPr>
          </w:p>
        </w:tc>
        <w:tc>
          <w:tcPr>
            <w:tcW w:w="837" w:type="pct"/>
            <w:tcBorders>
              <w:right w:val="nil"/>
            </w:tcBorders>
          </w:tcPr>
          <w:p w14:paraId="083DC088" w14:textId="77777777" w:rsidR="001824FA" w:rsidRPr="001824FA" w:rsidRDefault="001824FA" w:rsidP="001824FA">
            <w:pPr>
              <w:contextualSpacing/>
              <w:jc w:val="center"/>
              <w:rPr>
                <w:sz w:val="20"/>
                <w:szCs w:val="20"/>
              </w:rPr>
            </w:pPr>
          </w:p>
        </w:tc>
      </w:tr>
      <w:tr w:rsidR="001824FA" w:rsidRPr="001824FA" w14:paraId="1EB02C6A" w14:textId="77777777" w:rsidTr="00EF2D36">
        <w:trPr>
          <w:trHeight w:val="57"/>
        </w:trPr>
        <w:tc>
          <w:tcPr>
            <w:tcW w:w="2406" w:type="pct"/>
            <w:tcBorders>
              <w:left w:val="nil"/>
            </w:tcBorders>
          </w:tcPr>
          <w:p w14:paraId="311B749B" w14:textId="77777777" w:rsidR="001824FA" w:rsidRPr="001824FA" w:rsidRDefault="001824FA" w:rsidP="001824FA">
            <w:pPr>
              <w:contextualSpacing/>
              <w:rPr>
                <w:sz w:val="20"/>
                <w:szCs w:val="20"/>
              </w:rPr>
            </w:pPr>
            <w:r w:rsidRPr="001824FA">
              <w:rPr>
                <w:sz w:val="20"/>
                <w:szCs w:val="20"/>
              </w:rPr>
              <w:t>Asintomático</w:t>
            </w:r>
          </w:p>
        </w:tc>
        <w:tc>
          <w:tcPr>
            <w:tcW w:w="921" w:type="pct"/>
          </w:tcPr>
          <w:p w14:paraId="05553BF9" w14:textId="4C1CBDB7" w:rsidR="001824FA" w:rsidRPr="001824FA" w:rsidRDefault="001824FA" w:rsidP="001824FA">
            <w:pPr>
              <w:contextualSpacing/>
              <w:jc w:val="center"/>
              <w:rPr>
                <w:sz w:val="20"/>
                <w:szCs w:val="20"/>
              </w:rPr>
            </w:pPr>
            <w:r w:rsidRPr="001824FA">
              <w:rPr>
                <w:sz w:val="20"/>
                <w:szCs w:val="20"/>
              </w:rPr>
              <w:t>9 (3</w:t>
            </w:r>
            <w:r w:rsidR="002A7FAB">
              <w:rPr>
                <w:sz w:val="20"/>
                <w:szCs w:val="20"/>
              </w:rPr>
              <w:t>.</w:t>
            </w:r>
            <w:r w:rsidRPr="001824FA">
              <w:rPr>
                <w:sz w:val="20"/>
                <w:szCs w:val="20"/>
              </w:rPr>
              <w:t>9%)</w:t>
            </w:r>
          </w:p>
        </w:tc>
        <w:tc>
          <w:tcPr>
            <w:tcW w:w="836" w:type="pct"/>
          </w:tcPr>
          <w:p w14:paraId="0A92C923" w14:textId="7037EE75" w:rsidR="001824FA" w:rsidRPr="001824FA" w:rsidRDefault="001824FA" w:rsidP="001824FA">
            <w:pPr>
              <w:contextualSpacing/>
              <w:jc w:val="center"/>
              <w:rPr>
                <w:sz w:val="20"/>
                <w:szCs w:val="20"/>
              </w:rPr>
            </w:pPr>
            <w:r w:rsidRPr="001824FA">
              <w:rPr>
                <w:sz w:val="20"/>
                <w:szCs w:val="20"/>
              </w:rPr>
              <w:t>5 (3</w:t>
            </w:r>
            <w:r w:rsidR="002A7FAB">
              <w:rPr>
                <w:sz w:val="20"/>
                <w:szCs w:val="20"/>
              </w:rPr>
              <w:t>.</w:t>
            </w:r>
            <w:r w:rsidRPr="001824FA">
              <w:rPr>
                <w:sz w:val="20"/>
                <w:szCs w:val="20"/>
              </w:rPr>
              <w:t>2%)</w:t>
            </w:r>
          </w:p>
        </w:tc>
        <w:tc>
          <w:tcPr>
            <w:tcW w:w="837" w:type="pct"/>
            <w:tcBorders>
              <w:right w:val="nil"/>
            </w:tcBorders>
          </w:tcPr>
          <w:p w14:paraId="3E49578A" w14:textId="75FDF846" w:rsidR="001824FA" w:rsidRPr="001824FA" w:rsidRDefault="001824FA" w:rsidP="001824FA">
            <w:pPr>
              <w:contextualSpacing/>
              <w:jc w:val="center"/>
              <w:rPr>
                <w:sz w:val="20"/>
                <w:szCs w:val="20"/>
              </w:rPr>
            </w:pPr>
            <w:r w:rsidRPr="001824FA">
              <w:rPr>
                <w:sz w:val="20"/>
                <w:szCs w:val="20"/>
              </w:rPr>
              <w:t>4 (5</w:t>
            </w:r>
            <w:r w:rsidR="002A7FAB">
              <w:rPr>
                <w:sz w:val="20"/>
                <w:szCs w:val="20"/>
              </w:rPr>
              <w:t>.</w:t>
            </w:r>
            <w:r w:rsidRPr="001824FA">
              <w:rPr>
                <w:sz w:val="20"/>
                <w:szCs w:val="20"/>
              </w:rPr>
              <w:t>5%)</w:t>
            </w:r>
          </w:p>
        </w:tc>
      </w:tr>
      <w:tr w:rsidR="001824FA" w:rsidRPr="001824FA" w14:paraId="08651626" w14:textId="77777777" w:rsidTr="00EF2D36">
        <w:trPr>
          <w:trHeight w:val="57"/>
        </w:trPr>
        <w:tc>
          <w:tcPr>
            <w:tcW w:w="2406" w:type="pct"/>
            <w:tcBorders>
              <w:left w:val="nil"/>
            </w:tcBorders>
          </w:tcPr>
          <w:p w14:paraId="67A4ABD5" w14:textId="77777777" w:rsidR="001824FA" w:rsidRPr="001824FA" w:rsidRDefault="001824FA" w:rsidP="001824FA">
            <w:pPr>
              <w:contextualSpacing/>
              <w:rPr>
                <w:sz w:val="20"/>
                <w:szCs w:val="20"/>
              </w:rPr>
            </w:pPr>
            <w:r w:rsidRPr="001824FA">
              <w:rPr>
                <w:sz w:val="20"/>
                <w:szCs w:val="20"/>
              </w:rPr>
              <w:t>Leve</w:t>
            </w:r>
          </w:p>
        </w:tc>
        <w:tc>
          <w:tcPr>
            <w:tcW w:w="921" w:type="pct"/>
          </w:tcPr>
          <w:p w14:paraId="3360F59A" w14:textId="1AAA25D0" w:rsidR="001824FA" w:rsidRPr="001824FA" w:rsidRDefault="001824FA" w:rsidP="001824FA">
            <w:pPr>
              <w:contextualSpacing/>
              <w:jc w:val="center"/>
              <w:rPr>
                <w:sz w:val="20"/>
                <w:szCs w:val="20"/>
              </w:rPr>
            </w:pPr>
            <w:r w:rsidRPr="001824FA">
              <w:rPr>
                <w:sz w:val="20"/>
                <w:szCs w:val="20"/>
              </w:rPr>
              <w:t>23 (10</w:t>
            </w:r>
            <w:r w:rsidR="002A7FAB">
              <w:rPr>
                <w:sz w:val="20"/>
                <w:szCs w:val="20"/>
              </w:rPr>
              <w:t>.</w:t>
            </w:r>
            <w:r w:rsidRPr="001824FA">
              <w:rPr>
                <w:sz w:val="20"/>
                <w:szCs w:val="20"/>
              </w:rPr>
              <w:t>0%)</w:t>
            </w:r>
          </w:p>
        </w:tc>
        <w:tc>
          <w:tcPr>
            <w:tcW w:w="836" w:type="pct"/>
          </w:tcPr>
          <w:p w14:paraId="02FD0B7B" w14:textId="261CF481" w:rsidR="001824FA" w:rsidRPr="001824FA" w:rsidRDefault="001824FA" w:rsidP="001824FA">
            <w:pPr>
              <w:contextualSpacing/>
              <w:jc w:val="center"/>
              <w:rPr>
                <w:sz w:val="20"/>
                <w:szCs w:val="20"/>
              </w:rPr>
            </w:pPr>
            <w:r w:rsidRPr="001824FA">
              <w:rPr>
                <w:sz w:val="20"/>
                <w:szCs w:val="20"/>
              </w:rPr>
              <w:t>13 (8</w:t>
            </w:r>
            <w:r w:rsidR="002A7FAB">
              <w:rPr>
                <w:sz w:val="20"/>
                <w:szCs w:val="20"/>
              </w:rPr>
              <w:t>.</w:t>
            </w:r>
            <w:r w:rsidRPr="001824FA">
              <w:rPr>
                <w:sz w:val="20"/>
                <w:szCs w:val="20"/>
              </w:rPr>
              <w:t>2%)</w:t>
            </w:r>
          </w:p>
        </w:tc>
        <w:tc>
          <w:tcPr>
            <w:tcW w:w="837" w:type="pct"/>
            <w:tcBorders>
              <w:right w:val="nil"/>
            </w:tcBorders>
          </w:tcPr>
          <w:p w14:paraId="73045606" w14:textId="11D49FDF" w:rsidR="001824FA" w:rsidRPr="001824FA" w:rsidRDefault="001824FA" w:rsidP="001824FA">
            <w:pPr>
              <w:contextualSpacing/>
              <w:jc w:val="center"/>
              <w:rPr>
                <w:sz w:val="20"/>
                <w:szCs w:val="20"/>
              </w:rPr>
            </w:pPr>
            <w:r w:rsidRPr="001824FA">
              <w:rPr>
                <w:sz w:val="20"/>
                <w:szCs w:val="20"/>
              </w:rPr>
              <w:t>10 (13</w:t>
            </w:r>
            <w:r w:rsidR="002A7FAB">
              <w:rPr>
                <w:sz w:val="20"/>
                <w:szCs w:val="20"/>
              </w:rPr>
              <w:t>.</w:t>
            </w:r>
            <w:r w:rsidRPr="001824FA">
              <w:rPr>
                <w:sz w:val="20"/>
                <w:szCs w:val="20"/>
              </w:rPr>
              <w:t>7%)</w:t>
            </w:r>
          </w:p>
        </w:tc>
      </w:tr>
      <w:tr w:rsidR="001824FA" w:rsidRPr="001824FA" w14:paraId="68E8D035" w14:textId="77777777" w:rsidTr="00EF2D36">
        <w:trPr>
          <w:trHeight w:val="57"/>
        </w:trPr>
        <w:tc>
          <w:tcPr>
            <w:tcW w:w="2406" w:type="pct"/>
            <w:tcBorders>
              <w:left w:val="nil"/>
            </w:tcBorders>
          </w:tcPr>
          <w:p w14:paraId="290F6DEC" w14:textId="77777777" w:rsidR="001824FA" w:rsidRPr="001824FA" w:rsidRDefault="001824FA" w:rsidP="001824FA">
            <w:pPr>
              <w:contextualSpacing/>
              <w:rPr>
                <w:sz w:val="20"/>
                <w:szCs w:val="20"/>
              </w:rPr>
            </w:pPr>
            <w:r w:rsidRPr="001824FA">
              <w:rPr>
                <w:sz w:val="20"/>
                <w:szCs w:val="20"/>
              </w:rPr>
              <w:t>Moderado</w:t>
            </w:r>
          </w:p>
        </w:tc>
        <w:tc>
          <w:tcPr>
            <w:tcW w:w="921" w:type="pct"/>
          </w:tcPr>
          <w:p w14:paraId="4FF8C077" w14:textId="70CA45FF" w:rsidR="001824FA" w:rsidRPr="001824FA" w:rsidRDefault="001824FA" w:rsidP="001824FA">
            <w:pPr>
              <w:contextualSpacing/>
              <w:jc w:val="center"/>
              <w:rPr>
                <w:sz w:val="20"/>
                <w:szCs w:val="20"/>
              </w:rPr>
            </w:pPr>
            <w:r w:rsidRPr="001824FA">
              <w:rPr>
                <w:sz w:val="20"/>
                <w:szCs w:val="20"/>
              </w:rPr>
              <w:t>15 (6</w:t>
            </w:r>
            <w:r w:rsidR="002A7FAB">
              <w:rPr>
                <w:sz w:val="20"/>
                <w:szCs w:val="20"/>
              </w:rPr>
              <w:t>.</w:t>
            </w:r>
            <w:r w:rsidRPr="001824FA">
              <w:rPr>
                <w:sz w:val="20"/>
                <w:szCs w:val="20"/>
              </w:rPr>
              <w:t>5%)</w:t>
            </w:r>
          </w:p>
        </w:tc>
        <w:tc>
          <w:tcPr>
            <w:tcW w:w="836" w:type="pct"/>
          </w:tcPr>
          <w:p w14:paraId="31B6E8CD" w14:textId="75A6B39C" w:rsidR="001824FA" w:rsidRPr="001824FA" w:rsidRDefault="001824FA" w:rsidP="001824FA">
            <w:pPr>
              <w:contextualSpacing/>
              <w:jc w:val="center"/>
              <w:rPr>
                <w:sz w:val="20"/>
                <w:szCs w:val="20"/>
              </w:rPr>
            </w:pPr>
            <w:r w:rsidRPr="001824FA">
              <w:rPr>
                <w:sz w:val="20"/>
                <w:szCs w:val="20"/>
              </w:rPr>
              <w:t>5 (3</w:t>
            </w:r>
            <w:r w:rsidR="002A7FAB">
              <w:rPr>
                <w:sz w:val="20"/>
                <w:szCs w:val="20"/>
              </w:rPr>
              <w:t>.</w:t>
            </w:r>
            <w:r w:rsidRPr="001824FA">
              <w:rPr>
                <w:sz w:val="20"/>
                <w:szCs w:val="20"/>
              </w:rPr>
              <w:t>2%)</w:t>
            </w:r>
          </w:p>
        </w:tc>
        <w:tc>
          <w:tcPr>
            <w:tcW w:w="837" w:type="pct"/>
            <w:tcBorders>
              <w:right w:val="nil"/>
            </w:tcBorders>
          </w:tcPr>
          <w:p w14:paraId="192CDB61" w14:textId="5CCE6CC6" w:rsidR="001824FA" w:rsidRPr="001824FA" w:rsidRDefault="001824FA" w:rsidP="001824FA">
            <w:pPr>
              <w:contextualSpacing/>
              <w:jc w:val="center"/>
              <w:rPr>
                <w:sz w:val="20"/>
                <w:szCs w:val="20"/>
              </w:rPr>
            </w:pPr>
            <w:r w:rsidRPr="001824FA">
              <w:rPr>
                <w:sz w:val="20"/>
                <w:szCs w:val="20"/>
              </w:rPr>
              <w:t>10 (13</w:t>
            </w:r>
            <w:r w:rsidR="002A7FAB">
              <w:rPr>
                <w:sz w:val="20"/>
                <w:szCs w:val="20"/>
              </w:rPr>
              <w:t>.</w:t>
            </w:r>
            <w:r w:rsidRPr="001824FA">
              <w:rPr>
                <w:sz w:val="20"/>
                <w:szCs w:val="20"/>
              </w:rPr>
              <w:t>7%)</w:t>
            </w:r>
          </w:p>
        </w:tc>
      </w:tr>
      <w:tr w:rsidR="001824FA" w:rsidRPr="001824FA" w14:paraId="0E18A38C" w14:textId="77777777" w:rsidTr="00EF2D36">
        <w:trPr>
          <w:trHeight w:val="57"/>
        </w:trPr>
        <w:tc>
          <w:tcPr>
            <w:tcW w:w="2406" w:type="pct"/>
            <w:tcBorders>
              <w:left w:val="nil"/>
            </w:tcBorders>
          </w:tcPr>
          <w:p w14:paraId="46887565" w14:textId="77777777" w:rsidR="001824FA" w:rsidRPr="001824FA" w:rsidRDefault="001824FA" w:rsidP="001824FA">
            <w:pPr>
              <w:contextualSpacing/>
              <w:rPr>
                <w:sz w:val="20"/>
                <w:szCs w:val="20"/>
              </w:rPr>
            </w:pPr>
            <w:r w:rsidRPr="001824FA">
              <w:rPr>
                <w:sz w:val="20"/>
                <w:szCs w:val="20"/>
              </w:rPr>
              <w:t>Grave</w:t>
            </w:r>
          </w:p>
        </w:tc>
        <w:tc>
          <w:tcPr>
            <w:tcW w:w="921" w:type="pct"/>
          </w:tcPr>
          <w:p w14:paraId="7C0C6BFE" w14:textId="222388FD" w:rsidR="001824FA" w:rsidRPr="001824FA" w:rsidRDefault="001824FA" w:rsidP="001824FA">
            <w:pPr>
              <w:contextualSpacing/>
              <w:jc w:val="center"/>
              <w:rPr>
                <w:sz w:val="20"/>
                <w:szCs w:val="20"/>
              </w:rPr>
            </w:pPr>
            <w:r w:rsidRPr="001824FA">
              <w:rPr>
                <w:sz w:val="20"/>
                <w:szCs w:val="20"/>
              </w:rPr>
              <w:t>15 (6</w:t>
            </w:r>
            <w:r w:rsidR="002A7FAB">
              <w:rPr>
                <w:sz w:val="20"/>
                <w:szCs w:val="20"/>
              </w:rPr>
              <w:t>.</w:t>
            </w:r>
            <w:r w:rsidRPr="001824FA">
              <w:rPr>
                <w:sz w:val="20"/>
                <w:szCs w:val="20"/>
              </w:rPr>
              <w:t>5%)</w:t>
            </w:r>
          </w:p>
        </w:tc>
        <w:tc>
          <w:tcPr>
            <w:tcW w:w="836" w:type="pct"/>
          </w:tcPr>
          <w:p w14:paraId="786BBA3D" w14:textId="04CF0DF7" w:rsidR="001824FA" w:rsidRPr="001824FA" w:rsidRDefault="001824FA" w:rsidP="001824FA">
            <w:pPr>
              <w:contextualSpacing/>
              <w:jc w:val="center"/>
              <w:rPr>
                <w:sz w:val="20"/>
                <w:szCs w:val="20"/>
              </w:rPr>
            </w:pPr>
            <w:r w:rsidRPr="001824FA">
              <w:rPr>
                <w:sz w:val="20"/>
                <w:szCs w:val="20"/>
              </w:rPr>
              <w:t>8 (5</w:t>
            </w:r>
            <w:r w:rsidR="002A7FAB">
              <w:rPr>
                <w:sz w:val="20"/>
                <w:szCs w:val="20"/>
              </w:rPr>
              <w:t>.</w:t>
            </w:r>
            <w:r w:rsidRPr="001824FA">
              <w:rPr>
                <w:sz w:val="20"/>
                <w:szCs w:val="20"/>
              </w:rPr>
              <w:t>1%)</w:t>
            </w:r>
          </w:p>
        </w:tc>
        <w:tc>
          <w:tcPr>
            <w:tcW w:w="837" w:type="pct"/>
            <w:tcBorders>
              <w:right w:val="nil"/>
            </w:tcBorders>
          </w:tcPr>
          <w:p w14:paraId="1303A689" w14:textId="30D21173" w:rsidR="001824FA" w:rsidRPr="001824FA" w:rsidRDefault="001824FA" w:rsidP="001824FA">
            <w:pPr>
              <w:contextualSpacing/>
              <w:jc w:val="center"/>
              <w:rPr>
                <w:sz w:val="20"/>
                <w:szCs w:val="20"/>
              </w:rPr>
            </w:pPr>
            <w:r w:rsidRPr="001824FA">
              <w:rPr>
                <w:sz w:val="20"/>
                <w:szCs w:val="20"/>
              </w:rPr>
              <w:t>7 (9</w:t>
            </w:r>
            <w:r w:rsidR="002A7FAB">
              <w:rPr>
                <w:sz w:val="20"/>
                <w:szCs w:val="20"/>
              </w:rPr>
              <w:t>.</w:t>
            </w:r>
            <w:r w:rsidRPr="001824FA">
              <w:rPr>
                <w:sz w:val="20"/>
                <w:szCs w:val="20"/>
              </w:rPr>
              <w:t>6%)</w:t>
            </w:r>
          </w:p>
        </w:tc>
      </w:tr>
      <w:tr w:rsidR="001824FA" w:rsidRPr="001824FA" w14:paraId="354BF896" w14:textId="77777777" w:rsidTr="00EF2D36">
        <w:trPr>
          <w:trHeight w:val="57"/>
        </w:trPr>
        <w:tc>
          <w:tcPr>
            <w:tcW w:w="2406" w:type="pct"/>
            <w:tcBorders>
              <w:left w:val="nil"/>
            </w:tcBorders>
          </w:tcPr>
          <w:p w14:paraId="6246FA2A" w14:textId="77777777" w:rsidR="001824FA" w:rsidRPr="001824FA" w:rsidRDefault="001824FA" w:rsidP="001824FA">
            <w:pPr>
              <w:contextualSpacing/>
              <w:rPr>
                <w:sz w:val="20"/>
                <w:szCs w:val="20"/>
              </w:rPr>
            </w:pPr>
            <w:r w:rsidRPr="001824FA">
              <w:rPr>
                <w:sz w:val="20"/>
                <w:szCs w:val="20"/>
              </w:rPr>
              <w:t>Muy grave</w:t>
            </w:r>
          </w:p>
        </w:tc>
        <w:tc>
          <w:tcPr>
            <w:tcW w:w="921" w:type="pct"/>
          </w:tcPr>
          <w:p w14:paraId="57F801F6" w14:textId="02E0E4C9" w:rsidR="001824FA" w:rsidRPr="001824FA" w:rsidRDefault="001824FA" w:rsidP="001824FA">
            <w:pPr>
              <w:contextualSpacing/>
              <w:jc w:val="center"/>
              <w:rPr>
                <w:sz w:val="20"/>
                <w:szCs w:val="20"/>
              </w:rPr>
            </w:pPr>
            <w:r w:rsidRPr="001824FA">
              <w:rPr>
                <w:sz w:val="20"/>
                <w:szCs w:val="20"/>
              </w:rPr>
              <w:t>15 (6</w:t>
            </w:r>
            <w:r w:rsidR="002A7FAB">
              <w:rPr>
                <w:sz w:val="20"/>
                <w:szCs w:val="20"/>
              </w:rPr>
              <w:t>.</w:t>
            </w:r>
            <w:r w:rsidRPr="001824FA">
              <w:rPr>
                <w:sz w:val="20"/>
                <w:szCs w:val="20"/>
              </w:rPr>
              <w:t>5%)</w:t>
            </w:r>
          </w:p>
        </w:tc>
        <w:tc>
          <w:tcPr>
            <w:tcW w:w="836" w:type="pct"/>
          </w:tcPr>
          <w:p w14:paraId="477BFEA6" w14:textId="3D761427" w:rsidR="001824FA" w:rsidRPr="001824FA" w:rsidRDefault="001824FA" w:rsidP="001824FA">
            <w:pPr>
              <w:contextualSpacing/>
              <w:jc w:val="center"/>
              <w:rPr>
                <w:sz w:val="20"/>
                <w:szCs w:val="20"/>
              </w:rPr>
            </w:pPr>
            <w:r w:rsidRPr="001824FA">
              <w:rPr>
                <w:sz w:val="20"/>
                <w:szCs w:val="20"/>
              </w:rPr>
              <w:t>3 (1</w:t>
            </w:r>
            <w:r w:rsidR="002A7FAB">
              <w:rPr>
                <w:sz w:val="20"/>
                <w:szCs w:val="20"/>
              </w:rPr>
              <w:t>.</w:t>
            </w:r>
            <w:r w:rsidRPr="001824FA">
              <w:rPr>
                <w:sz w:val="20"/>
                <w:szCs w:val="20"/>
              </w:rPr>
              <w:t>9%)</w:t>
            </w:r>
          </w:p>
        </w:tc>
        <w:tc>
          <w:tcPr>
            <w:tcW w:w="837" w:type="pct"/>
            <w:tcBorders>
              <w:right w:val="nil"/>
            </w:tcBorders>
          </w:tcPr>
          <w:p w14:paraId="3EEA159D" w14:textId="133B6F30" w:rsidR="001824FA" w:rsidRPr="001824FA" w:rsidRDefault="001824FA" w:rsidP="001824FA">
            <w:pPr>
              <w:contextualSpacing/>
              <w:jc w:val="center"/>
              <w:rPr>
                <w:sz w:val="20"/>
                <w:szCs w:val="20"/>
              </w:rPr>
            </w:pPr>
            <w:r w:rsidRPr="001824FA">
              <w:rPr>
                <w:sz w:val="20"/>
                <w:szCs w:val="20"/>
              </w:rPr>
              <w:t>12 (16</w:t>
            </w:r>
            <w:r w:rsidR="002A7FAB">
              <w:rPr>
                <w:sz w:val="20"/>
                <w:szCs w:val="20"/>
              </w:rPr>
              <w:t>.</w:t>
            </w:r>
            <w:r w:rsidRPr="001824FA">
              <w:rPr>
                <w:sz w:val="20"/>
                <w:szCs w:val="20"/>
              </w:rPr>
              <w:t>4%)</w:t>
            </w:r>
          </w:p>
        </w:tc>
      </w:tr>
      <w:tr w:rsidR="001824FA" w:rsidRPr="001824FA" w14:paraId="2228B251" w14:textId="77777777" w:rsidTr="00EF2D36">
        <w:trPr>
          <w:trHeight w:val="57"/>
        </w:trPr>
        <w:tc>
          <w:tcPr>
            <w:tcW w:w="2406" w:type="pct"/>
            <w:tcBorders>
              <w:left w:val="nil"/>
            </w:tcBorders>
          </w:tcPr>
          <w:p w14:paraId="3E8C5015" w14:textId="77777777" w:rsidR="001824FA" w:rsidRPr="001824FA" w:rsidRDefault="001824FA" w:rsidP="001824FA">
            <w:pPr>
              <w:contextualSpacing/>
              <w:rPr>
                <w:sz w:val="20"/>
                <w:szCs w:val="20"/>
              </w:rPr>
            </w:pPr>
            <w:r w:rsidRPr="001824FA">
              <w:rPr>
                <w:b/>
                <w:sz w:val="20"/>
                <w:szCs w:val="20"/>
              </w:rPr>
              <w:t>Fallecimiento de algún conocido/familiar</w:t>
            </w:r>
          </w:p>
        </w:tc>
        <w:tc>
          <w:tcPr>
            <w:tcW w:w="921" w:type="pct"/>
          </w:tcPr>
          <w:p w14:paraId="27E91B4F" w14:textId="77777777" w:rsidR="001824FA" w:rsidRPr="001824FA" w:rsidRDefault="001824FA" w:rsidP="001824FA">
            <w:pPr>
              <w:contextualSpacing/>
              <w:jc w:val="center"/>
              <w:rPr>
                <w:sz w:val="20"/>
                <w:szCs w:val="20"/>
              </w:rPr>
            </w:pPr>
          </w:p>
        </w:tc>
        <w:tc>
          <w:tcPr>
            <w:tcW w:w="836" w:type="pct"/>
          </w:tcPr>
          <w:p w14:paraId="2E3AA4D2" w14:textId="77777777" w:rsidR="001824FA" w:rsidRPr="001824FA" w:rsidRDefault="001824FA" w:rsidP="001824FA">
            <w:pPr>
              <w:contextualSpacing/>
              <w:jc w:val="center"/>
              <w:rPr>
                <w:sz w:val="20"/>
                <w:szCs w:val="20"/>
              </w:rPr>
            </w:pPr>
          </w:p>
        </w:tc>
        <w:tc>
          <w:tcPr>
            <w:tcW w:w="837" w:type="pct"/>
            <w:tcBorders>
              <w:right w:val="nil"/>
            </w:tcBorders>
          </w:tcPr>
          <w:p w14:paraId="7D1823F7" w14:textId="77777777" w:rsidR="001824FA" w:rsidRPr="001824FA" w:rsidRDefault="001824FA" w:rsidP="001824FA">
            <w:pPr>
              <w:contextualSpacing/>
              <w:jc w:val="center"/>
              <w:rPr>
                <w:sz w:val="20"/>
                <w:szCs w:val="20"/>
              </w:rPr>
            </w:pPr>
          </w:p>
        </w:tc>
      </w:tr>
      <w:tr w:rsidR="001824FA" w:rsidRPr="001824FA" w14:paraId="3F6C95DB" w14:textId="77777777" w:rsidTr="00EF2D36">
        <w:trPr>
          <w:trHeight w:val="57"/>
        </w:trPr>
        <w:tc>
          <w:tcPr>
            <w:tcW w:w="2406" w:type="pct"/>
            <w:tcBorders>
              <w:left w:val="nil"/>
            </w:tcBorders>
          </w:tcPr>
          <w:p w14:paraId="0E4DA35F" w14:textId="77777777" w:rsidR="001824FA" w:rsidRPr="001824FA" w:rsidRDefault="001824FA" w:rsidP="001824FA">
            <w:pPr>
              <w:contextualSpacing/>
              <w:rPr>
                <w:sz w:val="20"/>
                <w:szCs w:val="20"/>
              </w:rPr>
            </w:pPr>
            <w:r w:rsidRPr="001824FA">
              <w:rPr>
                <w:sz w:val="20"/>
                <w:szCs w:val="20"/>
              </w:rPr>
              <w:t>Sí</w:t>
            </w:r>
          </w:p>
        </w:tc>
        <w:tc>
          <w:tcPr>
            <w:tcW w:w="921" w:type="pct"/>
          </w:tcPr>
          <w:p w14:paraId="53813419" w14:textId="349932BF" w:rsidR="001824FA" w:rsidRPr="001824FA" w:rsidRDefault="001824FA" w:rsidP="001824FA">
            <w:pPr>
              <w:contextualSpacing/>
              <w:jc w:val="center"/>
              <w:rPr>
                <w:sz w:val="20"/>
                <w:szCs w:val="20"/>
              </w:rPr>
            </w:pPr>
            <w:r w:rsidRPr="001824FA">
              <w:rPr>
                <w:sz w:val="20"/>
                <w:szCs w:val="20"/>
              </w:rPr>
              <w:t>62 (26</w:t>
            </w:r>
            <w:r w:rsidR="002A7FAB">
              <w:rPr>
                <w:sz w:val="20"/>
                <w:szCs w:val="20"/>
              </w:rPr>
              <w:t>.</w:t>
            </w:r>
            <w:r w:rsidRPr="001824FA">
              <w:rPr>
                <w:sz w:val="20"/>
                <w:szCs w:val="20"/>
              </w:rPr>
              <w:t>8%)</w:t>
            </w:r>
          </w:p>
        </w:tc>
        <w:tc>
          <w:tcPr>
            <w:tcW w:w="836" w:type="pct"/>
          </w:tcPr>
          <w:p w14:paraId="29EA5563" w14:textId="516C267D" w:rsidR="001824FA" w:rsidRPr="001824FA" w:rsidRDefault="001824FA" w:rsidP="001824FA">
            <w:pPr>
              <w:contextualSpacing/>
              <w:jc w:val="center"/>
              <w:rPr>
                <w:sz w:val="20"/>
                <w:szCs w:val="20"/>
              </w:rPr>
            </w:pPr>
            <w:r w:rsidRPr="001824FA">
              <w:rPr>
                <w:sz w:val="20"/>
                <w:szCs w:val="20"/>
              </w:rPr>
              <w:t>38 (24</w:t>
            </w:r>
            <w:r w:rsidR="002A7FAB">
              <w:rPr>
                <w:sz w:val="20"/>
                <w:szCs w:val="20"/>
              </w:rPr>
              <w:t>.</w:t>
            </w:r>
            <w:r w:rsidRPr="001824FA">
              <w:rPr>
                <w:sz w:val="20"/>
                <w:szCs w:val="20"/>
              </w:rPr>
              <w:t>1%)</w:t>
            </w:r>
          </w:p>
        </w:tc>
        <w:tc>
          <w:tcPr>
            <w:tcW w:w="837" w:type="pct"/>
            <w:tcBorders>
              <w:right w:val="nil"/>
            </w:tcBorders>
          </w:tcPr>
          <w:p w14:paraId="618827D2" w14:textId="468B5593" w:rsidR="001824FA" w:rsidRPr="001824FA" w:rsidRDefault="001824FA" w:rsidP="001824FA">
            <w:pPr>
              <w:contextualSpacing/>
              <w:jc w:val="center"/>
              <w:rPr>
                <w:sz w:val="20"/>
                <w:szCs w:val="20"/>
              </w:rPr>
            </w:pPr>
            <w:r w:rsidRPr="001824FA">
              <w:rPr>
                <w:sz w:val="20"/>
                <w:szCs w:val="20"/>
              </w:rPr>
              <w:t>24 (32</w:t>
            </w:r>
            <w:r w:rsidR="002A7FAB">
              <w:rPr>
                <w:sz w:val="20"/>
                <w:szCs w:val="20"/>
              </w:rPr>
              <w:t>.</w:t>
            </w:r>
            <w:r w:rsidRPr="001824FA">
              <w:rPr>
                <w:sz w:val="20"/>
                <w:szCs w:val="20"/>
              </w:rPr>
              <w:t>9%)</w:t>
            </w:r>
          </w:p>
        </w:tc>
      </w:tr>
      <w:tr w:rsidR="001824FA" w:rsidRPr="001824FA" w14:paraId="242888BE" w14:textId="77777777" w:rsidTr="00EF2D36">
        <w:trPr>
          <w:trHeight w:val="57"/>
        </w:trPr>
        <w:tc>
          <w:tcPr>
            <w:tcW w:w="2406" w:type="pct"/>
            <w:tcBorders>
              <w:left w:val="nil"/>
            </w:tcBorders>
          </w:tcPr>
          <w:p w14:paraId="43BDC1FC" w14:textId="77777777" w:rsidR="001824FA" w:rsidRPr="001824FA" w:rsidRDefault="001824FA" w:rsidP="001824FA">
            <w:pPr>
              <w:contextualSpacing/>
              <w:rPr>
                <w:b/>
                <w:sz w:val="20"/>
                <w:szCs w:val="20"/>
              </w:rPr>
            </w:pPr>
            <w:r w:rsidRPr="001824FA">
              <w:rPr>
                <w:b/>
                <w:sz w:val="20"/>
                <w:szCs w:val="20"/>
              </w:rPr>
              <w:t>Grado de parentesco</w:t>
            </w:r>
          </w:p>
        </w:tc>
        <w:tc>
          <w:tcPr>
            <w:tcW w:w="921" w:type="pct"/>
          </w:tcPr>
          <w:p w14:paraId="61C7A8B3" w14:textId="77777777" w:rsidR="001824FA" w:rsidRPr="001824FA" w:rsidRDefault="001824FA" w:rsidP="001824FA">
            <w:pPr>
              <w:contextualSpacing/>
              <w:jc w:val="center"/>
              <w:rPr>
                <w:sz w:val="20"/>
                <w:szCs w:val="20"/>
              </w:rPr>
            </w:pPr>
          </w:p>
        </w:tc>
        <w:tc>
          <w:tcPr>
            <w:tcW w:w="836" w:type="pct"/>
          </w:tcPr>
          <w:p w14:paraId="66345D68" w14:textId="77777777" w:rsidR="001824FA" w:rsidRPr="001824FA" w:rsidRDefault="001824FA" w:rsidP="001824FA">
            <w:pPr>
              <w:contextualSpacing/>
              <w:jc w:val="center"/>
              <w:rPr>
                <w:sz w:val="20"/>
                <w:szCs w:val="20"/>
              </w:rPr>
            </w:pPr>
          </w:p>
        </w:tc>
        <w:tc>
          <w:tcPr>
            <w:tcW w:w="837" w:type="pct"/>
            <w:tcBorders>
              <w:right w:val="nil"/>
            </w:tcBorders>
          </w:tcPr>
          <w:p w14:paraId="79FAC370" w14:textId="77777777" w:rsidR="001824FA" w:rsidRPr="001824FA" w:rsidRDefault="001824FA" w:rsidP="001824FA">
            <w:pPr>
              <w:contextualSpacing/>
              <w:jc w:val="center"/>
              <w:rPr>
                <w:sz w:val="20"/>
                <w:szCs w:val="20"/>
              </w:rPr>
            </w:pPr>
          </w:p>
        </w:tc>
      </w:tr>
      <w:tr w:rsidR="001824FA" w:rsidRPr="001824FA" w14:paraId="2834F13A" w14:textId="77777777" w:rsidTr="00EF2D36">
        <w:trPr>
          <w:trHeight w:val="57"/>
        </w:trPr>
        <w:tc>
          <w:tcPr>
            <w:tcW w:w="2406" w:type="pct"/>
            <w:tcBorders>
              <w:left w:val="nil"/>
            </w:tcBorders>
          </w:tcPr>
          <w:p w14:paraId="42129E8A" w14:textId="77777777" w:rsidR="001824FA" w:rsidRPr="001824FA" w:rsidRDefault="001824FA" w:rsidP="001824FA">
            <w:pPr>
              <w:contextualSpacing/>
              <w:rPr>
                <w:sz w:val="20"/>
                <w:szCs w:val="20"/>
              </w:rPr>
            </w:pPr>
            <w:r w:rsidRPr="001824FA">
              <w:rPr>
                <w:sz w:val="20"/>
                <w:szCs w:val="20"/>
              </w:rPr>
              <w:t>Abuelo/a</w:t>
            </w:r>
          </w:p>
        </w:tc>
        <w:tc>
          <w:tcPr>
            <w:tcW w:w="921" w:type="pct"/>
          </w:tcPr>
          <w:p w14:paraId="5F58F2D7" w14:textId="52933C12" w:rsidR="001824FA" w:rsidRPr="001824FA" w:rsidRDefault="001824FA" w:rsidP="001824FA">
            <w:pPr>
              <w:contextualSpacing/>
              <w:jc w:val="center"/>
              <w:rPr>
                <w:sz w:val="20"/>
                <w:szCs w:val="20"/>
              </w:rPr>
            </w:pPr>
            <w:r w:rsidRPr="001824FA">
              <w:rPr>
                <w:sz w:val="20"/>
                <w:szCs w:val="20"/>
              </w:rPr>
              <w:t>2 (3</w:t>
            </w:r>
            <w:r w:rsidR="002A7FAB">
              <w:rPr>
                <w:sz w:val="20"/>
                <w:szCs w:val="20"/>
              </w:rPr>
              <w:t>.</w:t>
            </w:r>
            <w:r w:rsidRPr="001824FA">
              <w:rPr>
                <w:sz w:val="20"/>
                <w:szCs w:val="20"/>
              </w:rPr>
              <w:t>1%)</w:t>
            </w:r>
          </w:p>
        </w:tc>
        <w:tc>
          <w:tcPr>
            <w:tcW w:w="836" w:type="pct"/>
          </w:tcPr>
          <w:p w14:paraId="44001D45" w14:textId="77777777" w:rsidR="001824FA" w:rsidRPr="001824FA" w:rsidRDefault="001824FA" w:rsidP="001824FA">
            <w:pPr>
              <w:numPr>
                <w:ilvl w:val="0"/>
                <w:numId w:val="13"/>
              </w:numPr>
              <w:ind w:left="0" w:firstLine="0"/>
              <w:contextualSpacing/>
              <w:jc w:val="center"/>
              <w:rPr>
                <w:sz w:val="20"/>
                <w:szCs w:val="20"/>
              </w:rPr>
            </w:pPr>
          </w:p>
        </w:tc>
        <w:tc>
          <w:tcPr>
            <w:tcW w:w="837" w:type="pct"/>
            <w:tcBorders>
              <w:right w:val="nil"/>
            </w:tcBorders>
          </w:tcPr>
          <w:p w14:paraId="022A34B7" w14:textId="0D18BFC6" w:rsidR="001824FA" w:rsidRPr="001824FA" w:rsidRDefault="001824FA" w:rsidP="001824FA">
            <w:pPr>
              <w:contextualSpacing/>
              <w:jc w:val="center"/>
              <w:rPr>
                <w:sz w:val="20"/>
                <w:szCs w:val="20"/>
              </w:rPr>
            </w:pPr>
            <w:r w:rsidRPr="001824FA">
              <w:rPr>
                <w:sz w:val="20"/>
                <w:szCs w:val="20"/>
              </w:rPr>
              <w:t>2 (2</w:t>
            </w:r>
            <w:r w:rsidR="002A7FAB">
              <w:rPr>
                <w:sz w:val="20"/>
                <w:szCs w:val="20"/>
              </w:rPr>
              <w:t>.</w:t>
            </w:r>
            <w:r w:rsidRPr="001824FA">
              <w:rPr>
                <w:sz w:val="20"/>
                <w:szCs w:val="20"/>
              </w:rPr>
              <w:t>7%)</w:t>
            </w:r>
          </w:p>
        </w:tc>
      </w:tr>
      <w:tr w:rsidR="001824FA" w:rsidRPr="001824FA" w14:paraId="3F5858E0" w14:textId="77777777" w:rsidTr="00EF2D36">
        <w:trPr>
          <w:trHeight w:val="57"/>
        </w:trPr>
        <w:tc>
          <w:tcPr>
            <w:tcW w:w="2406" w:type="pct"/>
            <w:tcBorders>
              <w:left w:val="nil"/>
            </w:tcBorders>
          </w:tcPr>
          <w:p w14:paraId="12170003" w14:textId="77777777" w:rsidR="001824FA" w:rsidRPr="001824FA" w:rsidRDefault="001824FA" w:rsidP="001824FA">
            <w:pPr>
              <w:contextualSpacing/>
              <w:rPr>
                <w:sz w:val="20"/>
                <w:szCs w:val="20"/>
              </w:rPr>
            </w:pPr>
            <w:r w:rsidRPr="001824FA">
              <w:rPr>
                <w:sz w:val="20"/>
                <w:szCs w:val="20"/>
              </w:rPr>
              <w:t>Amigo/a</w:t>
            </w:r>
          </w:p>
        </w:tc>
        <w:tc>
          <w:tcPr>
            <w:tcW w:w="921" w:type="pct"/>
          </w:tcPr>
          <w:p w14:paraId="17683794" w14:textId="5295DB3F" w:rsidR="001824FA" w:rsidRPr="001824FA" w:rsidRDefault="001824FA" w:rsidP="001824FA">
            <w:pPr>
              <w:contextualSpacing/>
              <w:jc w:val="center"/>
              <w:rPr>
                <w:sz w:val="20"/>
                <w:szCs w:val="20"/>
              </w:rPr>
            </w:pPr>
            <w:r w:rsidRPr="001824FA">
              <w:rPr>
                <w:sz w:val="20"/>
                <w:szCs w:val="20"/>
              </w:rPr>
              <w:t>9 (13</w:t>
            </w:r>
            <w:r w:rsidR="002A7FAB">
              <w:rPr>
                <w:sz w:val="20"/>
                <w:szCs w:val="20"/>
              </w:rPr>
              <w:t>.</w:t>
            </w:r>
            <w:r w:rsidRPr="001824FA">
              <w:rPr>
                <w:sz w:val="20"/>
                <w:szCs w:val="20"/>
              </w:rPr>
              <w:t>8%)</w:t>
            </w:r>
          </w:p>
        </w:tc>
        <w:tc>
          <w:tcPr>
            <w:tcW w:w="836" w:type="pct"/>
          </w:tcPr>
          <w:p w14:paraId="7EB2C6E6" w14:textId="1F9E515E" w:rsidR="001824FA" w:rsidRPr="001824FA" w:rsidRDefault="001824FA" w:rsidP="001824FA">
            <w:pPr>
              <w:contextualSpacing/>
              <w:jc w:val="center"/>
              <w:rPr>
                <w:sz w:val="20"/>
                <w:szCs w:val="20"/>
              </w:rPr>
            </w:pPr>
            <w:r w:rsidRPr="001824FA">
              <w:rPr>
                <w:sz w:val="20"/>
                <w:szCs w:val="20"/>
              </w:rPr>
              <w:t>6 (3</w:t>
            </w:r>
            <w:r w:rsidR="002A7FAB">
              <w:rPr>
                <w:sz w:val="20"/>
                <w:szCs w:val="20"/>
              </w:rPr>
              <w:t>.</w:t>
            </w:r>
            <w:r w:rsidRPr="001824FA">
              <w:rPr>
                <w:sz w:val="20"/>
                <w:szCs w:val="20"/>
              </w:rPr>
              <w:t>8%)</w:t>
            </w:r>
          </w:p>
        </w:tc>
        <w:tc>
          <w:tcPr>
            <w:tcW w:w="837" w:type="pct"/>
            <w:tcBorders>
              <w:right w:val="nil"/>
            </w:tcBorders>
          </w:tcPr>
          <w:p w14:paraId="371F1AEA" w14:textId="131DDACC" w:rsidR="001824FA" w:rsidRPr="001824FA" w:rsidRDefault="001824FA" w:rsidP="001824FA">
            <w:pPr>
              <w:contextualSpacing/>
              <w:jc w:val="center"/>
              <w:rPr>
                <w:sz w:val="20"/>
                <w:szCs w:val="20"/>
              </w:rPr>
            </w:pPr>
            <w:r w:rsidRPr="001824FA">
              <w:rPr>
                <w:sz w:val="20"/>
                <w:szCs w:val="20"/>
              </w:rPr>
              <w:t>3 (4</w:t>
            </w:r>
            <w:r w:rsidR="002A7FAB">
              <w:rPr>
                <w:sz w:val="20"/>
                <w:szCs w:val="20"/>
              </w:rPr>
              <w:t>.</w:t>
            </w:r>
            <w:r w:rsidRPr="001824FA">
              <w:rPr>
                <w:sz w:val="20"/>
                <w:szCs w:val="20"/>
              </w:rPr>
              <w:t>1%)</w:t>
            </w:r>
          </w:p>
        </w:tc>
      </w:tr>
      <w:tr w:rsidR="001824FA" w:rsidRPr="001824FA" w14:paraId="7764457B" w14:textId="77777777" w:rsidTr="00EF2D36">
        <w:trPr>
          <w:trHeight w:val="57"/>
        </w:trPr>
        <w:tc>
          <w:tcPr>
            <w:tcW w:w="2406" w:type="pct"/>
            <w:tcBorders>
              <w:left w:val="nil"/>
            </w:tcBorders>
          </w:tcPr>
          <w:p w14:paraId="3B56695C" w14:textId="77777777" w:rsidR="001824FA" w:rsidRPr="001824FA" w:rsidRDefault="001824FA" w:rsidP="001824FA">
            <w:pPr>
              <w:contextualSpacing/>
              <w:rPr>
                <w:sz w:val="20"/>
                <w:szCs w:val="20"/>
              </w:rPr>
            </w:pPr>
            <w:r w:rsidRPr="001824FA">
              <w:rPr>
                <w:sz w:val="20"/>
                <w:szCs w:val="20"/>
              </w:rPr>
              <w:t>Otros</w:t>
            </w:r>
          </w:p>
        </w:tc>
        <w:tc>
          <w:tcPr>
            <w:tcW w:w="921" w:type="pct"/>
          </w:tcPr>
          <w:p w14:paraId="7D14BC0B" w14:textId="1B83A440" w:rsidR="001824FA" w:rsidRPr="001824FA" w:rsidRDefault="001824FA" w:rsidP="001824FA">
            <w:pPr>
              <w:contextualSpacing/>
              <w:jc w:val="center"/>
              <w:rPr>
                <w:sz w:val="20"/>
                <w:szCs w:val="20"/>
              </w:rPr>
            </w:pPr>
            <w:r w:rsidRPr="001824FA">
              <w:rPr>
                <w:sz w:val="20"/>
                <w:szCs w:val="20"/>
              </w:rPr>
              <w:t>54 (83</w:t>
            </w:r>
            <w:r w:rsidR="002A7FAB">
              <w:rPr>
                <w:sz w:val="20"/>
                <w:szCs w:val="20"/>
              </w:rPr>
              <w:t>.</w:t>
            </w:r>
            <w:r w:rsidRPr="001824FA">
              <w:rPr>
                <w:sz w:val="20"/>
                <w:szCs w:val="20"/>
              </w:rPr>
              <w:t>1%)</w:t>
            </w:r>
          </w:p>
        </w:tc>
        <w:tc>
          <w:tcPr>
            <w:tcW w:w="836" w:type="pct"/>
          </w:tcPr>
          <w:p w14:paraId="6526D460" w14:textId="67965846" w:rsidR="001824FA" w:rsidRPr="001824FA" w:rsidRDefault="001824FA" w:rsidP="001824FA">
            <w:pPr>
              <w:contextualSpacing/>
              <w:jc w:val="center"/>
              <w:rPr>
                <w:sz w:val="20"/>
                <w:szCs w:val="20"/>
              </w:rPr>
            </w:pPr>
            <w:r w:rsidRPr="001824FA">
              <w:rPr>
                <w:sz w:val="20"/>
                <w:szCs w:val="20"/>
              </w:rPr>
              <w:t>35 (22</w:t>
            </w:r>
            <w:r w:rsidR="002A7FAB">
              <w:rPr>
                <w:sz w:val="20"/>
                <w:szCs w:val="20"/>
              </w:rPr>
              <w:t>.</w:t>
            </w:r>
            <w:r w:rsidRPr="001824FA">
              <w:rPr>
                <w:sz w:val="20"/>
                <w:szCs w:val="20"/>
              </w:rPr>
              <w:t>2%)</w:t>
            </w:r>
          </w:p>
        </w:tc>
        <w:tc>
          <w:tcPr>
            <w:tcW w:w="837" w:type="pct"/>
            <w:tcBorders>
              <w:right w:val="nil"/>
            </w:tcBorders>
          </w:tcPr>
          <w:p w14:paraId="429C0B24" w14:textId="7CBFEF17" w:rsidR="001824FA" w:rsidRPr="001824FA" w:rsidRDefault="001824FA" w:rsidP="001824FA">
            <w:pPr>
              <w:contextualSpacing/>
              <w:jc w:val="center"/>
              <w:rPr>
                <w:sz w:val="20"/>
                <w:szCs w:val="20"/>
              </w:rPr>
            </w:pPr>
            <w:r w:rsidRPr="001824FA">
              <w:rPr>
                <w:sz w:val="20"/>
                <w:szCs w:val="20"/>
              </w:rPr>
              <w:t>19 (26%)</w:t>
            </w:r>
          </w:p>
        </w:tc>
      </w:tr>
      <w:tr w:rsidR="001824FA" w:rsidRPr="001824FA" w14:paraId="125A42D3" w14:textId="77777777" w:rsidTr="00EF2D36">
        <w:trPr>
          <w:trHeight w:val="57"/>
        </w:trPr>
        <w:tc>
          <w:tcPr>
            <w:tcW w:w="2406" w:type="pct"/>
            <w:tcBorders>
              <w:left w:val="nil"/>
            </w:tcBorders>
          </w:tcPr>
          <w:p w14:paraId="5CCA84FB" w14:textId="6D1C47F1" w:rsidR="001824FA" w:rsidRPr="001824FA" w:rsidRDefault="001824FA" w:rsidP="001824FA">
            <w:pPr>
              <w:contextualSpacing/>
              <w:rPr>
                <w:b/>
                <w:sz w:val="20"/>
                <w:szCs w:val="20"/>
              </w:rPr>
            </w:pPr>
            <w:r w:rsidRPr="001824FA">
              <w:rPr>
                <w:b/>
                <w:sz w:val="20"/>
                <w:szCs w:val="20"/>
              </w:rPr>
              <w:t>Confinamiento</w:t>
            </w:r>
          </w:p>
        </w:tc>
        <w:tc>
          <w:tcPr>
            <w:tcW w:w="921" w:type="pct"/>
          </w:tcPr>
          <w:p w14:paraId="605C706A" w14:textId="77777777" w:rsidR="001824FA" w:rsidRPr="001824FA" w:rsidRDefault="001824FA" w:rsidP="001824FA">
            <w:pPr>
              <w:contextualSpacing/>
              <w:jc w:val="center"/>
              <w:rPr>
                <w:sz w:val="20"/>
                <w:szCs w:val="20"/>
              </w:rPr>
            </w:pPr>
          </w:p>
        </w:tc>
        <w:tc>
          <w:tcPr>
            <w:tcW w:w="836" w:type="pct"/>
          </w:tcPr>
          <w:p w14:paraId="34AFCAB7" w14:textId="77777777" w:rsidR="001824FA" w:rsidRPr="001824FA" w:rsidRDefault="001824FA" w:rsidP="001824FA">
            <w:pPr>
              <w:contextualSpacing/>
              <w:jc w:val="center"/>
              <w:rPr>
                <w:sz w:val="20"/>
                <w:szCs w:val="20"/>
              </w:rPr>
            </w:pPr>
          </w:p>
        </w:tc>
        <w:tc>
          <w:tcPr>
            <w:tcW w:w="837" w:type="pct"/>
            <w:tcBorders>
              <w:right w:val="nil"/>
            </w:tcBorders>
          </w:tcPr>
          <w:p w14:paraId="4BD3AB2A" w14:textId="41201B56" w:rsidR="001824FA" w:rsidRPr="001824FA" w:rsidRDefault="001824FA" w:rsidP="001824FA">
            <w:pPr>
              <w:contextualSpacing/>
              <w:jc w:val="center"/>
              <w:rPr>
                <w:sz w:val="20"/>
                <w:szCs w:val="20"/>
              </w:rPr>
            </w:pPr>
          </w:p>
        </w:tc>
      </w:tr>
      <w:tr w:rsidR="001824FA" w:rsidRPr="001824FA" w14:paraId="47D0FEC4" w14:textId="77777777" w:rsidTr="00EF2D36">
        <w:trPr>
          <w:trHeight w:val="57"/>
        </w:trPr>
        <w:tc>
          <w:tcPr>
            <w:tcW w:w="2406" w:type="pct"/>
            <w:tcBorders>
              <w:left w:val="nil"/>
            </w:tcBorders>
          </w:tcPr>
          <w:p w14:paraId="2BC266F4" w14:textId="77777777" w:rsidR="001824FA" w:rsidRPr="001824FA" w:rsidRDefault="001824FA" w:rsidP="001824FA">
            <w:pPr>
              <w:contextualSpacing/>
              <w:rPr>
                <w:sz w:val="20"/>
                <w:szCs w:val="20"/>
              </w:rPr>
            </w:pPr>
            <w:r w:rsidRPr="001824FA">
              <w:rPr>
                <w:sz w:val="20"/>
                <w:szCs w:val="20"/>
              </w:rPr>
              <w:t>Sí**</w:t>
            </w:r>
          </w:p>
        </w:tc>
        <w:tc>
          <w:tcPr>
            <w:tcW w:w="921" w:type="pct"/>
          </w:tcPr>
          <w:p w14:paraId="5BF4715C" w14:textId="6A5E639C" w:rsidR="001824FA" w:rsidRPr="001824FA" w:rsidRDefault="001824FA" w:rsidP="001824FA">
            <w:pPr>
              <w:contextualSpacing/>
              <w:jc w:val="center"/>
              <w:rPr>
                <w:sz w:val="20"/>
                <w:szCs w:val="20"/>
              </w:rPr>
            </w:pPr>
            <w:r w:rsidRPr="001824FA">
              <w:rPr>
                <w:sz w:val="20"/>
                <w:szCs w:val="20"/>
              </w:rPr>
              <w:t>83 (35</w:t>
            </w:r>
            <w:r w:rsidR="002A7FAB">
              <w:rPr>
                <w:sz w:val="20"/>
                <w:szCs w:val="20"/>
              </w:rPr>
              <w:t>.</w:t>
            </w:r>
            <w:r w:rsidRPr="001824FA">
              <w:rPr>
                <w:sz w:val="20"/>
                <w:szCs w:val="20"/>
              </w:rPr>
              <w:t>9%)</w:t>
            </w:r>
          </w:p>
        </w:tc>
        <w:tc>
          <w:tcPr>
            <w:tcW w:w="836" w:type="pct"/>
          </w:tcPr>
          <w:p w14:paraId="645DA8D5" w14:textId="6A34A7F2" w:rsidR="001824FA" w:rsidRPr="001824FA" w:rsidRDefault="001824FA" w:rsidP="001824FA">
            <w:pPr>
              <w:contextualSpacing/>
              <w:jc w:val="center"/>
              <w:rPr>
                <w:sz w:val="20"/>
                <w:szCs w:val="20"/>
              </w:rPr>
            </w:pPr>
            <w:r w:rsidRPr="001824FA">
              <w:rPr>
                <w:sz w:val="20"/>
                <w:szCs w:val="20"/>
              </w:rPr>
              <w:t>28 (17</w:t>
            </w:r>
            <w:r w:rsidR="002A7FAB">
              <w:rPr>
                <w:sz w:val="20"/>
                <w:szCs w:val="20"/>
              </w:rPr>
              <w:t>.</w:t>
            </w:r>
            <w:r w:rsidRPr="001824FA">
              <w:rPr>
                <w:sz w:val="20"/>
                <w:szCs w:val="20"/>
              </w:rPr>
              <w:t>7%)</w:t>
            </w:r>
          </w:p>
        </w:tc>
        <w:tc>
          <w:tcPr>
            <w:tcW w:w="837" w:type="pct"/>
            <w:tcBorders>
              <w:right w:val="nil"/>
            </w:tcBorders>
          </w:tcPr>
          <w:p w14:paraId="6E943C0F" w14:textId="26807148" w:rsidR="001824FA" w:rsidRPr="001824FA" w:rsidRDefault="001824FA" w:rsidP="001824FA">
            <w:pPr>
              <w:contextualSpacing/>
              <w:jc w:val="center"/>
              <w:rPr>
                <w:sz w:val="20"/>
                <w:szCs w:val="20"/>
              </w:rPr>
            </w:pPr>
            <w:r w:rsidRPr="001824FA">
              <w:rPr>
                <w:sz w:val="20"/>
                <w:szCs w:val="20"/>
              </w:rPr>
              <w:t>55 (75</w:t>
            </w:r>
            <w:r w:rsidR="002A7FAB">
              <w:rPr>
                <w:sz w:val="20"/>
                <w:szCs w:val="20"/>
              </w:rPr>
              <w:t>.</w:t>
            </w:r>
            <w:r w:rsidRPr="001824FA">
              <w:rPr>
                <w:sz w:val="20"/>
                <w:szCs w:val="20"/>
              </w:rPr>
              <w:t>3%)</w:t>
            </w:r>
          </w:p>
        </w:tc>
      </w:tr>
      <w:tr w:rsidR="001824FA" w:rsidRPr="001824FA" w14:paraId="63078CB0" w14:textId="77777777" w:rsidTr="00EF2D36">
        <w:trPr>
          <w:trHeight w:val="57"/>
        </w:trPr>
        <w:tc>
          <w:tcPr>
            <w:tcW w:w="2406" w:type="pct"/>
            <w:tcBorders>
              <w:left w:val="nil"/>
            </w:tcBorders>
          </w:tcPr>
          <w:p w14:paraId="37CA6DA9" w14:textId="7100CCE1" w:rsidR="001824FA" w:rsidRPr="001824FA" w:rsidRDefault="001824FA" w:rsidP="001824FA">
            <w:pPr>
              <w:contextualSpacing/>
              <w:rPr>
                <w:b/>
                <w:sz w:val="20"/>
                <w:szCs w:val="20"/>
              </w:rPr>
            </w:pPr>
            <w:r w:rsidRPr="001824FA">
              <w:rPr>
                <w:b/>
                <w:sz w:val="20"/>
                <w:szCs w:val="20"/>
              </w:rPr>
              <w:t>Situación laboral</w:t>
            </w:r>
          </w:p>
        </w:tc>
        <w:tc>
          <w:tcPr>
            <w:tcW w:w="921" w:type="pct"/>
          </w:tcPr>
          <w:p w14:paraId="6BDDB8AB" w14:textId="77777777" w:rsidR="001824FA" w:rsidRPr="001824FA" w:rsidRDefault="001824FA" w:rsidP="001824FA">
            <w:pPr>
              <w:contextualSpacing/>
              <w:jc w:val="center"/>
              <w:rPr>
                <w:sz w:val="20"/>
                <w:szCs w:val="20"/>
              </w:rPr>
            </w:pPr>
          </w:p>
        </w:tc>
        <w:tc>
          <w:tcPr>
            <w:tcW w:w="836" w:type="pct"/>
          </w:tcPr>
          <w:p w14:paraId="5D4A9FD9" w14:textId="77777777" w:rsidR="001824FA" w:rsidRPr="001824FA" w:rsidRDefault="001824FA" w:rsidP="001824FA">
            <w:pPr>
              <w:contextualSpacing/>
              <w:jc w:val="center"/>
              <w:rPr>
                <w:sz w:val="20"/>
                <w:szCs w:val="20"/>
              </w:rPr>
            </w:pPr>
          </w:p>
        </w:tc>
        <w:tc>
          <w:tcPr>
            <w:tcW w:w="837" w:type="pct"/>
            <w:tcBorders>
              <w:right w:val="nil"/>
            </w:tcBorders>
          </w:tcPr>
          <w:p w14:paraId="2F336DC9" w14:textId="77777777" w:rsidR="001824FA" w:rsidRPr="001824FA" w:rsidRDefault="001824FA" w:rsidP="001824FA">
            <w:pPr>
              <w:contextualSpacing/>
              <w:jc w:val="center"/>
              <w:rPr>
                <w:sz w:val="20"/>
                <w:szCs w:val="20"/>
              </w:rPr>
            </w:pPr>
          </w:p>
        </w:tc>
      </w:tr>
      <w:tr w:rsidR="001824FA" w:rsidRPr="001824FA" w14:paraId="3E586CC2" w14:textId="77777777" w:rsidTr="00EF2D36">
        <w:trPr>
          <w:trHeight w:val="57"/>
        </w:trPr>
        <w:tc>
          <w:tcPr>
            <w:tcW w:w="2406" w:type="pct"/>
            <w:tcBorders>
              <w:left w:val="nil"/>
            </w:tcBorders>
          </w:tcPr>
          <w:p w14:paraId="33AD1F85" w14:textId="77777777" w:rsidR="001824FA" w:rsidRPr="001824FA" w:rsidRDefault="001824FA" w:rsidP="001824FA">
            <w:pPr>
              <w:contextualSpacing/>
              <w:rPr>
                <w:sz w:val="20"/>
                <w:szCs w:val="20"/>
              </w:rPr>
            </w:pPr>
            <w:r w:rsidRPr="001824FA">
              <w:rPr>
                <w:sz w:val="20"/>
                <w:szCs w:val="20"/>
              </w:rPr>
              <w:t>ERTE</w:t>
            </w:r>
          </w:p>
        </w:tc>
        <w:tc>
          <w:tcPr>
            <w:tcW w:w="921" w:type="pct"/>
          </w:tcPr>
          <w:p w14:paraId="139EF428" w14:textId="4EA92D32" w:rsidR="001824FA" w:rsidRPr="001824FA" w:rsidRDefault="001824FA" w:rsidP="001824FA">
            <w:pPr>
              <w:contextualSpacing/>
              <w:jc w:val="center"/>
              <w:rPr>
                <w:sz w:val="20"/>
                <w:szCs w:val="20"/>
              </w:rPr>
            </w:pPr>
            <w:r w:rsidRPr="001824FA">
              <w:rPr>
                <w:sz w:val="20"/>
                <w:szCs w:val="20"/>
              </w:rPr>
              <w:t>26 (11</w:t>
            </w:r>
            <w:r w:rsidR="002A7FAB">
              <w:rPr>
                <w:sz w:val="20"/>
                <w:szCs w:val="20"/>
              </w:rPr>
              <w:t>.</w:t>
            </w:r>
            <w:r w:rsidRPr="001824FA">
              <w:rPr>
                <w:sz w:val="20"/>
                <w:szCs w:val="20"/>
              </w:rPr>
              <w:t>3%)</w:t>
            </w:r>
          </w:p>
        </w:tc>
        <w:tc>
          <w:tcPr>
            <w:tcW w:w="836" w:type="pct"/>
          </w:tcPr>
          <w:p w14:paraId="0557DADA" w14:textId="311725F3" w:rsidR="001824FA" w:rsidRPr="001824FA" w:rsidRDefault="001824FA" w:rsidP="001824FA">
            <w:pPr>
              <w:contextualSpacing/>
              <w:jc w:val="center"/>
              <w:rPr>
                <w:sz w:val="20"/>
                <w:szCs w:val="20"/>
              </w:rPr>
            </w:pPr>
            <w:r w:rsidRPr="001824FA">
              <w:rPr>
                <w:sz w:val="20"/>
                <w:szCs w:val="20"/>
              </w:rPr>
              <w:t>24 (15</w:t>
            </w:r>
            <w:r w:rsidR="002A7FAB">
              <w:rPr>
                <w:sz w:val="20"/>
                <w:szCs w:val="20"/>
              </w:rPr>
              <w:t>.</w:t>
            </w:r>
            <w:r w:rsidRPr="001824FA">
              <w:rPr>
                <w:sz w:val="20"/>
                <w:szCs w:val="20"/>
              </w:rPr>
              <w:t>2%)</w:t>
            </w:r>
          </w:p>
        </w:tc>
        <w:tc>
          <w:tcPr>
            <w:tcW w:w="837" w:type="pct"/>
            <w:tcBorders>
              <w:right w:val="nil"/>
            </w:tcBorders>
          </w:tcPr>
          <w:p w14:paraId="68C73C12" w14:textId="091BCB1C" w:rsidR="001824FA" w:rsidRPr="001824FA" w:rsidRDefault="001824FA" w:rsidP="001824FA">
            <w:pPr>
              <w:contextualSpacing/>
              <w:jc w:val="center"/>
              <w:rPr>
                <w:sz w:val="20"/>
                <w:szCs w:val="20"/>
              </w:rPr>
            </w:pPr>
            <w:r w:rsidRPr="001824FA">
              <w:rPr>
                <w:sz w:val="20"/>
                <w:szCs w:val="20"/>
              </w:rPr>
              <w:t>2 (2</w:t>
            </w:r>
            <w:r w:rsidR="002A7FAB">
              <w:rPr>
                <w:sz w:val="20"/>
                <w:szCs w:val="20"/>
              </w:rPr>
              <w:t>.</w:t>
            </w:r>
            <w:r w:rsidRPr="001824FA">
              <w:rPr>
                <w:sz w:val="20"/>
                <w:szCs w:val="20"/>
              </w:rPr>
              <w:t>7%)</w:t>
            </w:r>
          </w:p>
        </w:tc>
      </w:tr>
      <w:tr w:rsidR="001824FA" w:rsidRPr="001824FA" w14:paraId="7310F3C0" w14:textId="77777777" w:rsidTr="00EF2D36">
        <w:trPr>
          <w:trHeight w:val="57"/>
        </w:trPr>
        <w:tc>
          <w:tcPr>
            <w:tcW w:w="2406" w:type="pct"/>
            <w:tcBorders>
              <w:left w:val="nil"/>
            </w:tcBorders>
          </w:tcPr>
          <w:p w14:paraId="61512FBB" w14:textId="77777777" w:rsidR="001824FA" w:rsidRPr="001824FA" w:rsidRDefault="001824FA" w:rsidP="001824FA">
            <w:pPr>
              <w:contextualSpacing/>
              <w:rPr>
                <w:sz w:val="20"/>
                <w:szCs w:val="20"/>
              </w:rPr>
            </w:pPr>
            <w:r w:rsidRPr="001824FA">
              <w:rPr>
                <w:sz w:val="20"/>
                <w:szCs w:val="20"/>
              </w:rPr>
              <w:t>Teletrabajo</w:t>
            </w:r>
          </w:p>
        </w:tc>
        <w:tc>
          <w:tcPr>
            <w:tcW w:w="921" w:type="pct"/>
          </w:tcPr>
          <w:p w14:paraId="02A1104C" w14:textId="10C4DF54" w:rsidR="001824FA" w:rsidRPr="001824FA" w:rsidRDefault="001824FA" w:rsidP="001824FA">
            <w:pPr>
              <w:contextualSpacing/>
              <w:jc w:val="center"/>
              <w:rPr>
                <w:sz w:val="20"/>
                <w:szCs w:val="20"/>
              </w:rPr>
            </w:pPr>
            <w:r w:rsidRPr="001824FA">
              <w:rPr>
                <w:sz w:val="20"/>
                <w:szCs w:val="20"/>
              </w:rPr>
              <w:t>45 (19</w:t>
            </w:r>
            <w:r w:rsidR="002A7FAB">
              <w:rPr>
                <w:sz w:val="20"/>
                <w:szCs w:val="20"/>
              </w:rPr>
              <w:t>.</w:t>
            </w:r>
            <w:r w:rsidRPr="001824FA">
              <w:rPr>
                <w:sz w:val="20"/>
                <w:szCs w:val="20"/>
              </w:rPr>
              <w:t>5%)</w:t>
            </w:r>
          </w:p>
        </w:tc>
        <w:tc>
          <w:tcPr>
            <w:tcW w:w="836" w:type="pct"/>
          </w:tcPr>
          <w:p w14:paraId="71885141" w14:textId="18ADBB1A" w:rsidR="001824FA" w:rsidRPr="001824FA" w:rsidRDefault="001824FA" w:rsidP="001824FA">
            <w:pPr>
              <w:contextualSpacing/>
              <w:jc w:val="center"/>
              <w:rPr>
                <w:sz w:val="20"/>
                <w:szCs w:val="20"/>
              </w:rPr>
            </w:pPr>
            <w:r w:rsidRPr="001824FA">
              <w:rPr>
                <w:sz w:val="20"/>
                <w:szCs w:val="20"/>
              </w:rPr>
              <w:t>38 (24</w:t>
            </w:r>
            <w:r w:rsidR="002A7FAB">
              <w:rPr>
                <w:sz w:val="20"/>
                <w:szCs w:val="20"/>
              </w:rPr>
              <w:t>.</w:t>
            </w:r>
            <w:r w:rsidRPr="001824FA">
              <w:rPr>
                <w:sz w:val="20"/>
                <w:szCs w:val="20"/>
              </w:rPr>
              <w:t>1%)</w:t>
            </w:r>
          </w:p>
        </w:tc>
        <w:tc>
          <w:tcPr>
            <w:tcW w:w="837" w:type="pct"/>
            <w:tcBorders>
              <w:right w:val="nil"/>
            </w:tcBorders>
          </w:tcPr>
          <w:p w14:paraId="0A261C1B" w14:textId="12D61106" w:rsidR="001824FA" w:rsidRPr="001824FA" w:rsidRDefault="001824FA" w:rsidP="001824FA">
            <w:pPr>
              <w:contextualSpacing/>
              <w:jc w:val="center"/>
              <w:rPr>
                <w:sz w:val="20"/>
                <w:szCs w:val="20"/>
              </w:rPr>
            </w:pPr>
            <w:r w:rsidRPr="001824FA">
              <w:rPr>
                <w:sz w:val="20"/>
                <w:szCs w:val="20"/>
              </w:rPr>
              <w:t>7 (9</w:t>
            </w:r>
            <w:r w:rsidR="002A7FAB">
              <w:rPr>
                <w:sz w:val="20"/>
                <w:szCs w:val="20"/>
              </w:rPr>
              <w:t>.</w:t>
            </w:r>
            <w:r w:rsidRPr="001824FA">
              <w:rPr>
                <w:sz w:val="20"/>
                <w:szCs w:val="20"/>
              </w:rPr>
              <w:t>6%)</w:t>
            </w:r>
          </w:p>
        </w:tc>
      </w:tr>
      <w:tr w:rsidR="001824FA" w:rsidRPr="001824FA" w14:paraId="49616FFB" w14:textId="77777777" w:rsidTr="00EF2D36">
        <w:trPr>
          <w:trHeight w:val="57"/>
        </w:trPr>
        <w:tc>
          <w:tcPr>
            <w:tcW w:w="2406" w:type="pct"/>
            <w:tcBorders>
              <w:left w:val="nil"/>
            </w:tcBorders>
          </w:tcPr>
          <w:p w14:paraId="6C63F293" w14:textId="77777777" w:rsidR="001824FA" w:rsidRPr="001824FA" w:rsidRDefault="001824FA" w:rsidP="001824FA">
            <w:pPr>
              <w:contextualSpacing/>
              <w:rPr>
                <w:sz w:val="20"/>
                <w:szCs w:val="20"/>
              </w:rPr>
            </w:pPr>
            <w:r w:rsidRPr="001824FA">
              <w:rPr>
                <w:sz w:val="20"/>
                <w:szCs w:val="20"/>
              </w:rPr>
              <w:t xml:space="preserve">Me desplazaba al sitio de trabajo habitual** </w:t>
            </w:r>
          </w:p>
        </w:tc>
        <w:tc>
          <w:tcPr>
            <w:tcW w:w="921" w:type="pct"/>
          </w:tcPr>
          <w:p w14:paraId="515DEBE9" w14:textId="7AF38417" w:rsidR="001824FA" w:rsidRPr="001824FA" w:rsidRDefault="001824FA" w:rsidP="001824FA">
            <w:pPr>
              <w:contextualSpacing/>
              <w:jc w:val="center"/>
              <w:rPr>
                <w:sz w:val="20"/>
                <w:szCs w:val="20"/>
              </w:rPr>
            </w:pPr>
            <w:r w:rsidRPr="001824FA">
              <w:rPr>
                <w:sz w:val="20"/>
                <w:szCs w:val="20"/>
              </w:rPr>
              <w:t>81 (35</w:t>
            </w:r>
            <w:r w:rsidR="002A7FAB">
              <w:rPr>
                <w:sz w:val="20"/>
                <w:szCs w:val="20"/>
              </w:rPr>
              <w:t>.</w:t>
            </w:r>
            <w:r w:rsidRPr="001824FA">
              <w:rPr>
                <w:sz w:val="20"/>
                <w:szCs w:val="20"/>
              </w:rPr>
              <w:t>1%)</w:t>
            </w:r>
          </w:p>
        </w:tc>
        <w:tc>
          <w:tcPr>
            <w:tcW w:w="836" w:type="pct"/>
          </w:tcPr>
          <w:p w14:paraId="20B71EC1" w14:textId="3029BCA0" w:rsidR="001824FA" w:rsidRPr="001824FA" w:rsidRDefault="001824FA" w:rsidP="001824FA">
            <w:pPr>
              <w:contextualSpacing/>
              <w:jc w:val="center"/>
              <w:rPr>
                <w:sz w:val="20"/>
                <w:szCs w:val="20"/>
              </w:rPr>
            </w:pPr>
            <w:r w:rsidRPr="001824FA">
              <w:rPr>
                <w:sz w:val="20"/>
                <w:szCs w:val="20"/>
              </w:rPr>
              <w:t>25 (15</w:t>
            </w:r>
            <w:r w:rsidR="002A7FAB">
              <w:rPr>
                <w:sz w:val="20"/>
                <w:szCs w:val="20"/>
              </w:rPr>
              <w:t>.</w:t>
            </w:r>
            <w:r w:rsidRPr="001824FA">
              <w:rPr>
                <w:sz w:val="20"/>
                <w:szCs w:val="20"/>
              </w:rPr>
              <w:t>8%)</w:t>
            </w:r>
          </w:p>
        </w:tc>
        <w:tc>
          <w:tcPr>
            <w:tcW w:w="837" w:type="pct"/>
            <w:tcBorders>
              <w:right w:val="nil"/>
            </w:tcBorders>
          </w:tcPr>
          <w:p w14:paraId="6EA84B66" w14:textId="536998EB" w:rsidR="001824FA" w:rsidRPr="001824FA" w:rsidRDefault="001824FA" w:rsidP="001824FA">
            <w:pPr>
              <w:contextualSpacing/>
              <w:jc w:val="center"/>
              <w:rPr>
                <w:sz w:val="20"/>
                <w:szCs w:val="20"/>
              </w:rPr>
            </w:pPr>
            <w:r w:rsidRPr="001824FA">
              <w:rPr>
                <w:sz w:val="20"/>
                <w:szCs w:val="20"/>
              </w:rPr>
              <w:t>56 (76</w:t>
            </w:r>
            <w:r w:rsidR="002A7FAB">
              <w:rPr>
                <w:sz w:val="20"/>
                <w:szCs w:val="20"/>
              </w:rPr>
              <w:t>.</w:t>
            </w:r>
            <w:r w:rsidRPr="001824FA">
              <w:rPr>
                <w:sz w:val="20"/>
                <w:szCs w:val="20"/>
              </w:rPr>
              <w:t>7%)</w:t>
            </w:r>
          </w:p>
        </w:tc>
      </w:tr>
      <w:tr w:rsidR="001824FA" w:rsidRPr="001824FA" w14:paraId="263A9DE4" w14:textId="77777777" w:rsidTr="00EF2D36">
        <w:trPr>
          <w:trHeight w:val="57"/>
        </w:trPr>
        <w:tc>
          <w:tcPr>
            <w:tcW w:w="2406" w:type="pct"/>
            <w:tcBorders>
              <w:left w:val="nil"/>
            </w:tcBorders>
          </w:tcPr>
          <w:p w14:paraId="3A11C7A0" w14:textId="77777777" w:rsidR="001824FA" w:rsidRPr="001824FA" w:rsidRDefault="001824FA" w:rsidP="001824FA">
            <w:pPr>
              <w:contextualSpacing/>
              <w:rPr>
                <w:sz w:val="20"/>
                <w:szCs w:val="20"/>
              </w:rPr>
            </w:pPr>
            <w:r w:rsidRPr="001824FA">
              <w:rPr>
                <w:sz w:val="20"/>
                <w:szCs w:val="20"/>
              </w:rPr>
              <w:t>No trabajaba</w:t>
            </w:r>
          </w:p>
        </w:tc>
        <w:tc>
          <w:tcPr>
            <w:tcW w:w="921" w:type="pct"/>
          </w:tcPr>
          <w:p w14:paraId="57241DFD" w14:textId="7B98929C" w:rsidR="001824FA" w:rsidRPr="001824FA" w:rsidRDefault="001824FA" w:rsidP="001824FA">
            <w:pPr>
              <w:contextualSpacing/>
              <w:jc w:val="center"/>
              <w:rPr>
                <w:sz w:val="20"/>
                <w:szCs w:val="20"/>
              </w:rPr>
            </w:pPr>
            <w:r w:rsidRPr="001824FA">
              <w:rPr>
                <w:sz w:val="20"/>
                <w:szCs w:val="20"/>
              </w:rPr>
              <w:t>79 (34</w:t>
            </w:r>
            <w:r w:rsidR="002A7FAB">
              <w:rPr>
                <w:sz w:val="20"/>
                <w:szCs w:val="20"/>
              </w:rPr>
              <w:t>.</w:t>
            </w:r>
            <w:r w:rsidRPr="001824FA">
              <w:rPr>
                <w:sz w:val="20"/>
                <w:szCs w:val="20"/>
              </w:rPr>
              <w:t>2%)</w:t>
            </w:r>
          </w:p>
        </w:tc>
        <w:tc>
          <w:tcPr>
            <w:tcW w:w="836" w:type="pct"/>
          </w:tcPr>
          <w:p w14:paraId="3FC2D73B" w14:textId="7A39E51E" w:rsidR="001824FA" w:rsidRPr="001824FA" w:rsidRDefault="001824FA" w:rsidP="001824FA">
            <w:pPr>
              <w:contextualSpacing/>
              <w:jc w:val="center"/>
              <w:rPr>
                <w:sz w:val="20"/>
                <w:szCs w:val="20"/>
              </w:rPr>
            </w:pPr>
            <w:r w:rsidRPr="001824FA">
              <w:rPr>
                <w:sz w:val="20"/>
                <w:szCs w:val="20"/>
              </w:rPr>
              <w:t>71 (44</w:t>
            </w:r>
            <w:r w:rsidR="002A7FAB">
              <w:rPr>
                <w:sz w:val="20"/>
                <w:szCs w:val="20"/>
              </w:rPr>
              <w:t>.</w:t>
            </w:r>
            <w:r w:rsidRPr="001824FA">
              <w:rPr>
                <w:sz w:val="20"/>
                <w:szCs w:val="20"/>
              </w:rPr>
              <w:t>9%)</w:t>
            </w:r>
          </w:p>
        </w:tc>
        <w:tc>
          <w:tcPr>
            <w:tcW w:w="837" w:type="pct"/>
            <w:tcBorders>
              <w:right w:val="nil"/>
            </w:tcBorders>
          </w:tcPr>
          <w:p w14:paraId="797C078D" w14:textId="1AC5BC05" w:rsidR="001824FA" w:rsidRPr="001824FA" w:rsidRDefault="001824FA" w:rsidP="001824FA">
            <w:pPr>
              <w:contextualSpacing/>
              <w:jc w:val="center"/>
              <w:rPr>
                <w:sz w:val="20"/>
                <w:szCs w:val="20"/>
              </w:rPr>
            </w:pPr>
            <w:r w:rsidRPr="001824FA">
              <w:rPr>
                <w:sz w:val="20"/>
                <w:szCs w:val="20"/>
              </w:rPr>
              <w:t>8 (11</w:t>
            </w:r>
            <w:r w:rsidR="002A7FAB">
              <w:rPr>
                <w:sz w:val="20"/>
                <w:szCs w:val="20"/>
              </w:rPr>
              <w:t>.</w:t>
            </w:r>
            <w:r w:rsidRPr="001824FA">
              <w:rPr>
                <w:sz w:val="20"/>
                <w:szCs w:val="20"/>
              </w:rPr>
              <w:t>0%)</w:t>
            </w:r>
          </w:p>
        </w:tc>
      </w:tr>
      <w:tr w:rsidR="001824FA" w:rsidRPr="001824FA" w14:paraId="5CAC8A4A" w14:textId="77777777" w:rsidTr="00EF2D36">
        <w:trPr>
          <w:trHeight w:val="57"/>
        </w:trPr>
        <w:tc>
          <w:tcPr>
            <w:tcW w:w="2406" w:type="pct"/>
            <w:tcBorders>
              <w:left w:val="nil"/>
            </w:tcBorders>
          </w:tcPr>
          <w:p w14:paraId="31C7FC6F" w14:textId="77777777" w:rsidR="001824FA" w:rsidRPr="001824FA" w:rsidRDefault="001824FA" w:rsidP="001824FA">
            <w:pPr>
              <w:contextualSpacing/>
              <w:rPr>
                <w:b/>
                <w:sz w:val="20"/>
                <w:szCs w:val="20"/>
              </w:rPr>
            </w:pPr>
            <w:r w:rsidRPr="001824FA">
              <w:rPr>
                <w:b/>
                <w:sz w:val="20"/>
                <w:szCs w:val="20"/>
              </w:rPr>
              <w:t>Profesión (Sanitario)</w:t>
            </w:r>
          </w:p>
        </w:tc>
        <w:tc>
          <w:tcPr>
            <w:tcW w:w="921" w:type="pct"/>
          </w:tcPr>
          <w:p w14:paraId="602C0889" w14:textId="77777777" w:rsidR="001824FA" w:rsidRPr="001824FA" w:rsidRDefault="001824FA" w:rsidP="001824FA">
            <w:pPr>
              <w:contextualSpacing/>
              <w:jc w:val="center"/>
              <w:rPr>
                <w:sz w:val="20"/>
                <w:szCs w:val="20"/>
              </w:rPr>
            </w:pPr>
          </w:p>
        </w:tc>
        <w:tc>
          <w:tcPr>
            <w:tcW w:w="836" w:type="pct"/>
          </w:tcPr>
          <w:p w14:paraId="6B24094D" w14:textId="77777777" w:rsidR="001824FA" w:rsidRPr="001824FA" w:rsidRDefault="001824FA" w:rsidP="001824FA">
            <w:pPr>
              <w:contextualSpacing/>
              <w:jc w:val="center"/>
              <w:rPr>
                <w:sz w:val="20"/>
                <w:szCs w:val="20"/>
              </w:rPr>
            </w:pPr>
          </w:p>
        </w:tc>
        <w:tc>
          <w:tcPr>
            <w:tcW w:w="837" w:type="pct"/>
            <w:tcBorders>
              <w:right w:val="nil"/>
            </w:tcBorders>
          </w:tcPr>
          <w:p w14:paraId="06F413E9" w14:textId="77777777" w:rsidR="001824FA" w:rsidRPr="001824FA" w:rsidRDefault="001824FA" w:rsidP="001824FA">
            <w:pPr>
              <w:contextualSpacing/>
              <w:jc w:val="center"/>
              <w:rPr>
                <w:sz w:val="20"/>
                <w:szCs w:val="20"/>
              </w:rPr>
            </w:pPr>
          </w:p>
        </w:tc>
      </w:tr>
      <w:tr w:rsidR="001824FA" w:rsidRPr="001824FA" w14:paraId="72E545A4" w14:textId="77777777" w:rsidTr="00EF2D36">
        <w:trPr>
          <w:trHeight w:val="57"/>
        </w:trPr>
        <w:tc>
          <w:tcPr>
            <w:tcW w:w="2406" w:type="pct"/>
            <w:tcBorders>
              <w:left w:val="nil"/>
            </w:tcBorders>
          </w:tcPr>
          <w:p w14:paraId="62421F02" w14:textId="77777777" w:rsidR="001824FA" w:rsidRPr="001824FA" w:rsidRDefault="001824FA" w:rsidP="001824FA">
            <w:pPr>
              <w:contextualSpacing/>
              <w:rPr>
                <w:sz w:val="20"/>
                <w:szCs w:val="20"/>
              </w:rPr>
            </w:pPr>
            <w:r w:rsidRPr="001824FA">
              <w:rPr>
                <w:sz w:val="20"/>
                <w:szCs w:val="20"/>
              </w:rPr>
              <w:t>Médico/a</w:t>
            </w:r>
          </w:p>
        </w:tc>
        <w:tc>
          <w:tcPr>
            <w:tcW w:w="921" w:type="pct"/>
          </w:tcPr>
          <w:p w14:paraId="1DAC7FAC" w14:textId="77777777" w:rsidR="001824FA" w:rsidRPr="001824FA" w:rsidRDefault="001824FA" w:rsidP="001824FA">
            <w:pPr>
              <w:contextualSpacing/>
              <w:jc w:val="center"/>
              <w:rPr>
                <w:sz w:val="20"/>
                <w:szCs w:val="20"/>
              </w:rPr>
            </w:pPr>
          </w:p>
        </w:tc>
        <w:tc>
          <w:tcPr>
            <w:tcW w:w="836" w:type="pct"/>
          </w:tcPr>
          <w:p w14:paraId="17768278" w14:textId="77777777" w:rsidR="001824FA" w:rsidRPr="001824FA" w:rsidRDefault="001824FA" w:rsidP="001824FA">
            <w:pPr>
              <w:contextualSpacing/>
              <w:jc w:val="center"/>
              <w:rPr>
                <w:sz w:val="20"/>
                <w:szCs w:val="20"/>
              </w:rPr>
            </w:pPr>
          </w:p>
        </w:tc>
        <w:tc>
          <w:tcPr>
            <w:tcW w:w="837" w:type="pct"/>
            <w:tcBorders>
              <w:right w:val="nil"/>
            </w:tcBorders>
          </w:tcPr>
          <w:p w14:paraId="6E8802EE" w14:textId="33221188" w:rsidR="001824FA" w:rsidRPr="001824FA" w:rsidRDefault="001824FA" w:rsidP="001824FA">
            <w:pPr>
              <w:contextualSpacing/>
              <w:jc w:val="center"/>
              <w:rPr>
                <w:sz w:val="20"/>
                <w:szCs w:val="20"/>
              </w:rPr>
            </w:pPr>
            <w:r w:rsidRPr="001824FA">
              <w:rPr>
                <w:sz w:val="20"/>
                <w:szCs w:val="20"/>
              </w:rPr>
              <w:t>26 (35</w:t>
            </w:r>
            <w:r w:rsidR="002A7FAB">
              <w:rPr>
                <w:sz w:val="20"/>
                <w:szCs w:val="20"/>
              </w:rPr>
              <w:t>.</w:t>
            </w:r>
            <w:r w:rsidRPr="001824FA">
              <w:rPr>
                <w:sz w:val="20"/>
                <w:szCs w:val="20"/>
              </w:rPr>
              <w:t>6%)</w:t>
            </w:r>
          </w:p>
        </w:tc>
      </w:tr>
      <w:tr w:rsidR="001824FA" w:rsidRPr="001824FA" w14:paraId="7FF3423E" w14:textId="77777777" w:rsidTr="00EF2D36">
        <w:trPr>
          <w:trHeight w:val="57"/>
        </w:trPr>
        <w:tc>
          <w:tcPr>
            <w:tcW w:w="2406" w:type="pct"/>
            <w:tcBorders>
              <w:left w:val="nil"/>
            </w:tcBorders>
          </w:tcPr>
          <w:p w14:paraId="60AD950B" w14:textId="77777777" w:rsidR="001824FA" w:rsidRPr="001824FA" w:rsidRDefault="001824FA" w:rsidP="001824FA">
            <w:pPr>
              <w:contextualSpacing/>
              <w:rPr>
                <w:sz w:val="20"/>
                <w:szCs w:val="20"/>
              </w:rPr>
            </w:pPr>
            <w:r w:rsidRPr="001824FA">
              <w:rPr>
                <w:sz w:val="20"/>
                <w:szCs w:val="20"/>
              </w:rPr>
              <w:t>DUI</w:t>
            </w:r>
          </w:p>
        </w:tc>
        <w:tc>
          <w:tcPr>
            <w:tcW w:w="921" w:type="pct"/>
          </w:tcPr>
          <w:p w14:paraId="7E3BB98F" w14:textId="77777777" w:rsidR="001824FA" w:rsidRPr="001824FA" w:rsidRDefault="001824FA" w:rsidP="001824FA">
            <w:pPr>
              <w:contextualSpacing/>
              <w:jc w:val="center"/>
              <w:rPr>
                <w:sz w:val="20"/>
                <w:szCs w:val="20"/>
              </w:rPr>
            </w:pPr>
          </w:p>
        </w:tc>
        <w:tc>
          <w:tcPr>
            <w:tcW w:w="836" w:type="pct"/>
          </w:tcPr>
          <w:p w14:paraId="4CD252D1" w14:textId="77777777" w:rsidR="001824FA" w:rsidRPr="001824FA" w:rsidRDefault="001824FA" w:rsidP="001824FA">
            <w:pPr>
              <w:contextualSpacing/>
              <w:jc w:val="center"/>
              <w:rPr>
                <w:sz w:val="20"/>
                <w:szCs w:val="20"/>
              </w:rPr>
            </w:pPr>
          </w:p>
        </w:tc>
        <w:tc>
          <w:tcPr>
            <w:tcW w:w="837" w:type="pct"/>
            <w:tcBorders>
              <w:right w:val="nil"/>
            </w:tcBorders>
          </w:tcPr>
          <w:p w14:paraId="4DCE572D" w14:textId="5E4B80AC" w:rsidR="001824FA" w:rsidRPr="001824FA" w:rsidRDefault="001824FA" w:rsidP="001824FA">
            <w:pPr>
              <w:contextualSpacing/>
              <w:jc w:val="center"/>
              <w:rPr>
                <w:sz w:val="20"/>
                <w:szCs w:val="20"/>
              </w:rPr>
            </w:pPr>
            <w:r w:rsidRPr="001824FA">
              <w:rPr>
                <w:sz w:val="20"/>
                <w:szCs w:val="20"/>
              </w:rPr>
              <w:t>20 (27</w:t>
            </w:r>
            <w:r w:rsidR="002A7FAB">
              <w:rPr>
                <w:sz w:val="20"/>
                <w:szCs w:val="20"/>
              </w:rPr>
              <w:t>.</w:t>
            </w:r>
            <w:r w:rsidRPr="001824FA">
              <w:rPr>
                <w:sz w:val="20"/>
                <w:szCs w:val="20"/>
              </w:rPr>
              <w:t>4%)</w:t>
            </w:r>
          </w:p>
        </w:tc>
      </w:tr>
      <w:tr w:rsidR="001824FA" w:rsidRPr="001824FA" w14:paraId="656438CB" w14:textId="77777777" w:rsidTr="00EF2D36">
        <w:trPr>
          <w:trHeight w:val="57"/>
        </w:trPr>
        <w:tc>
          <w:tcPr>
            <w:tcW w:w="2406" w:type="pct"/>
            <w:tcBorders>
              <w:left w:val="nil"/>
            </w:tcBorders>
          </w:tcPr>
          <w:p w14:paraId="3241501E" w14:textId="77777777" w:rsidR="001824FA" w:rsidRPr="001824FA" w:rsidRDefault="001824FA" w:rsidP="001824FA">
            <w:pPr>
              <w:contextualSpacing/>
              <w:rPr>
                <w:sz w:val="20"/>
                <w:szCs w:val="20"/>
              </w:rPr>
            </w:pPr>
            <w:r w:rsidRPr="001824FA">
              <w:rPr>
                <w:sz w:val="20"/>
                <w:szCs w:val="20"/>
              </w:rPr>
              <w:t>Auxiliar clínica</w:t>
            </w:r>
          </w:p>
        </w:tc>
        <w:tc>
          <w:tcPr>
            <w:tcW w:w="921" w:type="pct"/>
          </w:tcPr>
          <w:p w14:paraId="0EAB51AA" w14:textId="77777777" w:rsidR="001824FA" w:rsidRPr="001824FA" w:rsidRDefault="001824FA" w:rsidP="001824FA">
            <w:pPr>
              <w:contextualSpacing/>
              <w:jc w:val="center"/>
              <w:rPr>
                <w:sz w:val="20"/>
                <w:szCs w:val="20"/>
              </w:rPr>
            </w:pPr>
          </w:p>
        </w:tc>
        <w:tc>
          <w:tcPr>
            <w:tcW w:w="836" w:type="pct"/>
          </w:tcPr>
          <w:p w14:paraId="1008EBF3" w14:textId="77777777" w:rsidR="001824FA" w:rsidRPr="001824FA" w:rsidRDefault="001824FA" w:rsidP="001824FA">
            <w:pPr>
              <w:contextualSpacing/>
              <w:jc w:val="center"/>
              <w:rPr>
                <w:sz w:val="20"/>
                <w:szCs w:val="20"/>
              </w:rPr>
            </w:pPr>
          </w:p>
        </w:tc>
        <w:tc>
          <w:tcPr>
            <w:tcW w:w="837" w:type="pct"/>
            <w:tcBorders>
              <w:right w:val="nil"/>
            </w:tcBorders>
          </w:tcPr>
          <w:p w14:paraId="4605BE59" w14:textId="7CB6EA27" w:rsidR="001824FA" w:rsidRPr="001824FA" w:rsidRDefault="001824FA" w:rsidP="001824FA">
            <w:pPr>
              <w:contextualSpacing/>
              <w:jc w:val="center"/>
              <w:rPr>
                <w:sz w:val="20"/>
                <w:szCs w:val="20"/>
              </w:rPr>
            </w:pPr>
            <w:r w:rsidRPr="001824FA">
              <w:rPr>
                <w:sz w:val="20"/>
                <w:szCs w:val="20"/>
              </w:rPr>
              <w:t>4 (5</w:t>
            </w:r>
            <w:r w:rsidR="002A7FAB">
              <w:rPr>
                <w:sz w:val="20"/>
                <w:szCs w:val="20"/>
              </w:rPr>
              <w:t>.</w:t>
            </w:r>
            <w:r w:rsidRPr="001824FA">
              <w:rPr>
                <w:sz w:val="20"/>
                <w:szCs w:val="20"/>
              </w:rPr>
              <w:t>5%)</w:t>
            </w:r>
          </w:p>
        </w:tc>
      </w:tr>
      <w:tr w:rsidR="001824FA" w:rsidRPr="001824FA" w14:paraId="7D04D752" w14:textId="77777777" w:rsidTr="00EF2D36">
        <w:trPr>
          <w:trHeight w:val="57"/>
        </w:trPr>
        <w:tc>
          <w:tcPr>
            <w:tcW w:w="2406" w:type="pct"/>
            <w:tcBorders>
              <w:left w:val="nil"/>
            </w:tcBorders>
          </w:tcPr>
          <w:p w14:paraId="50E3A321" w14:textId="77777777" w:rsidR="001824FA" w:rsidRPr="001824FA" w:rsidRDefault="001824FA" w:rsidP="001824FA">
            <w:pPr>
              <w:contextualSpacing/>
              <w:rPr>
                <w:sz w:val="20"/>
                <w:szCs w:val="20"/>
              </w:rPr>
            </w:pPr>
            <w:r w:rsidRPr="001824FA">
              <w:rPr>
                <w:sz w:val="20"/>
                <w:szCs w:val="20"/>
              </w:rPr>
              <w:t>GIS</w:t>
            </w:r>
          </w:p>
        </w:tc>
        <w:tc>
          <w:tcPr>
            <w:tcW w:w="921" w:type="pct"/>
          </w:tcPr>
          <w:p w14:paraId="47F60B98" w14:textId="77777777" w:rsidR="001824FA" w:rsidRPr="001824FA" w:rsidRDefault="001824FA" w:rsidP="001824FA">
            <w:pPr>
              <w:contextualSpacing/>
              <w:jc w:val="center"/>
              <w:rPr>
                <w:sz w:val="20"/>
                <w:szCs w:val="20"/>
              </w:rPr>
            </w:pPr>
          </w:p>
        </w:tc>
        <w:tc>
          <w:tcPr>
            <w:tcW w:w="836" w:type="pct"/>
          </w:tcPr>
          <w:p w14:paraId="1C6DAE89" w14:textId="77777777" w:rsidR="001824FA" w:rsidRPr="001824FA" w:rsidRDefault="001824FA" w:rsidP="001824FA">
            <w:pPr>
              <w:contextualSpacing/>
              <w:jc w:val="center"/>
              <w:rPr>
                <w:sz w:val="20"/>
                <w:szCs w:val="20"/>
              </w:rPr>
            </w:pPr>
          </w:p>
        </w:tc>
        <w:tc>
          <w:tcPr>
            <w:tcW w:w="837" w:type="pct"/>
            <w:tcBorders>
              <w:right w:val="nil"/>
            </w:tcBorders>
          </w:tcPr>
          <w:p w14:paraId="075257F4" w14:textId="4B490A54" w:rsidR="001824FA" w:rsidRPr="001824FA" w:rsidRDefault="001824FA" w:rsidP="001824FA">
            <w:pPr>
              <w:contextualSpacing/>
              <w:jc w:val="center"/>
              <w:rPr>
                <w:sz w:val="20"/>
                <w:szCs w:val="20"/>
              </w:rPr>
            </w:pPr>
            <w:r w:rsidRPr="001824FA">
              <w:rPr>
                <w:sz w:val="20"/>
                <w:szCs w:val="20"/>
              </w:rPr>
              <w:t>2 (2</w:t>
            </w:r>
            <w:r w:rsidR="002A7FAB">
              <w:rPr>
                <w:sz w:val="20"/>
                <w:szCs w:val="20"/>
              </w:rPr>
              <w:t>.</w:t>
            </w:r>
            <w:r w:rsidRPr="001824FA">
              <w:rPr>
                <w:sz w:val="20"/>
                <w:szCs w:val="20"/>
              </w:rPr>
              <w:t>7%)</w:t>
            </w:r>
          </w:p>
        </w:tc>
      </w:tr>
      <w:tr w:rsidR="001824FA" w:rsidRPr="001824FA" w14:paraId="0B9F02AE" w14:textId="77777777" w:rsidTr="00EF2D36">
        <w:trPr>
          <w:trHeight w:val="57"/>
        </w:trPr>
        <w:tc>
          <w:tcPr>
            <w:tcW w:w="2406" w:type="pct"/>
            <w:tcBorders>
              <w:left w:val="nil"/>
            </w:tcBorders>
          </w:tcPr>
          <w:p w14:paraId="3DC56105" w14:textId="77777777" w:rsidR="001824FA" w:rsidRPr="001824FA" w:rsidRDefault="001824FA" w:rsidP="001824FA">
            <w:pPr>
              <w:contextualSpacing/>
              <w:rPr>
                <w:sz w:val="20"/>
                <w:szCs w:val="20"/>
              </w:rPr>
            </w:pPr>
            <w:r w:rsidRPr="001824FA">
              <w:rPr>
                <w:sz w:val="20"/>
                <w:szCs w:val="20"/>
              </w:rPr>
              <w:t>Técnico/a  sanitario/a</w:t>
            </w:r>
          </w:p>
        </w:tc>
        <w:tc>
          <w:tcPr>
            <w:tcW w:w="921" w:type="pct"/>
          </w:tcPr>
          <w:p w14:paraId="5827DCF3" w14:textId="77777777" w:rsidR="001824FA" w:rsidRPr="001824FA" w:rsidRDefault="001824FA" w:rsidP="001824FA">
            <w:pPr>
              <w:contextualSpacing/>
              <w:jc w:val="center"/>
              <w:rPr>
                <w:sz w:val="20"/>
                <w:szCs w:val="20"/>
              </w:rPr>
            </w:pPr>
          </w:p>
        </w:tc>
        <w:tc>
          <w:tcPr>
            <w:tcW w:w="836" w:type="pct"/>
          </w:tcPr>
          <w:p w14:paraId="1508DD99" w14:textId="77777777" w:rsidR="001824FA" w:rsidRPr="001824FA" w:rsidRDefault="001824FA" w:rsidP="001824FA">
            <w:pPr>
              <w:contextualSpacing/>
              <w:jc w:val="center"/>
              <w:rPr>
                <w:sz w:val="20"/>
                <w:szCs w:val="20"/>
              </w:rPr>
            </w:pPr>
          </w:p>
        </w:tc>
        <w:tc>
          <w:tcPr>
            <w:tcW w:w="837" w:type="pct"/>
            <w:tcBorders>
              <w:right w:val="nil"/>
            </w:tcBorders>
          </w:tcPr>
          <w:p w14:paraId="35FED0DA" w14:textId="37BEA9B9" w:rsidR="001824FA" w:rsidRPr="001824FA" w:rsidRDefault="001824FA" w:rsidP="001824FA">
            <w:pPr>
              <w:contextualSpacing/>
              <w:jc w:val="center"/>
              <w:rPr>
                <w:sz w:val="20"/>
                <w:szCs w:val="20"/>
              </w:rPr>
            </w:pPr>
            <w:r w:rsidRPr="001824FA">
              <w:rPr>
                <w:sz w:val="20"/>
                <w:szCs w:val="20"/>
              </w:rPr>
              <w:t>6 (8</w:t>
            </w:r>
            <w:r w:rsidR="002A7FAB">
              <w:rPr>
                <w:sz w:val="20"/>
                <w:szCs w:val="20"/>
              </w:rPr>
              <w:t>.</w:t>
            </w:r>
            <w:r w:rsidRPr="001824FA">
              <w:rPr>
                <w:sz w:val="20"/>
                <w:szCs w:val="20"/>
              </w:rPr>
              <w:t>2%)</w:t>
            </w:r>
          </w:p>
        </w:tc>
      </w:tr>
      <w:tr w:rsidR="001824FA" w:rsidRPr="001824FA" w14:paraId="618703C3" w14:textId="77777777" w:rsidTr="00EF2D36">
        <w:trPr>
          <w:trHeight w:val="57"/>
        </w:trPr>
        <w:tc>
          <w:tcPr>
            <w:tcW w:w="2406" w:type="pct"/>
            <w:tcBorders>
              <w:left w:val="nil"/>
            </w:tcBorders>
          </w:tcPr>
          <w:p w14:paraId="6E368BA0" w14:textId="77777777" w:rsidR="001824FA" w:rsidRPr="001824FA" w:rsidRDefault="001824FA" w:rsidP="001824FA">
            <w:pPr>
              <w:contextualSpacing/>
              <w:rPr>
                <w:sz w:val="20"/>
                <w:szCs w:val="20"/>
              </w:rPr>
            </w:pPr>
            <w:r w:rsidRPr="001824FA">
              <w:rPr>
                <w:sz w:val="20"/>
                <w:szCs w:val="20"/>
              </w:rPr>
              <w:t>Psicólogo/a</w:t>
            </w:r>
          </w:p>
        </w:tc>
        <w:tc>
          <w:tcPr>
            <w:tcW w:w="921" w:type="pct"/>
          </w:tcPr>
          <w:p w14:paraId="3D975EBA" w14:textId="77777777" w:rsidR="001824FA" w:rsidRPr="001824FA" w:rsidRDefault="001824FA" w:rsidP="001824FA">
            <w:pPr>
              <w:contextualSpacing/>
              <w:jc w:val="center"/>
              <w:rPr>
                <w:sz w:val="20"/>
                <w:szCs w:val="20"/>
              </w:rPr>
            </w:pPr>
          </w:p>
        </w:tc>
        <w:tc>
          <w:tcPr>
            <w:tcW w:w="836" w:type="pct"/>
          </w:tcPr>
          <w:p w14:paraId="445CFCA4" w14:textId="77777777" w:rsidR="001824FA" w:rsidRPr="001824FA" w:rsidRDefault="001824FA" w:rsidP="001824FA">
            <w:pPr>
              <w:contextualSpacing/>
              <w:jc w:val="center"/>
              <w:rPr>
                <w:sz w:val="20"/>
                <w:szCs w:val="20"/>
              </w:rPr>
            </w:pPr>
          </w:p>
        </w:tc>
        <w:tc>
          <w:tcPr>
            <w:tcW w:w="837" w:type="pct"/>
            <w:tcBorders>
              <w:right w:val="nil"/>
            </w:tcBorders>
          </w:tcPr>
          <w:p w14:paraId="5E4A4006" w14:textId="1DC50E25" w:rsidR="001824FA" w:rsidRPr="001824FA" w:rsidRDefault="001824FA" w:rsidP="001824FA">
            <w:pPr>
              <w:contextualSpacing/>
              <w:jc w:val="center"/>
              <w:rPr>
                <w:sz w:val="20"/>
                <w:szCs w:val="20"/>
              </w:rPr>
            </w:pPr>
            <w:r w:rsidRPr="001824FA">
              <w:rPr>
                <w:sz w:val="20"/>
                <w:szCs w:val="20"/>
              </w:rPr>
              <w:t>8 (11</w:t>
            </w:r>
            <w:r w:rsidR="002A7FAB">
              <w:rPr>
                <w:sz w:val="20"/>
                <w:szCs w:val="20"/>
              </w:rPr>
              <w:t>.</w:t>
            </w:r>
            <w:r w:rsidRPr="001824FA">
              <w:rPr>
                <w:sz w:val="20"/>
                <w:szCs w:val="20"/>
              </w:rPr>
              <w:t>0%)</w:t>
            </w:r>
          </w:p>
        </w:tc>
      </w:tr>
      <w:tr w:rsidR="001824FA" w:rsidRPr="001824FA" w14:paraId="7B947EF8" w14:textId="77777777" w:rsidTr="00EF2D36">
        <w:trPr>
          <w:trHeight w:val="57"/>
        </w:trPr>
        <w:tc>
          <w:tcPr>
            <w:tcW w:w="2406" w:type="pct"/>
            <w:tcBorders>
              <w:left w:val="nil"/>
            </w:tcBorders>
          </w:tcPr>
          <w:p w14:paraId="13A84B06" w14:textId="77777777" w:rsidR="001824FA" w:rsidRPr="001824FA" w:rsidRDefault="001824FA" w:rsidP="001824FA">
            <w:pPr>
              <w:contextualSpacing/>
              <w:rPr>
                <w:sz w:val="20"/>
                <w:szCs w:val="20"/>
              </w:rPr>
            </w:pPr>
            <w:r w:rsidRPr="001824FA">
              <w:rPr>
                <w:sz w:val="20"/>
                <w:szCs w:val="20"/>
              </w:rPr>
              <w:t>Otro/a</w:t>
            </w:r>
          </w:p>
        </w:tc>
        <w:tc>
          <w:tcPr>
            <w:tcW w:w="921" w:type="pct"/>
          </w:tcPr>
          <w:p w14:paraId="3A52F055" w14:textId="77777777" w:rsidR="001824FA" w:rsidRPr="001824FA" w:rsidRDefault="001824FA" w:rsidP="001824FA">
            <w:pPr>
              <w:contextualSpacing/>
              <w:jc w:val="center"/>
              <w:rPr>
                <w:sz w:val="20"/>
                <w:szCs w:val="20"/>
              </w:rPr>
            </w:pPr>
          </w:p>
        </w:tc>
        <w:tc>
          <w:tcPr>
            <w:tcW w:w="836" w:type="pct"/>
          </w:tcPr>
          <w:p w14:paraId="5717663B" w14:textId="77777777" w:rsidR="001824FA" w:rsidRPr="001824FA" w:rsidRDefault="001824FA" w:rsidP="001824FA">
            <w:pPr>
              <w:contextualSpacing/>
              <w:jc w:val="center"/>
              <w:rPr>
                <w:sz w:val="20"/>
                <w:szCs w:val="20"/>
              </w:rPr>
            </w:pPr>
          </w:p>
        </w:tc>
        <w:tc>
          <w:tcPr>
            <w:tcW w:w="837" w:type="pct"/>
            <w:tcBorders>
              <w:right w:val="nil"/>
            </w:tcBorders>
          </w:tcPr>
          <w:p w14:paraId="6AACA074" w14:textId="75939033" w:rsidR="001824FA" w:rsidRPr="001824FA" w:rsidRDefault="001824FA" w:rsidP="001824FA">
            <w:pPr>
              <w:contextualSpacing/>
              <w:jc w:val="center"/>
              <w:rPr>
                <w:sz w:val="20"/>
                <w:szCs w:val="20"/>
              </w:rPr>
            </w:pPr>
            <w:r w:rsidRPr="001824FA">
              <w:rPr>
                <w:sz w:val="20"/>
                <w:szCs w:val="20"/>
              </w:rPr>
              <w:t>7 (9</w:t>
            </w:r>
            <w:r w:rsidR="002A7FAB">
              <w:rPr>
                <w:sz w:val="20"/>
                <w:szCs w:val="20"/>
              </w:rPr>
              <w:t>.</w:t>
            </w:r>
            <w:r w:rsidRPr="001824FA">
              <w:rPr>
                <w:sz w:val="20"/>
                <w:szCs w:val="20"/>
              </w:rPr>
              <w:t>6%)</w:t>
            </w:r>
          </w:p>
        </w:tc>
      </w:tr>
      <w:tr w:rsidR="001824FA" w:rsidRPr="001824FA" w14:paraId="2BFCE3FE" w14:textId="77777777" w:rsidTr="00EF2D36">
        <w:trPr>
          <w:trHeight w:val="57"/>
        </w:trPr>
        <w:tc>
          <w:tcPr>
            <w:tcW w:w="2406" w:type="pct"/>
            <w:tcBorders>
              <w:left w:val="nil"/>
            </w:tcBorders>
          </w:tcPr>
          <w:p w14:paraId="0AD7E177" w14:textId="77777777" w:rsidR="001824FA" w:rsidRPr="001824FA" w:rsidRDefault="001824FA" w:rsidP="001824FA">
            <w:pPr>
              <w:contextualSpacing/>
              <w:rPr>
                <w:b/>
                <w:sz w:val="20"/>
                <w:szCs w:val="20"/>
              </w:rPr>
            </w:pPr>
            <w:r w:rsidRPr="001824FA">
              <w:rPr>
                <w:b/>
                <w:sz w:val="20"/>
                <w:szCs w:val="20"/>
              </w:rPr>
              <w:lastRenderedPageBreak/>
              <w:t>Lugar de trabajo (Sanitario)</w:t>
            </w:r>
          </w:p>
        </w:tc>
        <w:tc>
          <w:tcPr>
            <w:tcW w:w="921" w:type="pct"/>
          </w:tcPr>
          <w:p w14:paraId="16F13EF7" w14:textId="77777777" w:rsidR="001824FA" w:rsidRPr="001824FA" w:rsidRDefault="001824FA" w:rsidP="001824FA">
            <w:pPr>
              <w:contextualSpacing/>
              <w:jc w:val="center"/>
              <w:rPr>
                <w:sz w:val="20"/>
                <w:szCs w:val="20"/>
              </w:rPr>
            </w:pPr>
          </w:p>
        </w:tc>
        <w:tc>
          <w:tcPr>
            <w:tcW w:w="836" w:type="pct"/>
          </w:tcPr>
          <w:p w14:paraId="4004AED4" w14:textId="77777777" w:rsidR="001824FA" w:rsidRPr="001824FA" w:rsidRDefault="001824FA" w:rsidP="001824FA">
            <w:pPr>
              <w:contextualSpacing/>
              <w:jc w:val="center"/>
              <w:rPr>
                <w:sz w:val="20"/>
                <w:szCs w:val="20"/>
              </w:rPr>
            </w:pPr>
          </w:p>
        </w:tc>
        <w:tc>
          <w:tcPr>
            <w:tcW w:w="837" w:type="pct"/>
            <w:tcBorders>
              <w:right w:val="nil"/>
            </w:tcBorders>
          </w:tcPr>
          <w:p w14:paraId="22EE5343" w14:textId="77777777" w:rsidR="001824FA" w:rsidRPr="001824FA" w:rsidRDefault="001824FA" w:rsidP="001824FA">
            <w:pPr>
              <w:contextualSpacing/>
              <w:jc w:val="center"/>
              <w:rPr>
                <w:sz w:val="20"/>
                <w:szCs w:val="20"/>
              </w:rPr>
            </w:pPr>
          </w:p>
        </w:tc>
      </w:tr>
      <w:tr w:rsidR="001824FA" w:rsidRPr="001824FA" w14:paraId="281F0366" w14:textId="77777777" w:rsidTr="00EF2D36">
        <w:trPr>
          <w:trHeight w:val="57"/>
        </w:trPr>
        <w:tc>
          <w:tcPr>
            <w:tcW w:w="2406" w:type="pct"/>
            <w:tcBorders>
              <w:left w:val="nil"/>
            </w:tcBorders>
          </w:tcPr>
          <w:p w14:paraId="1FC35906" w14:textId="77777777" w:rsidR="001824FA" w:rsidRPr="001824FA" w:rsidRDefault="001824FA" w:rsidP="001824FA">
            <w:pPr>
              <w:contextualSpacing/>
              <w:rPr>
                <w:sz w:val="20"/>
                <w:szCs w:val="20"/>
              </w:rPr>
            </w:pPr>
            <w:r w:rsidRPr="001824FA">
              <w:rPr>
                <w:sz w:val="20"/>
                <w:szCs w:val="20"/>
              </w:rPr>
              <w:t>CAP</w:t>
            </w:r>
          </w:p>
        </w:tc>
        <w:tc>
          <w:tcPr>
            <w:tcW w:w="921" w:type="pct"/>
          </w:tcPr>
          <w:p w14:paraId="243AF52D" w14:textId="77777777" w:rsidR="001824FA" w:rsidRPr="001824FA" w:rsidRDefault="001824FA" w:rsidP="001824FA">
            <w:pPr>
              <w:contextualSpacing/>
              <w:jc w:val="center"/>
              <w:rPr>
                <w:sz w:val="20"/>
                <w:szCs w:val="20"/>
              </w:rPr>
            </w:pPr>
          </w:p>
        </w:tc>
        <w:tc>
          <w:tcPr>
            <w:tcW w:w="836" w:type="pct"/>
          </w:tcPr>
          <w:p w14:paraId="1B91F345" w14:textId="77777777" w:rsidR="001824FA" w:rsidRPr="001824FA" w:rsidRDefault="001824FA" w:rsidP="001824FA">
            <w:pPr>
              <w:contextualSpacing/>
              <w:jc w:val="center"/>
              <w:rPr>
                <w:sz w:val="20"/>
                <w:szCs w:val="20"/>
              </w:rPr>
            </w:pPr>
          </w:p>
        </w:tc>
        <w:tc>
          <w:tcPr>
            <w:tcW w:w="837" w:type="pct"/>
            <w:tcBorders>
              <w:right w:val="nil"/>
            </w:tcBorders>
          </w:tcPr>
          <w:p w14:paraId="141FEEF6" w14:textId="345D5968" w:rsidR="001824FA" w:rsidRPr="001824FA" w:rsidRDefault="001824FA" w:rsidP="001824FA">
            <w:pPr>
              <w:contextualSpacing/>
              <w:jc w:val="center"/>
              <w:rPr>
                <w:sz w:val="20"/>
                <w:szCs w:val="20"/>
              </w:rPr>
            </w:pPr>
            <w:r w:rsidRPr="001824FA">
              <w:rPr>
                <w:sz w:val="20"/>
                <w:szCs w:val="20"/>
              </w:rPr>
              <w:t>40 (54</w:t>
            </w:r>
            <w:r w:rsidR="002A7FAB">
              <w:rPr>
                <w:sz w:val="20"/>
                <w:szCs w:val="20"/>
              </w:rPr>
              <w:t>.</w:t>
            </w:r>
            <w:r w:rsidRPr="001824FA">
              <w:rPr>
                <w:sz w:val="20"/>
                <w:szCs w:val="20"/>
              </w:rPr>
              <w:t>8%)</w:t>
            </w:r>
          </w:p>
        </w:tc>
      </w:tr>
      <w:tr w:rsidR="001824FA" w:rsidRPr="001824FA" w14:paraId="3EC752AA" w14:textId="77777777" w:rsidTr="00EF2D36">
        <w:trPr>
          <w:trHeight w:val="57"/>
        </w:trPr>
        <w:tc>
          <w:tcPr>
            <w:tcW w:w="2406" w:type="pct"/>
            <w:tcBorders>
              <w:left w:val="nil"/>
            </w:tcBorders>
          </w:tcPr>
          <w:p w14:paraId="48D22417" w14:textId="77777777" w:rsidR="001824FA" w:rsidRPr="001824FA" w:rsidRDefault="001824FA" w:rsidP="001824FA">
            <w:pPr>
              <w:contextualSpacing/>
              <w:rPr>
                <w:sz w:val="20"/>
                <w:szCs w:val="20"/>
              </w:rPr>
            </w:pPr>
            <w:r w:rsidRPr="001824FA">
              <w:rPr>
                <w:sz w:val="20"/>
                <w:szCs w:val="20"/>
              </w:rPr>
              <w:t xml:space="preserve">Hospital </w:t>
            </w:r>
          </w:p>
        </w:tc>
        <w:tc>
          <w:tcPr>
            <w:tcW w:w="921" w:type="pct"/>
          </w:tcPr>
          <w:p w14:paraId="40BF5D7F" w14:textId="77777777" w:rsidR="001824FA" w:rsidRPr="001824FA" w:rsidRDefault="001824FA" w:rsidP="001824FA">
            <w:pPr>
              <w:contextualSpacing/>
              <w:jc w:val="center"/>
              <w:rPr>
                <w:sz w:val="20"/>
                <w:szCs w:val="20"/>
              </w:rPr>
            </w:pPr>
          </w:p>
        </w:tc>
        <w:tc>
          <w:tcPr>
            <w:tcW w:w="836" w:type="pct"/>
          </w:tcPr>
          <w:p w14:paraId="33831A12" w14:textId="77777777" w:rsidR="001824FA" w:rsidRPr="001824FA" w:rsidRDefault="001824FA" w:rsidP="001824FA">
            <w:pPr>
              <w:contextualSpacing/>
              <w:jc w:val="center"/>
              <w:rPr>
                <w:sz w:val="20"/>
                <w:szCs w:val="20"/>
              </w:rPr>
            </w:pPr>
          </w:p>
        </w:tc>
        <w:tc>
          <w:tcPr>
            <w:tcW w:w="837" w:type="pct"/>
            <w:tcBorders>
              <w:right w:val="nil"/>
            </w:tcBorders>
          </w:tcPr>
          <w:p w14:paraId="5CE7AC3C" w14:textId="1CE16EB4" w:rsidR="001824FA" w:rsidRPr="001824FA" w:rsidRDefault="001824FA" w:rsidP="001824FA">
            <w:pPr>
              <w:contextualSpacing/>
              <w:jc w:val="center"/>
              <w:rPr>
                <w:sz w:val="20"/>
                <w:szCs w:val="20"/>
              </w:rPr>
            </w:pPr>
            <w:r w:rsidRPr="001824FA">
              <w:rPr>
                <w:sz w:val="20"/>
                <w:szCs w:val="20"/>
              </w:rPr>
              <w:t>19 (26</w:t>
            </w:r>
            <w:r w:rsidR="002A7FAB">
              <w:rPr>
                <w:sz w:val="20"/>
                <w:szCs w:val="20"/>
              </w:rPr>
              <w:t>.</w:t>
            </w:r>
            <w:r w:rsidRPr="001824FA">
              <w:rPr>
                <w:sz w:val="20"/>
                <w:szCs w:val="20"/>
              </w:rPr>
              <w:t>0%)</w:t>
            </w:r>
          </w:p>
        </w:tc>
      </w:tr>
      <w:tr w:rsidR="001824FA" w:rsidRPr="001824FA" w14:paraId="1FCD8EC7" w14:textId="77777777" w:rsidTr="00EF2D36">
        <w:trPr>
          <w:trHeight w:val="57"/>
        </w:trPr>
        <w:tc>
          <w:tcPr>
            <w:tcW w:w="2406" w:type="pct"/>
            <w:tcBorders>
              <w:left w:val="nil"/>
            </w:tcBorders>
          </w:tcPr>
          <w:p w14:paraId="7FBB0790" w14:textId="77777777" w:rsidR="001824FA" w:rsidRPr="001824FA" w:rsidRDefault="001824FA" w:rsidP="001824FA">
            <w:pPr>
              <w:contextualSpacing/>
              <w:rPr>
                <w:sz w:val="20"/>
                <w:szCs w:val="20"/>
              </w:rPr>
            </w:pPr>
            <w:r w:rsidRPr="001824FA">
              <w:rPr>
                <w:sz w:val="20"/>
                <w:szCs w:val="20"/>
              </w:rPr>
              <w:t>Residencia geriátrica</w:t>
            </w:r>
          </w:p>
        </w:tc>
        <w:tc>
          <w:tcPr>
            <w:tcW w:w="921" w:type="pct"/>
          </w:tcPr>
          <w:p w14:paraId="451E2E47" w14:textId="77777777" w:rsidR="001824FA" w:rsidRPr="001824FA" w:rsidRDefault="001824FA" w:rsidP="001824FA">
            <w:pPr>
              <w:contextualSpacing/>
              <w:jc w:val="center"/>
              <w:rPr>
                <w:sz w:val="20"/>
                <w:szCs w:val="20"/>
                <w:highlight w:val="yellow"/>
              </w:rPr>
            </w:pPr>
          </w:p>
        </w:tc>
        <w:tc>
          <w:tcPr>
            <w:tcW w:w="836" w:type="pct"/>
          </w:tcPr>
          <w:p w14:paraId="4B6B3BFA" w14:textId="77777777" w:rsidR="001824FA" w:rsidRPr="001824FA" w:rsidRDefault="001824FA" w:rsidP="001824FA">
            <w:pPr>
              <w:contextualSpacing/>
              <w:jc w:val="center"/>
              <w:rPr>
                <w:sz w:val="20"/>
                <w:szCs w:val="20"/>
                <w:highlight w:val="yellow"/>
              </w:rPr>
            </w:pPr>
          </w:p>
        </w:tc>
        <w:tc>
          <w:tcPr>
            <w:tcW w:w="837" w:type="pct"/>
            <w:tcBorders>
              <w:right w:val="nil"/>
            </w:tcBorders>
          </w:tcPr>
          <w:p w14:paraId="58DFE128" w14:textId="09C22B69" w:rsidR="001824FA" w:rsidRPr="001824FA" w:rsidRDefault="001824FA" w:rsidP="001824FA">
            <w:pPr>
              <w:contextualSpacing/>
              <w:jc w:val="center"/>
              <w:rPr>
                <w:sz w:val="20"/>
                <w:szCs w:val="20"/>
              </w:rPr>
            </w:pPr>
            <w:r w:rsidRPr="001824FA">
              <w:rPr>
                <w:sz w:val="20"/>
                <w:szCs w:val="20"/>
              </w:rPr>
              <w:t>4 (5</w:t>
            </w:r>
            <w:r w:rsidR="002A7FAB">
              <w:rPr>
                <w:sz w:val="20"/>
                <w:szCs w:val="20"/>
              </w:rPr>
              <w:t>.</w:t>
            </w:r>
            <w:r w:rsidRPr="001824FA">
              <w:rPr>
                <w:sz w:val="20"/>
                <w:szCs w:val="20"/>
              </w:rPr>
              <w:t>5%)</w:t>
            </w:r>
          </w:p>
        </w:tc>
      </w:tr>
      <w:tr w:rsidR="001824FA" w:rsidRPr="001824FA" w14:paraId="01BA1A2F" w14:textId="77777777" w:rsidTr="00EF2D36">
        <w:trPr>
          <w:trHeight w:val="57"/>
        </w:trPr>
        <w:tc>
          <w:tcPr>
            <w:tcW w:w="2406" w:type="pct"/>
            <w:tcBorders>
              <w:left w:val="nil"/>
            </w:tcBorders>
          </w:tcPr>
          <w:p w14:paraId="2BEB3A91" w14:textId="77777777" w:rsidR="001824FA" w:rsidRPr="001824FA" w:rsidRDefault="001824FA" w:rsidP="001824FA">
            <w:pPr>
              <w:contextualSpacing/>
              <w:rPr>
                <w:sz w:val="20"/>
                <w:szCs w:val="20"/>
              </w:rPr>
            </w:pPr>
            <w:r w:rsidRPr="001824FA">
              <w:rPr>
                <w:sz w:val="20"/>
                <w:szCs w:val="20"/>
              </w:rPr>
              <w:t>Transporte sanitario</w:t>
            </w:r>
          </w:p>
        </w:tc>
        <w:tc>
          <w:tcPr>
            <w:tcW w:w="921" w:type="pct"/>
          </w:tcPr>
          <w:p w14:paraId="7A329115" w14:textId="77777777" w:rsidR="001824FA" w:rsidRPr="001824FA" w:rsidRDefault="001824FA" w:rsidP="001824FA">
            <w:pPr>
              <w:contextualSpacing/>
              <w:jc w:val="center"/>
              <w:rPr>
                <w:sz w:val="20"/>
                <w:szCs w:val="20"/>
              </w:rPr>
            </w:pPr>
          </w:p>
        </w:tc>
        <w:tc>
          <w:tcPr>
            <w:tcW w:w="836" w:type="pct"/>
          </w:tcPr>
          <w:p w14:paraId="4A5A71C9" w14:textId="77777777" w:rsidR="001824FA" w:rsidRPr="001824FA" w:rsidRDefault="001824FA" w:rsidP="001824FA">
            <w:pPr>
              <w:contextualSpacing/>
              <w:jc w:val="center"/>
              <w:rPr>
                <w:sz w:val="20"/>
                <w:szCs w:val="20"/>
              </w:rPr>
            </w:pPr>
          </w:p>
        </w:tc>
        <w:tc>
          <w:tcPr>
            <w:tcW w:w="837" w:type="pct"/>
            <w:tcBorders>
              <w:right w:val="nil"/>
            </w:tcBorders>
          </w:tcPr>
          <w:p w14:paraId="4F7CCC65" w14:textId="449BC1A4" w:rsidR="001824FA" w:rsidRPr="001824FA" w:rsidRDefault="001824FA" w:rsidP="001824FA">
            <w:pPr>
              <w:contextualSpacing/>
              <w:jc w:val="center"/>
              <w:rPr>
                <w:sz w:val="20"/>
                <w:szCs w:val="20"/>
              </w:rPr>
            </w:pPr>
            <w:r w:rsidRPr="001824FA">
              <w:rPr>
                <w:sz w:val="20"/>
                <w:szCs w:val="20"/>
              </w:rPr>
              <w:t>6 (8</w:t>
            </w:r>
            <w:r w:rsidR="002A7FAB">
              <w:rPr>
                <w:sz w:val="20"/>
                <w:szCs w:val="20"/>
              </w:rPr>
              <w:t>.</w:t>
            </w:r>
            <w:r w:rsidRPr="001824FA">
              <w:rPr>
                <w:sz w:val="20"/>
                <w:szCs w:val="20"/>
              </w:rPr>
              <w:t>2%)</w:t>
            </w:r>
          </w:p>
        </w:tc>
      </w:tr>
      <w:tr w:rsidR="001824FA" w:rsidRPr="001824FA" w14:paraId="5E014B27" w14:textId="77777777" w:rsidTr="00EF2D36">
        <w:trPr>
          <w:trHeight w:val="57"/>
        </w:trPr>
        <w:tc>
          <w:tcPr>
            <w:tcW w:w="2406" w:type="pct"/>
            <w:tcBorders>
              <w:left w:val="nil"/>
            </w:tcBorders>
          </w:tcPr>
          <w:p w14:paraId="5B8B283B" w14:textId="77777777" w:rsidR="001824FA" w:rsidRPr="001824FA" w:rsidRDefault="001824FA" w:rsidP="001824FA">
            <w:pPr>
              <w:contextualSpacing/>
              <w:rPr>
                <w:sz w:val="20"/>
                <w:szCs w:val="20"/>
              </w:rPr>
            </w:pPr>
            <w:r w:rsidRPr="001824FA">
              <w:rPr>
                <w:sz w:val="20"/>
                <w:szCs w:val="20"/>
              </w:rPr>
              <w:t>CSMA/CSMIJ o similar</w:t>
            </w:r>
          </w:p>
        </w:tc>
        <w:tc>
          <w:tcPr>
            <w:tcW w:w="921" w:type="pct"/>
          </w:tcPr>
          <w:p w14:paraId="04935142" w14:textId="77777777" w:rsidR="001824FA" w:rsidRPr="001824FA" w:rsidRDefault="001824FA" w:rsidP="001824FA">
            <w:pPr>
              <w:contextualSpacing/>
              <w:jc w:val="center"/>
              <w:rPr>
                <w:sz w:val="20"/>
                <w:szCs w:val="20"/>
              </w:rPr>
            </w:pPr>
          </w:p>
        </w:tc>
        <w:tc>
          <w:tcPr>
            <w:tcW w:w="836" w:type="pct"/>
          </w:tcPr>
          <w:p w14:paraId="13660826" w14:textId="77777777" w:rsidR="001824FA" w:rsidRPr="001824FA" w:rsidRDefault="001824FA" w:rsidP="001824FA">
            <w:pPr>
              <w:contextualSpacing/>
              <w:jc w:val="center"/>
              <w:rPr>
                <w:sz w:val="20"/>
                <w:szCs w:val="20"/>
              </w:rPr>
            </w:pPr>
          </w:p>
        </w:tc>
        <w:tc>
          <w:tcPr>
            <w:tcW w:w="837" w:type="pct"/>
            <w:tcBorders>
              <w:right w:val="nil"/>
            </w:tcBorders>
          </w:tcPr>
          <w:p w14:paraId="31E29F2D" w14:textId="618572B6" w:rsidR="001824FA" w:rsidRPr="001824FA" w:rsidRDefault="001824FA" w:rsidP="001824FA">
            <w:pPr>
              <w:contextualSpacing/>
              <w:jc w:val="center"/>
              <w:rPr>
                <w:sz w:val="20"/>
                <w:szCs w:val="20"/>
              </w:rPr>
            </w:pPr>
            <w:r w:rsidRPr="001824FA">
              <w:rPr>
                <w:sz w:val="20"/>
                <w:szCs w:val="20"/>
              </w:rPr>
              <w:t>3 (4</w:t>
            </w:r>
            <w:r w:rsidR="002A7FAB">
              <w:rPr>
                <w:sz w:val="20"/>
                <w:szCs w:val="20"/>
              </w:rPr>
              <w:t>.</w:t>
            </w:r>
            <w:r w:rsidRPr="001824FA">
              <w:rPr>
                <w:sz w:val="20"/>
                <w:szCs w:val="20"/>
              </w:rPr>
              <w:t>1%)</w:t>
            </w:r>
          </w:p>
        </w:tc>
      </w:tr>
      <w:tr w:rsidR="001824FA" w:rsidRPr="001824FA" w14:paraId="0E031273" w14:textId="77777777" w:rsidTr="00EF2D36">
        <w:trPr>
          <w:trHeight w:val="57"/>
        </w:trPr>
        <w:tc>
          <w:tcPr>
            <w:tcW w:w="2406" w:type="pct"/>
            <w:tcBorders>
              <w:left w:val="nil"/>
            </w:tcBorders>
          </w:tcPr>
          <w:p w14:paraId="72ACEDC8" w14:textId="77777777" w:rsidR="001824FA" w:rsidRPr="001824FA" w:rsidRDefault="001824FA" w:rsidP="001824FA">
            <w:pPr>
              <w:contextualSpacing/>
              <w:rPr>
                <w:sz w:val="20"/>
                <w:szCs w:val="20"/>
              </w:rPr>
            </w:pPr>
            <w:r w:rsidRPr="001824FA">
              <w:rPr>
                <w:sz w:val="20"/>
                <w:szCs w:val="20"/>
              </w:rPr>
              <w:t>Otros</w:t>
            </w:r>
          </w:p>
        </w:tc>
        <w:tc>
          <w:tcPr>
            <w:tcW w:w="921" w:type="pct"/>
          </w:tcPr>
          <w:p w14:paraId="6F2B10F5" w14:textId="77777777" w:rsidR="001824FA" w:rsidRPr="001824FA" w:rsidRDefault="001824FA" w:rsidP="001824FA">
            <w:pPr>
              <w:contextualSpacing/>
              <w:jc w:val="center"/>
              <w:rPr>
                <w:sz w:val="20"/>
                <w:szCs w:val="20"/>
              </w:rPr>
            </w:pPr>
          </w:p>
        </w:tc>
        <w:tc>
          <w:tcPr>
            <w:tcW w:w="836" w:type="pct"/>
          </w:tcPr>
          <w:p w14:paraId="5EAEE7DD" w14:textId="77777777" w:rsidR="001824FA" w:rsidRPr="001824FA" w:rsidRDefault="001824FA" w:rsidP="001824FA">
            <w:pPr>
              <w:contextualSpacing/>
              <w:jc w:val="center"/>
              <w:rPr>
                <w:sz w:val="20"/>
                <w:szCs w:val="20"/>
              </w:rPr>
            </w:pPr>
          </w:p>
        </w:tc>
        <w:tc>
          <w:tcPr>
            <w:tcW w:w="837" w:type="pct"/>
            <w:tcBorders>
              <w:right w:val="nil"/>
            </w:tcBorders>
          </w:tcPr>
          <w:p w14:paraId="223608FA" w14:textId="170C571A" w:rsidR="001824FA" w:rsidRPr="001824FA" w:rsidRDefault="001824FA" w:rsidP="001824FA">
            <w:pPr>
              <w:contextualSpacing/>
              <w:jc w:val="center"/>
              <w:rPr>
                <w:sz w:val="20"/>
                <w:szCs w:val="20"/>
              </w:rPr>
            </w:pPr>
            <w:r w:rsidRPr="001824FA">
              <w:rPr>
                <w:sz w:val="20"/>
                <w:szCs w:val="20"/>
              </w:rPr>
              <w:t>10 (13</w:t>
            </w:r>
            <w:r w:rsidR="002A7FAB">
              <w:rPr>
                <w:sz w:val="20"/>
                <w:szCs w:val="20"/>
              </w:rPr>
              <w:t>.</w:t>
            </w:r>
            <w:r w:rsidRPr="001824FA">
              <w:rPr>
                <w:sz w:val="20"/>
                <w:szCs w:val="20"/>
              </w:rPr>
              <w:t>7%)</w:t>
            </w:r>
          </w:p>
        </w:tc>
      </w:tr>
      <w:tr w:rsidR="001824FA" w:rsidRPr="001824FA" w14:paraId="5AF57B7C" w14:textId="77777777" w:rsidTr="00EF2D36">
        <w:trPr>
          <w:trHeight w:val="57"/>
        </w:trPr>
        <w:tc>
          <w:tcPr>
            <w:tcW w:w="2406" w:type="pct"/>
            <w:tcBorders>
              <w:left w:val="nil"/>
            </w:tcBorders>
          </w:tcPr>
          <w:p w14:paraId="26E77F06" w14:textId="77777777" w:rsidR="001824FA" w:rsidRPr="001824FA" w:rsidRDefault="001824FA" w:rsidP="001824FA">
            <w:pPr>
              <w:contextualSpacing/>
              <w:rPr>
                <w:b/>
                <w:sz w:val="20"/>
                <w:szCs w:val="20"/>
              </w:rPr>
            </w:pPr>
            <w:r w:rsidRPr="001824FA">
              <w:rPr>
                <w:b/>
                <w:sz w:val="20"/>
                <w:szCs w:val="20"/>
              </w:rPr>
              <w:t>Ámbito CAP</w:t>
            </w:r>
          </w:p>
        </w:tc>
        <w:tc>
          <w:tcPr>
            <w:tcW w:w="921" w:type="pct"/>
          </w:tcPr>
          <w:p w14:paraId="1A00DA54" w14:textId="77777777" w:rsidR="001824FA" w:rsidRPr="001824FA" w:rsidRDefault="001824FA" w:rsidP="001824FA">
            <w:pPr>
              <w:contextualSpacing/>
              <w:jc w:val="center"/>
              <w:rPr>
                <w:sz w:val="20"/>
                <w:szCs w:val="20"/>
              </w:rPr>
            </w:pPr>
          </w:p>
        </w:tc>
        <w:tc>
          <w:tcPr>
            <w:tcW w:w="836" w:type="pct"/>
          </w:tcPr>
          <w:p w14:paraId="69F4817B" w14:textId="77777777" w:rsidR="001824FA" w:rsidRPr="001824FA" w:rsidRDefault="001824FA" w:rsidP="001824FA">
            <w:pPr>
              <w:contextualSpacing/>
              <w:jc w:val="center"/>
              <w:rPr>
                <w:sz w:val="20"/>
                <w:szCs w:val="20"/>
              </w:rPr>
            </w:pPr>
          </w:p>
        </w:tc>
        <w:tc>
          <w:tcPr>
            <w:tcW w:w="837" w:type="pct"/>
            <w:tcBorders>
              <w:right w:val="nil"/>
            </w:tcBorders>
          </w:tcPr>
          <w:p w14:paraId="10A311FB" w14:textId="77777777" w:rsidR="001824FA" w:rsidRPr="001824FA" w:rsidRDefault="001824FA" w:rsidP="001824FA">
            <w:pPr>
              <w:contextualSpacing/>
              <w:jc w:val="center"/>
              <w:rPr>
                <w:sz w:val="20"/>
                <w:szCs w:val="20"/>
              </w:rPr>
            </w:pPr>
          </w:p>
        </w:tc>
      </w:tr>
      <w:tr w:rsidR="001824FA" w:rsidRPr="001824FA" w14:paraId="76940C7F" w14:textId="77777777" w:rsidTr="00EF2D36">
        <w:trPr>
          <w:trHeight w:val="57"/>
        </w:trPr>
        <w:tc>
          <w:tcPr>
            <w:tcW w:w="2406" w:type="pct"/>
            <w:tcBorders>
              <w:left w:val="nil"/>
            </w:tcBorders>
          </w:tcPr>
          <w:p w14:paraId="168F31D2" w14:textId="77777777" w:rsidR="001824FA" w:rsidRPr="001824FA" w:rsidRDefault="001824FA" w:rsidP="001824FA">
            <w:pPr>
              <w:contextualSpacing/>
              <w:rPr>
                <w:sz w:val="20"/>
                <w:szCs w:val="20"/>
              </w:rPr>
            </w:pPr>
            <w:r w:rsidRPr="001824FA">
              <w:rPr>
                <w:sz w:val="20"/>
                <w:szCs w:val="20"/>
              </w:rPr>
              <w:t>Rural</w:t>
            </w:r>
          </w:p>
        </w:tc>
        <w:tc>
          <w:tcPr>
            <w:tcW w:w="921" w:type="pct"/>
          </w:tcPr>
          <w:p w14:paraId="0E76FCBD" w14:textId="77777777" w:rsidR="001824FA" w:rsidRPr="001824FA" w:rsidRDefault="001824FA" w:rsidP="001824FA">
            <w:pPr>
              <w:contextualSpacing/>
              <w:jc w:val="center"/>
              <w:rPr>
                <w:sz w:val="20"/>
                <w:szCs w:val="20"/>
              </w:rPr>
            </w:pPr>
          </w:p>
        </w:tc>
        <w:tc>
          <w:tcPr>
            <w:tcW w:w="836" w:type="pct"/>
          </w:tcPr>
          <w:p w14:paraId="49B67EF8" w14:textId="77777777" w:rsidR="001824FA" w:rsidRPr="001824FA" w:rsidRDefault="001824FA" w:rsidP="001824FA">
            <w:pPr>
              <w:contextualSpacing/>
              <w:jc w:val="center"/>
              <w:rPr>
                <w:sz w:val="20"/>
                <w:szCs w:val="20"/>
              </w:rPr>
            </w:pPr>
          </w:p>
        </w:tc>
        <w:tc>
          <w:tcPr>
            <w:tcW w:w="837" w:type="pct"/>
            <w:tcBorders>
              <w:right w:val="nil"/>
            </w:tcBorders>
          </w:tcPr>
          <w:p w14:paraId="0758D946" w14:textId="08788AF5" w:rsidR="001824FA" w:rsidRPr="001824FA" w:rsidRDefault="001824FA" w:rsidP="001824FA">
            <w:pPr>
              <w:contextualSpacing/>
              <w:jc w:val="center"/>
              <w:rPr>
                <w:sz w:val="20"/>
                <w:szCs w:val="20"/>
              </w:rPr>
            </w:pPr>
            <w:r w:rsidRPr="001824FA">
              <w:rPr>
                <w:sz w:val="20"/>
                <w:szCs w:val="20"/>
              </w:rPr>
              <w:t>20 (27</w:t>
            </w:r>
            <w:r w:rsidR="002A7FAB">
              <w:rPr>
                <w:sz w:val="20"/>
                <w:szCs w:val="20"/>
              </w:rPr>
              <w:t>.</w:t>
            </w:r>
            <w:r w:rsidRPr="001824FA">
              <w:rPr>
                <w:sz w:val="20"/>
                <w:szCs w:val="20"/>
              </w:rPr>
              <w:t>4%)</w:t>
            </w:r>
          </w:p>
        </w:tc>
      </w:tr>
      <w:tr w:rsidR="001824FA" w:rsidRPr="001824FA" w14:paraId="3C17387C" w14:textId="77777777" w:rsidTr="00EF2D36">
        <w:trPr>
          <w:trHeight w:val="57"/>
        </w:trPr>
        <w:tc>
          <w:tcPr>
            <w:tcW w:w="2406" w:type="pct"/>
            <w:tcBorders>
              <w:left w:val="nil"/>
            </w:tcBorders>
          </w:tcPr>
          <w:p w14:paraId="28B05B93" w14:textId="77777777" w:rsidR="001824FA" w:rsidRPr="001824FA" w:rsidRDefault="001824FA" w:rsidP="001824FA">
            <w:pPr>
              <w:contextualSpacing/>
              <w:rPr>
                <w:sz w:val="20"/>
                <w:szCs w:val="20"/>
              </w:rPr>
            </w:pPr>
            <w:r w:rsidRPr="001824FA">
              <w:rPr>
                <w:sz w:val="20"/>
                <w:szCs w:val="20"/>
              </w:rPr>
              <w:t>Urbano</w:t>
            </w:r>
          </w:p>
        </w:tc>
        <w:tc>
          <w:tcPr>
            <w:tcW w:w="921" w:type="pct"/>
          </w:tcPr>
          <w:p w14:paraId="10B5DE90" w14:textId="77777777" w:rsidR="001824FA" w:rsidRPr="001824FA" w:rsidRDefault="001824FA" w:rsidP="001824FA">
            <w:pPr>
              <w:contextualSpacing/>
              <w:jc w:val="center"/>
              <w:rPr>
                <w:sz w:val="20"/>
                <w:szCs w:val="20"/>
              </w:rPr>
            </w:pPr>
          </w:p>
        </w:tc>
        <w:tc>
          <w:tcPr>
            <w:tcW w:w="836" w:type="pct"/>
          </w:tcPr>
          <w:p w14:paraId="1264555C" w14:textId="77777777" w:rsidR="001824FA" w:rsidRPr="001824FA" w:rsidRDefault="001824FA" w:rsidP="001824FA">
            <w:pPr>
              <w:contextualSpacing/>
              <w:jc w:val="center"/>
              <w:rPr>
                <w:sz w:val="20"/>
                <w:szCs w:val="20"/>
              </w:rPr>
            </w:pPr>
          </w:p>
        </w:tc>
        <w:tc>
          <w:tcPr>
            <w:tcW w:w="837" w:type="pct"/>
            <w:tcBorders>
              <w:right w:val="nil"/>
            </w:tcBorders>
          </w:tcPr>
          <w:p w14:paraId="52FFD83B" w14:textId="6BB9E356" w:rsidR="001824FA" w:rsidRPr="001824FA" w:rsidRDefault="001824FA" w:rsidP="001824FA">
            <w:pPr>
              <w:contextualSpacing/>
              <w:jc w:val="center"/>
              <w:rPr>
                <w:sz w:val="20"/>
                <w:szCs w:val="20"/>
              </w:rPr>
            </w:pPr>
            <w:r w:rsidRPr="001824FA">
              <w:rPr>
                <w:sz w:val="20"/>
                <w:szCs w:val="20"/>
              </w:rPr>
              <w:t>19 (26</w:t>
            </w:r>
            <w:r w:rsidR="002A7FAB">
              <w:rPr>
                <w:sz w:val="20"/>
                <w:szCs w:val="20"/>
              </w:rPr>
              <w:t>.</w:t>
            </w:r>
            <w:r w:rsidRPr="001824FA">
              <w:rPr>
                <w:sz w:val="20"/>
                <w:szCs w:val="20"/>
              </w:rPr>
              <w:t>0%)</w:t>
            </w:r>
          </w:p>
        </w:tc>
      </w:tr>
      <w:tr w:rsidR="001824FA" w:rsidRPr="001824FA" w14:paraId="4C01498A" w14:textId="77777777" w:rsidTr="00EF2D36">
        <w:trPr>
          <w:trHeight w:val="57"/>
        </w:trPr>
        <w:tc>
          <w:tcPr>
            <w:tcW w:w="2406" w:type="pct"/>
            <w:tcBorders>
              <w:left w:val="nil"/>
            </w:tcBorders>
          </w:tcPr>
          <w:p w14:paraId="61DEB9D9" w14:textId="77777777" w:rsidR="001824FA" w:rsidRPr="001824FA" w:rsidRDefault="001824FA" w:rsidP="001824FA">
            <w:pPr>
              <w:contextualSpacing/>
              <w:rPr>
                <w:b/>
                <w:sz w:val="20"/>
                <w:szCs w:val="20"/>
              </w:rPr>
            </w:pPr>
            <w:r w:rsidRPr="001824FA">
              <w:rPr>
                <w:b/>
                <w:sz w:val="20"/>
                <w:szCs w:val="20"/>
              </w:rPr>
              <w:t xml:space="preserve">Nivel del Hospital  </w:t>
            </w:r>
          </w:p>
        </w:tc>
        <w:tc>
          <w:tcPr>
            <w:tcW w:w="921" w:type="pct"/>
          </w:tcPr>
          <w:p w14:paraId="388C9AA4" w14:textId="77777777" w:rsidR="001824FA" w:rsidRPr="001824FA" w:rsidRDefault="001824FA" w:rsidP="001824FA">
            <w:pPr>
              <w:contextualSpacing/>
              <w:jc w:val="center"/>
              <w:rPr>
                <w:sz w:val="20"/>
                <w:szCs w:val="20"/>
              </w:rPr>
            </w:pPr>
          </w:p>
        </w:tc>
        <w:tc>
          <w:tcPr>
            <w:tcW w:w="836" w:type="pct"/>
          </w:tcPr>
          <w:p w14:paraId="1E22F2C1" w14:textId="77777777" w:rsidR="001824FA" w:rsidRPr="001824FA" w:rsidRDefault="001824FA" w:rsidP="001824FA">
            <w:pPr>
              <w:contextualSpacing/>
              <w:jc w:val="center"/>
              <w:rPr>
                <w:sz w:val="20"/>
                <w:szCs w:val="20"/>
              </w:rPr>
            </w:pPr>
          </w:p>
        </w:tc>
        <w:tc>
          <w:tcPr>
            <w:tcW w:w="837" w:type="pct"/>
            <w:tcBorders>
              <w:right w:val="nil"/>
            </w:tcBorders>
          </w:tcPr>
          <w:p w14:paraId="2E714F70" w14:textId="77777777" w:rsidR="001824FA" w:rsidRPr="001824FA" w:rsidRDefault="001824FA" w:rsidP="001824FA">
            <w:pPr>
              <w:contextualSpacing/>
              <w:jc w:val="center"/>
              <w:rPr>
                <w:sz w:val="20"/>
                <w:szCs w:val="20"/>
              </w:rPr>
            </w:pPr>
          </w:p>
        </w:tc>
      </w:tr>
      <w:tr w:rsidR="001824FA" w:rsidRPr="001824FA" w14:paraId="7824C6C8" w14:textId="77777777" w:rsidTr="00EF2D36">
        <w:trPr>
          <w:trHeight w:val="57"/>
        </w:trPr>
        <w:tc>
          <w:tcPr>
            <w:tcW w:w="2406" w:type="pct"/>
            <w:tcBorders>
              <w:left w:val="nil"/>
            </w:tcBorders>
          </w:tcPr>
          <w:p w14:paraId="686F0268" w14:textId="77777777" w:rsidR="001824FA" w:rsidRPr="001824FA" w:rsidRDefault="001824FA" w:rsidP="001824FA">
            <w:pPr>
              <w:contextualSpacing/>
              <w:rPr>
                <w:sz w:val="20"/>
                <w:szCs w:val="20"/>
              </w:rPr>
            </w:pPr>
            <w:r w:rsidRPr="001824FA">
              <w:rPr>
                <w:sz w:val="20"/>
                <w:szCs w:val="20"/>
              </w:rPr>
              <w:t>Nivel 1</w:t>
            </w:r>
          </w:p>
        </w:tc>
        <w:tc>
          <w:tcPr>
            <w:tcW w:w="921" w:type="pct"/>
          </w:tcPr>
          <w:p w14:paraId="05BC305E" w14:textId="77777777" w:rsidR="001824FA" w:rsidRPr="001824FA" w:rsidRDefault="001824FA" w:rsidP="001824FA">
            <w:pPr>
              <w:contextualSpacing/>
              <w:jc w:val="center"/>
              <w:rPr>
                <w:sz w:val="20"/>
                <w:szCs w:val="20"/>
              </w:rPr>
            </w:pPr>
          </w:p>
        </w:tc>
        <w:tc>
          <w:tcPr>
            <w:tcW w:w="836" w:type="pct"/>
          </w:tcPr>
          <w:p w14:paraId="2EADD7E0" w14:textId="77777777" w:rsidR="001824FA" w:rsidRPr="001824FA" w:rsidRDefault="001824FA" w:rsidP="001824FA">
            <w:pPr>
              <w:contextualSpacing/>
              <w:jc w:val="center"/>
              <w:rPr>
                <w:sz w:val="20"/>
                <w:szCs w:val="20"/>
              </w:rPr>
            </w:pPr>
          </w:p>
        </w:tc>
        <w:tc>
          <w:tcPr>
            <w:tcW w:w="837" w:type="pct"/>
            <w:tcBorders>
              <w:right w:val="nil"/>
            </w:tcBorders>
          </w:tcPr>
          <w:p w14:paraId="439CF9B7" w14:textId="788B2720" w:rsidR="001824FA" w:rsidRPr="001824FA" w:rsidRDefault="001824FA" w:rsidP="001824FA">
            <w:pPr>
              <w:contextualSpacing/>
              <w:jc w:val="center"/>
              <w:rPr>
                <w:sz w:val="20"/>
                <w:szCs w:val="20"/>
              </w:rPr>
            </w:pPr>
            <w:r w:rsidRPr="001824FA">
              <w:rPr>
                <w:sz w:val="20"/>
                <w:szCs w:val="20"/>
              </w:rPr>
              <w:t>4 (5</w:t>
            </w:r>
            <w:r w:rsidR="002A7FAB">
              <w:rPr>
                <w:sz w:val="20"/>
                <w:szCs w:val="20"/>
              </w:rPr>
              <w:t>.</w:t>
            </w:r>
            <w:r w:rsidRPr="001824FA">
              <w:rPr>
                <w:sz w:val="20"/>
                <w:szCs w:val="20"/>
              </w:rPr>
              <w:t>5%)</w:t>
            </w:r>
          </w:p>
        </w:tc>
      </w:tr>
      <w:tr w:rsidR="001824FA" w:rsidRPr="001824FA" w14:paraId="7A867558" w14:textId="77777777" w:rsidTr="00EF2D36">
        <w:trPr>
          <w:trHeight w:val="57"/>
        </w:trPr>
        <w:tc>
          <w:tcPr>
            <w:tcW w:w="2406" w:type="pct"/>
            <w:tcBorders>
              <w:left w:val="nil"/>
            </w:tcBorders>
          </w:tcPr>
          <w:p w14:paraId="35EAD6AD" w14:textId="77777777" w:rsidR="001824FA" w:rsidRPr="001824FA" w:rsidRDefault="001824FA" w:rsidP="001824FA">
            <w:pPr>
              <w:contextualSpacing/>
              <w:rPr>
                <w:sz w:val="20"/>
                <w:szCs w:val="20"/>
              </w:rPr>
            </w:pPr>
            <w:r w:rsidRPr="001824FA">
              <w:rPr>
                <w:sz w:val="20"/>
                <w:szCs w:val="20"/>
              </w:rPr>
              <w:t>Nivel 2</w:t>
            </w:r>
          </w:p>
        </w:tc>
        <w:tc>
          <w:tcPr>
            <w:tcW w:w="921" w:type="pct"/>
          </w:tcPr>
          <w:p w14:paraId="0D3A739B" w14:textId="77777777" w:rsidR="001824FA" w:rsidRPr="001824FA" w:rsidRDefault="001824FA" w:rsidP="001824FA">
            <w:pPr>
              <w:contextualSpacing/>
              <w:jc w:val="center"/>
              <w:rPr>
                <w:sz w:val="20"/>
                <w:szCs w:val="20"/>
              </w:rPr>
            </w:pPr>
          </w:p>
        </w:tc>
        <w:tc>
          <w:tcPr>
            <w:tcW w:w="836" w:type="pct"/>
          </w:tcPr>
          <w:p w14:paraId="25565BFE" w14:textId="77777777" w:rsidR="001824FA" w:rsidRPr="001824FA" w:rsidRDefault="001824FA" w:rsidP="001824FA">
            <w:pPr>
              <w:contextualSpacing/>
              <w:jc w:val="center"/>
              <w:rPr>
                <w:sz w:val="20"/>
                <w:szCs w:val="20"/>
              </w:rPr>
            </w:pPr>
          </w:p>
        </w:tc>
        <w:tc>
          <w:tcPr>
            <w:tcW w:w="837" w:type="pct"/>
            <w:tcBorders>
              <w:right w:val="nil"/>
            </w:tcBorders>
          </w:tcPr>
          <w:p w14:paraId="7F3DA240" w14:textId="0D81A3F9" w:rsidR="001824FA" w:rsidRPr="001824FA" w:rsidRDefault="001824FA" w:rsidP="001824FA">
            <w:pPr>
              <w:contextualSpacing/>
              <w:jc w:val="center"/>
              <w:rPr>
                <w:sz w:val="20"/>
                <w:szCs w:val="20"/>
              </w:rPr>
            </w:pPr>
            <w:r w:rsidRPr="001824FA">
              <w:rPr>
                <w:sz w:val="20"/>
                <w:szCs w:val="20"/>
              </w:rPr>
              <w:t>7 (9</w:t>
            </w:r>
            <w:r w:rsidR="002A7FAB">
              <w:rPr>
                <w:sz w:val="20"/>
                <w:szCs w:val="20"/>
              </w:rPr>
              <w:t>.</w:t>
            </w:r>
            <w:r w:rsidRPr="001824FA">
              <w:rPr>
                <w:sz w:val="20"/>
                <w:szCs w:val="20"/>
              </w:rPr>
              <w:t>6%)</w:t>
            </w:r>
          </w:p>
        </w:tc>
      </w:tr>
      <w:tr w:rsidR="001824FA" w:rsidRPr="001824FA" w14:paraId="34A46AFC" w14:textId="77777777" w:rsidTr="00EF2D36">
        <w:trPr>
          <w:trHeight w:val="57"/>
        </w:trPr>
        <w:tc>
          <w:tcPr>
            <w:tcW w:w="2406" w:type="pct"/>
            <w:tcBorders>
              <w:left w:val="nil"/>
            </w:tcBorders>
          </w:tcPr>
          <w:p w14:paraId="1350BA2A" w14:textId="77777777" w:rsidR="001824FA" w:rsidRPr="001824FA" w:rsidRDefault="001824FA" w:rsidP="001824FA">
            <w:pPr>
              <w:contextualSpacing/>
              <w:rPr>
                <w:sz w:val="20"/>
                <w:szCs w:val="20"/>
              </w:rPr>
            </w:pPr>
            <w:r w:rsidRPr="001824FA">
              <w:rPr>
                <w:sz w:val="20"/>
                <w:szCs w:val="20"/>
              </w:rPr>
              <w:t>Nivel 3</w:t>
            </w:r>
          </w:p>
        </w:tc>
        <w:tc>
          <w:tcPr>
            <w:tcW w:w="921" w:type="pct"/>
          </w:tcPr>
          <w:p w14:paraId="1B02A737" w14:textId="77777777" w:rsidR="001824FA" w:rsidRPr="001824FA" w:rsidRDefault="001824FA" w:rsidP="001824FA">
            <w:pPr>
              <w:contextualSpacing/>
              <w:jc w:val="center"/>
              <w:rPr>
                <w:sz w:val="20"/>
                <w:szCs w:val="20"/>
              </w:rPr>
            </w:pPr>
          </w:p>
        </w:tc>
        <w:tc>
          <w:tcPr>
            <w:tcW w:w="836" w:type="pct"/>
          </w:tcPr>
          <w:p w14:paraId="527B13AE" w14:textId="77777777" w:rsidR="001824FA" w:rsidRPr="001824FA" w:rsidRDefault="001824FA" w:rsidP="001824FA">
            <w:pPr>
              <w:contextualSpacing/>
              <w:jc w:val="center"/>
              <w:rPr>
                <w:sz w:val="20"/>
                <w:szCs w:val="20"/>
              </w:rPr>
            </w:pPr>
          </w:p>
        </w:tc>
        <w:tc>
          <w:tcPr>
            <w:tcW w:w="837" w:type="pct"/>
            <w:tcBorders>
              <w:right w:val="nil"/>
            </w:tcBorders>
          </w:tcPr>
          <w:p w14:paraId="0FA47EE2" w14:textId="5577D9CC" w:rsidR="001824FA" w:rsidRPr="001824FA" w:rsidRDefault="001824FA" w:rsidP="001824FA">
            <w:pPr>
              <w:contextualSpacing/>
              <w:jc w:val="center"/>
              <w:rPr>
                <w:sz w:val="20"/>
                <w:szCs w:val="20"/>
              </w:rPr>
            </w:pPr>
            <w:r w:rsidRPr="001824FA">
              <w:rPr>
                <w:sz w:val="20"/>
                <w:szCs w:val="20"/>
              </w:rPr>
              <w:t>11 (15</w:t>
            </w:r>
            <w:r w:rsidR="002A7FAB">
              <w:rPr>
                <w:sz w:val="20"/>
                <w:szCs w:val="20"/>
              </w:rPr>
              <w:t>.</w:t>
            </w:r>
            <w:r w:rsidRPr="001824FA">
              <w:rPr>
                <w:sz w:val="20"/>
                <w:szCs w:val="20"/>
              </w:rPr>
              <w:t>1%)</w:t>
            </w:r>
          </w:p>
        </w:tc>
      </w:tr>
      <w:tr w:rsidR="001824FA" w:rsidRPr="001824FA" w14:paraId="514DFBA1" w14:textId="77777777" w:rsidTr="00EF2D36">
        <w:trPr>
          <w:trHeight w:val="57"/>
        </w:trPr>
        <w:tc>
          <w:tcPr>
            <w:tcW w:w="2406" w:type="pct"/>
            <w:tcBorders>
              <w:left w:val="nil"/>
            </w:tcBorders>
          </w:tcPr>
          <w:p w14:paraId="22A918F2" w14:textId="77777777" w:rsidR="001824FA" w:rsidRPr="001824FA" w:rsidRDefault="001824FA" w:rsidP="001824FA">
            <w:pPr>
              <w:contextualSpacing/>
              <w:rPr>
                <w:b/>
                <w:sz w:val="20"/>
                <w:szCs w:val="20"/>
              </w:rPr>
            </w:pPr>
            <w:r w:rsidRPr="001824FA">
              <w:rPr>
                <w:b/>
                <w:sz w:val="20"/>
                <w:szCs w:val="20"/>
              </w:rPr>
              <w:t>Área hospitalaria</w:t>
            </w:r>
          </w:p>
        </w:tc>
        <w:tc>
          <w:tcPr>
            <w:tcW w:w="921" w:type="pct"/>
          </w:tcPr>
          <w:p w14:paraId="4C2EB5C2" w14:textId="77777777" w:rsidR="001824FA" w:rsidRPr="001824FA" w:rsidRDefault="001824FA" w:rsidP="001824FA">
            <w:pPr>
              <w:contextualSpacing/>
              <w:jc w:val="center"/>
              <w:rPr>
                <w:sz w:val="20"/>
                <w:szCs w:val="20"/>
              </w:rPr>
            </w:pPr>
          </w:p>
        </w:tc>
        <w:tc>
          <w:tcPr>
            <w:tcW w:w="836" w:type="pct"/>
          </w:tcPr>
          <w:p w14:paraId="0AF63F19" w14:textId="77777777" w:rsidR="001824FA" w:rsidRPr="001824FA" w:rsidRDefault="001824FA" w:rsidP="001824FA">
            <w:pPr>
              <w:contextualSpacing/>
              <w:jc w:val="center"/>
              <w:rPr>
                <w:sz w:val="20"/>
                <w:szCs w:val="20"/>
              </w:rPr>
            </w:pPr>
          </w:p>
        </w:tc>
        <w:tc>
          <w:tcPr>
            <w:tcW w:w="837" w:type="pct"/>
            <w:tcBorders>
              <w:right w:val="nil"/>
            </w:tcBorders>
          </w:tcPr>
          <w:p w14:paraId="4CEA3DB4" w14:textId="77777777" w:rsidR="001824FA" w:rsidRPr="001824FA" w:rsidRDefault="001824FA" w:rsidP="001824FA">
            <w:pPr>
              <w:contextualSpacing/>
              <w:jc w:val="center"/>
              <w:rPr>
                <w:sz w:val="20"/>
                <w:szCs w:val="20"/>
              </w:rPr>
            </w:pPr>
          </w:p>
        </w:tc>
      </w:tr>
      <w:tr w:rsidR="001824FA" w:rsidRPr="001824FA" w14:paraId="4E2EABDC" w14:textId="77777777" w:rsidTr="00EF2D36">
        <w:trPr>
          <w:trHeight w:val="57"/>
        </w:trPr>
        <w:tc>
          <w:tcPr>
            <w:tcW w:w="2406" w:type="pct"/>
            <w:tcBorders>
              <w:left w:val="nil"/>
            </w:tcBorders>
          </w:tcPr>
          <w:p w14:paraId="37BB3624" w14:textId="77777777" w:rsidR="001824FA" w:rsidRPr="001824FA" w:rsidRDefault="001824FA" w:rsidP="001824FA">
            <w:pPr>
              <w:contextualSpacing/>
              <w:rPr>
                <w:sz w:val="20"/>
                <w:szCs w:val="20"/>
              </w:rPr>
            </w:pPr>
            <w:r w:rsidRPr="001824FA">
              <w:rPr>
                <w:sz w:val="20"/>
                <w:szCs w:val="20"/>
              </w:rPr>
              <w:t>Urgencias</w:t>
            </w:r>
          </w:p>
        </w:tc>
        <w:tc>
          <w:tcPr>
            <w:tcW w:w="921" w:type="pct"/>
          </w:tcPr>
          <w:p w14:paraId="2418D713" w14:textId="77777777" w:rsidR="001824FA" w:rsidRPr="001824FA" w:rsidRDefault="001824FA" w:rsidP="001824FA">
            <w:pPr>
              <w:contextualSpacing/>
              <w:jc w:val="center"/>
              <w:rPr>
                <w:sz w:val="20"/>
                <w:szCs w:val="20"/>
              </w:rPr>
            </w:pPr>
          </w:p>
        </w:tc>
        <w:tc>
          <w:tcPr>
            <w:tcW w:w="836" w:type="pct"/>
          </w:tcPr>
          <w:p w14:paraId="59543CEA" w14:textId="77777777" w:rsidR="001824FA" w:rsidRPr="001824FA" w:rsidRDefault="001824FA" w:rsidP="001824FA">
            <w:pPr>
              <w:contextualSpacing/>
              <w:jc w:val="center"/>
              <w:rPr>
                <w:sz w:val="20"/>
                <w:szCs w:val="20"/>
              </w:rPr>
            </w:pPr>
          </w:p>
        </w:tc>
        <w:tc>
          <w:tcPr>
            <w:tcW w:w="837" w:type="pct"/>
            <w:tcBorders>
              <w:right w:val="nil"/>
            </w:tcBorders>
          </w:tcPr>
          <w:p w14:paraId="2F6198C6" w14:textId="6B6941F4" w:rsidR="001824FA" w:rsidRPr="001824FA" w:rsidRDefault="001824FA" w:rsidP="001824FA">
            <w:pPr>
              <w:contextualSpacing/>
              <w:jc w:val="center"/>
              <w:rPr>
                <w:sz w:val="20"/>
                <w:szCs w:val="20"/>
              </w:rPr>
            </w:pPr>
            <w:r w:rsidRPr="001824FA">
              <w:rPr>
                <w:sz w:val="20"/>
                <w:szCs w:val="20"/>
              </w:rPr>
              <w:t>7 (9</w:t>
            </w:r>
            <w:r w:rsidR="002A7FAB">
              <w:rPr>
                <w:sz w:val="20"/>
                <w:szCs w:val="20"/>
              </w:rPr>
              <w:t>.</w:t>
            </w:r>
            <w:r w:rsidRPr="001824FA">
              <w:rPr>
                <w:sz w:val="20"/>
                <w:szCs w:val="20"/>
              </w:rPr>
              <w:t>6%)</w:t>
            </w:r>
          </w:p>
        </w:tc>
      </w:tr>
      <w:tr w:rsidR="001824FA" w:rsidRPr="001824FA" w14:paraId="76019B76" w14:textId="77777777" w:rsidTr="00EF2D36">
        <w:trPr>
          <w:trHeight w:val="57"/>
        </w:trPr>
        <w:tc>
          <w:tcPr>
            <w:tcW w:w="2406" w:type="pct"/>
            <w:tcBorders>
              <w:left w:val="nil"/>
            </w:tcBorders>
          </w:tcPr>
          <w:p w14:paraId="6F83FF25" w14:textId="77777777" w:rsidR="001824FA" w:rsidRPr="001824FA" w:rsidRDefault="001824FA" w:rsidP="001824FA">
            <w:pPr>
              <w:contextualSpacing/>
              <w:rPr>
                <w:sz w:val="20"/>
                <w:szCs w:val="20"/>
              </w:rPr>
            </w:pPr>
            <w:r w:rsidRPr="001824FA">
              <w:rPr>
                <w:sz w:val="20"/>
                <w:szCs w:val="20"/>
              </w:rPr>
              <w:t>Hospitalización</w:t>
            </w:r>
          </w:p>
        </w:tc>
        <w:tc>
          <w:tcPr>
            <w:tcW w:w="921" w:type="pct"/>
          </w:tcPr>
          <w:p w14:paraId="35E021AF" w14:textId="77777777" w:rsidR="001824FA" w:rsidRPr="001824FA" w:rsidRDefault="001824FA" w:rsidP="001824FA">
            <w:pPr>
              <w:contextualSpacing/>
              <w:jc w:val="center"/>
              <w:rPr>
                <w:sz w:val="20"/>
                <w:szCs w:val="20"/>
              </w:rPr>
            </w:pPr>
          </w:p>
        </w:tc>
        <w:tc>
          <w:tcPr>
            <w:tcW w:w="836" w:type="pct"/>
          </w:tcPr>
          <w:p w14:paraId="25D42E15" w14:textId="77777777" w:rsidR="001824FA" w:rsidRPr="001824FA" w:rsidRDefault="001824FA" w:rsidP="001824FA">
            <w:pPr>
              <w:contextualSpacing/>
              <w:jc w:val="center"/>
              <w:rPr>
                <w:sz w:val="20"/>
                <w:szCs w:val="20"/>
              </w:rPr>
            </w:pPr>
          </w:p>
        </w:tc>
        <w:tc>
          <w:tcPr>
            <w:tcW w:w="837" w:type="pct"/>
            <w:tcBorders>
              <w:right w:val="nil"/>
            </w:tcBorders>
          </w:tcPr>
          <w:p w14:paraId="7A2B9BB6" w14:textId="5DBA310C" w:rsidR="001824FA" w:rsidRPr="001824FA" w:rsidRDefault="001824FA" w:rsidP="001824FA">
            <w:pPr>
              <w:contextualSpacing/>
              <w:jc w:val="center"/>
              <w:rPr>
                <w:sz w:val="20"/>
                <w:szCs w:val="20"/>
              </w:rPr>
            </w:pPr>
            <w:r w:rsidRPr="001824FA">
              <w:rPr>
                <w:sz w:val="20"/>
                <w:szCs w:val="20"/>
              </w:rPr>
              <w:t>1 (1</w:t>
            </w:r>
            <w:r w:rsidR="002A7FAB">
              <w:rPr>
                <w:sz w:val="20"/>
                <w:szCs w:val="20"/>
              </w:rPr>
              <w:t>.</w:t>
            </w:r>
            <w:r w:rsidRPr="001824FA">
              <w:rPr>
                <w:sz w:val="20"/>
                <w:szCs w:val="20"/>
              </w:rPr>
              <w:t>4%)</w:t>
            </w:r>
          </w:p>
        </w:tc>
      </w:tr>
      <w:tr w:rsidR="001824FA" w:rsidRPr="001824FA" w14:paraId="1EA621E4" w14:textId="77777777" w:rsidTr="00EF2D36">
        <w:trPr>
          <w:trHeight w:val="57"/>
        </w:trPr>
        <w:tc>
          <w:tcPr>
            <w:tcW w:w="2406" w:type="pct"/>
            <w:tcBorders>
              <w:left w:val="nil"/>
            </w:tcBorders>
          </w:tcPr>
          <w:p w14:paraId="36B5F1EF" w14:textId="77777777" w:rsidR="001824FA" w:rsidRPr="001824FA" w:rsidRDefault="001824FA" w:rsidP="001824FA">
            <w:pPr>
              <w:contextualSpacing/>
              <w:rPr>
                <w:sz w:val="20"/>
                <w:szCs w:val="20"/>
              </w:rPr>
            </w:pPr>
            <w:r w:rsidRPr="001824FA">
              <w:rPr>
                <w:sz w:val="20"/>
                <w:szCs w:val="20"/>
              </w:rPr>
              <w:t>Quirófano</w:t>
            </w:r>
          </w:p>
        </w:tc>
        <w:tc>
          <w:tcPr>
            <w:tcW w:w="921" w:type="pct"/>
          </w:tcPr>
          <w:p w14:paraId="7D0F1F3C" w14:textId="77777777" w:rsidR="001824FA" w:rsidRPr="001824FA" w:rsidRDefault="001824FA" w:rsidP="001824FA">
            <w:pPr>
              <w:contextualSpacing/>
              <w:jc w:val="center"/>
              <w:rPr>
                <w:sz w:val="20"/>
                <w:szCs w:val="20"/>
              </w:rPr>
            </w:pPr>
          </w:p>
        </w:tc>
        <w:tc>
          <w:tcPr>
            <w:tcW w:w="836" w:type="pct"/>
          </w:tcPr>
          <w:p w14:paraId="2F0AEAFF" w14:textId="77777777" w:rsidR="001824FA" w:rsidRPr="001824FA" w:rsidRDefault="001824FA" w:rsidP="001824FA">
            <w:pPr>
              <w:contextualSpacing/>
              <w:jc w:val="center"/>
              <w:rPr>
                <w:sz w:val="20"/>
                <w:szCs w:val="20"/>
              </w:rPr>
            </w:pPr>
          </w:p>
        </w:tc>
        <w:tc>
          <w:tcPr>
            <w:tcW w:w="837" w:type="pct"/>
            <w:tcBorders>
              <w:right w:val="nil"/>
            </w:tcBorders>
          </w:tcPr>
          <w:p w14:paraId="2293E432" w14:textId="39E0CC42" w:rsidR="001824FA" w:rsidRPr="001824FA" w:rsidRDefault="001824FA" w:rsidP="001824FA">
            <w:pPr>
              <w:contextualSpacing/>
              <w:jc w:val="center"/>
              <w:rPr>
                <w:sz w:val="20"/>
                <w:szCs w:val="20"/>
              </w:rPr>
            </w:pPr>
            <w:r w:rsidRPr="001824FA">
              <w:rPr>
                <w:sz w:val="20"/>
                <w:szCs w:val="20"/>
              </w:rPr>
              <w:t>2 (2</w:t>
            </w:r>
            <w:r w:rsidR="002A7FAB">
              <w:rPr>
                <w:sz w:val="20"/>
                <w:szCs w:val="20"/>
              </w:rPr>
              <w:t>.</w:t>
            </w:r>
            <w:r w:rsidRPr="001824FA">
              <w:rPr>
                <w:sz w:val="20"/>
                <w:szCs w:val="20"/>
              </w:rPr>
              <w:t>7%)</w:t>
            </w:r>
          </w:p>
        </w:tc>
      </w:tr>
      <w:tr w:rsidR="001824FA" w:rsidRPr="001824FA" w14:paraId="3961E7DF" w14:textId="77777777" w:rsidTr="00EF2D36">
        <w:trPr>
          <w:trHeight w:val="57"/>
        </w:trPr>
        <w:tc>
          <w:tcPr>
            <w:tcW w:w="2406" w:type="pct"/>
            <w:tcBorders>
              <w:left w:val="nil"/>
            </w:tcBorders>
          </w:tcPr>
          <w:p w14:paraId="666EE57E" w14:textId="77777777" w:rsidR="001824FA" w:rsidRPr="001824FA" w:rsidRDefault="001824FA" w:rsidP="001824FA">
            <w:pPr>
              <w:contextualSpacing/>
              <w:rPr>
                <w:sz w:val="20"/>
                <w:szCs w:val="20"/>
              </w:rPr>
            </w:pPr>
            <w:r w:rsidRPr="001824FA">
              <w:rPr>
                <w:sz w:val="20"/>
                <w:szCs w:val="20"/>
              </w:rPr>
              <w:t>UCI</w:t>
            </w:r>
          </w:p>
        </w:tc>
        <w:tc>
          <w:tcPr>
            <w:tcW w:w="921" w:type="pct"/>
          </w:tcPr>
          <w:p w14:paraId="4766FF6B" w14:textId="77777777" w:rsidR="001824FA" w:rsidRPr="001824FA" w:rsidRDefault="001824FA" w:rsidP="001824FA">
            <w:pPr>
              <w:contextualSpacing/>
              <w:jc w:val="center"/>
              <w:rPr>
                <w:sz w:val="20"/>
                <w:szCs w:val="20"/>
              </w:rPr>
            </w:pPr>
          </w:p>
        </w:tc>
        <w:tc>
          <w:tcPr>
            <w:tcW w:w="836" w:type="pct"/>
          </w:tcPr>
          <w:p w14:paraId="1B810FB4" w14:textId="77777777" w:rsidR="001824FA" w:rsidRPr="001824FA" w:rsidRDefault="001824FA" w:rsidP="001824FA">
            <w:pPr>
              <w:contextualSpacing/>
              <w:jc w:val="center"/>
              <w:rPr>
                <w:sz w:val="20"/>
                <w:szCs w:val="20"/>
              </w:rPr>
            </w:pPr>
          </w:p>
        </w:tc>
        <w:tc>
          <w:tcPr>
            <w:tcW w:w="837" w:type="pct"/>
            <w:tcBorders>
              <w:right w:val="nil"/>
            </w:tcBorders>
          </w:tcPr>
          <w:p w14:paraId="6E61CF7D" w14:textId="6E1D5E28" w:rsidR="001824FA" w:rsidRPr="001824FA" w:rsidRDefault="001824FA" w:rsidP="001824FA">
            <w:pPr>
              <w:contextualSpacing/>
              <w:jc w:val="center"/>
              <w:rPr>
                <w:sz w:val="20"/>
                <w:szCs w:val="20"/>
              </w:rPr>
            </w:pPr>
            <w:r w:rsidRPr="001824FA">
              <w:rPr>
                <w:sz w:val="20"/>
                <w:szCs w:val="20"/>
              </w:rPr>
              <w:t>3 (4</w:t>
            </w:r>
            <w:r w:rsidR="002A7FAB">
              <w:rPr>
                <w:sz w:val="20"/>
                <w:szCs w:val="20"/>
              </w:rPr>
              <w:t>.</w:t>
            </w:r>
            <w:r w:rsidRPr="001824FA">
              <w:rPr>
                <w:sz w:val="20"/>
                <w:szCs w:val="20"/>
              </w:rPr>
              <w:t>1%)</w:t>
            </w:r>
          </w:p>
        </w:tc>
      </w:tr>
      <w:tr w:rsidR="001824FA" w:rsidRPr="001824FA" w14:paraId="52AD285C" w14:textId="77777777" w:rsidTr="00EF2D36">
        <w:trPr>
          <w:trHeight w:val="57"/>
        </w:trPr>
        <w:tc>
          <w:tcPr>
            <w:tcW w:w="2406" w:type="pct"/>
            <w:tcBorders>
              <w:left w:val="nil"/>
            </w:tcBorders>
          </w:tcPr>
          <w:p w14:paraId="7C091A6B" w14:textId="77777777" w:rsidR="001824FA" w:rsidRPr="001824FA" w:rsidRDefault="001824FA" w:rsidP="001824FA">
            <w:pPr>
              <w:contextualSpacing/>
              <w:rPr>
                <w:sz w:val="20"/>
                <w:szCs w:val="20"/>
              </w:rPr>
            </w:pPr>
            <w:r w:rsidRPr="001824FA">
              <w:rPr>
                <w:sz w:val="20"/>
                <w:szCs w:val="20"/>
              </w:rPr>
              <w:t>Consultas Externas</w:t>
            </w:r>
          </w:p>
        </w:tc>
        <w:tc>
          <w:tcPr>
            <w:tcW w:w="921" w:type="pct"/>
          </w:tcPr>
          <w:p w14:paraId="044774DC" w14:textId="77777777" w:rsidR="001824FA" w:rsidRPr="001824FA" w:rsidRDefault="001824FA" w:rsidP="001824FA">
            <w:pPr>
              <w:contextualSpacing/>
              <w:jc w:val="center"/>
              <w:rPr>
                <w:sz w:val="20"/>
                <w:szCs w:val="20"/>
              </w:rPr>
            </w:pPr>
          </w:p>
        </w:tc>
        <w:tc>
          <w:tcPr>
            <w:tcW w:w="836" w:type="pct"/>
          </w:tcPr>
          <w:p w14:paraId="6929E0DD" w14:textId="77777777" w:rsidR="001824FA" w:rsidRPr="001824FA" w:rsidRDefault="001824FA" w:rsidP="001824FA">
            <w:pPr>
              <w:contextualSpacing/>
              <w:jc w:val="center"/>
              <w:rPr>
                <w:sz w:val="20"/>
                <w:szCs w:val="20"/>
              </w:rPr>
            </w:pPr>
          </w:p>
        </w:tc>
        <w:tc>
          <w:tcPr>
            <w:tcW w:w="837" w:type="pct"/>
            <w:tcBorders>
              <w:right w:val="nil"/>
            </w:tcBorders>
          </w:tcPr>
          <w:p w14:paraId="6EEE9A95" w14:textId="05F659C1" w:rsidR="001824FA" w:rsidRPr="001824FA" w:rsidRDefault="001824FA" w:rsidP="001824FA">
            <w:pPr>
              <w:contextualSpacing/>
              <w:jc w:val="center"/>
              <w:rPr>
                <w:sz w:val="20"/>
                <w:szCs w:val="20"/>
              </w:rPr>
            </w:pPr>
            <w:r w:rsidRPr="001824FA">
              <w:rPr>
                <w:sz w:val="20"/>
                <w:szCs w:val="20"/>
              </w:rPr>
              <w:t>4 (5</w:t>
            </w:r>
            <w:r w:rsidR="002A7FAB">
              <w:rPr>
                <w:sz w:val="20"/>
                <w:szCs w:val="20"/>
              </w:rPr>
              <w:t>.</w:t>
            </w:r>
            <w:r w:rsidRPr="001824FA">
              <w:rPr>
                <w:sz w:val="20"/>
                <w:szCs w:val="20"/>
              </w:rPr>
              <w:t>5%)</w:t>
            </w:r>
          </w:p>
        </w:tc>
      </w:tr>
      <w:tr w:rsidR="001824FA" w:rsidRPr="001824FA" w14:paraId="342E8A64" w14:textId="77777777" w:rsidTr="00EF2D36">
        <w:trPr>
          <w:trHeight w:val="57"/>
        </w:trPr>
        <w:tc>
          <w:tcPr>
            <w:tcW w:w="2406" w:type="pct"/>
            <w:tcBorders>
              <w:left w:val="nil"/>
            </w:tcBorders>
          </w:tcPr>
          <w:p w14:paraId="57F2305B" w14:textId="77777777" w:rsidR="001824FA" w:rsidRPr="001824FA" w:rsidRDefault="001824FA" w:rsidP="001824FA">
            <w:pPr>
              <w:contextualSpacing/>
              <w:rPr>
                <w:sz w:val="20"/>
                <w:szCs w:val="20"/>
              </w:rPr>
            </w:pPr>
            <w:r w:rsidRPr="001824FA">
              <w:rPr>
                <w:sz w:val="20"/>
                <w:szCs w:val="20"/>
              </w:rPr>
              <w:t>Otra</w:t>
            </w:r>
          </w:p>
        </w:tc>
        <w:tc>
          <w:tcPr>
            <w:tcW w:w="921" w:type="pct"/>
          </w:tcPr>
          <w:p w14:paraId="0135F239" w14:textId="77777777" w:rsidR="001824FA" w:rsidRPr="001824FA" w:rsidRDefault="001824FA" w:rsidP="001824FA">
            <w:pPr>
              <w:contextualSpacing/>
              <w:jc w:val="center"/>
              <w:rPr>
                <w:sz w:val="20"/>
                <w:szCs w:val="20"/>
              </w:rPr>
            </w:pPr>
          </w:p>
        </w:tc>
        <w:tc>
          <w:tcPr>
            <w:tcW w:w="836" w:type="pct"/>
          </w:tcPr>
          <w:p w14:paraId="6C32B9B2" w14:textId="77777777" w:rsidR="001824FA" w:rsidRPr="001824FA" w:rsidRDefault="001824FA" w:rsidP="001824FA">
            <w:pPr>
              <w:contextualSpacing/>
              <w:jc w:val="center"/>
              <w:rPr>
                <w:sz w:val="20"/>
                <w:szCs w:val="20"/>
              </w:rPr>
            </w:pPr>
          </w:p>
        </w:tc>
        <w:tc>
          <w:tcPr>
            <w:tcW w:w="837" w:type="pct"/>
            <w:tcBorders>
              <w:right w:val="nil"/>
            </w:tcBorders>
          </w:tcPr>
          <w:p w14:paraId="47C037EE" w14:textId="1C02D645" w:rsidR="001824FA" w:rsidRPr="001824FA" w:rsidRDefault="001824FA" w:rsidP="001824FA">
            <w:pPr>
              <w:contextualSpacing/>
              <w:jc w:val="center"/>
              <w:rPr>
                <w:sz w:val="20"/>
                <w:szCs w:val="20"/>
              </w:rPr>
            </w:pPr>
            <w:r w:rsidRPr="001824FA">
              <w:rPr>
                <w:sz w:val="20"/>
                <w:szCs w:val="20"/>
              </w:rPr>
              <w:t>5 (6</w:t>
            </w:r>
            <w:r w:rsidR="002A7FAB">
              <w:rPr>
                <w:sz w:val="20"/>
                <w:szCs w:val="20"/>
              </w:rPr>
              <w:t>.</w:t>
            </w:r>
            <w:r w:rsidRPr="001824FA">
              <w:rPr>
                <w:sz w:val="20"/>
                <w:szCs w:val="20"/>
              </w:rPr>
              <w:t>8%)</w:t>
            </w:r>
          </w:p>
        </w:tc>
      </w:tr>
      <w:tr w:rsidR="001824FA" w:rsidRPr="001824FA" w14:paraId="623A31B5" w14:textId="77777777" w:rsidTr="00EF2D36">
        <w:trPr>
          <w:trHeight w:val="57"/>
        </w:trPr>
        <w:tc>
          <w:tcPr>
            <w:tcW w:w="2406" w:type="pct"/>
            <w:tcBorders>
              <w:left w:val="nil"/>
            </w:tcBorders>
          </w:tcPr>
          <w:p w14:paraId="787FEB80" w14:textId="77777777" w:rsidR="001824FA" w:rsidRPr="001824FA" w:rsidRDefault="001824FA" w:rsidP="001824FA">
            <w:pPr>
              <w:contextualSpacing/>
              <w:rPr>
                <w:sz w:val="20"/>
                <w:szCs w:val="20"/>
              </w:rPr>
            </w:pPr>
            <w:r w:rsidRPr="001824FA">
              <w:rPr>
                <w:b/>
                <w:sz w:val="20"/>
                <w:szCs w:val="20"/>
              </w:rPr>
              <w:t>Trabajo directo pacientes COVID-19</w:t>
            </w:r>
          </w:p>
        </w:tc>
        <w:tc>
          <w:tcPr>
            <w:tcW w:w="921" w:type="pct"/>
          </w:tcPr>
          <w:p w14:paraId="5E7A9126" w14:textId="77777777" w:rsidR="001824FA" w:rsidRPr="001824FA" w:rsidRDefault="001824FA" w:rsidP="001824FA">
            <w:pPr>
              <w:contextualSpacing/>
              <w:jc w:val="center"/>
              <w:rPr>
                <w:sz w:val="20"/>
                <w:szCs w:val="20"/>
              </w:rPr>
            </w:pPr>
          </w:p>
        </w:tc>
        <w:tc>
          <w:tcPr>
            <w:tcW w:w="836" w:type="pct"/>
          </w:tcPr>
          <w:p w14:paraId="0CA19A0C" w14:textId="77777777" w:rsidR="001824FA" w:rsidRPr="001824FA" w:rsidRDefault="001824FA" w:rsidP="001824FA">
            <w:pPr>
              <w:contextualSpacing/>
              <w:jc w:val="center"/>
              <w:rPr>
                <w:sz w:val="20"/>
                <w:szCs w:val="20"/>
              </w:rPr>
            </w:pPr>
          </w:p>
        </w:tc>
        <w:tc>
          <w:tcPr>
            <w:tcW w:w="837" w:type="pct"/>
            <w:tcBorders>
              <w:right w:val="nil"/>
            </w:tcBorders>
          </w:tcPr>
          <w:p w14:paraId="36186DD4" w14:textId="77777777" w:rsidR="001824FA" w:rsidRPr="001824FA" w:rsidRDefault="001824FA" w:rsidP="001824FA">
            <w:pPr>
              <w:contextualSpacing/>
              <w:jc w:val="center"/>
              <w:rPr>
                <w:sz w:val="20"/>
                <w:szCs w:val="20"/>
              </w:rPr>
            </w:pPr>
          </w:p>
        </w:tc>
      </w:tr>
      <w:tr w:rsidR="001824FA" w:rsidRPr="001824FA" w14:paraId="389B9ED4" w14:textId="77777777" w:rsidTr="00EF2D36">
        <w:trPr>
          <w:trHeight w:val="57"/>
        </w:trPr>
        <w:tc>
          <w:tcPr>
            <w:tcW w:w="2406" w:type="pct"/>
            <w:tcBorders>
              <w:left w:val="nil"/>
            </w:tcBorders>
          </w:tcPr>
          <w:p w14:paraId="6D91E8D5" w14:textId="77777777" w:rsidR="001824FA" w:rsidRPr="001824FA" w:rsidRDefault="001824FA" w:rsidP="001824FA">
            <w:pPr>
              <w:contextualSpacing/>
              <w:rPr>
                <w:sz w:val="20"/>
                <w:szCs w:val="20"/>
              </w:rPr>
            </w:pPr>
            <w:r w:rsidRPr="001824FA">
              <w:rPr>
                <w:sz w:val="20"/>
                <w:szCs w:val="20"/>
              </w:rPr>
              <w:t>Sí</w:t>
            </w:r>
          </w:p>
        </w:tc>
        <w:tc>
          <w:tcPr>
            <w:tcW w:w="921" w:type="pct"/>
          </w:tcPr>
          <w:p w14:paraId="119E2BCB" w14:textId="77777777" w:rsidR="001824FA" w:rsidRPr="001824FA" w:rsidRDefault="001824FA" w:rsidP="001824FA">
            <w:pPr>
              <w:contextualSpacing/>
              <w:jc w:val="center"/>
              <w:rPr>
                <w:sz w:val="20"/>
                <w:szCs w:val="20"/>
              </w:rPr>
            </w:pPr>
          </w:p>
        </w:tc>
        <w:tc>
          <w:tcPr>
            <w:tcW w:w="836" w:type="pct"/>
          </w:tcPr>
          <w:p w14:paraId="0FB2E91B" w14:textId="77777777" w:rsidR="001824FA" w:rsidRPr="001824FA" w:rsidRDefault="001824FA" w:rsidP="001824FA">
            <w:pPr>
              <w:contextualSpacing/>
              <w:jc w:val="center"/>
              <w:rPr>
                <w:sz w:val="20"/>
                <w:szCs w:val="20"/>
              </w:rPr>
            </w:pPr>
          </w:p>
        </w:tc>
        <w:tc>
          <w:tcPr>
            <w:tcW w:w="837" w:type="pct"/>
            <w:tcBorders>
              <w:right w:val="nil"/>
            </w:tcBorders>
          </w:tcPr>
          <w:p w14:paraId="3057EFEA" w14:textId="77777777" w:rsidR="001824FA" w:rsidRPr="001824FA" w:rsidRDefault="001824FA" w:rsidP="001824FA">
            <w:pPr>
              <w:contextualSpacing/>
              <w:jc w:val="center"/>
              <w:rPr>
                <w:sz w:val="20"/>
                <w:szCs w:val="20"/>
              </w:rPr>
            </w:pPr>
            <w:r w:rsidRPr="001824FA">
              <w:rPr>
                <w:sz w:val="20"/>
                <w:szCs w:val="20"/>
              </w:rPr>
              <w:t>37 (50.7%)</w:t>
            </w:r>
          </w:p>
        </w:tc>
      </w:tr>
      <w:tr w:rsidR="001824FA" w:rsidRPr="001824FA" w14:paraId="46B97AEF" w14:textId="77777777" w:rsidTr="00EF2D36">
        <w:trPr>
          <w:trHeight w:val="57"/>
        </w:trPr>
        <w:tc>
          <w:tcPr>
            <w:tcW w:w="2406" w:type="pct"/>
            <w:tcBorders>
              <w:left w:val="nil"/>
            </w:tcBorders>
          </w:tcPr>
          <w:p w14:paraId="4528F50B" w14:textId="77777777" w:rsidR="001824FA" w:rsidRPr="001824FA" w:rsidRDefault="001824FA" w:rsidP="001824FA">
            <w:pPr>
              <w:contextualSpacing/>
              <w:rPr>
                <w:b/>
                <w:sz w:val="20"/>
                <w:szCs w:val="20"/>
              </w:rPr>
            </w:pPr>
            <w:r w:rsidRPr="001824FA">
              <w:rPr>
                <w:b/>
                <w:sz w:val="20"/>
                <w:szCs w:val="20"/>
              </w:rPr>
              <w:t>Tiempo de trabajo pacientes con COVID-19</w:t>
            </w:r>
          </w:p>
        </w:tc>
        <w:tc>
          <w:tcPr>
            <w:tcW w:w="921" w:type="pct"/>
          </w:tcPr>
          <w:p w14:paraId="4F4D9285" w14:textId="77777777" w:rsidR="001824FA" w:rsidRPr="001824FA" w:rsidRDefault="001824FA" w:rsidP="001824FA">
            <w:pPr>
              <w:contextualSpacing/>
              <w:jc w:val="center"/>
              <w:rPr>
                <w:sz w:val="20"/>
                <w:szCs w:val="20"/>
              </w:rPr>
            </w:pPr>
          </w:p>
        </w:tc>
        <w:tc>
          <w:tcPr>
            <w:tcW w:w="836" w:type="pct"/>
          </w:tcPr>
          <w:p w14:paraId="48605118" w14:textId="77777777" w:rsidR="001824FA" w:rsidRPr="001824FA" w:rsidRDefault="001824FA" w:rsidP="001824FA">
            <w:pPr>
              <w:contextualSpacing/>
              <w:jc w:val="center"/>
              <w:rPr>
                <w:sz w:val="20"/>
                <w:szCs w:val="20"/>
              </w:rPr>
            </w:pPr>
          </w:p>
        </w:tc>
        <w:tc>
          <w:tcPr>
            <w:tcW w:w="837" w:type="pct"/>
            <w:tcBorders>
              <w:right w:val="nil"/>
            </w:tcBorders>
          </w:tcPr>
          <w:p w14:paraId="3F7A025D" w14:textId="77777777" w:rsidR="001824FA" w:rsidRPr="001824FA" w:rsidRDefault="001824FA" w:rsidP="001824FA">
            <w:pPr>
              <w:contextualSpacing/>
              <w:jc w:val="center"/>
              <w:rPr>
                <w:sz w:val="20"/>
                <w:szCs w:val="20"/>
              </w:rPr>
            </w:pPr>
          </w:p>
        </w:tc>
      </w:tr>
      <w:tr w:rsidR="001824FA" w:rsidRPr="001824FA" w14:paraId="53ABFE73" w14:textId="77777777" w:rsidTr="00EF2D36">
        <w:trPr>
          <w:trHeight w:val="57"/>
        </w:trPr>
        <w:tc>
          <w:tcPr>
            <w:tcW w:w="2406" w:type="pct"/>
            <w:tcBorders>
              <w:left w:val="nil"/>
            </w:tcBorders>
          </w:tcPr>
          <w:p w14:paraId="54ADF1CC" w14:textId="77777777" w:rsidR="001824FA" w:rsidRPr="001824FA" w:rsidRDefault="001824FA" w:rsidP="001824FA">
            <w:pPr>
              <w:contextualSpacing/>
              <w:rPr>
                <w:sz w:val="20"/>
                <w:szCs w:val="20"/>
              </w:rPr>
            </w:pPr>
            <w:r w:rsidRPr="001824FA">
              <w:rPr>
                <w:sz w:val="20"/>
                <w:szCs w:val="20"/>
              </w:rPr>
              <w:t>1 semana o menos</w:t>
            </w:r>
          </w:p>
        </w:tc>
        <w:tc>
          <w:tcPr>
            <w:tcW w:w="921" w:type="pct"/>
          </w:tcPr>
          <w:p w14:paraId="30220A2F" w14:textId="77777777" w:rsidR="001824FA" w:rsidRPr="001824FA" w:rsidRDefault="001824FA" w:rsidP="001824FA">
            <w:pPr>
              <w:contextualSpacing/>
              <w:jc w:val="center"/>
              <w:rPr>
                <w:sz w:val="20"/>
                <w:szCs w:val="20"/>
              </w:rPr>
            </w:pPr>
          </w:p>
        </w:tc>
        <w:tc>
          <w:tcPr>
            <w:tcW w:w="836" w:type="pct"/>
          </w:tcPr>
          <w:p w14:paraId="44DC8D85" w14:textId="77777777" w:rsidR="001824FA" w:rsidRPr="001824FA" w:rsidRDefault="001824FA" w:rsidP="001824FA">
            <w:pPr>
              <w:contextualSpacing/>
              <w:jc w:val="center"/>
              <w:rPr>
                <w:sz w:val="20"/>
                <w:szCs w:val="20"/>
              </w:rPr>
            </w:pPr>
          </w:p>
        </w:tc>
        <w:tc>
          <w:tcPr>
            <w:tcW w:w="837" w:type="pct"/>
            <w:tcBorders>
              <w:right w:val="nil"/>
            </w:tcBorders>
          </w:tcPr>
          <w:p w14:paraId="6B9BD0F4" w14:textId="22A69AF5" w:rsidR="001824FA" w:rsidRPr="001824FA" w:rsidRDefault="001824FA" w:rsidP="001824FA">
            <w:pPr>
              <w:contextualSpacing/>
              <w:jc w:val="center"/>
              <w:rPr>
                <w:sz w:val="20"/>
                <w:szCs w:val="20"/>
              </w:rPr>
            </w:pPr>
            <w:r w:rsidRPr="001824FA">
              <w:rPr>
                <w:sz w:val="20"/>
                <w:szCs w:val="20"/>
              </w:rPr>
              <w:t>2 (2</w:t>
            </w:r>
            <w:r w:rsidR="002A7FAB">
              <w:rPr>
                <w:sz w:val="20"/>
                <w:szCs w:val="20"/>
              </w:rPr>
              <w:t>.</w:t>
            </w:r>
            <w:r w:rsidRPr="001824FA">
              <w:rPr>
                <w:sz w:val="20"/>
                <w:szCs w:val="20"/>
              </w:rPr>
              <w:t>7%)</w:t>
            </w:r>
          </w:p>
        </w:tc>
      </w:tr>
      <w:tr w:rsidR="001824FA" w:rsidRPr="001824FA" w14:paraId="44167B6C" w14:textId="77777777" w:rsidTr="00EF2D36">
        <w:trPr>
          <w:trHeight w:val="57"/>
        </w:trPr>
        <w:tc>
          <w:tcPr>
            <w:tcW w:w="2406" w:type="pct"/>
            <w:tcBorders>
              <w:left w:val="nil"/>
            </w:tcBorders>
          </w:tcPr>
          <w:p w14:paraId="084D6B81" w14:textId="77777777" w:rsidR="001824FA" w:rsidRPr="001824FA" w:rsidRDefault="001824FA" w:rsidP="001824FA">
            <w:pPr>
              <w:contextualSpacing/>
              <w:rPr>
                <w:sz w:val="20"/>
                <w:szCs w:val="20"/>
              </w:rPr>
            </w:pPr>
            <w:r w:rsidRPr="001824FA">
              <w:rPr>
                <w:sz w:val="20"/>
                <w:szCs w:val="20"/>
              </w:rPr>
              <w:t>Entre 1-2 semanas</w:t>
            </w:r>
          </w:p>
        </w:tc>
        <w:tc>
          <w:tcPr>
            <w:tcW w:w="921" w:type="pct"/>
          </w:tcPr>
          <w:p w14:paraId="1D21F2A8" w14:textId="77777777" w:rsidR="001824FA" w:rsidRPr="001824FA" w:rsidRDefault="001824FA" w:rsidP="001824FA">
            <w:pPr>
              <w:contextualSpacing/>
              <w:jc w:val="center"/>
              <w:rPr>
                <w:sz w:val="20"/>
                <w:szCs w:val="20"/>
              </w:rPr>
            </w:pPr>
          </w:p>
        </w:tc>
        <w:tc>
          <w:tcPr>
            <w:tcW w:w="836" w:type="pct"/>
          </w:tcPr>
          <w:p w14:paraId="15AFE0AD" w14:textId="77777777" w:rsidR="001824FA" w:rsidRPr="001824FA" w:rsidRDefault="001824FA" w:rsidP="001824FA">
            <w:pPr>
              <w:contextualSpacing/>
              <w:jc w:val="center"/>
              <w:rPr>
                <w:sz w:val="20"/>
                <w:szCs w:val="20"/>
              </w:rPr>
            </w:pPr>
          </w:p>
        </w:tc>
        <w:tc>
          <w:tcPr>
            <w:tcW w:w="837" w:type="pct"/>
            <w:tcBorders>
              <w:right w:val="nil"/>
            </w:tcBorders>
          </w:tcPr>
          <w:p w14:paraId="34553672" w14:textId="6EE4CE9C" w:rsidR="001824FA" w:rsidRPr="001824FA" w:rsidRDefault="001824FA" w:rsidP="001824FA">
            <w:pPr>
              <w:contextualSpacing/>
              <w:jc w:val="center"/>
              <w:rPr>
                <w:sz w:val="20"/>
                <w:szCs w:val="20"/>
              </w:rPr>
            </w:pPr>
            <w:r w:rsidRPr="001824FA">
              <w:rPr>
                <w:sz w:val="20"/>
                <w:szCs w:val="20"/>
              </w:rPr>
              <w:t>2 (2</w:t>
            </w:r>
            <w:r w:rsidR="002A7FAB">
              <w:rPr>
                <w:sz w:val="20"/>
                <w:szCs w:val="20"/>
              </w:rPr>
              <w:t>.</w:t>
            </w:r>
            <w:r w:rsidRPr="001824FA">
              <w:rPr>
                <w:sz w:val="20"/>
                <w:szCs w:val="20"/>
              </w:rPr>
              <w:t>7%)</w:t>
            </w:r>
          </w:p>
        </w:tc>
      </w:tr>
      <w:tr w:rsidR="001824FA" w:rsidRPr="001824FA" w14:paraId="264E1A8B" w14:textId="77777777" w:rsidTr="00EF2D36">
        <w:trPr>
          <w:trHeight w:val="57"/>
        </w:trPr>
        <w:tc>
          <w:tcPr>
            <w:tcW w:w="2406" w:type="pct"/>
            <w:tcBorders>
              <w:left w:val="nil"/>
            </w:tcBorders>
          </w:tcPr>
          <w:p w14:paraId="2D89A711" w14:textId="77777777" w:rsidR="001824FA" w:rsidRPr="001824FA" w:rsidRDefault="001824FA" w:rsidP="001824FA">
            <w:pPr>
              <w:contextualSpacing/>
              <w:rPr>
                <w:sz w:val="20"/>
                <w:szCs w:val="20"/>
              </w:rPr>
            </w:pPr>
            <w:r w:rsidRPr="001824FA">
              <w:rPr>
                <w:sz w:val="20"/>
                <w:szCs w:val="20"/>
              </w:rPr>
              <w:t>Entre 2-4 semanas</w:t>
            </w:r>
          </w:p>
        </w:tc>
        <w:tc>
          <w:tcPr>
            <w:tcW w:w="921" w:type="pct"/>
          </w:tcPr>
          <w:p w14:paraId="14DAFFEF" w14:textId="77777777" w:rsidR="001824FA" w:rsidRPr="001824FA" w:rsidRDefault="001824FA" w:rsidP="001824FA">
            <w:pPr>
              <w:contextualSpacing/>
              <w:jc w:val="center"/>
              <w:rPr>
                <w:sz w:val="20"/>
                <w:szCs w:val="20"/>
              </w:rPr>
            </w:pPr>
          </w:p>
        </w:tc>
        <w:tc>
          <w:tcPr>
            <w:tcW w:w="836" w:type="pct"/>
          </w:tcPr>
          <w:p w14:paraId="00AA8DF3" w14:textId="77777777" w:rsidR="001824FA" w:rsidRPr="001824FA" w:rsidRDefault="001824FA" w:rsidP="001824FA">
            <w:pPr>
              <w:contextualSpacing/>
              <w:jc w:val="center"/>
              <w:rPr>
                <w:sz w:val="20"/>
                <w:szCs w:val="20"/>
              </w:rPr>
            </w:pPr>
          </w:p>
        </w:tc>
        <w:tc>
          <w:tcPr>
            <w:tcW w:w="837" w:type="pct"/>
            <w:tcBorders>
              <w:right w:val="nil"/>
            </w:tcBorders>
          </w:tcPr>
          <w:p w14:paraId="6645FED5" w14:textId="093F30B8" w:rsidR="001824FA" w:rsidRPr="001824FA" w:rsidRDefault="001824FA" w:rsidP="001824FA">
            <w:pPr>
              <w:contextualSpacing/>
              <w:jc w:val="center"/>
              <w:rPr>
                <w:sz w:val="20"/>
                <w:szCs w:val="20"/>
              </w:rPr>
            </w:pPr>
            <w:r w:rsidRPr="001824FA">
              <w:rPr>
                <w:sz w:val="20"/>
                <w:szCs w:val="20"/>
              </w:rPr>
              <w:t>3 (4</w:t>
            </w:r>
            <w:r w:rsidR="002A7FAB">
              <w:rPr>
                <w:sz w:val="20"/>
                <w:szCs w:val="20"/>
              </w:rPr>
              <w:t>.</w:t>
            </w:r>
            <w:r w:rsidRPr="001824FA">
              <w:rPr>
                <w:sz w:val="20"/>
                <w:szCs w:val="20"/>
              </w:rPr>
              <w:t>1%)</w:t>
            </w:r>
          </w:p>
        </w:tc>
      </w:tr>
      <w:tr w:rsidR="001824FA" w:rsidRPr="001824FA" w14:paraId="2048A3B3" w14:textId="77777777" w:rsidTr="00EF2D36">
        <w:trPr>
          <w:trHeight w:val="57"/>
        </w:trPr>
        <w:tc>
          <w:tcPr>
            <w:tcW w:w="2406" w:type="pct"/>
            <w:tcBorders>
              <w:left w:val="nil"/>
            </w:tcBorders>
          </w:tcPr>
          <w:p w14:paraId="1D5D0A89" w14:textId="77777777" w:rsidR="001824FA" w:rsidRPr="001824FA" w:rsidRDefault="001824FA" w:rsidP="001824FA">
            <w:pPr>
              <w:contextualSpacing/>
              <w:rPr>
                <w:sz w:val="20"/>
                <w:szCs w:val="20"/>
              </w:rPr>
            </w:pPr>
            <w:r w:rsidRPr="001824FA">
              <w:rPr>
                <w:sz w:val="20"/>
                <w:szCs w:val="20"/>
              </w:rPr>
              <w:t>Más de 4 semanas</w:t>
            </w:r>
          </w:p>
        </w:tc>
        <w:tc>
          <w:tcPr>
            <w:tcW w:w="921" w:type="pct"/>
          </w:tcPr>
          <w:p w14:paraId="1569DA8D" w14:textId="77777777" w:rsidR="001824FA" w:rsidRPr="001824FA" w:rsidRDefault="001824FA" w:rsidP="001824FA">
            <w:pPr>
              <w:contextualSpacing/>
              <w:jc w:val="center"/>
              <w:rPr>
                <w:sz w:val="20"/>
                <w:szCs w:val="20"/>
              </w:rPr>
            </w:pPr>
          </w:p>
        </w:tc>
        <w:tc>
          <w:tcPr>
            <w:tcW w:w="836" w:type="pct"/>
          </w:tcPr>
          <w:p w14:paraId="1964E247" w14:textId="77777777" w:rsidR="001824FA" w:rsidRPr="001824FA" w:rsidRDefault="001824FA" w:rsidP="001824FA">
            <w:pPr>
              <w:contextualSpacing/>
              <w:jc w:val="center"/>
              <w:rPr>
                <w:sz w:val="20"/>
                <w:szCs w:val="20"/>
              </w:rPr>
            </w:pPr>
          </w:p>
        </w:tc>
        <w:tc>
          <w:tcPr>
            <w:tcW w:w="837" w:type="pct"/>
            <w:tcBorders>
              <w:right w:val="nil"/>
            </w:tcBorders>
          </w:tcPr>
          <w:p w14:paraId="7487FED8" w14:textId="2A736D40" w:rsidR="001824FA" w:rsidRPr="001824FA" w:rsidRDefault="001824FA" w:rsidP="001824FA">
            <w:pPr>
              <w:contextualSpacing/>
              <w:jc w:val="center"/>
              <w:rPr>
                <w:sz w:val="20"/>
                <w:szCs w:val="20"/>
              </w:rPr>
            </w:pPr>
            <w:r w:rsidRPr="001824FA">
              <w:rPr>
                <w:sz w:val="20"/>
                <w:szCs w:val="20"/>
              </w:rPr>
              <w:t>30 (41</w:t>
            </w:r>
            <w:r w:rsidR="002A7FAB">
              <w:rPr>
                <w:sz w:val="20"/>
                <w:szCs w:val="20"/>
              </w:rPr>
              <w:t>.</w:t>
            </w:r>
            <w:r w:rsidRPr="001824FA">
              <w:rPr>
                <w:sz w:val="20"/>
                <w:szCs w:val="20"/>
              </w:rPr>
              <w:t>1%)</w:t>
            </w:r>
          </w:p>
        </w:tc>
      </w:tr>
      <w:tr w:rsidR="001824FA" w:rsidRPr="001824FA" w14:paraId="7660CC06" w14:textId="77777777" w:rsidTr="00EF2D36">
        <w:trPr>
          <w:trHeight w:val="57"/>
        </w:trPr>
        <w:tc>
          <w:tcPr>
            <w:tcW w:w="2406" w:type="pct"/>
            <w:tcBorders>
              <w:left w:val="nil"/>
              <w:bottom w:val="single" w:sz="4" w:space="0" w:color="auto"/>
            </w:tcBorders>
          </w:tcPr>
          <w:p w14:paraId="1DBCCDFD" w14:textId="77777777" w:rsidR="001824FA" w:rsidRPr="001824FA" w:rsidRDefault="001824FA" w:rsidP="001824FA">
            <w:pPr>
              <w:contextualSpacing/>
              <w:rPr>
                <w:sz w:val="20"/>
                <w:szCs w:val="20"/>
              </w:rPr>
            </w:pPr>
            <w:r w:rsidRPr="001824FA">
              <w:rPr>
                <w:sz w:val="20"/>
                <w:szCs w:val="20"/>
              </w:rPr>
              <w:t>No he trabajado con COVID-19</w:t>
            </w:r>
          </w:p>
        </w:tc>
        <w:tc>
          <w:tcPr>
            <w:tcW w:w="921" w:type="pct"/>
            <w:tcBorders>
              <w:bottom w:val="single" w:sz="4" w:space="0" w:color="auto"/>
            </w:tcBorders>
          </w:tcPr>
          <w:p w14:paraId="6F373315" w14:textId="77777777" w:rsidR="001824FA" w:rsidRPr="001824FA" w:rsidRDefault="001824FA" w:rsidP="001824FA">
            <w:pPr>
              <w:contextualSpacing/>
              <w:jc w:val="center"/>
              <w:rPr>
                <w:sz w:val="20"/>
                <w:szCs w:val="20"/>
              </w:rPr>
            </w:pPr>
          </w:p>
        </w:tc>
        <w:tc>
          <w:tcPr>
            <w:tcW w:w="836" w:type="pct"/>
            <w:tcBorders>
              <w:bottom w:val="single" w:sz="4" w:space="0" w:color="auto"/>
            </w:tcBorders>
          </w:tcPr>
          <w:p w14:paraId="71D1A3CD" w14:textId="77777777" w:rsidR="001824FA" w:rsidRPr="001824FA" w:rsidRDefault="001824FA" w:rsidP="001824FA">
            <w:pPr>
              <w:contextualSpacing/>
              <w:jc w:val="center"/>
              <w:rPr>
                <w:sz w:val="20"/>
                <w:szCs w:val="20"/>
              </w:rPr>
            </w:pPr>
          </w:p>
        </w:tc>
        <w:tc>
          <w:tcPr>
            <w:tcW w:w="837" w:type="pct"/>
            <w:tcBorders>
              <w:bottom w:val="single" w:sz="4" w:space="0" w:color="auto"/>
              <w:right w:val="nil"/>
            </w:tcBorders>
          </w:tcPr>
          <w:p w14:paraId="35180ABD" w14:textId="22C6EC2E" w:rsidR="001824FA" w:rsidRPr="001824FA" w:rsidRDefault="001824FA" w:rsidP="001824FA">
            <w:pPr>
              <w:contextualSpacing/>
              <w:jc w:val="center"/>
              <w:rPr>
                <w:sz w:val="20"/>
                <w:szCs w:val="20"/>
              </w:rPr>
            </w:pPr>
            <w:r w:rsidRPr="001824FA">
              <w:rPr>
                <w:sz w:val="20"/>
                <w:szCs w:val="20"/>
              </w:rPr>
              <w:t>36 (49</w:t>
            </w:r>
            <w:r w:rsidR="002A7FAB">
              <w:rPr>
                <w:sz w:val="20"/>
                <w:szCs w:val="20"/>
              </w:rPr>
              <w:t>.</w:t>
            </w:r>
            <w:r w:rsidRPr="001824FA">
              <w:rPr>
                <w:sz w:val="20"/>
                <w:szCs w:val="20"/>
              </w:rPr>
              <w:t>3%)</w:t>
            </w:r>
          </w:p>
        </w:tc>
      </w:tr>
    </w:tbl>
    <w:p w14:paraId="6721E85E" w14:textId="7FF4A6C2" w:rsidR="00002634" w:rsidRDefault="00A741DF" w:rsidP="001824FA">
      <w:pPr>
        <w:spacing w:line="480" w:lineRule="auto"/>
        <w:jc w:val="both"/>
      </w:pPr>
      <w:r>
        <w:rPr>
          <w:sz w:val="20"/>
          <w:szCs w:val="20"/>
        </w:rPr>
        <w:t xml:space="preserve">**La diferencia es significativa a nivel </w:t>
      </w:r>
      <w:r w:rsidRPr="002A7FAB">
        <w:rPr>
          <w:i/>
          <w:sz w:val="20"/>
          <w:szCs w:val="20"/>
        </w:rPr>
        <w:t>p</w:t>
      </w:r>
      <w:r>
        <w:rPr>
          <w:sz w:val="20"/>
          <w:szCs w:val="20"/>
        </w:rPr>
        <w:t>&lt;.001 (bilateral).</w:t>
      </w:r>
    </w:p>
    <w:p w14:paraId="00B0AA22" w14:textId="0C368FAF" w:rsidR="00696E1C" w:rsidRPr="0015480A" w:rsidRDefault="00507B29" w:rsidP="00375833">
      <w:pPr>
        <w:pStyle w:val="SubtituloInterno"/>
        <w:rPr>
          <w:i/>
        </w:rPr>
      </w:pPr>
      <w:r w:rsidRPr="0015480A">
        <w:rPr>
          <w:i/>
        </w:rPr>
        <w:t>D</w:t>
      </w:r>
      <w:r w:rsidR="00A741DF" w:rsidRPr="0015480A">
        <w:rPr>
          <w:i/>
        </w:rPr>
        <w:t>iseño</w:t>
      </w:r>
    </w:p>
    <w:p w14:paraId="4D2031C3" w14:textId="2BA05A23" w:rsidR="00002634" w:rsidRDefault="00A741DF" w:rsidP="00375833">
      <w:pPr>
        <w:pStyle w:val="SubtituloInterno"/>
      </w:pPr>
      <w:r w:rsidRPr="00696E1C">
        <w:rPr>
          <w:b w:val="0"/>
        </w:rPr>
        <w:t>Estudio transversal realizado entre junio-julio de 2020</w:t>
      </w:r>
      <w:r w:rsidR="00696E1C" w:rsidRPr="00696E1C">
        <w:rPr>
          <w:b w:val="0"/>
        </w:rPr>
        <w:t>.</w:t>
      </w:r>
      <w:r w:rsidRPr="00696E1C">
        <w:rPr>
          <w:b w:val="0"/>
        </w:rPr>
        <w:t xml:space="preserve"> </w:t>
      </w:r>
    </w:p>
    <w:p w14:paraId="41AEBEB7" w14:textId="77777777" w:rsidR="001824FA" w:rsidRPr="00696E1C" w:rsidRDefault="001824FA" w:rsidP="00375833">
      <w:pPr>
        <w:pStyle w:val="SubtituloInterno"/>
      </w:pPr>
    </w:p>
    <w:p w14:paraId="526EC9AE" w14:textId="6AF5A2C9" w:rsidR="00507B29" w:rsidRPr="0015480A" w:rsidRDefault="00507B29" w:rsidP="00375833">
      <w:pPr>
        <w:pStyle w:val="SubtituloInterno"/>
        <w:spacing w:after="0" w:afterAutospacing="0"/>
        <w:rPr>
          <w:i/>
          <w:iCs/>
        </w:rPr>
      </w:pPr>
      <w:r w:rsidRPr="0015480A">
        <w:rPr>
          <w:i/>
        </w:rPr>
        <w:t>Material</w:t>
      </w:r>
      <w:r w:rsidR="00A741DF" w:rsidRPr="0015480A">
        <w:rPr>
          <w:i/>
        </w:rPr>
        <w:t>e</w:t>
      </w:r>
      <w:r w:rsidRPr="0015480A">
        <w:rPr>
          <w:i/>
        </w:rPr>
        <w:t>s</w:t>
      </w:r>
    </w:p>
    <w:p w14:paraId="74300816" w14:textId="3D1D358E" w:rsidR="00A741DF" w:rsidRPr="00A741DF" w:rsidRDefault="00A741DF" w:rsidP="00375833">
      <w:pPr>
        <w:spacing w:line="360" w:lineRule="auto"/>
        <w:ind w:firstLine="720"/>
        <w:jc w:val="both"/>
        <w:rPr>
          <w:color w:val="FF0000"/>
        </w:rPr>
      </w:pPr>
      <w:r w:rsidRPr="00A741DF">
        <w:t xml:space="preserve">Se elaboró un cuestionario </w:t>
      </w:r>
      <w:r w:rsidRPr="00A741DF">
        <w:rPr>
          <w:i/>
        </w:rPr>
        <w:t>ad hoc</w:t>
      </w:r>
      <w:r w:rsidRPr="00A741DF">
        <w:t xml:space="preserve"> en el que se recogieron datos sociodemográficos tales como edad, género, lugar de residencia, composición familiar (personas convivientes) y si padecían alguna enfermedad crónica. Éste también recogía información acerca de si los/las participantes dieron positivo en alguna prueba de COVID-19, </w:t>
      </w:r>
      <w:r w:rsidR="008F4C61" w:rsidRPr="00A741DF">
        <w:t>sí</w:t>
      </w:r>
      <w:r w:rsidRPr="00A741DF">
        <w:t xml:space="preserve"> estuvieron en contacto con personas infectadas por el virus, la gravedad auto-percibida de los síntomas padecidos (tanto propios, como de los posibles contactos COVID-19+, si procedía), y si algún familiar o conocido falleció por la COVID-19. Asimismo, se registró si los/las participantes estuvieron confinados/as o si tuvieron que desplazarse a su lugar de trabajo habitual, y cuál era su situación laboral durante marzo-abril 2020. También se añadió una sección específica para los/las sanitarios/as en la que se </w:t>
      </w:r>
      <w:r w:rsidRPr="00A741DF">
        <w:lastRenderedPageBreak/>
        <w:t xml:space="preserve">incluyeron preguntas destinadas a averiguar la profesión, tipo de centro de trabajo, si trabajaron directamente con pacientes afectados/as por la COVID-19 y, en caso afirmativo, durante cuánto tiempo. </w:t>
      </w:r>
    </w:p>
    <w:p w14:paraId="71B328A7" w14:textId="28F4D848" w:rsidR="00A741DF" w:rsidRPr="00A741DF" w:rsidRDefault="00A741DF" w:rsidP="00375833">
      <w:pPr>
        <w:spacing w:line="360" w:lineRule="auto"/>
        <w:ind w:firstLine="720"/>
        <w:jc w:val="both"/>
      </w:pPr>
      <w:r w:rsidRPr="00A741DF">
        <w:t xml:space="preserve">La salud auto-percibida de los/las participantes se valoró a partir del primer ítem del </w:t>
      </w:r>
      <w:r w:rsidRPr="00A741DF">
        <w:rPr>
          <w:i/>
        </w:rPr>
        <w:t>Cuestionario de Salud SF-12</w:t>
      </w:r>
      <w:r w:rsidRPr="00A741DF">
        <w:rPr>
          <w:i/>
          <w:vertAlign w:val="subscript"/>
        </w:rPr>
        <w:t>v2</w:t>
      </w:r>
      <w:r w:rsidR="00002634">
        <w:t xml:space="preserve"> (Schmidt et al., 2012)</w:t>
      </w:r>
      <w:r w:rsidRPr="00A741DF">
        <w:t xml:space="preserve"> con respuesta tipo Likert de 5 puntos (1 excelente a 5 mala). </w:t>
      </w:r>
    </w:p>
    <w:p w14:paraId="012B87D5" w14:textId="74BBB0E6" w:rsidR="00A741DF" w:rsidRPr="00A741DF" w:rsidRDefault="00A741DF" w:rsidP="00375833">
      <w:pPr>
        <w:spacing w:line="360" w:lineRule="auto"/>
        <w:ind w:firstLine="720"/>
        <w:jc w:val="both"/>
        <w:rPr>
          <w:color w:val="FF0000"/>
        </w:rPr>
      </w:pPr>
      <w:r w:rsidRPr="00A741DF">
        <w:t xml:space="preserve">Para evaluar el impacto emocional de la pandemia en el periodo de confinamiento (variable principal del estudio) se administró la </w:t>
      </w:r>
      <w:r w:rsidR="001824FA">
        <w:t xml:space="preserve">adaptación española de la </w:t>
      </w:r>
      <w:r w:rsidRPr="00A741DF">
        <w:rPr>
          <w:i/>
        </w:rPr>
        <w:t>Escala Revisada del Impacto del Estresor</w:t>
      </w:r>
      <w:r w:rsidRPr="00A741DF">
        <w:t xml:space="preserve"> (EI</w:t>
      </w:r>
      <w:r w:rsidR="001824FA">
        <w:t xml:space="preserve">E-R); </w:t>
      </w:r>
      <w:r w:rsidR="00002634">
        <w:t>(Báguena et al., 2001)</w:t>
      </w:r>
      <w:r w:rsidRPr="00A741DF">
        <w:t xml:space="preserve">. La EIE-R consta de 22 ítems de respuesta tipo Likert de 5 puntos con rango de puntuaciones 0-88 donde a mayor puntuación, mayor malestar subjetivo, y está conformada por tres subescalas: Intrusión (7 ítems), Evitación (8 ítems) e Hiperactivación (7 ítems). La fiabilidad de </w:t>
      </w:r>
      <w:r w:rsidR="001824FA">
        <w:t xml:space="preserve">la EIE-R </w:t>
      </w:r>
      <w:r w:rsidRPr="00A741DF">
        <w:t xml:space="preserve">en </w:t>
      </w:r>
      <w:r w:rsidR="001824FA">
        <w:t xml:space="preserve">nuestro estudio </w:t>
      </w:r>
      <w:r w:rsidR="00307FDD">
        <w:t>fue</w:t>
      </w:r>
      <w:r w:rsidRPr="00A741DF">
        <w:t xml:space="preserve"> de α=0</w:t>
      </w:r>
      <w:r w:rsidR="00CF730C">
        <w:t>.</w:t>
      </w:r>
      <w:r w:rsidRPr="00A741DF">
        <w:t>92.</w:t>
      </w:r>
    </w:p>
    <w:p w14:paraId="7E069EE9" w14:textId="5DC6438D" w:rsidR="00A741DF" w:rsidRPr="00CF730C" w:rsidRDefault="00A741DF" w:rsidP="00CF730C">
      <w:pPr>
        <w:spacing w:line="360" w:lineRule="auto"/>
        <w:ind w:firstLine="720"/>
        <w:jc w:val="both"/>
      </w:pPr>
      <w:r w:rsidRPr="00A741DF">
        <w:t xml:space="preserve">Para la evaluación de los estilos de afrontamiento empleados durante el periodo de confinamiento se utilizó la adaptación española del </w:t>
      </w:r>
      <w:r w:rsidRPr="00A741DF">
        <w:rPr>
          <w:i/>
        </w:rPr>
        <w:t xml:space="preserve">Inventario de Estrategias de Afrontamiento </w:t>
      </w:r>
      <w:r w:rsidRPr="00A741DF">
        <w:t>(CSI)</w:t>
      </w:r>
      <w:r w:rsidR="00002634">
        <w:t>;</w:t>
      </w:r>
      <w:r w:rsidR="00002634">
        <w:rPr>
          <w:vertAlign w:val="superscript"/>
        </w:rPr>
        <w:t xml:space="preserve"> </w:t>
      </w:r>
      <w:r w:rsidR="00002634">
        <w:t>(Cano-</w:t>
      </w:r>
      <w:r w:rsidR="00002634" w:rsidRPr="00002634">
        <w:t xml:space="preserve">García, </w:t>
      </w:r>
      <w:r w:rsidR="00002634">
        <w:t>Rodríguez-</w:t>
      </w:r>
      <w:r w:rsidR="00002634" w:rsidRPr="00002634">
        <w:t xml:space="preserve">Franco, </w:t>
      </w:r>
      <w:r w:rsidR="00002634">
        <w:t>&amp; García-</w:t>
      </w:r>
      <w:r w:rsidR="00002634" w:rsidRPr="00002634">
        <w:t>Martínez</w:t>
      </w:r>
      <w:r w:rsidR="00002634">
        <w:t>, 2007)</w:t>
      </w:r>
      <w:r w:rsidRPr="00A741DF">
        <w:t>. El CSI está compuesto de 41 ítems de respuesta en escala tipo Likert de 5 puntos para evaluar 8 escalas primarias: Resolución de Problemas, Reestructuración Cognitiva, Apoyo Social, Expresión Emocional, Evitación de Problemas, Pensamiento Desiderativo, Retirada Social y Autocrítica. La suma de las puntuaciones de cada escala permite obtener una puntuación total que oscila entre 0-164 y se interpreta utilizando unos baremos concretos mediante percentiles. Para el presente estudio, el CSI mostró una fiabilidad de α=0</w:t>
      </w:r>
      <w:r w:rsidR="00CF730C">
        <w:t>.</w:t>
      </w:r>
      <w:r w:rsidRPr="00A741DF">
        <w:t>91.</w:t>
      </w:r>
    </w:p>
    <w:p w14:paraId="5F0B5B1D" w14:textId="7D9E3152" w:rsidR="00A741DF" w:rsidRPr="00A741DF" w:rsidRDefault="00A741DF" w:rsidP="00375833">
      <w:pPr>
        <w:spacing w:line="360" w:lineRule="auto"/>
        <w:ind w:firstLine="720"/>
        <w:jc w:val="both"/>
      </w:pPr>
      <w:r w:rsidRPr="00A741DF">
        <w:t xml:space="preserve">La medición del grado de resiliencia se llevó a cabo mediante la versión española de la </w:t>
      </w:r>
      <w:r w:rsidRPr="00A741DF">
        <w:rPr>
          <w:i/>
        </w:rPr>
        <w:t>Escala de Resiliencia</w:t>
      </w:r>
      <w:r w:rsidRPr="00A741DF">
        <w:t xml:space="preserve"> de 14 ítems (RS-14)</w:t>
      </w:r>
      <w:r w:rsidR="00F60CE8">
        <w:t xml:space="preserve">; (Sánchez-Teruel, Robles-Bello, 2015) </w:t>
      </w:r>
      <w:r w:rsidRPr="00A741DF">
        <w:t>validada en población de entre 18-55 años relacionada con la sanidad. Mediante 14 ítems de escala de respuesta tipo Likert de 7 puntos se obtienen cinco niveles de resiliencia a partir de la puntuación total que oscila entre 14-98: muy alta (98-82), alta (81-64), normal (63-49), baja (48-31) y muy baja (30-14). En este estudio, la RS-14 mostró una fiabilidad de α=0</w:t>
      </w:r>
      <w:r w:rsidR="00CF730C">
        <w:t>.</w:t>
      </w:r>
      <w:r w:rsidRPr="00A741DF">
        <w:t>93.</w:t>
      </w:r>
    </w:p>
    <w:p w14:paraId="788EC80D" w14:textId="5A941594" w:rsidR="004C1FD8" w:rsidRPr="00E21F58" w:rsidRDefault="007C3C14" w:rsidP="00375833">
      <w:pPr>
        <w:pStyle w:val="SubtituloInterno"/>
        <w:spacing w:after="0" w:afterAutospacing="0"/>
        <w:rPr>
          <w:i/>
        </w:rPr>
      </w:pPr>
      <w:r w:rsidRPr="00E21F58">
        <w:rPr>
          <w:i/>
        </w:rPr>
        <w:t>Proced</w:t>
      </w:r>
      <w:r w:rsidR="00A741DF" w:rsidRPr="00E21F58">
        <w:rPr>
          <w:i/>
        </w:rPr>
        <w:t>imiento</w:t>
      </w:r>
      <w:r w:rsidRPr="00E21F58">
        <w:rPr>
          <w:i/>
        </w:rPr>
        <w:t xml:space="preserve"> </w:t>
      </w:r>
    </w:p>
    <w:p w14:paraId="483CA201" w14:textId="77777777" w:rsidR="00A741DF" w:rsidRPr="00A741DF" w:rsidRDefault="00A741DF" w:rsidP="00375833">
      <w:pPr>
        <w:spacing w:line="360" w:lineRule="auto"/>
        <w:ind w:firstLine="720"/>
        <w:jc w:val="both"/>
        <w:rPr>
          <w:b/>
        </w:rPr>
      </w:pPr>
      <w:r w:rsidRPr="00A741DF">
        <w:t xml:space="preserve">La recogida de datos se llevó a cabo en la primera quincena de julio 2020 mediante un muestreo no probabilístico bola de nieve, por medio de una encuesta en línea a través de </w:t>
      </w:r>
      <w:r w:rsidRPr="00A741DF">
        <w:rPr>
          <w:i/>
        </w:rPr>
        <w:t>Google Forms</w:t>
      </w:r>
      <w:r w:rsidRPr="00A741DF">
        <w:t xml:space="preserve">. En esta encuesta se registraron las respuestas de aquellos/as españoles/as mayores de </w:t>
      </w:r>
      <w:r w:rsidRPr="00A741DF">
        <w:lastRenderedPageBreak/>
        <w:t xml:space="preserve">edad que aceptaron participar de forma anónima y voluntaria tras leer la información acerca del estudio y sus objetivos, así como la información relativa a confidencialidad y anonimato de sus datos personales. Para la captación de la muestra se publicó la encuesta en las redes sociales </w:t>
      </w:r>
      <w:r w:rsidRPr="00A741DF">
        <w:rPr>
          <w:i/>
        </w:rPr>
        <w:t>Instagram</w:t>
      </w:r>
      <w:r w:rsidRPr="00A741DF">
        <w:t xml:space="preserve"> y </w:t>
      </w:r>
      <w:r w:rsidRPr="00A741DF">
        <w:rPr>
          <w:i/>
        </w:rPr>
        <w:t>Twitter</w:t>
      </w:r>
      <w:r w:rsidRPr="00A741DF">
        <w:t xml:space="preserve"> y se recurrió al envío del enlace mediante </w:t>
      </w:r>
      <w:r w:rsidRPr="00A741DF">
        <w:rPr>
          <w:i/>
        </w:rPr>
        <w:t>WhatsApp</w:t>
      </w:r>
      <w:r w:rsidRPr="00A741DF">
        <w:t xml:space="preserve"> y correo electrónico a conocidos, invitándolos a compartir y difundir la encuesta.</w:t>
      </w:r>
    </w:p>
    <w:p w14:paraId="69D2C23E" w14:textId="29E57DD9" w:rsidR="00696E1C" w:rsidRPr="0013722E" w:rsidRDefault="00A741DF" w:rsidP="00375833">
      <w:pPr>
        <w:pStyle w:val="SubtituloInterno"/>
        <w:spacing w:after="0" w:afterAutospacing="0"/>
        <w:rPr>
          <w:i/>
        </w:rPr>
      </w:pPr>
      <w:r w:rsidRPr="0013722E">
        <w:rPr>
          <w:i/>
        </w:rPr>
        <w:t>Análisis de datos</w:t>
      </w:r>
    </w:p>
    <w:p w14:paraId="10338C8D" w14:textId="24C7B01A" w:rsidR="00A741DF" w:rsidRPr="00696E1C" w:rsidRDefault="00A741DF" w:rsidP="00375833">
      <w:pPr>
        <w:pStyle w:val="SubtituloInterno"/>
        <w:spacing w:after="0" w:afterAutospacing="0"/>
        <w:rPr>
          <w:b w:val="0"/>
        </w:rPr>
      </w:pPr>
      <w:r w:rsidRPr="00696E1C">
        <w:rPr>
          <w:b w:val="0"/>
        </w:rPr>
        <w:t>Se realizaron análisis descriptivos para el total de la muestra de todas las variables recogidas. Para la comparación intergrupo de variables sociodemográficas y puntuaciones obtenidas en los diferentes instrumentos de evaluación se efectuó una prueba t o Anova en función de las categorías de las variables. En aquellos casos en que los grupos tenían un número reducido de participantes se realizó el test U-Mann Whitney o Kruskall-Wallis según correspondiera. Se utilizó la prueba de Chi cuadrado para variables binarias y la comparación entre submuestras</w:t>
      </w:r>
      <w:r w:rsidR="003A6634">
        <w:rPr>
          <w:b w:val="0"/>
        </w:rPr>
        <w:t>.</w:t>
      </w:r>
      <w:r w:rsidRPr="00696E1C">
        <w:rPr>
          <w:b w:val="0"/>
        </w:rPr>
        <w:t xml:space="preserve"> Para explorar el</w:t>
      </w:r>
      <w:r w:rsidRPr="00A741DF">
        <w:t xml:space="preserve"> </w:t>
      </w:r>
      <w:r w:rsidRPr="00696E1C">
        <w:rPr>
          <w:b w:val="0"/>
        </w:rPr>
        <w:t>perfil de riesgo (variable principal EIE con sus diferentes dimensiones: intrusión, hiperactivación y evitación) en relación a las diferentes variables explicativas propuestas, se ha utilizado el análisis de regresión lineal múltiple con el método de pasos sucesivos (</w:t>
      </w:r>
      <w:r w:rsidRPr="003E7F07">
        <w:rPr>
          <w:b w:val="0"/>
          <w:i/>
        </w:rPr>
        <w:t>stepwise</w:t>
      </w:r>
      <w:r w:rsidRPr="00696E1C">
        <w:rPr>
          <w:b w:val="0"/>
        </w:rPr>
        <w:t xml:space="preserve">). En todos los casos, las variables dicotómicas han sido consideradas como variables </w:t>
      </w:r>
      <w:r w:rsidRPr="003E7F07">
        <w:rPr>
          <w:b w:val="0"/>
          <w:i/>
        </w:rPr>
        <w:t>dummy</w:t>
      </w:r>
      <w:r w:rsidRPr="00696E1C">
        <w:rPr>
          <w:b w:val="0"/>
        </w:rPr>
        <w:t>. La fiabilidad de los diferentes instrumentos para la muestra de estudio se calculó mediante el índice de consistencia interna Alfa de Cronbach. Se asumió una significación del 5% y todos los análisis se efectuaron con el programa SPSS</w:t>
      </w:r>
      <w:r w:rsidRPr="00696E1C">
        <w:rPr>
          <w:b w:val="0"/>
          <w:vertAlign w:val="subscript"/>
        </w:rPr>
        <w:t>v26</w:t>
      </w:r>
      <w:r w:rsidRPr="00696E1C">
        <w:rPr>
          <w:b w:val="0"/>
        </w:rPr>
        <w:t>.</w:t>
      </w:r>
    </w:p>
    <w:p w14:paraId="6676F615" w14:textId="77777777" w:rsidR="00A741DF" w:rsidRDefault="00A741DF" w:rsidP="00375833">
      <w:pPr>
        <w:pStyle w:val="SubtituloInterno"/>
      </w:pPr>
    </w:p>
    <w:p w14:paraId="681BC02D" w14:textId="6C196858" w:rsidR="004C1FD8" w:rsidRPr="003A333D" w:rsidRDefault="00A741DF" w:rsidP="00375833">
      <w:pPr>
        <w:pStyle w:val="SubtituloInterno"/>
        <w:spacing w:after="0" w:afterAutospacing="0"/>
        <w:rPr>
          <w:i/>
        </w:rPr>
      </w:pPr>
      <w:r w:rsidRPr="003A333D">
        <w:rPr>
          <w:i/>
        </w:rPr>
        <w:t>Consideraciones éticas</w:t>
      </w:r>
    </w:p>
    <w:p w14:paraId="336975B6" w14:textId="35DC8188" w:rsidR="00076F0A" w:rsidRPr="00916D95" w:rsidRDefault="00C40BE8" w:rsidP="00375833">
      <w:pPr>
        <w:pStyle w:val="Prrafocomn"/>
        <w:rPr>
          <w:lang w:val="es-ES"/>
        </w:rPr>
      </w:pPr>
      <w:r w:rsidRPr="00C40BE8">
        <w:rPr>
          <w:lang w:val="es-ES"/>
        </w:rPr>
        <w:t>La presente investigación cumple con la Ley Orgánica 3/2018 del 5 de diciembre de protección de datos personales</w:t>
      </w:r>
      <w:r>
        <w:rPr>
          <w:lang w:val="es-ES"/>
        </w:rPr>
        <w:t xml:space="preserve"> de España</w:t>
      </w:r>
      <w:r w:rsidRPr="00C40BE8">
        <w:rPr>
          <w:lang w:val="es-ES"/>
        </w:rPr>
        <w:t xml:space="preserve">. </w:t>
      </w:r>
      <w:r w:rsidR="003E7F07">
        <w:rPr>
          <w:lang w:val="es-ES"/>
        </w:rPr>
        <w:t>Asimismo, se</w:t>
      </w:r>
      <w:r w:rsidR="003E7F07" w:rsidRPr="003E7F07">
        <w:rPr>
          <w:lang w:val="es-ES"/>
        </w:rPr>
        <w:t xml:space="preserve"> han seguido </w:t>
      </w:r>
      <w:r w:rsidR="003E7F07">
        <w:rPr>
          <w:lang w:val="es-ES"/>
        </w:rPr>
        <w:t xml:space="preserve">los principios de </w:t>
      </w:r>
      <w:r w:rsidR="003E7F07" w:rsidRPr="003E7F07">
        <w:rPr>
          <w:lang w:val="es-ES"/>
        </w:rPr>
        <w:t>la Declaración Universal de Principios Éticos para Psicólogos (IAAP &amp; IUPsyS, 2008), las Directrices Éticas Internacionales para la Investigación Biomédica en Seres Humanos (CIOMS, OMS &amp; OPS, 2016) y las declaraciones del ISP sobre el comportamiento ético en el momento de la presentación (ISP, 1978, 2008a, 2008b, 2014, 2016, 2018, 2019).</w:t>
      </w:r>
      <w:r w:rsidR="003E7F07">
        <w:rPr>
          <w:lang w:val="es-ES"/>
        </w:rPr>
        <w:t xml:space="preserve"> </w:t>
      </w:r>
      <w:r w:rsidRPr="00C40BE8">
        <w:rPr>
          <w:lang w:val="es-ES"/>
        </w:rPr>
        <w:t xml:space="preserve">Todos los datos recogidos fueron codificados para asegurar la confidencialidad de los mismos, así como la imposibilidad de identificar a los/las respondientes. Asimismo, se solicitó a todos/as los/las respondientes, mayores de edad, la aceptación expresa a participar voluntaria y desinteresadamente en el presente estudio de investigación, marcando la casilla de consentimiento informado, previamente a la realización </w:t>
      </w:r>
      <w:r w:rsidRPr="00C40BE8">
        <w:rPr>
          <w:lang w:val="es-ES"/>
        </w:rPr>
        <w:lastRenderedPageBreak/>
        <w:t>de ninguna pregunta. En ese mismo formulario se les ofreció información acerca de los fines del estudio y se les garantizó la confidencialidad de sus datos, así como que éstos sólo serían utiliz</w:t>
      </w:r>
      <w:r>
        <w:rPr>
          <w:lang w:val="es-ES"/>
        </w:rPr>
        <w:t xml:space="preserve">ados con fines científicos. </w:t>
      </w:r>
    </w:p>
    <w:p w14:paraId="25F86653" w14:textId="6FC7B1AB" w:rsidR="00C40BE8" w:rsidRPr="00916D95" w:rsidRDefault="005B5614" w:rsidP="00375833">
      <w:pPr>
        <w:pStyle w:val="Ttulosinternos"/>
        <w:rPr>
          <w:lang w:val="es-ES"/>
        </w:rPr>
      </w:pPr>
      <w:r w:rsidRPr="00916D95">
        <w:rPr>
          <w:lang w:val="es-ES"/>
        </w:rPr>
        <w:t>Result</w:t>
      </w:r>
      <w:r w:rsidR="00C40BE8" w:rsidRPr="00916D95">
        <w:rPr>
          <w:lang w:val="es-ES"/>
        </w:rPr>
        <w:t>ado</w:t>
      </w:r>
      <w:r w:rsidRPr="00916D95">
        <w:rPr>
          <w:lang w:val="es-ES"/>
        </w:rPr>
        <w:t>s</w:t>
      </w:r>
    </w:p>
    <w:p w14:paraId="148B7E05" w14:textId="77777777" w:rsidR="00C40BE8" w:rsidRPr="003A333D" w:rsidRDefault="00C40BE8" w:rsidP="00375833">
      <w:pPr>
        <w:spacing w:line="360" w:lineRule="auto"/>
        <w:ind w:firstLine="720"/>
        <w:jc w:val="both"/>
        <w:rPr>
          <w:b/>
          <w:i/>
        </w:rPr>
      </w:pPr>
      <w:r w:rsidRPr="003A333D">
        <w:rPr>
          <w:b/>
          <w:i/>
        </w:rPr>
        <w:t>Diferencias entre población general y colectivo de sanitarios</w:t>
      </w:r>
    </w:p>
    <w:p w14:paraId="466E35EC" w14:textId="77777777" w:rsidR="00C40BE8" w:rsidRPr="00C40BE8" w:rsidRDefault="00C40BE8" w:rsidP="00375833">
      <w:pPr>
        <w:spacing w:line="360" w:lineRule="auto"/>
        <w:jc w:val="both"/>
      </w:pPr>
      <w:r w:rsidRPr="00C40BE8">
        <w:rPr>
          <w:b/>
        </w:rPr>
        <w:tab/>
      </w:r>
      <w:r w:rsidRPr="00C40BE8">
        <w:t>La Tabla 2 muestra las principales diferencias entre las dos submuestras por lo que respecta a salud auto-percibida, impacto del estresor, estrategias de afrontamiento y resiliencia.</w:t>
      </w:r>
    </w:p>
    <w:p w14:paraId="750A92E1" w14:textId="77777777" w:rsidR="00531B12" w:rsidRDefault="00531B12" w:rsidP="00375833">
      <w:pPr>
        <w:spacing w:line="360" w:lineRule="auto"/>
        <w:jc w:val="both"/>
        <w:rPr>
          <w:i/>
        </w:rPr>
      </w:pPr>
    </w:p>
    <w:p w14:paraId="0D1769BE" w14:textId="77777777" w:rsidR="00C40BE8" w:rsidRPr="00C40BE8" w:rsidRDefault="00C40BE8" w:rsidP="003A6634">
      <w:pPr>
        <w:spacing w:line="360" w:lineRule="auto"/>
        <w:rPr>
          <w:i/>
        </w:rPr>
      </w:pPr>
      <w:r w:rsidRPr="00C40BE8">
        <w:rPr>
          <w:i/>
        </w:rPr>
        <w:t>[Insertar Tabla 2]</w:t>
      </w:r>
    </w:p>
    <w:p w14:paraId="5AF7F1F8" w14:textId="77777777" w:rsidR="00531B12" w:rsidRDefault="00531B12" w:rsidP="00BE1C24">
      <w:pPr>
        <w:spacing w:line="360" w:lineRule="auto"/>
        <w:rPr>
          <w:b/>
        </w:rPr>
      </w:pPr>
    </w:p>
    <w:p w14:paraId="609CBA20" w14:textId="77777777" w:rsidR="00C40BE8" w:rsidRDefault="00C40BE8" w:rsidP="00BE1C24">
      <w:pPr>
        <w:spacing w:line="360" w:lineRule="auto"/>
        <w:rPr>
          <w:b/>
        </w:rPr>
      </w:pPr>
      <w:r w:rsidRPr="00C40BE8">
        <w:rPr>
          <w:b/>
        </w:rPr>
        <w:t xml:space="preserve">Tabla 2. </w:t>
      </w:r>
    </w:p>
    <w:p w14:paraId="56404AAE" w14:textId="779D4B18" w:rsidR="00C40BE8" w:rsidRPr="00531B12" w:rsidRDefault="00C40BE8" w:rsidP="00375833">
      <w:pPr>
        <w:spacing w:line="360" w:lineRule="auto"/>
        <w:jc w:val="both"/>
        <w:rPr>
          <w:i/>
        </w:rPr>
      </w:pPr>
      <w:r w:rsidRPr="00531B12">
        <w:rPr>
          <w:i/>
        </w:rPr>
        <w:t>Estadísticos descriptivos de los instrumentos de valoración del estrés, afrontamiento y resiliencia para población no sanitaria (n=158) y sanitaria (n=73).</w:t>
      </w:r>
    </w:p>
    <w:tbl>
      <w:tblPr>
        <w:tblStyle w:val="Sombreadoclaro"/>
        <w:tblW w:w="5000" w:type="pct"/>
        <w:tblLook w:val="0600" w:firstRow="0" w:lastRow="0" w:firstColumn="0" w:lastColumn="0" w:noHBand="1" w:noVBand="1"/>
      </w:tblPr>
      <w:tblGrid>
        <w:gridCol w:w="1234"/>
        <w:gridCol w:w="1279"/>
        <w:gridCol w:w="1393"/>
        <w:gridCol w:w="1329"/>
        <w:gridCol w:w="1308"/>
        <w:gridCol w:w="1759"/>
        <w:gridCol w:w="1318"/>
      </w:tblGrid>
      <w:tr w:rsidR="00C80AE0" w:rsidRPr="003E7F07" w14:paraId="4F8A61C3" w14:textId="77777777" w:rsidTr="00CF730C">
        <w:trPr>
          <w:gridAfter w:val="2"/>
          <w:wAfter w:w="1599" w:type="pct"/>
          <w:trHeight w:val="228"/>
        </w:trPr>
        <w:tc>
          <w:tcPr>
            <w:tcW w:w="641" w:type="pct"/>
          </w:tcPr>
          <w:p w14:paraId="1591BC61" w14:textId="77777777" w:rsidR="00C80AE0" w:rsidRPr="003E7F07" w:rsidRDefault="00C80AE0" w:rsidP="00531B12">
            <w:pPr>
              <w:widowControl w:val="0"/>
              <w:rPr>
                <w:sz w:val="20"/>
                <w:szCs w:val="20"/>
              </w:rPr>
            </w:pPr>
          </w:p>
        </w:tc>
        <w:tc>
          <w:tcPr>
            <w:tcW w:w="1389" w:type="pct"/>
            <w:gridSpan w:val="2"/>
          </w:tcPr>
          <w:p w14:paraId="0F6BA84B" w14:textId="77777777" w:rsidR="00C80AE0" w:rsidRPr="003E7F07" w:rsidRDefault="00C80AE0" w:rsidP="00C80AE0">
            <w:pPr>
              <w:widowControl w:val="0"/>
              <w:jc w:val="center"/>
              <w:rPr>
                <w:b/>
                <w:sz w:val="20"/>
                <w:szCs w:val="20"/>
              </w:rPr>
            </w:pPr>
            <w:r w:rsidRPr="003E7F07">
              <w:rPr>
                <w:b/>
                <w:sz w:val="20"/>
                <w:szCs w:val="20"/>
              </w:rPr>
              <w:t>Población sanitaria (n=73)</w:t>
            </w:r>
          </w:p>
        </w:tc>
        <w:tc>
          <w:tcPr>
            <w:tcW w:w="1371" w:type="pct"/>
            <w:gridSpan w:val="2"/>
          </w:tcPr>
          <w:p w14:paraId="30240A1B" w14:textId="5F4F3424" w:rsidR="00C80AE0" w:rsidRPr="003E7F07" w:rsidRDefault="00C80AE0" w:rsidP="00C80AE0">
            <w:pPr>
              <w:widowControl w:val="0"/>
              <w:jc w:val="center"/>
              <w:rPr>
                <w:b/>
                <w:sz w:val="20"/>
                <w:szCs w:val="20"/>
              </w:rPr>
            </w:pPr>
            <w:r w:rsidRPr="003E7F07">
              <w:rPr>
                <w:b/>
                <w:sz w:val="20"/>
                <w:szCs w:val="20"/>
              </w:rPr>
              <w:t>Población no sanitaria (n=158)</w:t>
            </w:r>
          </w:p>
        </w:tc>
      </w:tr>
      <w:tr w:rsidR="00C80AE0" w:rsidRPr="003E7F07" w14:paraId="3BE21024" w14:textId="77777777" w:rsidTr="00CF730C">
        <w:trPr>
          <w:trHeight w:val="175"/>
        </w:trPr>
        <w:tc>
          <w:tcPr>
            <w:tcW w:w="641" w:type="pct"/>
            <w:tcBorders>
              <w:bottom w:val="single" w:sz="4" w:space="0" w:color="auto"/>
            </w:tcBorders>
          </w:tcPr>
          <w:p w14:paraId="0AD54E55" w14:textId="77777777" w:rsidR="00C80AE0" w:rsidRPr="003E7F07" w:rsidRDefault="00C80AE0" w:rsidP="00531B12">
            <w:pPr>
              <w:widowControl w:val="0"/>
              <w:rPr>
                <w:b/>
                <w:sz w:val="20"/>
                <w:szCs w:val="20"/>
              </w:rPr>
            </w:pPr>
          </w:p>
        </w:tc>
        <w:tc>
          <w:tcPr>
            <w:tcW w:w="665" w:type="pct"/>
            <w:tcBorders>
              <w:top w:val="single" w:sz="4" w:space="0" w:color="auto"/>
              <w:bottom w:val="single" w:sz="4" w:space="0" w:color="auto"/>
            </w:tcBorders>
          </w:tcPr>
          <w:p w14:paraId="342ADA36" w14:textId="77777777" w:rsidR="00C80AE0" w:rsidRPr="003E7F07" w:rsidRDefault="00C80AE0" w:rsidP="00531B12">
            <w:pPr>
              <w:widowControl w:val="0"/>
              <w:jc w:val="center"/>
              <w:rPr>
                <w:b/>
                <w:sz w:val="20"/>
                <w:szCs w:val="20"/>
              </w:rPr>
            </w:pPr>
            <w:r w:rsidRPr="003E7F07">
              <w:rPr>
                <w:b/>
                <w:sz w:val="20"/>
                <w:szCs w:val="20"/>
              </w:rPr>
              <w:t>Media</w:t>
            </w:r>
          </w:p>
        </w:tc>
        <w:tc>
          <w:tcPr>
            <w:tcW w:w="724" w:type="pct"/>
            <w:tcBorders>
              <w:top w:val="single" w:sz="4" w:space="0" w:color="auto"/>
              <w:bottom w:val="single" w:sz="4" w:space="0" w:color="auto"/>
            </w:tcBorders>
          </w:tcPr>
          <w:p w14:paraId="6B022075" w14:textId="77777777" w:rsidR="00C80AE0" w:rsidRPr="003E7F07" w:rsidRDefault="00C80AE0" w:rsidP="00531B12">
            <w:pPr>
              <w:widowControl w:val="0"/>
              <w:jc w:val="center"/>
              <w:rPr>
                <w:b/>
                <w:sz w:val="20"/>
                <w:szCs w:val="20"/>
              </w:rPr>
            </w:pPr>
            <w:r w:rsidRPr="003E7F07">
              <w:rPr>
                <w:b/>
                <w:sz w:val="20"/>
                <w:szCs w:val="20"/>
              </w:rPr>
              <w:t>DE</w:t>
            </w:r>
          </w:p>
        </w:tc>
        <w:tc>
          <w:tcPr>
            <w:tcW w:w="691" w:type="pct"/>
            <w:tcBorders>
              <w:top w:val="single" w:sz="4" w:space="0" w:color="auto"/>
              <w:bottom w:val="single" w:sz="4" w:space="0" w:color="auto"/>
            </w:tcBorders>
          </w:tcPr>
          <w:p w14:paraId="4A738C84" w14:textId="77777777" w:rsidR="00C80AE0" w:rsidRPr="003E7F07" w:rsidRDefault="00C80AE0" w:rsidP="00531B12">
            <w:pPr>
              <w:widowControl w:val="0"/>
              <w:jc w:val="center"/>
              <w:rPr>
                <w:b/>
                <w:sz w:val="20"/>
                <w:szCs w:val="20"/>
              </w:rPr>
            </w:pPr>
            <w:r w:rsidRPr="003E7F07">
              <w:rPr>
                <w:b/>
                <w:sz w:val="20"/>
                <w:szCs w:val="20"/>
              </w:rPr>
              <w:t xml:space="preserve">Media </w:t>
            </w:r>
          </w:p>
        </w:tc>
        <w:tc>
          <w:tcPr>
            <w:tcW w:w="680" w:type="pct"/>
            <w:tcBorders>
              <w:top w:val="single" w:sz="4" w:space="0" w:color="auto"/>
              <w:bottom w:val="single" w:sz="4" w:space="0" w:color="auto"/>
            </w:tcBorders>
          </w:tcPr>
          <w:p w14:paraId="4DE28163" w14:textId="77777777" w:rsidR="00C80AE0" w:rsidRPr="003E7F07" w:rsidRDefault="00C80AE0" w:rsidP="00531B12">
            <w:pPr>
              <w:widowControl w:val="0"/>
              <w:jc w:val="center"/>
              <w:rPr>
                <w:b/>
                <w:sz w:val="20"/>
                <w:szCs w:val="20"/>
              </w:rPr>
            </w:pPr>
            <w:r w:rsidRPr="003E7F07">
              <w:rPr>
                <w:b/>
                <w:sz w:val="20"/>
                <w:szCs w:val="20"/>
              </w:rPr>
              <w:t>DE</w:t>
            </w:r>
          </w:p>
        </w:tc>
        <w:tc>
          <w:tcPr>
            <w:tcW w:w="914" w:type="pct"/>
            <w:tcBorders>
              <w:top w:val="single" w:sz="4" w:space="0" w:color="auto"/>
              <w:bottom w:val="single" w:sz="4" w:space="0" w:color="auto"/>
            </w:tcBorders>
          </w:tcPr>
          <w:p w14:paraId="32310B03" w14:textId="77777777" w:rsidR="00C80AE0" w:rsidRPr="003E7F07" w:rsidRDefault="00C80AE0" w:rsidP="00531B12">
            <w:pPr>
              <w:widowControl w:val="0"/>
              <w:jc w:val="center"/>
              <w:rPr>
                <w:b/>
                <w:sz w:val="20"/>
                <w:szCs w:val="20"/>
              </w:rPr>
            </w:pPr>
            <w:r w:rsidRPr="003E7F07">
              <w:rPr>
                <w:b/>
                <w:sz w:val="20"/>
                <w:szCs w:val="20"/>
              </w:rPr>
              <w:t>Chi</w:t>
            </w:r>
          </w:p>
        </w:tc>
        <w:tc>
          <w:tcPr>
            <w:tcW w:w="685" w:type="pct"/>
            <w:tcBorders>
              <w:top w:val="single" w:sz="4" w:space="0" w:color="auto"/>
              <w:bottom w:val="single" w:sz="4" w:space="0" w:color="auto"/>
            </w:tcBorders>
          </w:tcPr>
          <w:p w14:paraId="1E80524D" w14:textId="77777777" w:rsidR="00C80AE0" w:rsidRPr="003E7F07" w:rsidRDefault="00C80AE0" w:rsidP="00531B12">
            <w:pPr>
              <w:widowControl w:val="0"/>
              <w:jc w:val="center"/>
              <w:rPr>
                <w:b/>
                <w:i/>
                <w:sz w:val="20"/>
                <w:szCs w:val="20"/>
              </w:rPr>
            </w:pPr>
            <w:r w:rsidRPr="003E7F07">
              <w:rPr>
                <w:b/>
                <w:i/>
                <w:sz w:val="20"/>
                <w:szCs w:val="20"/>
              </w:rPr>
              <w:t>p</w:t>
            </w:r>
          </w:p>
        </w:tc>
      </w:tr>
      <w:tr w:rsidR="00C80AE0" w:rsidRPr="003E7F07" w14:paraId="619818C6" w14:textId="77777777" w:rsidTr="00CF730C">
        <w:trPr>
          <w:trHeight w:val="288"/>
        </w:trPr>
        <w:tc>
          <w:tcPr>
            <w:tcW w:w="641" w:type="pct"/>
            <w:tcBorders>
              <w:bottom w:val="single" w:sz="4" w:space="0" w:color="auto"/>
            </w:tcBorders>
          </w:tcPr>
          <w:p w14:paraId="6A920972" w14:textId="77777777" w:rsidR="00C80AE0" w:rsidRPr="003E7F07" w:rsidRDefault="00C80AE0" w:rsidP="00531B12">
            <w:pPr>
              <w:widowControl w:val="0"/>
              <w:rPr>
                <w:b/>
                <w:sz w:val="20"/>
                <w:szCs w:val="20"/>
                <w:vertAlign w:val="subscript"/>
              </w:rPr>
            </w:pPr>
            <w:r w:rsidRPr="003E7F07">
              <w:rPr>
                <w:b/>
                <w:sz w:val="20"/>
                <w:szCs w:val="20"/>
              </w:rPr>
              <w:t>SF12</w:t>
            </w:r>
            <w:r w:rsidRPr="003E7F07">
              <w:rPr>
                <w:b/>
                <w:sz w:val="20"/>
                <w:szCs w:val="20"/>
                <w:vertAlign w:val="subscript"/>
              </w:rPr>
              <w:t>v2</w:t>
            </w:r>
          </w:p>
        </w:tc>
        <w:tc>
          <w:tcPr>
            <w:tcW w:w="665" w:type="pct"/>
            <w:tcBorders>
              <w:bottom w:val="single" w:sz="4" w:space="0" w:color="auto"/>
            </w:tcBorders>
          </w:tcPr>
          <w:p w14:paraId="7F81487B" w14:textId="40B1DB63" w:rsidR="00C80AE0" w:rsidRPr="003E7F07" w:rsidRDefault="00C80AE0" w:rsidP="00C80AE0">
            <w:pPr>
              <w:widowControl w:val="0"/>
              <w:jc w:val="center"/>
              <w:rPr>
                <w:sz w:val="20"/>
                <w:szCs w:val="20"/>
              </w:rPr>
            </w:pPr>
            <w:r w:rsidRPr="003E7F07">
              <w:rPr>
                <w:sz w:val="20"/>
                <w:szCs w:val="20"/>
              </w:rPr>
              <w:t>2</w:t>
            </w:r>
            <w:r w:rsidR="00CF730C">
              <w:rPr>
                <w:sz w:val="20"/>
                <w:szCs w:val="20"/>
              </w:rPr>
              <w:t>.</w:t>
            </w:r>
            <w:r w:rsidRPr="003E7F07">
              <w:rPr>
                <w:sz w:val="20"/>
                <w:szCs w:val="20"/>
              </w:rPr>
              <w:t>28</w:t>
            </w:r>
          </w:p>
        </w:tc>
        <w:tc>
          <w:tcPr>
            <w:tcW w:w="724" w:type="pct"/>
            <w:tcBorders>
              <w:bottom w:val="single" w:sz="4" w:space="0" w:color="auto"/>
            </w:tcBorders>
          </w:tcPr>
          <w:p w14:paraId="1DC6905F" w14:textId="5459071C" w:rsidR="00C80AE0" w:rsidRPr="003E7F07" w:rsidRDefault="00CF730C" w:rsidP="00531B12">
            <w:pPr>
              <w:widowControl w:val="0"/>
              <w:jc w:val="center"/>
              <w:rPr>
                <w:sz w:val="20"/>
                <w:szCs w:val="20"/>
              </w:rPr>
            </w:pPr>
            <w:r>
              <w:rPr>
                <w:sz w:val="20"/>
                <w:szCs w:val="20"/>
              </w:rPr>
              <w:t>.</w:t>
            </w:r>
            <w:r w:rsidR="00C80AE0" w:rsidRPr="003E7F07">
              <w:rPr>
                <w:sz w:val="20"/>
                <w:szCs w:val="20"/>
              </w:rPr>
              <w:t>82</w:t>
            </w:r>
          </w:p>
        </w:tc>
        <w:tc>
          <w:tcPr>
            <w:tcW w:w="691" w:type="pct"/>
            <w:tcBorders>
              <w:bottom w:val="single" w:sz="4" w:space="0" w:color="auto"/>
            </w:tcBorders>
          </w:tcPr>
          <w:p w14:paraId="73194464" w14:textId="0F56501D" w:rsidR="00C80AE0" w:rsidRPr="003E7F07" w:rsidRDefault="00C80AE0" w:rsidP="00531B12">
            <w:pPr>
              <w:widowControl w:val="0"/>
              <w:jc w:val="center"/>
              <w:rPr>
                <w:sz w:val="20"/>
                <w:szCs w:val="20"/>
              </w:rPr>
            </w:pPr>
            <w:r w:rsidRPr="003E7F07">
              <w:rPr>
                <w:sz w:val="20"/>
                <w:szCs w:val="20"/>
              </w:rPr>
              <w:t>2</w:t>
            </w:r>
            <w:r w:rsidR="00CF730C">
              <w:rPr>
                <w:sz w:val="20"/>
                <w:szCs w:val="20"/>
              </w:rPr>
              <w:t>.</w:t>
            </w:r>
            <w:r w:rsidRPr="003E7F07">
              <w:rPr>
                <w:sz w:val="20"/>
                <w:szCs w:val="20"/>
              </w:rPr>
              <w:t>33</w:t>
            </w:r>
          </w:p>
        </w:tc>
        <w:tc>
          <w:tcPr>
            <w:tcW w:w="680" w:type="pct"/>
            <w:tcBorders>
              <w:bottom w:val="single" w:sz="4" w:space="0" w:color="auto"/>
            </w:tcBorders>
          </w:tcPr>
          <w:p w14:paraId="2B61A1EC" w14:textId="76728E9E" w:rsidR="00C80AE0" w:rsidRPr="003E7F07" w:rsidRDefault="00CF730C" w:rsidP="00531B12">
            <w:pPr>
              <w:widowControl w:val="0"/>
              <w:jc w:val="center"/>
              <w:rPr>
                <w:sz w:val="20"/>
                <w:szCs w:val="20"/>
              </w:rPr>
            </w:pPr>
            <w:r>
              <w:rPr>
                <w:sz w:val="20"/>
                <w:szCs w:val="20"/>
              </w:rPr>
              <w:t>.</w:t>
            </w:r>
            <w:r w:rsidR="00C80AE0" w:rsidRPr="003E7F07">
              <w:rPr>
                <w:sz w:val="20"/>
                <w:szCs w:val="20"/>
              </w:rPr>
              <w:t>88</w:t>
            </w:r>
          </w:p>
        </w:tc>
        <w:tc>
          <w:tcPr>
            <w:tcW w:w="914" w:type="pct"/>
            <w:tcBorders>
              <w:bottom w:val="single" w:sz="4" w:space="0" w:color="auto"/>
            </w:tcBorders>
          </w:tcPr>
          <w:p w14:paraId="62B1E6F9" w14:textId="29B26235" w:rsidR="00C80AE0" w:rsidRPr="003E7F07" w:rsidRDefault="00C80AE0" w:rsidP="00C80AE0">
            <w:pPr>
              <w:widowControl w:val="0"/>
              <w:jc w:val="center"/>
              <w:rPr>
                <w:sz w:val="20"/>
                <w:szCs w:val="20"/>
              </w:rPr>
            </w:pPr>
            <w:r w:rsidRPr="003E7F07">
              <w:rPr>
                <w:sz w:val="20"/>
                <w:szCs w:val="20"/>
              </w:rPr>
              <w:t>1</w:t>
            </w:r>
            <w:r w:rsidR="00CF730C">
              <w:rPr>
                <w:sz w:val="20"/>
                <w:szCs w:val="20"/>
              </w:rPr>
              <w:t>.</w:t>
            </w:r>
            <w:r w:rsidRPr="003E7F07">
              <w:rPr>
                <w:sz w:val="20"/>
                <w:szCs w:val="20"/>
              </w:rPr>
              <w:t>259</w:t>
            </w:r>
          </w:p>
        </w:tc>
        <w:tc>
          <w:tcPr>
            <w:tcW w:w="685" w:type="pct"/>
            <w:tcBorders>
              <w:bottom w:val="single" w:sz="4" w:space="0" w:color="auto"/>
            </w:tcBorders>
          </w:tcPr>
          <w:p w14:paraId="5DF6D6B7" w14:textId="77777777" w:rsidR="00C80AE0" w:rsidRPr="003E7F07" w:rsidRDefault="00C80AE0" w:rsidP="00531B12">
            <w:pPr>
              <w:widowControl w:val="0"/>
              <w:jc w:val="center"/>
              <w:rPr>
                <w:sz w:val="20"/>
                <w:szCs w:val="20"/>
              </w:rPr>
            </w:pPr>
            <w:r w:rsidRPr="003E7F07">
              <w:rPr>
                <w:sz w:val="20"/>
                <w:szCs w:val="20"/>
              </w:rPr>
              <w:t>.739</w:t>
            </w:r>
          </w:p>
        </w:tc>
      </w:tr>
      <w:tr w:rsidR="00C80AE0" w:rsidRPr="003E7F07" w14:paraId="6032A3B9" w14:textId="77777777" w:rsidTr="00CF730C">
        <w:trPr>
          <w:trHeight w:val="200"/>
        </w:trPr>
        <w:tc>
          <w:tcPr>
            <w:tcW w:w="641" w:type="pct"/>
            <w:tcBorders>
              <w:bottom w:val="single" w:sz="4" w:space="0" w:color="auto"/>
            </w:tcBorders>
          </w:tcPr>
          <w:p w14:paraId="22FB4C28" w14:textId="77777777" w:rsidR="00C80AE0" w:rsidRPr="003E7F07" w:rsidRDefault="00C80AE0" w:rsidP="00531B12">
            <w:pPr>
              <w:widowControl w:val="0"/>
              <w:rPr>
                <w:b/>
                <w:sz w:val="20"/>
                <w:szCs w:val="20"/>
              </w:rPr>
            </w:pPr>
          </w:p>
        </w:tc>
        <w:tc>
          <w:tcPr>
            <w:tcW w:w="665" w:type="pct"/>
            <w:tcBorders>
              <w:bottom w:val="single" w:sz="4" w:space="0" w:color="auto"/>
            </w:tcBorders>
          </w:tcPr>
          <w:p w14:paraId="1DA56769" w14:textId="77777777" w:rsidR="00C80AE0" w:rsidRPr="003E7F07" w:rsidRDefault="00C80AE0" w:rsidP="00531B12">
            <w:pPr>
              <w:widowControl w:val="0"/>
              <w:jc w:val="center"/>
              <w:rPr>
                <w:b/>
                <w:sz w:val="20"/>
                <w:szCs w:val="20"/>
              </w:rPr>
            </w:pPr>
            <w:r w:rsidRPr="003E7F07">
              <w:rPr>
                <w:b/>
                <w:sz w:val="20"/>
                <w:szCs w:val="20"/>
              </w:rPr>
              <w:t>Media</w:t>
            </w:r>
          </w:p>
        </w:tc>
        <w:tc>
          <w:tcPr>
            <w:tcW w:w="724" w:type="pct"/>
            <w:tcBorders>
              <w:bottom w:val="single" w:sz="4" w:space="0" w:color="auto"/>
            </w:tcBorders>
          </w:tcPr>
          <w:p w14:paraId="6D7CE88E" w14:textId="77777777" w:rsidR="00C80AE0" w:rsidRPr="003E7F07" w:rsidRDefault="00C80AE0" w:rsidP="00531B12">
            <w:pPr>
              <w:widowControl w:val="0"/>
              <w:jc w:val="center"/>
              <w:rPr>
                <w:b/>
                <w:sz w:val="20"/>
                <w:szCs w:val="20"/>
              </w:rPr>
            </w:pPr>
            <w:r w:rsidRPr="003E7F07">
              <w:rPr>
                <w:b/>
                <w:sz w:val="20"/>
                <w:szCs w:val="20"/>
              </w:rPr>
              <w:t>DE</w:t>
            </w:r>
          </w:p>
        </w:tc>
        <w:tc>
          <w:tcPr>
            <w:tcW w:w="691" w:type="pct"/>
            <w:tcBorders>
              <w:bottom w:val="single" w:sz="4" w:space="0" w:color="auto"/>
            </w:tcBorders>
          </w:tcPr>
          <w:p w14:paraId="0EE8FE80" w14:textId="77777777" w:rsidR="00C80AE0" w:rsidRPr="003E7F07" w:rsidRDefault="00C80AE0" w:rsidP="00531B12">
            <w:pPr>
              <w:widowControl w:val="0"/>
              <w:jc w:val="center"/>
              <w:rPr>
                <w:b/>
                <w:sz w:val="20"/>
                <w:szCs w:val="20"/>
              </w:rPr>
            </w:pPr>
            <w:r w:rsidRPr="003E7F07">
              <w:rPr>
                <w:b/>
                <w:sz w:val="20"/>
                <w:szCs w:val="20"/>
              </w:rPr>
              <w:t xml:space="preserve">Media </w:t>
            </w:r>
          </w:p>
        </w:tc>
        <w:tc>
          <w:tcPr>
            <w:tcW w:w="680" w:type="pct"/>
            <w:tcBorders>
              <w:bottom w:val="single" w:sz="4" w:space="0" w:color="auto"/>
            </w:tcBorders>
          </w:tcPr>
          <w:p w14:paraId="1B781E03" w14:textId="77777777" w:rsidR="00C80AE0" w:rsidRPr="003E7F07" w:rsidRDefault="00C80AE0" w:rsidP="00531B12">
            <w:pPr>
              <w:widowControl w:val="0"/>
              <w:jc w:val="center"/>
              <w:rPr>
                <w:b/>
                <w:sz w:val="20"/>
                <w:szCs w:val="20"/>
              </w:rPr>
            </w:pPr>
            <w:r w:rsidRPr="003E7F07">
              <w:rPr>
                <w:b/>
                <w:sz w:val="20"/>
                <w:szCs w:val="20"/>
              </w:rPr>
              <w:t>DE</w:t>
            </w:r>
          </w:p>
        </w:tc>
        <w:tc>
          <w:tcPr>
            <w:tcW w:w="914" w:type="pct"/>
            <w:tcBorders>
              <w:bottom w:val="single" w:sz="4" w:space="0" w:color="auto"/>
            </w:tcBorders>
          </w:tcPr>
          <w:p w14:paraId="07A07EB5" w14:textId="77777777" w:rsidR="00C80AE0" w:rsidRPr="003E7F07" w:rsidRDefault="00C80AE0" w:rsidP="00531B12">
            <w:pPr>
              <w:widowControl w:val="0"/>
              <w:jc w:val="center"/>
              <w:rPr>
                <w:b/>
                <w:sz w:val="20"/>
                <w:szCs w:val="20"/>
              </w:rPr>
            </w:pPr>
            <w:r w:rsidRPr="003E7F07">
              <w:rPr>
                <w:b/>
                <w:sz w:val="20"/>
                <w:szCs w:val="20"/>
              </w:rPr>
              <w:t>t</w:t>
            </w:r>
          </w:p>
        </w:tc>
        <w:tc>
          <w:tcPr>
            <w:tcW w:w="685" w:type="pct"/>
            <w:tcBorders>
              <w:bottom w:val="single" w:sz="4" w:space="0" w:color="auto"/>
            </w:tcBorders>
          </w:tcPr>
          <w:p w14:paraId="3329A884" w14:textId="77777777" w:rsidR="00C80AE0" w:rsidRPr="003E7F07" w:rsidRDefault="00C80AE0" w:rsidP="00531B12">
            <w:pPr>
              <w:widowControl w:val="0"/>
              <w:jc w:val="center"/>
              <w:rPr>
                <w:b/>
                <w:i/>
                <w:sz w:val="20"/>
                <w:szCs w:val="20"/>
              </w:rPr>
            </w:pPr>
            <w:r w:rsidRPr="003E7F07">
              <w:rPr>
                <w:b/>
                <w:i/>
                <w:sz w:val="20"/>
                <w:szCs w:val="20"/>
              </w:rPr>
              <w:t>p</w:t>
            </w:r>
          </w:p>
        </w:tc>
      </w:tr>
      <w:tr w:rsidR="00C80AE0" w:rsidRPr="003E7F07" w14:paraId="0DD5C3FF" w14:textId="77777777" w:rsidTr="00CF730C">
        <w:trPr>
          <w:trHeight w:val="283"/>
        </w:trPr>
        <w:tc>
          <w:tcPr>
            <w:tcW w:w="641" w:type="pct"/>
          </w:tcPr>
          <w:p w14:paraId="11BFCCE5" w14:textId="77777777" w:rsidR="00C80AE0" w:rsidRPr="003E7F07" w:rsidRDefault="00C80AE0" w:rsidP="00531B12">
            <w:pPr>
              <w:widowControl w:val="0"/>
              <w:rPr>
                <w:b/>
                <w:sz w:val="20"/>
                <w:szCs w:val="20"/>
              </w:rPr>
            </w:pPr>
            <w:r w:rsidRPr="003E7F07">
              <w:rPr>
                <w:b/>
                <w:sz w:val="20"/>
                <w:szCs w:val="20"/>
              </w:rPr>
              <w:t>EIE-R</w:t>
            </w:r>
          </w:p>
        </w:tc>
        <w:tc>
          <w:tcPr>
            <w:tcW w:w="665" w:type="pct"/>
          </w:tcPr>
          <w:p w14:paraId="06243B1F" w14:textId="109CEFC5" w:rsidR="00C80AE0" w:rsidRPr="003E7F07" w:rsidRDefault="00C80AE0" w:rsidP="00C80AE0">
            <w:pPr>
              <w:widowControl w:val="0"/>
              <w:jc w:val="center"/>
              <w:rPr>
                <w:sz w:val="20"/>
                <w:szCs w:val="20"/>
              </w:rPr>
            </w:pPr>
            <w:r w:rsidRPr="003E7F07">
              <w:rPr>
                <w:sz w:val="20"/>
                <w:szCs w:val="20"/>
              </w:rPr>
              <w:t>29</w:t>
            </w:r>
            <w:r w:rsidR="00CF730C">
              <w:rPr>
                <w:sz w:val="20"/>
                <w:szCs w:val="20"/>
              </w:rPr>
              <w:t>.</w:t>
            </w:r>
            <w:r w:rsidRPr="003E7F07">
              <w:rPr>
                <w:sz w:val="20"/>
                <w:szCs w:val="20"/>
              </w:rPr>
              <w:t>73</w:t>
            </w:r>
          </w:p>
        </w:tc>
        <w:tc>
          <w:tcPr>
            <w:tcW w:w="724" w:type="pct"/>
          </w:tcPr>
          <w:p w14:paraId="36FCC424" w14:textId="795D12F2" w:rsidR="00C80AE0" w:rsidRPr="003E7F07" w:rsidRDefault="00C80AE0" w:rsidP="00531B12">
            <w:pPr>
              <w:widowControl w:val="0"/>
              <w:jc w:val="center"/>
              <w:rPr>
                <w:sz w:val="20"/>
                <w:szCs w:val="20"/>
              </w:rPr>
            </w:pPr>
            <w:r w:rsidRPr="003E7F07">
              <w:rPr>
                <w:sz w:val="20"/>
                <w:szCs w:val="20"/>
              </w:rPr>
              <w:t>18</w:t>
            </w:r>
            <w:r w:rsidR="00CF730C">
              <w:rPr>
                <w:sz w:val="20"/>
                <w:szCs w:val="20"/>
              </w:rPr>
              <w:t>.</w:t>
            </w:r>
            <w:r w:rsidRPr="003E7F07">
              <w:rPr>
                <w:sz w:val="20"/>
                <w:szCs w:val="20"/>
              </w:rPr>
              <w:t>32</w:t>
            </w:r>
          </w:p>
        </w:tc>
        <w:tc>
          <w:tcPr>
            <w:tcW w:w="691" w:type="pct"/>
          </w:tcPr>
          <w:p w14:paraId="43A0C08F" w14:textId="39583310" w:rsidR="00C80AE0" w:rsidRPr="003E7F07" w:rsidRDefault="00C80AE0" w:rsidP="00531B12">
            <w:pPr>
              <w:widowControl w:val="0"/>
              <w:jc w:val="center"/>
              <w:rPr>
                <w:sz w:val="20"/>
                <w:szCs w:val="20"/>
              </w:rPr>
            </w:pPr>
            <w:r w:rsidRPr="003E7F07">
              <w:rPr>
                <w:sz w:val="20"/>
                <w:szCs w:val="20"/>
              </w:rPr>
              <w:t>26</w:t>
            </w:r>
            <w:r w:rsidR="00CF730C">
              <w:rPr>
                <w:sz w:val="20"/>
                <w:szCs w:val="20"/>
              </w:rPr>
              <w:t>.</w:t>
            </w:r>
            <w:r w:rsidRPr="003E7F07">
              <w:rPr>
                <w:sz w:val="20"/>
                <w:szCs w:val="20"/>
              </w:rPr>
              <w:t>78</w:t>
            </w:r>
          </w:p>
        </w:tc>
        <w:tc>
          <w:tcPr>
            <w:tcW w:w="680" w:type="pct"/>
          </w:tcPr>
          <w:p w14:paraId="0908094A" w14:textId="60F71F9D" w:rsidR="00C80AE0" w:rsidRPr="003E7F07" w:rsidRDefault="00C80AE0" w:rsidP="00C80AE0">
            <w:pPr>
              <w:widowControl w:val="0"/>
              <w:jc w:val="center"/>
              <w:rPr>
                <w:sz w:val="20"/>
                <w:szCs w:val="20"/>
              </w:rPr>
            </w:pPr>
            <w:r w:rsidRPr="003E7F07">
              <w:rPr>
                <w:sz w:val="20"/>
                <w:szCs w:val="20"/>
              </w:rPr>
              <w:t>19</w:t>
            </w:r>
            <w:r w:rsidR="00CF730C">
              <w:rPr>
                <w:sz w:val="20"/>
                <w:szCs w:val="20"/>
              </w:rPr>
              <w:t>.</w:t>
            </w:r>
            <w:r w:rsidRPr="003E7F07">
              <w:rPr>
                <w:sz w:val="20"/>
                <w:szCs w:val="20"/>
              </w:rPr>
              <w:t>26</w:t>
            </w:r>
          </w:p>
        </w:tc>
        <w:tc>
          <w:tcPr>
            <w:tcW w:w="914" w:type="pct"/>
          </w:tcPr>
          <w:p w14:paraId="3A19124A" w14:textId="13D18B91" w:rsidR="00C80AE0" w:rsidRPr="003E7F07" w:rsidRDefault="00C80AE0" w:rsidP="00C80AE0">
            <w:pPr>
              <w:widowControl w:val="0"/>
              <w:jc w:val="center"/>
              <w:rPr>
                <w:sz w:val="20"/>
                <w:szCs w:val="20"/>
              </w:rPr>
            </w:pPr>
            <w:r w:rsidRPr="003E7F07">
              <w:rPr>
                <w:sz w:val="20"/>
                <w:szCs w:val="20"/>
              </w:rPr>
              <w:t>1</w:t>
            </w:r>
            <w:r w:rsidR="00CF730C">
              <w:rPr>
                <w:sz w:val="20"/>
                <w:szCs w:val="20"/>
              </w:rPr>
              <w:t>.</w:t>
            </w:r>
            <w:r w:rsidRPr="003E7F07">
              <w:rPr>
                <w:sz w:val="20"/>
                <w:szCs w:val="20"/>
              </w:rPr>
              <w:t>121</w:t>
            </w:r>
          </w:p>
        </w:tc>
        <w:tc>
          <w:tcPr>
            <w:tcW w:w="685" w:type="pct"/>
          </w:tcPr>
          <w:p w14:paraId="6EDF7699" w14:textId="77777777" w:rsidR="00C80AE0" w:rsidRPr="003E7F07" w:rsidRDefault="00C80AE0" w:rsidP="00531B12">
            <w:pPr>
              <w:widowControl w:val="0"/>
              <w:jc w:val="center"/>
              <w:rPr>
                <w:sz w:val="20"/>
                <w:szCs w:val="20"/>
              </w:rPr>
            </w:pPr>
            <w:r w:rsidRPr="003E7F07">
              <w:rPr>
                <w:sz w:val="20"/>
                <w:szCs w:val="20"/>
              </w:rPr>
              <w:t>.264</w:t>
            </w:r>
          </w:p>
        </w:tc>
      </w:tr>
      <w:tr w:rsidR="00C80AE0" w:rsidRPr="003E7F07" w14:paraId="7E1D3551" w14:textId="77777777" w:rsidTr="00CF730C">
        <w:trPr>
          <w:trHeight w:val="143"/>
        </w:trPr>
        <w:tc>
          <w:tcPr>
            <w:tcW w:w="641" w:type="pct"/>
          </w:tcPr>
          <w:p w14:paraId="5CCCBD37" w14:textId="77777777" w:rsidR="00C80AE0" w:rsidRPr="003E7F07" w:rsidRDefault="00C80AE0" w:rsidP="00531B12">
            <w:pPr>
              <w:widowControl w:val="0"/>
              <w:rPr>
                <w:sz w:val="20"/>
                <w:szCs w:val="20"/>
              </w:rPr>
            </w:pPr>
            <w:r w:rsidRPr="003E7F07">
              <w:rPr>
                <w:sz w:val="20"/>
                <w:szCs w:val="20"/>
              </w:rPr>
              <w:t>I</w:t>
            </w:r>
          </w:p>
        </w:tc>
        <w:tc>
          <w:tcPr>
            <w:tcW w:w="665" w:type="pct"/>
          </w:tcPr>
          <w:p w14:paraId="3583CDEF" w14:textId="0ACE85B0" w:rsidR="00C80AE0" w:rsidRPr="003E7F07" w:rsidRDefault="00C80AE0" w:rsidP="00C80AE0">
            <w:pPr>
              <w:widowControl w:val="0"/>
              <w:jc w:val="center"/>
              <w:rPr>
                <w:sz w:val="20"/>
                <w:szCs w:val="20"/>
              </w:rPr>
            </w:pPr>
            <w:r w:rsidRPr="003E7F07">
              <w:rPr>
                <w:sz w:val="20"/>
                <w:szCs w:val="20"/>
              </w:rPr>
              <w:t>9</w:t>
            </w:r>
            <w:r w:rsidR="00CF730C">
              <w:rPr>
                <w:sz w:val="20"/>
                <w:szCs w:val="20"/>
              </w:rPr>
              <w:t>.</w:t>
            </w:r>
            <w:r w:rsidRPr="003E7F07">
              <w:rPr>
                <w:sz w:val="20"/>
                <w:szCs w:val="20"/>
              </w:rPr>
              <w:t>41</w:t>
            </w:r>
          </w:p>
        </w:tc>
        <w:tc>
          <w:tcPr>
            <w:tcW w:w="724" w:type="pct"/>
          </w:tcPr>
          <w:p w14:paraId="1C801355" w14:textId="767D70E6" w:rsidR="00C80AE0" w:rsidRPr="003E7F07" w:rsidRDefault="00C80AE0" w:rsidP="00531B12">
            <w:pPr>
              <w:widowControl w:val="0"/>
              <w:jc w:val="center"/>
              <w:rPr>
                <w:sz w:val="20"/>
                <w:szCs w:val="20"/>
              </w:rPr>
            </w:pPr>
            <w:r w:rsidRPr="003E7F07">
              <w:rPr>
                <w:sz w:val="20"/>
                <w:szCs w:val="20"/>
              </w:rPr>
              <w:t>7</w:t>
            </w:r>
            <w:r w:rsidR="00CF730C">
              <w:rPr>
                <w:sz w:val="20"/>
                <w:szCs w:val="20"/>
              </w:rPr>
              <w:t>.</w:t>
            </w:r>
            <w:r w:rsidRPr="003E7F07">
              <w:rPr>
                <w:sz w:val="20"/>
                <w:szCs w:val="20"/>
              </w:rPr>
              <w:t>12</w:t>
            </w:r>
          </w:p>
        </w:tc>
        <w:tc>
          <w:tcPr>
            <w:tcW w:w="691" w:type="pct"/>
          </w:tcPr>
          <w:p w14:paraId="0EAC71CC" w14:textId="393F663E" w:rsidR="00C80AE0" w:rsidRPr="003E7F07" w:rsidRDefault="00C80AE0" w:rsidP="00C80AE0">
            <w:pPr>
              <w:widowControl w:val="0"/>
              <w:jc w:val="center"/>
              <w:rPr>
                <w:sz w:val="20"/>
                <w:szCs w:val="20"/>
              </w:rPr>
            </w:pPr>
            <w:r w:rsidRPr="003E7F07">
              <w:rPr>
                <w:sz w:val="20"/>
                <w:szCs w:val="20"/>
              </w:rPr>
              <w:t>9</w:t>
            </w:r>
            <w:r w:rsidR="00CF730C">
              <w:rPr>
                <w:sz w:val="20"/>
                <w:szCs w:val="20"/>
              </w:rPr>
              <w:t>.</w:t>
            </w:r>
            <w:r w:rsidRPr="003E7F07">
              <w:rPr>
                <w:sz w:val="20"/>
                <w:szCs w:val="20"/>
              </w:rPr>
              <w:t>22</w:t>
            </w:r>
          </w:p>
        </w:tc>
        <w:tc>
          <w:tcPr>
            <w:tcW w:w="680" w:type="pct"/>
          </w:tcPr>
          <w:p w14:paraId="08964BEC" w14:textId="183F3831" w:rsidR="00C80AE0" w:rsidRPr="003E7F07" w:rsidRDefault="00C80AE0" w:rsidP="00C80AE0">
            <w:pPr>
              <w:widowControl w:val="0"/>
              <w:jc w:val="center"/>
              <w:rPr>
                <w:sz w:val="20"/>
                <w:szCs w:val="20"/>
              </w:rPr>
            </w:pPr>
            <w:r w:rsidRPr="003E7F07">
              <w:rPr>
                <w:sz w:val="20"/>
                <w:szCs w:val="20"/>
              </w:rPr>
              <w:t>7</w:t>
            </w:r>
            <w:r w:rsidR="00CF730C">
              <w:rPr>
                <w:sz w:val="20"/>
                <w:szCs w:val="20"/>
              </w:rPr>
              <w:t>.</w:t>
            </w:r>
            <w:r w:rsidRPr="003E7F07">
              <w:rPr>
                <w:sz w:val="20"/>
                <w:szCs w:val="20"/>
              </w:rPr>
              <w:t>50</w:t>
            </w:r>
          </w:p>
        </w:tc>
        <w:tc>
          <w:tcPr>
            <w:tcW w:w="914" w:type="pct"/>
          </w:tcPr>
          <w:p w14:paraId="44435261" w14:textId="68E28DA0" w:rsidR="00C80AE0" w:rsidRPr="003E7F07" w:rsidRDefault="00CF730C" w:rsidP="00531B12">
            <w:pPr>
              <w:widowControl w:val="0"/>
              <w:jc w:val="center"/>
              <w:rPr>
                <w:sz w:val="20"/>
                <w:szCs w:val="20"/>
              </w:rPr>
            </w:pPr>
            <w:r>
              <w:rPr>
                <w:sz w:val="20"/>
                <w:szCs w:val="20"/>
              </w:rPr>
              <w:t>.</w:t>
            </w:r>
            <w:r w:rsidR="00C80AE0" w:rsidRPr="003E7F07">
              <w:rPr>
                <w:sz w:val="20"/>
                <w:szCs w:val="20"/>
              </w:rPr>
              <w:t>188</w:t>
            </w:r>
          </w:p>
        </w:tc>
        <w:tc>
          <w:tcPr>
            <w:tcW w:w="685" w:type="pct"/>
          </w:tcPr>
          <w:p w14:paraId="65BC267B" w14:textId="77777777" w:rsidR="00C80AE0" w:rsidRPr="003E7F07" w:rsidRDefault="00C80AE0" w:rsidP="00531B12">
            <w:pPr>
              <w:widowControl w:val="0"/>
              <w:jc w:val="center"/>
              <w:rPr>
                <w:sz w:val="20"/>
                <w:szCs w:val="20"/>
              </w:rPr>
            </w:pPr>
            <w:r w:rsidRPr="003E7F07">
              <w:rPr>
                <w:sz w:val="20"/>
                <w:szCs w:val="20"/>
              </w:rPr>
              <w:t>.851</w:t>
            </w:r>
          </w:p>
        </w:tc>
      </w:tr>
      <w:tr w:rsidR="00C80AE0" w:rsidRPr="003E7F07" w14:paraId="31820585" w14:textId="77777777" w:rsidTr="00CF730C">
        <w:trPr>
          <w:trHeight w:val="25"/>
        </w:trPr>
        <w:tc>
          <w:tcPr>
            <w:tcW w:w="641" w:type="pct"/>
          </w:tcPr>
          <w:p w14:paraId="41934F33" w14:textId="77777777" w:rsidR="00C80AE0" w:rsidRPr="003E7F07" w:rsidRDefault="00C80AE0" w:rsidP="00531B12">
            <w:pPr>
              <w:widowControl w:val="0"/>
              <w:rPr>
                <w:sz w:val="20"/>
                <w:szCs w:val="20"/>
              </w:rPr>
            </w:pPr>
            <w:r w:rsidRPr="003E7F07">
              <w:rPr>
                <w:sz w:val="20"/>
                <w:szCs w:val="20"/>
              </w:rPr>
              <w:t xml:space="preserve">H </w:t>
            </w:r>
          </w:p>
        </w:tc>
        <w:tc>
          <w:tcPr>
            <w:tcW w:w="665" w:type="pct"/>
          </w:tcPr>
          <w:p w14:paraId="4B522B39" w14:textId="435BD229" w:rsidR="00C80AE0" w:rsidRPr="003E7F07" w:rsidRDefault="00C80AE0" w:rsidP="00C80AE0">
            <w:pPr>
              <w:widowControl w:val="0"/>
              <w:jc w:val="center"/>
              <w:rPr>
                <w:sz w:val="20"/>
                <w:szCs w:val="20"/>
              </w:rPr>
            </w:pPr>
            <w:r w:rsidRPr="003E7F07">
              <w:rPr>
                <w:sz w:val="20"/>
                <w:szCs w:val="20"/>
              </w:rPr>
              <w:t>8</w:t>
            </w:r>
            <w:r w:rsidR="00CF730C">
              <w:rPr>
                <w:sz w:val="20"/>
                <w:szCs w:val="20"/>
              </w:rPr>
              <w:t>.</w:t>
            </w:r>
            <w:r w:rsidRPr="003E7F07">
              <w:rPr>
                <w:sz w:val="20"/>
                <w:szCs w:val="20"/>
              </w:rPr>
              <w:t>94</w:t>
            </w:r>
          </w:p>
        </w:tc>
        <w:tc>
          <w:tcPr>
            <w:tcW w:w="724" w:type="pct"/>
          </w:tcPr>
          <w:p w14:paraId="2A50FF6D" w14:textId="2088A794" w:rsidR="00C80AE0" w:rsidRPr="003E7F07" w:rsidRDefault="00C80AE0" w:rsidP="00531B12">
            <w:pPr>
              <w:widowControl w:val="0"/>
              <w:jc w:val="center"/>
              <w:rPr>
                <w:sz w:val="20"/>
                <w:szCs w:val="20"/>
              </w:rPr>
            </w:pPr>
            <w:r w:rsidRPr="003E7F07">
              <w:rPr>
                <w:sz w:val="20"/>
                <w:szCs w:val="20"/>
              </w:rPr>
              <w:t>6</w:t>
            </w:r>
            <w:r w:rsidR="00CF730C">
              <w:rPr>
                <w:sz w:val="20"/>
                <w:szCs w:val="20"/>
              </w:rPr>
              <w:t>.</w:t>
            </w:r>
            <w:r w:rsidRPr="003E7F07">
              <w:rPr>
                <w:sz w:val="20"/>
                <w:szCs w:val="20"/>
              </w:rPr>
              <w:t>24</w:t>
            </w:r>
          </w:p>
        </w:tc>
        <w:tc>
          <w:tcPr>
            <w:tcW w:w="691" w:type="pct"/>
          </w:tcPr>
          <w:p w14:paraId="3B86722F" w14:textId="300526EC" w:rsidR="00C80AE0" w:rsidRPr="003E7F07" w:rsidRDefault="00C80AE0" w:rsidP="00C80AE0">
            <w:pPr>
              <w:widowControl w:val="0"/>
              <w:jc w:val="center"/>
              <w:rPr>
                <w:sz w:val="20"/>
                <w:szCs w:val="20"/>
              </w:rPr>
            </w:pPr>
            <w:r w:rsidRPr="003E7F07">
              <w:rPr>
                <w:sz w:val="20"/>
                <w:szCs w:val="20"/>
              </w:rPr>
              <w:t>7</w:t>
            </w:r>
            <w:r w:rsidR="00CF730C">
              <w:rPr>
                <w:sz w:val="20"/>
                <w:szCs w:val="20"/>
              </w:rPr>
              <w:t>.</w:t>
            </w:r>
            <w:r w:rsidRPr="003E7F07">
              <w:rPr>
                <w:sz w:val="20"/>
                <w:szCs w:val="20"/>
              </w:rPr>
              <w:t>79</w:t>
            </w:r>
          </w:p>
        </w:tc>
        <w:tc>
          <w:tcPr>
            <w:tcW w:w="680" w:type="pct"/>
          </w:tcPr>
          <w:p w14:paraId="2FD75112" w14:textId="7F42C610" w:rsidR="00C80AE0" w:rsidRPr="003E7F07" w:rsidRDefault="00C80AE0" w:rsidP="00C80AE0">
            <w:pPr>
              <w:widowControl w:val="0"/>
              <w:jc w:val="center"/>
              <w:rPr>
                <w:sz w:val="20"/>
                <w:szCs w:val="20"/>
              </w:rPr>
            </w:pPr>
            <w:r w:rsidRPr="003E7F07">
              <w:rPr>
                <w:sz w:val="20"/>
                <w:szCs w:val="20"/>
              </w:rPr>
              <w:t>5</w:t>
            </w:r>
            <w:r w:rsidR="00CF730C">
              <w:rPr>
                <w:sz w:val="20"/>
                <w:szCs w:val="20"/>
              </w:rPr>
              <w:t>.</w:t>
            </w:r>
            <w:r w:rsidRPr="003E7F07">
              <w:rPr>
                <w:sz w:val="20"/>
                <w:szCs w:val="20"/>
              </w:rPr>
              <w:t>94</w:t>
            </w:r>
          </w:p>
        </w:tc>
        <w:tc>
          <w:tcPr>
            <w:tcW w:w="914" w:type="pct"/>
          </w:tcPr>
          <w:p w14:paraId="302360ED" w14:textId="286DE5C2" w:rsidR="00C80AE0" w:rsidRPr="003E7F07" w:rsidRDefault="00C80AE0" w:rsidP="00531B12">
            <w:pPr>
              <w:widowControl w:val="0"/>
              <w:jc w:val="center"/>
              <w:rPr>
                <w:sz w:val="20"/>
                <w:szCs w:val="20"/>
              </w:rPr>
            </w:pPr>
            <w:r w:rsidRPr="003E7F07">
              <w:rPr>
                <w:sz w:val="20"/>
                <w:szCs w:val="20"/>
              </w:rPr>
              <w:t>1</w:t>
            </w:r>
            <w:r w:rsidR="00CF730C">
              <w:rPr>
                <w:sz w:val="20"/>
                <w:szCs w:val="20"/>
              </w:rPr>
              <w:t>.</w:t>
            </w:r>
            <w:r w:rsidRPr="003E7F07">
              <w:rPr>
                <w:sz w:val="20"/>
                <w:szCs w:val="20"/>
              </w:rPr>
              <w:t>314</w:t>
            </w:r>
          </w:p>
        </w:tc>
        <w:tc>
          <w:tcPr>
            <w:tcW w:w="685" w:type="pct"/>
          </w:tcPr>
          <w:p w14:paraId="584A328C" w14:textId="77777777" w:rsidR="00C80AE0" w:rsidRPr="003E7F07" w:rsidRDefault="00C80AE0" w:rsidP="00531B12">
            <w:pPr>
              <w:widowControl w:val="0"/>
              <w:jc w:val="center"/>
              <w:rPr>
                <w:sz w:val="20"/>
                <w:szCs w:val="20"/>
              </w:rPr>
            </w:pPr>
            <w:r w:rsidRPr="003E7F07">
              <w:rPr>
                <w:sz w:val="20"/>
                <w:szCs w:val="20"/>
              </w:rPr>
              <w:t>.190</w:t>
            </w:r>
          </w:p>
        </w:tc>
      </w:tr>
      <w:tr w:rsidR="00C80AE0" w:rsidRPr="003E7F07" w14:paraId="1A796419" w14:textId="77777777" w:rsidTr="00CF730C">
        <w:trPr>
          <w:trHeight w:val="135"/>
        </w:trPr>
        <w:tc>
          <w:tcPr>
            <w:tcW w:w="641" w:type="pct"/>
          </w:tcPr>
          <w:p w14:paraId="641A7EEE" w14:textId="77777777" w:rsidR="00C80AE0" w:rsidRPr="003E7F07" w:rsidRDefault="00C80AE0" w:rsidP="00531B12">
            <w:pPr>
              <w:widowControl w:val="0"/>
              <w:rPr>
                <w:sz w:val="20"/>
                <w:szCs w:val="20"/>
              </w:rPr>
            </w:pPr>
            <w:r w:rsidRPr="003E7F07">
              <w:rPr>
                <w:sz w:val="20"/>
                <w:szCs w:val="20"/>
              </w:rPr>
              <w:t xml:space="preserve">E </w:t>
            </w:r>
          </w:p>
        </w:tc>
        <w:tc>
          <w:tcPr>
            <w:tcW w:w="665" w:type="pct"/>
          </w:tcPr>
          <w:p w14:paraId="67845277" w14:textId="6C7C2C31" w:rsidR="00C80AE0" w:rsidRPr="003E7F07" w:rsidRDefault="00C80AE0" w:rsidP="00C80AE0">
            <w:pPr>
              <w:widowControl w:val="0"/>
              <w:jc w:val="center"/>
              <w:rPr>
                <w:sz w:val="20"/>
                <w:szCs w:val="20"/>
              </w:rPr>
            </w:pPr>
            <w:r w:rsidRPr="003E7F07">
              <w:rPr>
                <w:sz w:val="20"/>
                <w:szCs w:val="20"/>
              </w:rPr>
              <w:t>11</w:t>
            </w:r>
            <w:r w:rsidR="00CF730C">
              <w:rPr>
                <w:sz w:val="20"/>
                <w:szCs w:val="20"/>
              </w:rPr>
              <w:t>.</w:t>
            </w:r>
            <w:r w:rsidRPr="003E7F07">
              <w:rPr>
                <w:sz w:val="20"/>
                <w:szCs w:val="20"/>
              </w:rPr>
              <w:t>39</w:t>
            </w:r>
          </w:p>
        </w:tc>
        <w:tc>
          <w:tcPr>
            <w:tcW w:w="724" w:type="pct"/>
          </w:tcPr>
          <w:p w14:paraId="5A5C8F8C" w14:textId="22BDF015" w:rsidR="00C80AE0" w:rsidRPr="003E7F07" w:rsidRDefault="00C80AE0" w:rsidP="00531B12">
            <w:pPr>
              <w:widowControl w:val="0"/>
              <w:jc w:val="center"/>
              <w:rPr>
                <w:sz w:val="20"/>
                <w:szCs w:val="20"/>
              </w:rPr>
            </w:pPr>
            <w:r w:rsidRPr="003E7F07">
              <w:rPr>
                <w:sz w:val="20"/>
                <w:szCs w:val="20"/>
              </w:rPr>
              <w:t>7</w:t>
            </w:r>
            <w:r w:rsidR="00CF730C">
              <w:rPr>
                <w:sz w:val="20"/>
                <w:szCs w:val="20"/>
              </w:rPr>
              <w:t>.</w:t>
            </w:r>
            <w:r w:rsidRPr="003E7F07">
              <w:rPr>
                <w:sz w:val="20"/>
                <w:szCs w:val="20"/>
              </w:rPr>
              <w:t>04</w:t>
            </w:r>
          </w:p>
        </w:tc>
        <w:tc>
          <w:tcPr>
            <w:tcW w:w="691" w:type="pct"/>
          </w:tcPr>
          <w:p w14:paraId="57D5A5C8" w14:textId="5F08F80F" w:rsidR="00C80AE0" w:rsidRPr="003E7F07" w:rsidRDefault="00C80AE0" w:rsidP="00C80AE0">
            <w:pPr>
              <w:widowControl w:val="0"/>
              <w:jc w:val="center"/>
              <w:rPr>
                <w:sz w:val="20"/>
                <w:szCs w:val="20"/>
              </w:rPr>
            </w:pPr>
            <w:r w:rsidRPr="003E7F07">
              <w:rPr>
                <w:sz w:val="20"/>
                <w:szCs w:val="20"/>
              </w:rPr>
              <w:t>9</w:t>
            </w:r>
            <w:r w:rsidR="00CF730C">
              <w:rPr>
                <w:sz w:val="20"/>
                <w:szCs w:val="20"/>
              </w:rPr>
              <w:t>.</w:t>
            </w:r>
            <w:r w:rsidRPr="003E7F07">
              <w:rPr>
                <w:sz w:val="20"/>
                <w:szCs w:val="20"/>
              </w:rPr>
              <w:t>77</w:t>
            </w:r>
          </w:p>
        </w:tc>
        <w:tc>
          <w:tcPr>
            <w:tcW w:w="680" w:type="pct"/>
          </w:tcPr>
          <w:p w14:paraId="3A45C718" w14:textId="76C80360" w:rsidR="00C80AE0" w:rsidRPr="003E7F07" w:rsidRDefault="00C80AE0" w:rsidP="00C80AE0">
            <w:pPr>
              <w:widowControl w:val="0"/>
              <w:jc w:val="center"/>
              <w:rPr>
                <w:sz w:val="20"/>
                <w:szCs w:val="20"/>
              </w:rPr>
            </w:pPr>
            <w:r w:rsidRPr="003E7F07">
              <w:rPr>
                <w:sz w:val="20"/>
                <w:szCs w:val="20"/>
              </w:rPr>
              <w:t>7</w:t>
            </w:r>
            <w:r w:rsidR="00CF730C">
              <w:rPr>
                <w:sz w:val="20"/>
                <w:szCs w:val="20"/>
              </w:rPr>
              <w:t>.</w:t>
            </w:r>
            <w:r w:rsidRPr="003E7F07">
              <w:rPr>
                <w:sz w:val="20"/>
                <w:szCs w:val="20"/>
              </w:rPr>
              <w:t>38</w:t>
            </w:r>
          </w:p>
        </w:tc>
        <w:tc>
          <w:tcPr>
            <w:tcW w:w="914" w:type="pct"/>
          </w:tcPr>
          <w:p w14:paraId="1BE4A958" w14:textId="2B025089" w:rsidR="00C80AE0" w:rsidRPr="003E7F07" w:rsidRDefault="00C80AE0" w:rsidP="00531B12">
            <w:pPr>
              <w:widowControl w:val="0"/>
              <w:jc w:val="center"/>
              <w:rPr>
                <w:sz w:val="20"/>
                <w:szCs w:val="20"/>
              </w:rPr>
            </w:pPr>
            <w:r w:rsidRPr="003E7F07">
              <w:rPr>
                <w:sz w:val="20"/>
                <w:szCs w:val="20"/>
              </w:rPr>
              <w:t>1</w:t>
            </w:r>
            <w:r w:rsidR="00CF730C">
              <w:rPr>
                <w:sz w:val="20"/>
                <w:szCs w:val="20"/>
              </w:rPr>
              <w:t>.</w:t>
            </w:r>
            <w:r w:rsidRPr="003E7F07">
              <w:rPr>
                <w:sz w:val="20"/>
                <w:szCs w:val="20"/>
              </w:rPr>
              <w:t>601</w:t>
            </w:r>
          </w:p>
        </w:tc>
        <w:tc>
          <w:tcPr>
            <w:tcW w:w="685" w:type="pct"/>
          </w:tcPr>
          <w:p w14:paraId="2E414ED1" w14:textId="77777777" w:rsidR="00C80AE0" w:rsidRPr="003E7F07" w:rsidRDefault="00C80AE0" w:rsidP="00531B12">
            <w:pPr>
              <w:widowControl w:val="0"/>
              <w:jc w:val="center"/>
              <w:rPr>
                <w:sz w:val="20"/>
                <w:szCs w:val="20"/>
              </w:rPr>
            </w:pPr>
            <w:r w:rsidRPr="003E7F07">
              <w:rPr>
                <w:sz w:val="20"/>
                <w:szCs w:val="20"/>
              </w:rPr>
              <w:t>.111</w:t>
            </w:r>
          </w:p>
        </w:tc>
      </w:tr>
      <w:tr w:rsidR="00C80AE0" w:rsidRPr="003E7F07" w14:paraId="6B1B170A" w14:textId="77777777" w:rsidTr="00CF730C">
        <w:trPr>
          <w:trHeight w:val="273"/>
        </w:trPr>
        <w:tc>
          <w:tcPr>
            <w:tcW w:w="641" w:type="pct"/>
          </w:tcPr>
          <w:p w14:paraId="3E01C117" w14:textId="77777777" w:rsidR="00C80AE0" w:rsidRPr="003E7F07" w:rsidRDefault="00C80AE0" w:rsidP="00531B12">
            <w:pPr>
              <w:widowControl w:val="0"/>
              <w:rPr>
                <w:b/>
                <w:sz w:val="20"/>
                <w:szCs w:val="20"/>
              </w:rPr>
            </w:pPr>
            <w:r w:rsidRPr="003E7F07">
              <w:rPr>
                <w:b/>
                <w:sz w:val="20"/>
                <w:szCs w:val="20"/>
              </w:rPr>
              <w:t>CSI</w:t>
            </w:r>
          </w:p>
        </w:tc>
        <w:tc>
          <w:tcPr>
            <w:tcW w:w="665" w:type="pct"/>
          </w:tcPr>
          <w:p w14:paraId="6459570F" w14:textId="14744062" w:rsidR="00C80AE0" w:rsidRPr="003E7F07" w:rsidRDefault="00C80AE0" w:rsidP="00C80AE0">
            <w:pPr>
              <w:widowControl w:val="0"/>
              <w:jc w:val="center"/>
              <w:rPr>
                <w:sz w:val="20"/>
                <w:szCs w:val="20"/>
              </w:rPr>
            </w:pPr>
            <w:r w:rsidRPr="003E7F07">
              <w:rPr>
                <w:sz w:val="20"/>
                <w:szCs w:val="20"/>
              </w:rPr>
              <w:t>71</w:t>
            </w:r>
            <w:r w:rsidR="00CF730C">
              <w:rPr>
                <w:sz w:val="20"/>
                <w:szCs w:val="20"/>
              </w:rPr>
              <w:t>.</w:t>
            </w:r>
            <w:r w:rsidRPr="003E7F07">
              <w:rPr>
                <w:sz w:val="20"/>
                <w:szCs w:val="20"/>
              </w:rPr>
              <w:t>97</w:t>
            </w:r>
          </w:p>
        </w:tc>
        <w:tc>
          <w:tcPr>
            <w:tcW w:w="724" w:type="pct"/>
          </w:tcPr>
          <w:p w14:paraId="526DD422" w14:textId="265AD207" w:rsidR="00C80AE0" w:rsidRPr="003E7F07" w:rsidRDefault="00C80AE0" w:rsidP="00531B12">
            <w:pPr>
              <w:widowControl w:val="0"/>
              <w:jc w:val="center"/>
              <w:rPr>
                <w:sz w:val="20"/>
                <w:szCs w:val="20"/>
              </w:rPr>
            </w:pPr>
            <w:r w:rsidRPr="003E7F07">
              <w:rPr>
                <w:sz w:val="20"/>
                <w:szCs w:val="20"/>
              </w:rPr>
              <w:t>24</w:t>
            </w:r>
            <w:r w:rsidR="00CF730C">
              <w:rPr>
                <w:sz w:val="20"/>
                <w:szCs w:val="20"/>
              </w:rPr>
              <w:t>.</w:t>
            </w:r>
            <w:r w:rsidRPr="003E7F07">
              <w:rPr>
                <w:sz w:val="20"/>
                <w:szCs w:val="20"/>
              </w:rPr>
              <w:t>56</w:t>
            </w:r>
          </w:p>
        </w:tc>
        <w:tc>
          <w:tcPr>
            <w:tcW w:w="691" w:type="pct"/>
          </w:tcPr>
          <w:p w14:paraId="31DAB739" w14:textId="54019B2D" w:rsidR="00C80AE0" w:rsidRPr="003E7F07" w:rsidRDefault="00C80AE0" w:rsidP="00C80AE0">
            <w:pPr>
              <w:widowControl w:val="0"/>
              <w:jc w:val="center"/>
              <w:rPr>
                <w:sz w:val="20"/>
                <w:szCs w:val="20"/>
              </w:rPr>
            </w:pPr>
            <w:r w:rsidRPr="003E7F07">
              <w:rPr>
                <w:sz w:val="20"/>
                <w:szCs w:val="20"/>
              </w:rPr>
              <w:t>65</w:t>
            </w:r>
            <w:r w:rsidR="00CF730C">
              <w:rPr>
                <w:sz w:val="20"/>
                <w:szCs w:val="20"/>
              </w:rPr>
              <w:t>.</w:t>
            </w:r>
            <w:r w:rsidRPr="003E7F07">
              <w:rPr>
                <w:sz w:val="20"/>
                <w:szCs w:val="20"/>
              </w:rPr>
              <w:t>19</w:t>
            </w:r>
          </w:p>
        </w:tc>
        <w:tc>
          <w:tcPr>
            <w:tcW w:w="680" w:type="pct"/>
          </w:tcPr>
          <w:p w14:paraId="2EB3D0F0" w14:textId="22433BD2" w:rsidR="00C80AE0" w:rsidRPr="003E7F07" w:rsidRDefault="00C80AE0" w:rsidP="00C80AE0">
            <w:pPr>
              <w:widowControl w:val="0"/>
              <w:jc w:val="center"/>
              <w:rPr>
                <w:sz w:val="20"/>
                <w:szCs w:val="20"/>
              </w:rPr>
            </w:pPr>
            <w:r w:rsidRPr="003E7F07">
              <w:rPr>
                <w:sz w:val="20"/>
                <w:szCs w:val="20"/>
              </w:rPr>
              <w:t>25</w:t>
            </w:r>
            <w:r w:rsidR="00CF730C">
              <w:rPr>
                <w:sz w:val="20"/>
                <w:szCs w:val="20"/>
              </w:rPr>
              <w:t>.</w:t>
            </w:r>
            <w:r w:rsidRPr="003E7F07">
              <w:rPr>
                <w:sz w:val="20"/>
                <w:szCs w:val="20"/>
              </w:rPr>
              <w:t>92</w:t>
            </w:r>
          </w:p>
        </w:tc>
        <w:tc>
          <w:tcPr>
            <w:tcW w:w="914" w:type="pct"/>
          </w:tcPr>
          <w:p w14:paraId="52EAC51E" w14:textId="19180A0C" w:rsidR="00C80AE0" w:rsidRPr="003E7F07" w:rsidRDefault="00C80AE0" w:rsidP="00531B12">
            <w:pPr>
              <w:widowControl w:val="0"/>
              <w:jc w:val="center"/>
              <w:rPr>
                <w:sz w:val="20"/>
                <w:szCs w:val="20"/>
              </w:rPr>
            </w:pPr>
            <w:r w:rsidRPr="003E7F07">
              <w:rPr>
                <w:sz w:val="20"/>
                <w:szCs w:val="20"/>
              </w:rPr>
              <w:t>1</w:t>
            </w:r>
            <w:r w:rsidR="00CF730C">
              <w:rPr>
                <w:sz w:val="20"/>
                <w:szCs w:val="20"/>
              </w:rPr>
              <w:t>.</w:t>
            </w:r>
            <w:r w:rsidRPr="003E7F07">
              <w:rPr>
                <w:sz w:val="20"/>
                <w:szCs w:val="20"/>
              </w:rPr>
              <w:t>196</w:t>
            </w:r>
          </w:p>
        </w:tc>
        <w:tc>
          <w:tcPr>
            <w:tcW w:w="685" w:type="pct"/>
          </w:tcPr>
          <w:p w14:paraId="1398E1CC" w14:textId="77777777" w:rsidR="00C80AE0" w:rsidRPr="003E7F07" w:rsidRDefault="00C80AE0" w:rsidP="00531B12">
            <w:pPr>
              <w:widowControl w:val="0"/>
              <w:jc w:val="center"/>
              <w:rPr>
                <w:sz w:val="20"/>
                <w:szCs w:val="20"/>
              </w:rPr>
            </w:pPr>
            <w:r w:rsidRPr="003E7F07">
              <w:rPr>
                <w:sz w:val="20"/>
                <w:szCs w:val="20"/>
              </w:rPr>
              <w:t>.057</w:t>
            </w:r>
          </w:p>
        </w:tc>
      </w:tr>
      <w:tr w:rsidR="00C80AE0" w:rsidRPr="003E7F07" w14:paraId="0E7A907E" w14:textId="77777777" w:rsidTr="00CF730C">
        <w:trPr>
          <w:trHeight w:val="141"/>
        </w:trPr>
        <w:tc>
          <w:tcPr>
            <w:tcW w:w="641" w:type="pct"/>
          </w:tcPr>
          <w:p w14:paraId="094FC2DD" w14:textId="77777777" w:rsidR="00C80AE0" w:rsidRPr="003E7F07" w:rsidRDefault="00C80AE0" w:rsidP="00531B12">
            <w:pPr>
              <w:widowControl w:val="0"/>
              <w:rPr>
                <w:sz w:val="20"/>
                <w:szCs w:val="20"/>
              </w:rPr>
            </w:pPr>
            <w:r w:rsidRPr="003E7F07">
              <w:rPr>
                <w:sz w:val="20"/>
                <w:szCs w:val="20"/>
              </w:rPr>
              <w:t>RP</w:t>
            </w:r>
          </w:p>
        </w:tc>
        <w:tc>
          <w:tcPr>
            <w:tcW w:w="665" w:type="pct"/>
          </w:tcPr>
          <w:p w14:paraId="53F33EDF" w14:textId="01A3885D" w:rsidR="00C80AE0" w:rsidRPr="003E7F07" w:rsidRDefault="00C80AE0" w:rsidP="00C80AE0">
            <w:pPr>
              <w:widowControl w:val="0"/>
              <w:jc w:val="center"/>
              <w:rPr>
                <w:sz w:val="20"/>
                <w:szCs w:val="20"/>
              </w:rPr>
            </w:pPr>
            <w:r w:rsidRPr="003E7F07">
              <w:rPr>
                <w:sz w:val="20"/>
                <w:szCs w:val="20"/>
              </w:rPr>
              <w:t>7</w:t>
            </w:r>
            <w:r w:rsidR="00CF730C">
              <w:rPr>
                <w:sz w:val="20"/>
                <w:szCs w:val="20"/>
              </w:rPr>
              <w:t>.</w:t>
            </w:r>
            <w:r w:rsidRPr="003E7F07">
              <w:rPr>
                <w:sz w:val="20"/>
                <w:szCs w:val="20"/>
              </w:rPr>
              <w:t>13</w:t>
            </w:r>
          </w:p>
        </w:tc>
        <w:tc>
          <w:tcPr>
            <w:tcW w:w="724" w:type="pct"/>
          </w:tcPr>
          <w:p w14:paraId="35BFDFC2" w14:textId="64CF5A7E" w:rsidR="00C80AE0" w:rsidRPr="003E7F07" w:rsidRDefault="00C80AE0" w:rsidP="00531B12">
            <w:pPr>
              <w:widowControl w:val="0"/>
              <w:jc w:val="center"/>
              <w:rPr>
                <w:sz w:val="20"/>
                <w:szCs w:val="20"/>
              </w:rPr>
            </w:pPr>
            <w:r w:rsidRPr="003E7F07">
              <w:rPr>
                <w:sz w:val="20"/>
                <w:szCs w:val="20"/>
              </w:rPr>
              <w:t>3</w:t>
            </w:r>
            <w:r w:rsidR="00CF730C">
              <w:rPr>
                <w:sz w:val="20"/>
                <w:szCs w:val="20"/>
              </w:rPr>
              <w:t>.</w:t>
            </w:r>
            <w:r w:rsidRPr="003E7F07">
              <w:rPr>
                <w:sz w:val="20"/>
                <w:szCs w:val="20"/>
              </w:rPr>
              <w:t>89</w:t>
            </w:r>
          </w:p>
        </w:tc>
        <w:tc>
          <w:tcPr>
            <w:tcW w:w="691" w:type="pct"/>
          </w:tcPr>
          <w:p w14:paraId="3B3FEA6E" w14:textId="129DB8CF" w:rsidR="00C80AE0" w:rsidRPr="003E7F07" w:rsidRDefault="00C80AE0" w:rsidP="00C80AE0">
            <w:pPr>
              <w:widowControl w:val="0"/>
              <w:jc w:val="center"/>
              <w:rPr>
                <w:sz w:val="20"/>
                <w:szCs w:val="20"/>
              </w:rPr>
            </w:pPr>
            <w:r w:rsidRPr="003E7F07">
              <w:rPr>
                <w:sz w:val="20"/>
                <w:szCs w:val="20"/>
              </w:rPr>
              <w:t>6</w:t>
            </w:r>
            <w:r w:rsidR="00CF730C">
              <w:rPr>
                <w:sz w:val="20"/>
                <w:szCs w:val="20"/>
              </w:rPr>
              <w:t>.</w:t>
            </w:r>
            <w:r w:rsidRPr="003E7F07">
              <w:rPr>
                <w:sz w:val="20"/>
                <w:szCs w:val="20"/>
              </w:rPr>
              <w:t>52</w:t>
            </w:r>
          </w:p>
        </w:tc>
        <w:tc>
          <w:tcPr>
            <w:tcW w:w="680" w:type="pct"/>
          </w:tcPr>
          <w:p w14:paraId="1E1158B4" w14:textId="4C6DF7E3" w:rsidR="00C80AE0" w:rsidRPr="003E7F07" w:rsidRDefault="00C80AE0" w:rsidP="00C80AE0">
            <w:pPr>
              <w:widowControl w:val="0"/>
              <w:jc w:val="center"/>
              <w:rPr>
                <w:sz w:val="20"/>
                <w:szCs w:val="20"/>
              </w:rPr>
            </w:pPr>
            <w:r w:rsidRPr="003E7F07">
              <w:rPr>
                <w:sz w:val="20"/>
                <w:szCs w:val="20"/>
              </w:rPr>
              <w:t>4</w:t>
            </w:r>
            <w:r w:rsidR="00CF730C">
              <w:rPr>
                <w:sz w:val="20"/>
                <w:szCs w:val="20"/>
              </w:rPr>
              <w:t>.</w:t>
            </w:r>
            <w:r w:rsidRPr="003E7F07">
              <w:rPr>
                <w:sz w:val="20"/>
                <w:szCs w:val="20"/>
              </w:rPr>
              <w:t>22</w:t>
            </w:r>
          </w:p>
        </w:tc>
        <w:tc>
          <w:tcPr>
            <w:tcW w:w="914" w:type="pct"/>
          </w:tcPr>
          <w:p w14:paraId="6D84CC84" w14:textId="6ACDB69E" w:rsidR="00C80AE0" w:rsidRPr="003E7F07" w:rsidRDefault="00C80AE0" w:rsidP="00531B12">
            <w:pPr>
              <w:widowControl w:val="0"/>
              <w:jc w:val="center"/>
              <w:rPr>
                <w:sz w:val="20"/>
                <w:szCs w:val="20"/>
              </w:rPr>
            </w:pPr>
            <w:r w:rsidRPr="003E7F07">
              <w:rPr>
                <w:sz w:val="20"/>
                <w:szCs w:val="20"/>
              </w:rPr>
              <w:t>1</w:t>
            </w:r>
            <w:r w:rsidR="00CF730C">
              <w:rPr>
                <w:sz w:val="20"/>
                <w:szCs w:val="20"/>
              </w:rPr>
              <w:t>.</w:t>
            </w:r>
            <w:r w:rsidRPr="003E7F07">
              <w:rPr>
                <w:sz w:val="20"/>
                <w:szCs w:val="20"/>
              </w:rPr>
              <w:t>071</w:t>
            </w:r>
          </w:p>
        </w:tc>
        <w:tc>
          <w:tcPr>
            <w:tcW w:w="685" w:type="pct"/>
          </w:tcPr>
          <w:p w14:paraId="1AA6DD0A" w14:textId="77777777" w:rsidR="00C80AE0" w:rsidRPr="003E7F07" w:rsidRDefault="00C80AE0" w:rsidP="00531B12">
            <w:pPr>
              <w:widowControl w:val="0"/>
              <w:jc w:val="center"/>
              <w:rPr>
                <w:sz w:val="20"/>
                <w:szCs w:val="20"/>
              </w:rPr>
            </w:pPr>
            <w:r w:rsidRPr="003E7F07">
              <w:rPr>
                <w:sz w:val="20"/>
                <w:szCs w:val="20"/>
              </w:rPr>
              <w:t>.285</w:t>
            </w:r>
          </w:p>
        </w:tc>
      </w:tr>
      <w:tr w:rsidR="00C80AE0" w:rsidRPr="003E7F07" w14:paraId="690080C1" w14:textId="77777777" w:rsidTr="00CF730C">
        <w:trPr>
          <w:trHeight w:val="265"/>
        </w:trPr>
        <w:tc>
          <w:tcPr>
            <w:tcW w:w="641" w:type="pct"/>
          </w:tcPr>
          <w:p w14:paraId="0F05ECAC" w14:textId="77777777" w:rsidR="00C80AE0" w:rsidRPr="003E7F07" w:rsidRDefault="00C80AE0" w:rsidP="00531B12">
            <w:pPr>
              <w:widowControl w:val="0"/>
              <w:rPr>
                <w:sz w:val="20"/>
                <w:szCs w:val="20"/>
              </w:rPr>
            </w:pPr>
            <w:r w:rsidRPr="003E7F07">
              <w:rPr>
                <w:sz w:val="20"/>
                <w:szCs w:val="20"/>
              </w:rPr>
              <w:t>AU</w:t>
            </w:r>
          </w:p>
        </w:tc>
        <w:tc>
          <w:tcPr>
            <w:tcW w:w="665" w:type="pct"/>
          </w:tcPr>
          <w:p w14:paraId="71552D1E" w14:textId="6C1B1ABB" w:rsidR="00C80AE0" w:rsidRPr="003E7F07" w:rsidRDefault="00C80AE0" w:rsidP="00C80AE0">
            <w:pPr>
              <w:widowControl w:val="0"/>
              <w:jc w:val="center"/>
              <w:rPr>
                <w:sz w:val="20"/>
                <w:szCs w:val="20"/>
              </w:rPr>
            </w:pPr>
            <w:r w:rsidRPr="003E7F07">
              <w:rPr>
                <w:sz w:val="20"/>
                <w:szCs w:val="20"/>
              </w:rPr>
              <w:t>11</w:t>
            </w:r>
            <w:r w:rsidR="00CF730C">
              <w:rPr>
                <w:sz w:val="20"/>
                <w:szCs w:val="20"/>
              </w:rPr>
              <w:t>.</w:t>
            </w:r>
            <w:r w:rsidRPr="003E7F07">
              <w:rPr>
                <w:sz w:val="20"/>
                <w:szCs w:val="20"/>
              </w:rPr>
              <w:t>13</w:t>
            </w:r>
          </w:p>
        </w:tc>
        <w:tc>
          <w:tcPr>
            <w:tcW w:w="724" w:type="pct"/>
          </w:tcPr>
          <w:p w14:paraId="6BB0BF4C" w14:textId="55A7D2E1" w:rsidR="00C80AE0" w:rsidRPr="003E7F07" w:rsidRDefault="00C80AE0" w:rsidP="00531B12">
            <w:pPr>
              <w:widowControl w:val="0"/>
              <w:jc w:val="center"/>
              <w:rPr>
                <w:sz w:val="20"/>
                <w:szCs w:val="20"/>
              </w:rPr>
            </w:pPr>
            <w:r w:rsidRPr="003E7F07">
              <w:rPr>
                <w:sz w:val="20"/>
                <w:szCs w:val="20"/>
              </w:rPr>
              <w:t>5</w:t>
            </w:r>
            <w:r w:rsidR="00CF730C">
              <w:rPr>
                <w:sz w:val="20"/>
                <w:szCs w:val="20"/>
              </w:rPr>
              <w:t>.</w:t>
            </w:r>
            <w:r w:rsidRPr="003E7F07">
              <w:rPr>
                <w:sz w:val="20"/>
                <w:szCs w:val="20"/>
              </w:rPr>
              <w:t>64</w:t>
            </w:r>
          </w:p>
        </w:tc>
        <w:tc>
          <w:tcPr>
            <w:tcW w:w="691" w:type="pct"/>
          </w:tcPr>
          <w:p w14:paraId="2B3AF0F1" w14:textId="3BB493AB" w:rsidR="00C80AE0" w:rsidRPr="003E7F07" w:rsidRDefault="00C80AE0" w:rsidP="00C80AE0">
            <w:pPr>
              <w:widowControl w:val="0"/>
              <w:jc w:val="center"/>
              <w:rPr>
                <w:sz w:val="20"/>
                <w:szCs w:val="20"/>
              </w:rPr>
            </w:pPr>
            <w:r w:rsidRPr="003E7F07">
              <w:rPr>
                <w:sz w:val="20"/>
                <w:szCs w:val="20"/>
              </w:rPr>
              <w:t>12</w:t>
            </w:r>
            <w:r w:rsidR="00CF730C">
              <w:rPr>
                <w:sz w:val="20"/>
                <w:szCs w:val="20"/>
              </w:rPr>
              <w:t>.</w:t>
            </w:r>
            <w:r w:rsidRPr="003E7F07">
              <w:rPr>
                <w:sz w:val="20"/>
                <w:szCs w:val="20"/>
              </w:rPr>
              <w:t>66</w:t>
            </w:r>
          </w:p>
        </w:tc>
        <w:tc>
          <w:tcPr>
            <w:tcW w:w="680" w:type="pct"/>
          </w:tcPr>
          <w:p w14:paraId="0F3A048D" w14:textId="0B02FF78" w:rsidR="00C80AE0" w:rsidRPr="003E7F07" w:rsidRDefault="00C80AE0" w:rsidP="00C80AE0">
            <w:pPr>
              <w:widowControl w:val="0"/>
              <w:jc w:val="center"/>
              <w:rPr>
                <w:sz w:val="20"/>
                <w:szCs w:val="20"/>
              </w:rPr>
            </w:pPr>
            <w:r w:rsidRPr="003E7F07">
              <w:rPr>
                <w:sz w:val="20"/>
                <w:szCs w:val="20"/>
              </w:rPr>
              <w:t>5</w:t>
            </w:r>
            <w:r w:rsidR="00CF730C">
              <w:rPr>
                <w:sz w:val="20"/>
                <w:szCs w:val="20"/>
              </w:rPr>
              <w:t>.</w:t>
            </w:r>
            <w:r w:rsidRPr="003E7F07">
              <w:rPr>
                <w:sz w:val="20"/>
                <w:szCs w:val="20"/>
              </w:rPr>
              <w:t>56</w:t>
            </w:r>
          </w:p>
        </w:tc>
        <w:tc>
          <w:tcPr>
            <w:tcW w:w="914" w:type="pct"/>
          </w:tcPr>
          <w:p w14:paraId="4347F73B" w14:textId="1DAD06A8" w:rsidR="00C80AE0" w:rsidRPr="003E7F07" w:rsidRDefault="00C80AE0" w:rsidP="00531B12">
            <w:pPr>
              <w:widowControl w:val="0"/>
              <w:jc w:val="center"/>
              <w:rPr>
                <w:sz w:val="20"/>
                <w:szCs w:val="20"/>
              </w:rPr>
            </w:pPr>
            <w:r w:rsidRPr="003E7F07">
              <w:rPr>
                <w:sz w:val="20"/>
                <w:szCs w:val="20"/>
              </w:rPr>
              <w:t>-1</w:t>
            </w:r>
            <w:r w:rsidR="00CF730C">
              <w:rPr>
                <w:sz w:val="20"/>
                <w:szCs w:val="20"/>
              </w:rPr>
              <w:t>.</w:t>
            </w:r>
            <w:r w:rsidRPr="003E7F07">
              <w:rPr>
                <w:sz w:val="20"/>
                <w:szCs w:val="20"/>
              </w:rPr>
              <w:t>926</w:t>
            </w:r>
          </w:p>
        </w:tc>
        <w:tc>
          <w:tcPr>
            <w:tcW w:w="685" w:type="pct"/>
          </w:tcPr>
          <w:p w14:paraId="3AE47244" w14:textId="77777777" w:rsidR="00C80AE0" w:rsidRPr="003E7F07" w:rsidRDefault="00C80AE0" w:rsidP="00531B12">
            <w:pPr>
              <w:widowControl w:val="0"/>
              <w:jc w:val="center"/>
              <w:rPr>
                <w:sz w:val="20"/>
                <w:szCs w:val="20"/>
              </w:rPr>
            </w:pPr>
            <w:r w:rsidRPr="003E7F07">
              <w:rPr>
                <w:sz w:val="20"/>
                <w:szCs w:val="20"/>
              </w:rPr>
              <w:t>.055</w:t>
            </w:r>
          </w:p>
        </w:tc>
      </w:tr>
      <w:tr w:rsidR="00C80AE0" w:rsidRPr="003E7F07" w14:paraId="55C3821C" w14:textId="77777777" w:rsidTr="00CF730C">
        <w:trPr>
          <w:trHeight w:val="275"/>
        </w:trPr>
        <w:tc>
          <w:tcPr>
            <w:tcW w:w="641" w:type="pct"/>
          </w:tcPr>
          <w:p w14:paraId="53585516" w14:textId="77777777" w:rsidR="00C80AE0" w:rsidRPr="003E7F07" w:rsidRDefault="00C80AE0" w:rsidP="00531B12">
            <w:pPr>
              <w:widowControl w:val="0"/>
              <w:rPr>
                <w:sz w:val="20"/>
                <w:szCs w:val="20"/>
              </w:rPr>
            </w:pPr>
            <w:r w:rsidRPr="003E7F07">
              <w:rPr>
                <w:sz w:val="20"/>
                <w:szCs w:val="20"/>
              </w:rPr>
              <w:t>EE</w:t>
            </w:r>
          </w:p>
        </w:tc>
        <w:tc>
          <w:tcPr>
            <w:tcW w:w="665" w:type="pct"/>
          </w:tcPr>
          <w:p w14:paraId="7EC5192F" w14:textId="1D16AFA2" w:rsidR="00C80AE0" w:rsidRPr="003E7F07" w:rsidRDefault="00C80AE0" w:rsidP="00531B12">
            <w:pPr>
              <w:widowControl w:val="0"/>
              <w:jc w:val="center"/>
              <w:rPr>
                <w:sz w:val="20"/>
                <w:szCs w:val="20"/>
              </w:rPr>
            </w:pPr>
            <w:r w:rsidRPr="003E7F07">
              <w:rPr>
                <w:sz w:val="20"/>
                <w:szCs w:val="20"/>
              </w:rPr>
              <w:t>4</w:t>
            </w:r>
            <w:r w:rsidR="00CF730C">
              <w:rPr>
                <w:sz w:val="20"/>
                <w:szCs w:val="20"/>
              </w:rPr>
              <w:t>.</w:t>
            </w:r>
            <w:r w:rsidRPr="003E7F07">
              <w:rPr>
                <w:sz w:val="20"/>
                <w:szCs w:val="20"/>
              </w:rPr>
              <w:t>13</w:t>
            </w:r>
          </w:p>
        </w:tc>
        <w:tc>
          <w:tcPr>
            <w:tcW w:w="724" w:type="pct"/>
          </w:tcPr>
          <w:p w14:paraId="6A642B5D" w14:textId="1B8CC25B" w:rsidR="00C80AE0" w:rsidRPr="003E7F07" w:rsidRDefault="00C80AE0" w:rsidP="00531B12">
            <w:pPr>
              <w:widowControl w:val="0"/>
              <w:jc w:val="center"/>
              <w:rPr>
                <w:sz w:val="20"/>
                <w:szCs w:val="20"/>
              </w:rPr>
            </w:pPr>
            <w:r w:rsidRPr="003E7F07">
              <w:rPr>
                <w:sz w:val="20"/>
                <w:szCs w:val="20"/>
              </w:rPr>
              <w:t>4</w:t>
            </w:r>
            <w:r w:rsidR="00CF730C">
              <w:rPr>
                <w:sz w:val="20"/>
                <w:szCs w:val="20"/>
              </w:rPr>
              <w:t>.</w:t>
            </w:r>
            <w:r w:rsidRPr="003E7F07">
              <w:rPr>
                <w:sz w:val="20"/>
                <w:szCs w:val="20"/>
              </w:rPr>
              <w:t>71</w:t>
            </w:r>
          </w:p>
        </w:tc>
        <w:tc>
          <w:tcPr>
            <w:tcW w:w="691" w:type="pct"/>
          </w:tcPr>
          <w:p w14:paraId="68431CE3" w14:textId="26F2CC6B" w:rsidR="00C80AE0" w:rsidRPr="003E7F07" w:rsidRDefault="00C80AE0" w:rsidP="00C80AE0">
            <w:pPr>
              <w:widowControl w:val="0"/>
              <w:jc w:val="center"/>
              <w:rPr>
                <w:sz w:val="20"/>
                <w:szCs w:val="20"/>
              </w:rPr>
            </w:pPr>
            <w:r w:rsidRPr="003E7F07">
              <w:rPr>
                <w:sz w:val="20"/>
                <w:szCs w:val="20"/>
              </w:rPr>
              <w:t>2</w:t>
            </w:r>
            <w:r w:rsidR="00CF730C">
              <w:rPr>
                <w:sz w:val="20"/>
                <w:szCs w:val="20"/>
              </w:rPr>
              <w:t>.</w:t>
            </w:r>
            <w:r w:rsidRPr="003E7F07">
              <w:rPr>
                <w:sz w:val="20"/>
                <w:szCs w:val="20"/>
              </w:rPr>
              <w:t>14</w:t>
            </w:r>
          </w:p>
        </w:tc>
        <w:tc>
          <w:tcPr>
            <w:tcW w:w="680" w:type="pct"/>
          </w:tcPr>
          <w:p w14:paraId="71B80C7A" w14:textId="4454389E" w:rsidR="00C80AE0" w:rsidRPr="003E7F07" w:rsidRDefault="00C80AE0" w:rsidP="00C80AE0">
            <w:pPr>
              <w:widowControl w:val="0"/>
              <w:jc w:val="center"/>
              <w:rPr>
                <w:sz w:val="20"/>
                <w:szCs w:val="20"/>
              </w:rPr>
            </w:pPr>
            <w:r w:rsidRPr="003E7F07">
              <w:rPr>
                <w:sz w:val="20"/>
                <w:szCs w:val="20"/>
              </w:rPr>
              <w:t>3</w:t>
            </w:r>
            <w:r w:rsidR="00CF730C">
              <w:rPr>
                <w:sz w:val="20"/>
                <w:szCs w:val="20"/>
              </w:rPr>
              <w:t>.</w:t>
            </w:r>
            <w:r w:rsidRPr="003E7F07">
              <w:rPr>
                <w:sz w:val="20"/>
                <w:szCs w:val="20"/>
              </w:rPr>
              <w:t>54</w:t>
            </w:r>
          </w:p>
        </w:tc>
        <w:tc>
          <w:tcPr>
            <w:tcW w:w="914" w:type="pct"/>
          </w:tcPr>
          <w:p w14:paraId="368EB165" w14:textId="7C08996B" w:rsidR="00C80AE0" w:rsidRPr="003E7F07" w:rsidRDefault="00C80AE0" w:rsidP="00531B12">
            <w:pPr>
              <w:widowControl w:val="0"/>
              <w:jc w:val="center"/>
              <w:rPr>
                <w:sz w:val="20"/>
                <w:szCs w:val="20"/>
              </w:rPr>
            </w:pPr>
            <w:r w:rsidRPr="003E7F07">
              <w:rPr>
                <w:sz w:val="20"/>
                <w:szCs w:val="20"/>
              </w:rPr>
              <w:t>3</w:t>
            </w:r>
            <w:r w:rsidR="00CF730C">
              <w:rPr>
                <w:sz w:val="20"/>
                <w:szCs w:val="20"/>
              </w:rPr>
              <w:t>.</w:t>
            </w:r>
            <w:r w:rsidRPr="003E7F07">
              <w:rPr>
                <w:sz w:val="20"/>
                <w:szCs w:val="20"/>
              </w:rPr>
              <w:t>562</w:t>
            </w:r>
          </w:p>
        </w:tc>
        <w:tc>
          <w:tcPr>
            <w:tcW w:w="685" w:type="pct"/>
          </w:tcPr>
          <w:p w14:paraId="1B38312E" w14:textId="77777777" w:rsidR="00C80AE0" w:rsidRPr="003E7F07" w:rsidRDefault="00C80AE0" w:rsidP="00531B12">
            <w:pPr>
              <w:widowControl w:val="0"/>
              <w:jc w:val="center"/>
              <w:rPr>
                <w:sz w:val="20"/>
                <w:szCs w:val="20"/>
              </w:rPr>
            </w:pPr>
            <w:r w:rsidRPr="003E7F07">
              <w:rPr>
                <w:sz w:val="20"/>
                <w:szCs w:val="20"/>
              </w:rPr>
              <w:t>.001**</w:t>
            </w:r>
          </w:p>
        </w:tc>
      </w:tr>
      <w:tr w:rsidR="00C80AE0" w:rsidRPr="003E7F07" w14:paraId="305D1FC1" w14:textId="77777777" w:rsidTr="00CF730C">
        <w:trPr>
          <w:trHeight w:val="129"/>
        </w:trPr>
        <w:tc>
          <w:tcPr>
            <w:tcW w:w="641" w:type="pct"/>
          </w:tcPr>
          <w:p w14:paraId="48634230" w14:textId="77777777" w:rsidR="00C80AE0" w:rsidRPr="003E7F07" w:rsidRDefault="00C80AE0" w:rsidP="00531B12">
            <w:pPr>
              <w:widowControl w:val="0"/>
              <w:rPr>
                <w:sz w:val="20"/>
                <w:szCs w:val="20"/>
              </w:rPr>
            </w:pPr>
            <w:r w:rsidRPr="003E7F07">
              <w:rPr>
                <w:sz w:val="20"/>
                <w:szCs w:val="20"/>
              </w:rPr>
              <w:t>PD</w:t>
            </w:r>
          </w:p>
        </w:tc>
        <w:tc>
          <w:tcPr>
            <w:tcW w:w="665" w:type="pct"/>
          </w:tcPr>
          <w:p w14:paraId="22EF195C" w14:textId="27030C83" w:rsidR="00C80AE0" w:rsidRPr="003E7F07" w:rsidRDefault="00C80AE0" w:rsidP="00531B12">
            <w:pPr>
              <w:widowControl w:val="0"/>
              <w:jc w:val="center"/>
              <w:rPr>
                <w:sz w:val="20"/>
                <w:szCs w:val="20"/>
              </w:rPr>
            </w:pPr>
            <w:r w:rsidRPr="003E7F07">
              <w:rPr>
                <w:sz w:val="20"/>
                <w:szCs w:val="20"/>
              </w:rPr>
              <w:t>9</w:t>
            </w:r>
            <w:r w:rsidR="00CF730C">
              <w:rPr>
                <w:sz w:val="20"/>
                <w:szCs w:val="20"/>
              </w:rPr>
              <w:t>.</w:t>
            </w:r>
            <w:r w:rsidRPr="003E7F07">
              <w:rPr>
                <w:sz w:val="20"/>
                <w:szCs w:val="20"/>
              </w:rPr>
              <w:t>32</w:t>
            </w:r>
          </w:p>
        </w:tc>
        <w:tc>
          <w:tcPr>
            <w:tcW w:w="724" w:type="pct"/>
          </w:tcPr>
          <w:p w14:paraId="49ACA3CE" w14:textId="1BE57A39" w:rsidR="00C80AE0" w:rsidRPr="003E7F07" w:rsidRDefault="00C80AE0" w:rsidP="00531B12">
            <w:pPr>
              <w:widowControl w:val="0"/>
              <w:jc w:val="center"/>
              <w:rPr>
                <w:sz w:val="20"/>
                <w:szCs w:val="20"/>
              </w:rPr>
            </w:pPr>
            <w:r w:rsidRPr="003E7F07">
              <w:rPr>
                <w:sz w:val="20"/>
                <w:szCs w:val="20"/>
              </w:rPr>
              <w:t>5</w:t>
            </w:r>
            <w:r w:rsidR="00CF730C">
              <w:rPr>
                <w:sz w:val="20"/>
                <w:szCs w:val="20"/>
              </w:rPr>
              <w:t>.</w:t>
            </w:r>
            <w:r w:rsidRPr="003E7F07">
              <w:rPr>
                <w:sz w:val="20"/>
                <w:szCs w:val="20"/>
              </w:rPr>
              <w:t>60</w:t>
            </w:r>
          </w:p>
        </w:tc>
        <w:tc>
          <w:tcPr>
            <w:tcW w:w="691" w:type="pct"/>
          </w:tcPr>
          <w:p w14:paraId="3558A58E" w14:textId="74ADC52B" w:rsidR="00C80AE0" w:rsidRPr="003E7F07" w:rsidRDefault="00C80AE0" w:rsidP="00C80AE0">
            <w:pPr>
              <w:widowControl w:val="0"/>
              <w:jc w:val="center"/>
              <w:rPr>
                <w:sz w:val="20"/>
                <w:szCs w:val="20"/>
              </w:rPr>
            </w:pPr>
            <w:r w:rsidRPr="003E7F07">
              <w:rPr>
                <w:sz w:val="20"/>
                <w:szCs w:val="20"/>
              </w:rPr>
              <w:t>8</w:t>
            </w:r>
            <w:r w:rsidR="00CF730C">
              <w:rPr>
                <w:sz w:val="20"/>
                <w:szCs w:val="20"/>
              </w:rPr>
              <w:t>.</w:t>
            </w:r>
            <w:r w:rsidRPr="003E7F07">
              <w:rPr>
                <w:sz w:val="20"/>
                <w:szCs w:val="20"/>
              </w:rPr>
              <w:t>55</w:t>
            </w:r>
          </w:p>
        </w:tc>
        <w:tc>
          <w:tcPr>
            <w:tcW w:w="680" w:type="pct"/>
          </w:tcPr>
          <w:p w14:paraId="24D406AA" w14:textId="368FA2A4" w:rsidR="00C80AE0" w:rsidRPr="003E7F07" w:rsidRDefault="00C80AE0" w:rsidP="00C80AE0">
            <w:pPr>
              <w:widowControl w:val="0"/>
              <w:jc w:val="center"/>
              <w:rPr>
                <w:sz w:val="20"/>
                <w:szCs w:val="20"/>
              </w:rPr>
            </w:pPr>
            <w:r w:rsidRPr="003E7F07">
              <w:rPr>
                <w:sz w:val="20"/>
                <w:szCs w:val="20"/>
              </w:rPr>
              <w:t>4</w:t>
            </w:r>
            <w:r w:rsidR="00CF730C">
              <w:rPr>
                <w:sz w:val="20"/>
                <w:szCs w:val="20"/>
              </w:rPr>
              <w:t>.</w:t>
            </w:r>
            <w:r w:rsidRPr="003E7F07">
              <w:rPr>
                <w:sz w:val="20"/>
                <w:szCs w:val="20"/>
              </w:rPr>
              <w:t>69</w:t>
            </w:r>
          </w:p>
        </w:tc>
        <w:tc>
          <w:tcPr>
            <w:tcW w:w="914" w:type="pct"/>
          </w:tcPr>
          <w:p w14:paraId="11158CA0" w14:textId="43AE57C7" w:rsidR="00C80AE0" w:rsidRPr="003E7F07" w:rsidRDefault="00C80AE0" w:rsidP="00531B12">
            <w:pPr>
              <w:widowControl w:val="0"/>
              <w:jc w:val="center"/>
              <w:rPr>
                <w:sz w:val="20"/>
                <w:szCs w:val="20"/>
              </w:rPr>
            </w:pPr>
            <w:r w:rsidRPr="003E7F07">
              <w:rPr>
                <w:sz w:val="20"/>
                <w:szCs w:val="20"/>
              </w:rPr>
              <w:t>1</w:t>
            </w:r>
            <w:r w:rsidR="00CF730C">
              <w:rPr>
                <w:sz w:val="20"/>
                <w:szCs w:val="20"/>
              </w:rPr>
              <w:t>.</w:t>
            </w:r>
            <w:r w:rsidRPr="003E7F07">
              <w:rPr>
                <w:sz w:val="20"/>
                <w:szCs w:val="20"/>
              </w:rPr>
              <w:t>087</w:t>
            </w:r>
          </w:p>
        </w:tc>
        <w:tc>
          <w:tcPr>
            <w:tcW w:w="685" w:type="pct"/>
          </w:tcPr>
          <w:p w14:paraId="02C08FE6" w14:textId="77777777" w:rsidR="00C80AE0" w:rsidRPr="003E7F07" w:rsidRDefault="00C80AE0" w:rsidP="00531B12">
            <w:pPr>
              <w:widowControl w:val="0"/>
              <w:jc w:val="center"/>
              <w:rPr>
                <w:sz w:val="20"/>
                <w:szCs w:val="20"/>
              </w:rPr>
            </w:pPr>
            <w:r w:rsidRPr="003E7F07">
              <w:rPr>
                <w:sz w:val="20"/>
                <w:szCs w:val="20"/>
              </w:rPr>
              <w:t>.278</w:t>
            </w:r>
          </w:p>
        </w:tc>
      </w:tr>
      <w:tr w:rsidR="00C80AE0" w:rsidRPr="003E7F07" w14:paraId="55452FD8" w14:textId="77777777" w:rsidTr="00CF730C">
        <w:trPr>
          <w:trHeight w:val="267"/>
        </w:trPr>
        <w:tc>
          <w:tcPr>
            <w:tcW w:w="641" w:type="pct"/>
          </w:tcPr>
          <w:p w14:paraId="7F98079A" w14:textId="77777777" w:rsidR="00C80AE0" w:rsidRPr="003E7F07" w:rsidRDefault="00C80AE0" w:rsidP="00531B12">
            <w:pPr>
              <w:widowControl w:val="0"/>
              <w:rPr>
                <w:sz w:val="20"/>
                <w:szCs w:val="20"/>
              </w:rPr>
            </w:pPr>
            <w:r w:rsidRPr="003E7F07">
              <w:rPr>
                <w:sz w:val="20"/>
                <w:szCs w:val="20"/>
              </w:rPr>
              <w:t xml:space="preserve">AS </w:t>
            </w:r>
          </w:p>
        </w:tc>
        <w:tc>
          <w:tcPr>
            <w:tcW w:w="665" w:type="pct"/>
          </w:tcPr>
          <w:p w14:paraId="0668A3A6" w14:textId="12FE0C1A" w:rsidR="00C80AE0" w:rsidRPr="003E7F07" w:rsidRDefault="00C80AE0" w:rsidP="00C80AE0">
            <w:pPr>
              <w:widowControl w:val="0"/>
              <w:jc w:val="center"/>
              <w:rPr>
                <w:sz w:val="20"/>
                <w:szCs w:val="20"/>
              </w:rPr>
            </w:pPr>
            <w:r w:rsidRPr="003E7F07">
              <w:rPr>
                <w:sz w:val="20"/>
                <w:szCs w:val="20"/>
              </w:rPr>
              <w:t>11</w:t>
            </w:r>
            <w:r w:rsidR="00CF730C">
              <w:rPr>
                <w:sz w:val="20"/>
                <w:szCs w:val="20"/>
              </w:rPr>
              <w:t>.</w:t>
            </w:r>
            <w:r w:rsidRPr="003E7F07">
              <w:rPr>
                <w:sz w:val="20"/>
                <w:szCs w:val="20"/>
              </w:rPr>
              <w:t>98</w:t>
            </w:r>
          </w:p>
        </w:tc>
        <w:tc>
          <w:tcPr>
            <w:tcW w:w="724" w:type="pct"/>
          </w:tcPr>
          <w:p w14:paraId="775ABECA" w14:textId="566ACD41" w:rsidR="00C80AE0" w:rsidRPr="003E7F07" w:rsidRDefault="00C80AE0" w:rsidP="00531B12">
            <w:pPr>
              <w:widowControl w:val="0"/>
              <w:jc w:val="center"/>
              <w:rPr>
                <w:sz w:val="20"/>
                <w:szCs w:val="20"/>
              </w:rPr>
            </w:pPr>
            <w:r w:rsidRPr="003E7F07">
              <w:rPr>
                <w:sz w:val="20"/>
                <w:szCs w:val="20"/>
              </w:rPr>
              <w:t>5</w:t>
            </w:r>
            <w:r w:rsidR="00CF730C">
              <w:rPr>
                <w:sz w:val="20"/>
                <w:szCs w:val="20"/>
              </w:rPr>
              <w:t>.</w:t>
            </w:r>
            <w:r w:rsidRPr="003E7F07">
              <w:rPr>
                <w:sz w:val="20"/>
                <w:szCs w:val="20"/>
              </w:rPr>
              <w:t>72</w:t>
            </w:r>
          </w:p>
        </w:tc>
        <w:tc>
          <w:tcPr>
            <w:tcW w:w="691" w:type="pct"/>
          </w:tcPr>
          <w:p w14:paraId="0C8B10E2" w14:textId="74A8D006" w:rsidR="00C80AE0" w:rsidRPr="003E7F07" w:rsidRDefault="00C80AE0" w:rsidP="00C80AE0">
            <w:pPr>
              <w:widowControl w:val="0"/>
              <w:jc w:val="center"/>
              <w:rPr>
                <w:sz w:val="20"/>
                <w:szCs w:val="20"/>
              </w:rPr>
            </w:pPr>
            <w:r w:rsidRPr="003E7F07">
              <w:rPr>
                <w:sz w:val="20"/>
                <w:szCs w:val="20"/>
              </w:rPr>
              <w:t>10</w:t>
            </w:r>
            <w:r w:rsidR="00CF730C">
              <w:rPr>
                <w:sz w:val="20"/>
                <w:szCs w:val="20"/>
              </w:rPr>
              <w:t>.</w:t>
            </w:r>
            <w:r w:rsidRPr="003E7F07">
              <w:rPr>
                <w:sz w:val="20"/>
                <w:szCs w:val="20"/>
              </w:rPr>
              <w:t>07</w:t>
            </w:r>
          </w:p>
        </w:tc>
        <w:tc>
          <w:tcPr>
            <w:tcW w:w="680" w:type="pct"/>
          </w:tcPr>
          <w:p w14:paraId="4E136C97" w14:textId="66D51D09" w:rsidR="00C80AE0" w:rsidRPr="003E7F07" w:rsidRDefault="00C80AE0" w:rsidP="00C80AE0">
            <w:pPr>
              <w:widowControl w:val="0"/>
              <w:jc w:val="center"/>
              <w:rPr>
                <w:sz w:val="20"/>
                <w:szCs w:val="20"/>
              </w:rPr>
            </w:pPr>
            <w:r w:rsidRPr="003E7F07">
              <w:rPr>
                <w:sz w:val="20"/>
                <w:szCs w:val="20"/>
              </w:rPr>
              <w:t>5</w:t>
            </w:r>
            <w:r w:rsidR="00CF730C">
              <w:rPr>
                <w:sz w:val="20"/>
                <w:szCs w:val="20"/>
              </w:rPr>
              <w:t>.</w:t>
            </w:r>
            <w:r w:rsidRPr="003E7F07">
              <w:rPr>
                <w:sz w:val="20"/>
                <w:szCs w:val="20"/>
              </w:rPr>
              <w:t>77</w:t>
            </w:r>
          </w:p>
        </w:tc>
        <w:tc>
          <w:tcPr>
            <w:tcW w:w="914" w:type="pct"/>
          </w:tcPr>
          <w:p w14:paraId="75F13C00" w14:textId="470030DD" w:rsidR="00C80AE0" w:rsidRPr="003E7F07" w:rsidRDefault="00C80AE0" w:rsidP="00531B12">
            <w:pPr>
              <w:widowControl w:val="0"/>
              <w:jc w:val="center"/>
              <w:rPr>
                <w:sz w:val="20"/>
                <w:szCs w:val="20"/>
              </w:rPr>
            </w:pPr>
            <w:r w:rsidRPr="003E7F07">
              <w:rPr>
                <w:sz w:val="20"/>
                <w:szCs w:val="20"/>
              </w:rPr>
              <w:t>2</w:t>
            </w:r>
            <w:r w:rsidR="00CF730C">
              <w:rPr>
                <w:sz w:val="20"/>
                <w:szCs w:val="20"/>
              </w:rPr>
              <w:t>.</w:t>
            </w:r>
            <w:r w:rsidRPr="003E7F07">
              <w:rPr>
                <w:sz w:val="20"/>
                <w:szCs w:val="20"/>
              </w:rPr>
              <w:t>354</w:t>
            </w:r>
          </w:p>
        </w:tc>
        <w:tc>
          <w:tcPr>
            <w:tcW w:w="685" w:type="pct"/>
          </w:tcPr>
          <w:p w14:paraId="4297D14C" w14:textId="77777777" w:rsidR="00C80AE0" w:rsidRPr="003E7F07" w:rsidRDefault="00C80AE0" w:rsidP="00531B12">
            <w:pPr>
              <w:widowControl w:val="0"/>
              <w:jc w:val="center"/>
              <w:rPr>
                <w:sz w:val="20"/>
                <w:szCs w:val="20"/>
              </w:rPr>
            </w:pPr>
            <w:r w:rsidRPr="003E7F07">
              <w:rPr>
                <w:sz w:val="20"/>
                <w:szCs w:val="20"/>
              </w:rPr>
              <w:t>.019*</w:t>
            </w:r>
          </w:p>
        </w:tc>
      </w:tr>
      <w:tr w:rsidR="00C80AE0" w:rsidRPr="003E7F07" w14:paraId="5AE52ABD" w14:textId="77777777" w:rsidTr="00CF730C">
        <w:trPr>
          <w:trHeight w:val="263"/>
        </w:trPr>
        <w:tc>
          <w:tcPr>
            <w:tcW w:w="641" w:type="pct"/>
          </w:tcPr>
          <w:p w14:paraId="5A494623" w14:textId="77777777" w:rsidR="00C80AE0" w:rsidRPr="003E7F07" w:rsidRDefault="00C80AE0" w:rsidP="00531B12">
            <w:pPr>
              <w:widowControl w:val="0"/>
              <w:rPr>
                <w:sz w:val="20"/>
                <w:szCs w:val="20"/>
              </w:rPr>
            </w:pPr>
            <w:r w:rsidRPr="003E7F07">
              <w:rPr>
                <w:sz w:val="20"/>
                <w:szCs w:val="20"/>
              </w:rPr>
              <w:t>RC</w:t>
            </w:r>
          </w:p>
        </w:tc>
        <w:tc>
          <w:tcPr>
            <w:tcW w:w="665" w:type="pct"/>
          </w:tcPr>
          <w:p w14:paraId="4814904B" w14:textId="7E4A5AE4" w:rsidR="00C80AE0" w:rsidRPr="003E7F07" w:rsidRDefault="00C80AE0" w:rsidP="00531B12">
            <w:pPr>
              <w:widowControl w:val="0"/>
              <w:jc w:val="center"/>
              <w:rPr>
                <w:sz w:val="20"/>
                <w:szCs w:val="20"/>
              </w:rPr>
            </w:pPr>
            <w:r w:rsidRPr="003E7F07">
              <w:rPr>
                <w:sz w:val="20"/>
                <w:szCs w:val="20"/>
              </w:rPr>
              <w:t>10</w:t>
            </w:r>
            <w:r w:rsidR="00CF730C">
              <w:rPr>
                <w:sz w:val="20"/>
                <w:szCs w:val="20"/>
              </w:rPr>
              <w:t>.</w:t>
            </w:r>
            <w:r w:rsidRPr="003E7F07">
              <w:rPr>
                <w:sz w:val="20"/>
                <w:szCs w:val="20"/>
              </w:rPr>
              <w:t>35</w:t>
            </w:r>
          </w:p>
        </w:tc>
        <w:tc>
          <w:tcPr>
            <w:tcW w:w="724" w:type="pct"/>
          </w:tcPr>
          <w:p w14:paraId="57F07672" w14:textId="2DFDD24F" w:rsidR="00C80AE0" w:rsidRPr="003E7F07" w:rsidRDefault="00C80AE0" w:rsidP="00531B12">
            <w:pPr>
              <w:widowControl w:val="0"/>
              <w:jc w:val="center"/>
              <w:rPr>
                <w:sz w:val="20"/>
                <w:szCs w:val="20"/>
              </w:rPr>
            </w:pPr>
            <w:r w:rsidRPr="003E7F07">
              <w:rPr>
                <w:sz w:val="20"/>
                <w:szCs w:val="20"/>
              </w:rPr>
              <w:t>5</w:t>
            </w:r>
            <w:r w:rsidR="00CF730C">
              <w:rPr>
                <w:sz w:val="20"/>
                <w:szCs w:val="20"/>
              </w:rPr>
              <w:t>.</w:t>
            </w:r>
            <w:r w:rsidRPr="003E7F07">
              <w:rPr>
                <w:sz w:val="20"/>
                <w:szCs w:val="20"/>
              </w:rPr>
              <w:t>80</w:t>
            </w:r>
          </w:p>
        </w:tc>
        <w:tc>
          <w:tcPr>
            <w:tcW w:w="691" w:type="pct"/>
          </w:tcPr>
          <w:p w14:paraId="01A6A89A" w14:textId="4BC3EF59" w:rsidR="00C80AE0" w:rsidRPr="003E7F07" w:rsidRDefault="00C80AE0" w:rsidP="00C80AE0">
            <w:pPr>
              <w:widowControl w:val="0"/>
              <w:jc w:val="center"/>
              <w:rPr>
                <w:sz w:val="20"/>
                <w:szCs w:val="20"/>
              </w:rPr>
            </w:pPr>
            <w:r w:rsidRPr="003E7F07">
              <w:rPr>
                <w:sz w:val="20"/>
                <w:szCs w:val="20"/>
              </w:rPr>
              <w:t>10</w:t>
            </w:r>
            <w:r w:rsidR="00CF730C">
              <w:rPr>
                <w:sz w:val="20"/>
                <w:szCs w:val="20"/>
              </w:rPr>
              <w:t>.</w:t>
            </w:r>
            <w:r w:rsidRPr="003E7F07">
              <w:rPr>
                <w:sz w:val="20"/>
                <w:szCs w:val="20"/>
              </w:rPr>
              <w:t>07</w:t>
            </w:r>
          </w:p>
        </w:tc>
        <w:tc>
          <w:tcPr>
            <w:tcW w:w="680" w:type="pct"/>
          </w:tcPr>
          <w:p w14:paraId="719EC84D" w14:textId="4BB5C405" w:rsidR="00C80AE0" w:rsidRPr="003E7F07" w:rsidRDefault="00C80AE0" w:rsidP="00C80AE0">
            <w:pPr>
              <w:widowControl w:val="0"/>
              <w:jc w:val="center"/>
              <w:rPr>
                <w:sz w:val="20"/>
                <w:szCs w:val="20"/>
              </w:rPr>
            </w:pPr>
            <w:r w:rsidRPr="003E7F07">
              <w:rPr>
                <w:sz w:val="20"/>
                <w:szCs w:val="20"/>
              </w:rPr>
              <w:t>5</w:t>
            </w:r>
            <w:r w:rsidR="00CF730C">
              <w:rPr>
                <w:sz w:val="20"/>
                <w:szCs w:val="20"/>
              </w:rPr>
              <w:t>.</w:t>
            </w:r>
            <w:r w:rsidRPr="003E7F07">
              <w:rPr>
                <w:sz w:val="20"/>
                <w:szCs w:val="20"/>
              </w:rPr>
              <w:t>24</w:t>
            </w:r>
          </w:p>
        </w:tc>
        <w:tc>
          <w:tcPr>
            <w:tcW w:w="914" w:type="pct"/>
          </w:tcPr>
          <w:p w14:paraId="3C1AE4AC" w14:textId="51F58630" w:rsidR="00C80AE0" w:rsidRPr="003E7F07" w:rsidRDefault="00CF730C" w:rsidP="00531B12">
            <w:pPr>
              <w:widowControl w:val="0"/>
              <w:jc w:val="center"/>
              <w:rPr>
                <w:sz w:val="20"/>
                <w:szCs w:val="20"/>
              </w:rPr>
            </w:pPr>
            <w:r>
              <w:rPr>
                <w:sz w:val="20"/>
                <w:szCs w:val="20"/>
              </w:rPr>
              <w:t>.</w:t>
            </w:r>
            <w:r w:rsidR="00C80AE0" w:rsidRPr="003E7F07">
              <w:rPr>
                <w:sz w:val="20"/>
                <w:szCs w:val="20"/>
              </w:rPr>
              <w:t>359</w:t>
            </w:r>
          </w:p>
        </w:tc>
        <w:tc>
          <w:tcPr>
            <w:tcW w:w="685" w:type="pct"/>
          </w:tcPr>
          <w:p w14:paraId="6EC37179" w14:textId="77777777" w:rsidR="00C80AE0" w:rsidRPr="003E7F07" w:rsidRDefault="00C80AE0" w:rsidP="00531B12">
            <w:pPr>
              <w:widowControl w:val="0"/>
              <w:jc w:val="center"/>
              <w:rPr>
                <w:sz w:val="20"/>
                <w:szCs w:val="20"/>
              </w:rPr>
            </w:pPr>
            <w:r w:rsidRPr="003E7F07">
              <w:rPr>
                <w:sz w:val="20"/>
                <w:szCs w:val="20"/>
              </w:rPr>
              <w:t>.720</w:t>
            </w:r>
          </w:p>
        </w:tc>
      </w:tr>
      <w:tr w:rsidR="00C80AE0" w:rsidRPr="003E7F07" w14:paraId="5D41EEE3" w14:textId="77777777" w:rsidTr="00CF730C">
        <w:trPr>
          <w:trHeight w:val="273"/>
        </w:trPr>
        <w:tc>
          <w:tcPr>
            <w:tcW w:w="641" w:type="pct"/>
          </w:tcPr>
          <w:p w14:paraId="24A57133" w14:textId="77777777" w:rsidR="00C80AE0" w:rsidRPr="003E7F07" w:rsidRDefault="00C80AE0" w:rsidP="00531B12">
            <w:pPr>
              <w:widowControl w:val="0"/>
              <w:rPr>
                <w:sz w:val="20"/>
                <w:szCs w:val="20"/>
              </w:rPr>
            </w:pPr>
            <w:r w:rsidRPr="003E7F07">
              <w:rPr>
                <w:sz w:val="20"/>
                <w:szCs w:val="20"/>
              </w:rPr>
              <w:t>EP</w:t>
            </w:r>
          </w:p>
        </w:tc>
        <w:tc>
          <w:tcPr>
            <w:tcW w:w="665" w:type="pct"/>
          </w:tcPr>
          <w:p w14:paraId="79F47183" w14:textId="02D2692D" w:rsidR="00C80AE0" w:rsidRPr="003E7F07" w:rsidRDefault="00C80AE0" w:rsidP="00531B12">
            <w:pPr>
              <w:widowControl w:val="0"/>
              <w:jc w:val="center"/>
              <w:rPr>
                <w:sz w:val="20"/>
                <w:szCs w:val="20"/>
              </w:rPr>
            </w:pPr>
            <w:r w:rsidRPr="003E7F07">
              <w:rPr>
                <w:sz w:val="20"/>
                <w:szCs w:val="20"/>
              </w:rPr>
              <w:t>10</w:t>
            </w:r>
            <w:r w:rsidR="00CF730C">
              <w:rPr>
                <w:sz w:val="20"/>
                <w:szCs w:val="20"/>
              </w:rPr>
              <w:t>.</w:t>
            </w:r>
            <w:r w:rsidRPr="003E7F07">
              <w:rPr>
                <w:sz w:val="20"/>
                <w:szCs w:val="20"/>
              </w:rPr>
              <w:t>32</w:t>
            </w:r>
          </w:p>
        </w:tc>
        <w:tc>
          <w:tcPr>
            <w:tcW w:w="724" w:type="pct"/>
          </w:tcPr>
          <w:p w14:paraId="31B3B370" w14:textId="393D7405" w:rsidR="00C80AE0" w:rsidRPr="003E7F07" w:rsidRDefault="00C80AE0" w:rsidP="00531B12">
            <w:pPr>
              <w:widowControl w:val="0"/>
              <w:jc w:val="center"/>
              <w:rPr>
                <w:sz w:val="20"/>
                <w:szCs w:val="20"/>
              </w:rPr>
            </w:pPr>
            <w:r w:rsidRPr="003E7F07">
              <w:rPr>
                <w:sz w:val="20"/>
                <w:szCs w:val="20"/>
              </w:rPr>
              <w:t>5</w:t>
            </w:r>
            <w:r w:rsidR="00CF730C">
              <w:rPr>
                <w:sz w:val="20"/>
                <w:szCs w:val="20"/>
              </w:rPr>
              <w:t>.</w:t>
            </w:r>
            <w:r w:rsidRPr="003E7F07">
              <w:rPr>
                <w:sz w:val="20"/>
                <w:szCs w:val="20"/>
              </w:rPr>
              <w:t>48</w:t>
            </w:r>
          </w:p>
        </w:tc>
        <w:tc>
          <w:tcPr>
            <w:tcW w:w="691" w:type="pct"/>
          </w:tcPr>
          <w:p w14:paraId="7F511406" w14:textId="4BBFB519" w:rsidR="00C80AE0" w:rsidRPr="003E7F07" w:rsidRDefault="00C80AE0" w:rsidP="00C80AE0">
            <w:pPr>
              <w:widowControl w:val="0"/>
              <w:jc w:val="center"/>
              <w:rPr>
                <w:sz w:val="20"/>
                <w:szCs w:val="20"/>
              </w:rPr>
            </w:pPr>
            <w:r w:rsidRPr="003E7F07">
              <w:rPr>
                <w:sz w:val="20"/>
                <w:szCs w:val="20"/>
              </w:rPr>
              <w:t>9</w:t>
            </w:r>
            <w:r w:rsidR="00CF730C">
              <w:rPr>
                <w:sz w:val="20"/>
                <w:szCs w:val="20"/>
              </w:rPr>
              <w:t>.</w:t>
            </w:r>
            <w:r w:rsidRPr="003E7F07">
              <w:rPr>
                <w:sz w:val="20"/>
                <w:szCs w:val="20"/>
              </w:rPr>
              <w:t>44</w:t>
            </w:r>
          </w:p>
        </w:tc>
        <w:tc>
          <w:tcPr>
            <w:tcW w:w="680" w:type="pct"/>
          </w:tcPr>
          <w:p w14:paraId="647A2882" w14:textId="722A38B5" w:rsidR="00C80AE0" w:rsidRPr="003E7F07" w:rsidRDefault="00C80AE0" w:rsidP="00C80AE0">
            <w:pPr>
              <w:widowControl w:val="0"/>
              <w:jc w:val="center"/>
              <w:rPr>
                <w:sz w:val="20"/>
                <w:szCs w:val="20"/>
              </w:rPr>
            </w:pPr>
            <w:r w:rsidRPr="003E7F07">
              <w:rPr>
                <w:sz w:val="20"/>
                <w:szCs w:val="20"/>
              </w:rPr>
              <w:t>4</w:t>
            </w:r>
            <w:r w:rsidR="00CF730C">
              <w:rPr>
                <w:sz w:val="20"/>
                <w:szCs w:val="20"/>
              </w:rPr>
              <w:t>.</w:t>
            </w:r>
            <w:r w:rsidRPr="003E7F07">
              <w:rPr>
                <w:sz w:val="20"/>
                <w:szCs w:val="20"/>
              </w:rPr>
              <w:t>53</w:t>
            </w:r>
          </w:p>
        </w:tc>
        <w:tc>
          <w:tcPr>
            <w:tcW w:w="914" w:type="pct"/>
          </w:tcPr>
          <w:p w14:paraId="2F4D964C" w14:textId="03052D61" w:rsidR="00C80AE0" w:rsidRPr="003E7F07" w:rsidRDefault="00C80AE0" w:rsidP="00531B12">
            <w:pPr>
              <w:widowControl w:val="0"/>
              <w:jc w:val="center"/>
              <w:rPr>
                <w:sz w:val="20"/>
                <w:szCs w:val="20"/>
              </w:rPr>
            </w:pPr>
            <w:r w:rsidRPr="003E7F07">
              <w:rPr>
                <w:sz w:val="20"/>
                <w:szCs w:val="20"/>
              </w:rPr>
              <w:t>1</w:t>
            </w:r>
            <w:r w:rsidR="00CF730C">
              <w:rPr>
                <w:sz w:val="20"/>
                <w:szCs w:val="20"/>
              </w:rPr>
              <w:t>.</w:t>
            </w:r>
            <w:r w:rsidRPr="003E7F07">
              <w:rPr>
                <w:sz w:val="20"/>
                <w:szCs w:val="20"/>
              </w:rPr>
              <w:t>278</w:t>
            </w:r>
          </w:p>
        </w:tc>
        <w:tc>
          <w:tcPr>
            <w:tcW w:w="685" w:type="pct"/>
          </w:tcPr>
          <w:p w14:paraId="4E8B9E3A" w14:textId="77777777" w:rsidR="00C80AE0" w:rsidRPr="003E7F07" w:rsidRDefault="00C80AE0" w:rsidP="00531B12">
            <w:pPr>
              <w:widowControl w:val="0"/>
              <w:jc w:val="center"/>
              <w:rPr>
                <w:sz w:val="20"/>
                <w:szCs w:val="20"/>
              </w:rPr>
            </w:pPr>
            <w:r w:rsidRPr="003E7F07">
              <w:rPr>
                <w:sz w:val="20"/>
                <w:szCs w:val="20"/>
              </w:rPr>
              <w:t>.203</w:t>
            </w:r>
          </w:p>
        </w:tc>
      </w:tr>
      <w:tr w:rsidR="00C80AE0" w:rsidRPr="003E7F07" w14:paraId="3F5B52BE" w14:textId="77777777" w:rsidTr="00CF730C">
        <w:trPr>
          <w:trHeight w:val="269"/>
        </w:trPr>
        <w:tc>
          <w:tcPr>
            <w:tcW w:w="641" w:type="pct"/>
          </w:tcPr>
          <w:p w14:paraId="45764FCF" w14:textId="77777777" w:rsidR="00C80AE0" w:rsidRPr="003E7F07" w:rsidRDefault="00C80AE0" w:rsidP="00531B12">
            <w:pPr>
              <w:widowControl w:val="0"/>
              <w:rPr>
                <w:sz w:val="20"/>
                <w:szCs w:val="20"/>
              </w:rPr>
            </w:pPr>
            <w:r w:rsidRPr="003E7F07">
              <w:rPr>
                <w:sz w:val="20"/>
                <w:szCs w:val="20"/>
              </w:rPr>
              <w:t>RS</w:t>
            </w:r>
          </w:p>
        </w:tc>
        <w:tc>
          <w:tcPr>
            <w:tcW w:w="665" w:type="pct"/>
          </w:tcPr>
          <w:p w14:paraId="66E08DC4" w14:textId="43807C2E" w:rsidR="00C80AE0" w:rsidRPr="003E7F07" w:rsidRDefault="00C80AE0" w:rsidP="00531B12">
            <w:pPr>
              <w:widowControl w:val="0"/>
              <w:jc w:val="center"/>
              <w:rPr>
                <w:sz w:val="20"/>
                <w:szCs w:val="20"/>
              </w:rPr>
            </w:pPr>
            <w:r w:rsidRPr="003E7F07">
              <w:rPr>
                <w:sz w:val="20"/>
                <w:szCs w:val="20"/>
              </w:rPr>
              <w:t>6</w:t>
            </w:r>
            <w:r w:rsidR="00CF730C">
              <w:rPr>
                <w:sz w:val="20"/>
                <w:szCs w:val="20"/>
              </w:rPr>
              <w:t>.</w:t>
            </w:r>
            <w:r w:rsidRPr="003E7F07">
              <w:rPr>
                <w:sz w:val="20"/>
                <w:szCs w:val="20"/>
              </w:rPr>
              <w:t>76</w:t>
            </w:r>
          </w:p>
        </w:tc>
        <w:tc>
          <w:tcPr>
            <w:tcW w:w="724" w:type="pct"/>
          </w:tcPr>
          <w:p w14:paraId="4FAB82AD" w14:textId="3F9BCD23" w:rsidR="00C80AE0" w:rsidRPr="003E7F07" w:rsidRDefault="00C80AE0" w:rsidP="00531B12">
            <w:pPr>
              <w:widowControl w:val="0"/>
              <w:jc w:val="center"/>
              <w:rPr>
                <w:sz w:val="20"/>
                <w:szCs w:val="20"/>
              </w:rPr>
            </w:pPr>
            <w:r w:rsidRPr="003E7F07">
              <w:rPr>
                <w:sz w:val="20"/>
                <w:szCs w:val="20"/>
              </w:rPr>
              <w:t>3</w:t>
            </w:r>
            <w:r w:rsidR="00CF730C">
              <w:rPr>
                <w:sz w:val="20"/>
                <w:szCs w:val="20"/>
              </w:rPr>
              <w:t>.</w:t>
            </w:r>
            <w:r w:rsidRPr="003E7F07">
              <w:rPr>
                <w:sz w:val="20"/>
                <w:szCs w:val="20"/>
              </w:rPr>
              <w:t>89</w:t>
            </w:r>
          </w:p>
        </w:tc>
        <w:tc>
          <w:tcPr>
            <w:tcW w:w="691" w:type="pct"/>
          </w:tcPr>
          <w:p w14:paraId="34DD9AD5" w14:textId="08512486" w:rsidR="00C80AE0" w:rsidRPr="003E7F07" w:rsidRDefault="00C80AE0" w:rsidP="00C80AE0">
            <w:pPr>
              <w:widowControl w:val="0"/>
              <w:jc w:val="center"/>
              <w:rPr>
                <w:sz w:val="20"/>
                <w:szCs w:val="20"/>
              </w:rPr>
            </w:pPr>
            <w:r w:rsidRPr="003E7F07">
              <w:rPr>
                <w:sz w:val="20"/>
                <w:szCs w:val="20"/>
              </w:rPr>
              <w:t>4</w:t>
            </w:r>
            <w:r w:rsidR="00CF730C">
              <w:rPr>
                <w:sz w:val="20"/>
                <w:szCs w:val="20"/>
              </w:rPr>
              <w:t>.</w:t>
            </w:r>
            <w:r w:rsidRPr="003E7F07">
              <w:rPr>
                <w:sz w:val="20"/>
                <w:szCs w:val="20"/>
              </w:rPr>
              <w:t>77</w:t>
            </w:r>
          </w:p>
        </w:tc>
        <w:tc>
          <w:tcPr>
            <w:tcW w:w="680" w:type="pct"/>
          </w:tcPr>
          <w:p w14:paraId="3489B199" w14:textId="1FACB3EE" w:rsidR="00C80AE0" w:rsidRPr="003E7F07" w:rsidRDefault="00C80AE0" w:rsidP="00C80AE0">
            <w:pPr>
              <w:widowControl w:val="0"/>
              <w:jc w:val="center"/>
              <w:rPr>
                <w:sz w:val="20"/>
                <w:szCs w:val="20"/>
              </w:rPr>
            </w:pPr>
            <w:r w:rsidRPr="003E7F07">
              <w:rPr>
                <w:sz w:val="20"/>
                <w:szCs w:val="20"/>
              </w:rPr>
              <w:t>3</w:t>
            </w:r>
            <w:r w:rsidR="00CF730C">
              <w:rPr>
                <w:sz w:val="20"/>
                <w:szCs w:val="20"/>
              </w:rPr>
              <w:t>.</w:t>
            </w:r>
            <w:r w:rsidRPr="003E7F07">
              <w:rPr>
                <w:sz w:val="20"/>
                <w:szCs w:val="20"/>
              </w:rPr>
              <w:t>61</w:t>
            </w:r>
          </w:p>
        </w:tc>
        <w:tc>
          <w:tcPr>
            <w:tcW w:w="914" w:type="pct"/>
          </w:tcPr>
          <w:p w14:paraId="3E60BA0B" w14:textId="15F6D55D" w:rsidR="00C80AE0" w:rsidRPr="003E7F07" w:rsidRDefault="00C80AE0" w:rsidP="00531B12">
            <w:pPr>
              <w:widowControl w:val="0"/>
              <w:jc w:val="center"/>
              <w:rPr>
                <w:sz w:val="20"/>
                <w:szCs w:val="20"/>
              </w:rPr>
            </w:pPr>
            <w:r w:rsidRPr="003E7F07">
              <w:rPr>
                <w:sz w:val="20"/>
                <w:szCs w:val="20"/>
              </w:rPr>
              <w:t>3</w:t>
            </w:r>
            <w:r w:rsidR="00CF730C">
              <w:rPr>
                <w:sz w:val="20"/>
                <w:szCs w:val="20"/>
              </w:rPr>
              <w:t>.</w:t>
            </w:r>
            <w:r w:rsidRPr="003E7F07">
              <w:rPr>
                <w:sz w:val="20"/>
                <w:szCs w:val="20"/>
              </w:rPr>
              <w:t>701</w:t>
            </w:r>
          </w:p>
        </w:tc>
        <w:tc>
          <w:tcPr>
            <w:tcW w:w="685" w:type="pct"/>
          </w:tcPr>
          <w:p w14:paraId="1FCE107D" w14:textId="77777777" w:rsidR="00C80AE0" w:rsidRPr="003E7F07" w:rsidRDefault="00C80AE0" w:rsidP="00531B12">
            <w:pPr>
              <w:widowControl w:val="0"/>
              <w:jc w:val="center"/>
              <w:rPr>
                <w:sz w:val="20"/>
                <w:szCs w:val="20"/>
              </w:rPr>
            </w:pPr>
            <w:r w:rsidRPr="003E7F07">
              <w:rPr>
                <w:sz w:val="20"/>
                <w:szCs w:val="20"/>
              </w:rPr>
              <w:t>.001**</w:t>
            </w:r>
          </w:p>
        </w:tc>
      </w:tr>
      <w:tr w:rsidR="00C80AE0" w:rsidRPr="003E7F07" w14:paraId="448AF371" w14:textId="77777777" w:rsidTr="00CF730C">
        <w:trPr>
          <w:trHeight w:val="264"/>
        </w:trPr>
        <w:tc>
          <w:tcPr>
            <w:tcW w:w="641" w:type="pct"/>
          </w:tcPr>
          <w:p w14:paraId="2D8219DE" w14:textId="77777777" w:rsidR="00C80AE0" w:rsidRPr="003E7F07" w:rsidRDefault="00C80AE0" w:rsidP="00531B12">
            <w:pPr>
              <w:widowControl w:val="0"/>
              <w:rPr>
                <w:b/>
                <w:sz w:val="20"/>
                <w:szCs w:val="20"/>
              </w:rPr>
            </w:pPr>
            <w:r w:rsidRPr="003E7F07">
              <w:rPr>
                <w:b/>
                <w:sz w:val="20"/>
                <w:szCs w:val="20"/>
              </w:rPr>
              <w:t>RS-14</w:t>
            </w:r>
          </w:p>
        </w:tc>
        <w:tc>
          <w:tcPr>
            <w:tcW w:w="665" w:type="pct"/>
          </w:tcPr>
          <w:p w14:paraId="73272121" w14:textId="4B9FE00C" w:rsidR="00C80AE0" w:rsidRPr="003E7F07" w:rsidRDefault="00C80AE0" w:rsidP="00531B12">
            <w:pPr>
              <w:widowControl w:val="0"/>
              <w:jc w:val="center"/>
              <w:rPr>
                <w:sz w:val="20"/>
                <w:szCs w:val="20"/>
              </w:rPr>
            </w:pPr>
            <w:r w:rsidRPr="003E7F07">
              <w:rPr>
                <w:sz w:val="20"/>
                <w:szCs w:val="20"/>
              </w:rPr>
              <w:t>69</w:t>
            </w:r>
            <w:r w:rsidR="00CF730C">
              <w:rPr>
                <w:sz w:val="20"/>
                <w:szCs w:val="20"/>
              </w:rPr>
              <w:t>.</w:t>
            </w:r>
            <w:r w:rsidRPr="003E7F07">
              <w:rPr>
                <w:sz w:val="20"/>
                <w:szCs w:val="20"/>
              </w:rPr>
              <w:t>78</w:t>
            </w:r>
          </w:p>
        </w:tc>
        <w:tc>
          <w:tcPr>
            <w:tcW w:w="724" w:type="pct"/>
          </w:tcPr>
          <w:p w14:paraId="3F2ED3C4" w14:textId="26B7CFC4" w:rsidR="00C80AE0" w:rsidRPr="003E7F07" w:rsidRDefault="00C80AE0" w:rsidP="00C80AE0">
            <w:pPr>
              <w:widowControl w:val="0"/>
              <w:jc w:val="center"/>
              <w:rPr>
                <w:sz w:val="20"/>
                <w:szCs w:val="20"/>
              </w:rPr>
            </w:pPr>
            <w:r w:rsidRPr="003E7F07">
              <w:rPr>
                <w:sz w:val="20"/>
                <w:szCs w:val="20"/>
              </w:rPr>
              <w:t>15</w:t>
            </w:r>
            <w:r w:rsidR="00CF730C">
              <w:rPr>
                <w:sz w:val="20"/>
                <w:szCs w:val="20"/>
              </w:rPr>
              <w:t>.</w:t>
            </w:r>
            <w:r w:rsidRPr="003E7F07">
              <w:rPr>
                <w:sz w:val="20"/>
                <w:szCs w:val="20"/>
              </w:rPr>
              <w:t>58</w:t>
            </w:r>
          </w:p>
        </w:tc>
        <w:tc>
          <w:tcPr>
            <w:tcW w:w="691" w:type="pct"/>
          </w:tcPr>
          <w:p w14:paraId="6584EF3C" w14:textId="4916B2A2" w:rsidR="00C80AE0" w:rsidRPr="003E7F07" w:rsidRDefault="00C80AE0" w:rsidP="00C80AE0">
            <w:pPr>
              <w:widowControl w:val="0"/>
              <w:jc w:val="center"/>
              <w:rPr>
                <w:sz w:val="20"/>
                <w:szCs w:val="20"/>
              </w:rPr>
            </w:pPr>
            <w:r w:rsidRPr="003E7F07">
              <w:rPr>
                <w:sz w:val="20"/>
                <w:szCs w:val="20"/>
              </w:rPr>
              <w:t>73</w:t>
            </w:r>
            <w:r w:rsidR="00CF730C">
              <w:rPr>
                <w:sz w:val="20"/>
                <w:szCs w:val="20"/>
              </w:rPr>
              <w:t>.</w:t>
            </w:r>
            <w:r w:rsidRPr="003E7F07">
              <w:rPr>
                <w:sz w:val="20"/>
                <w:szCs w:val="20"/>
              </w:rPr>
              <w:t>90</w:t>
            </w:r>
          </w:p>
        </w:tc>
        <w:tc>
          <w:tcPr>
            <w:tcW w:w="680" w:type="pct"/>
          </w:tcPr>
          <w:p w14:paraId="37DACADB" w14:textId="6D63312D" w:rsidR="00C80AE0" w:rsidRPr="003E7F07" w:rsidRDefault="00C80AE0" w:rsidP="00C80AE0">
            <w:pPr>
              <w:widowControl w:val="0"/>
              <w:jc w:val="center"/>
              <w:rPr>
                <w:sz w:val="20"/>
                <w:szCs w:val="20"/>
              </w:rPr>
            </w:pPr>
            <w:r w:rsidRPr="003E7F07">
              <w:rPr>
                <w:sz w:val="20"/>
                <w:szCs w:val="20"/>
              </w:rPr>
              <w:t>14</w:t>
            </w:r>
            <w:r w:rsidR="00CF730C">
              <w:rPr>
                <w:sz w:val="20"/>
                <w:szCs w:val="20"/>
              </w:rPr>
              <w:t>.</w:t>
            </w:r>
            <w:r w:rsidRPr="003E7F07">
              <w:rPr>
                <w:sz w:val="20"/>
                <w:szCs w:val="20"/>
              </w:rPr>
              <w:t>08</w:t>
            </w:r>
          </w:p>
        </w:tc>
        <w:tc>
          <w:tcPr>
            <w:tcW w:w="914" w:type="pct"/>
          </w:tcPr>
          <w:p w14:paraId="5961BAD7" w14:textId="0ABEC6EC" w:rsidR="00C80AE0" w:rsidRPr="003E7F07" w:rsidRDefault="00C80AE0" w:rsidP="00531B12">
            <w:pPr>
              <w:widowControl w:val="0"/>
              <w:jc w:val="center"/>
              <w:rPr>
                <w:sz w:val="20"/>
                <w:szCs w:val="20"/>
              </w:rPr>
            </w:pPr>
            <w:r w:rsidRPr="003E7F07">
              <w:rPr>
                <w:sz w:val="20"/>
                <w:szCs w:val="20"/>
              </w:rPr>
              <w:t>1</w:t>
            </w:r>
            <w:r w:rsidR="00CF730C">
              <w:rPr>
                <w:sz w:val="20"/>
                <w:szCs w:val="20"/>
              </w:rPr>
              <w:t>.</w:t>
            </w:r>
            <w:r w:rsidRPr="003E7F07">
              <w:rPr>
                <w:sz w:val="20"/>
                <w:szCs w:val="20"/>
              </w:rPr>
              <w:t>924</w:t>
            </w:r>
          </w:p>
        </w:tc>
        <w:tc>
          <w:tcPr>
            <w:tcW w:w="685" w:type="pct"/>
          </w:tcPr>
          <w:p w14:paraId="15499FFA" w14:textId="77777777" w:rsidR="00C80AE0" w:rsidRPr="003E7F07" w:rsidRDefault="00C80AE0" w:rsidP="00531B12">
            <w:pPr>
              <w:widowControl w:val="0"/>
              <w:jc w:val="center"/>
              <w:rPr>
                <w:sz w:val="20"/>
                <w:szCs w:val="20"/>
              </w:rPr>
            </w:pPr>
            <w:r w:rsidRPr="003E7F07">
              <w:rPr>
                <w:sz w:val="20"/>
                <w:szCs w:val="20"/>
              </w:rPr>
              <w:t>.056</w:t>
            </w:r>
          </w:p>
        </w:tc>
      </w:tr>
    </w:tbl>
    <w:p w14:paraId="64278DEF" w14:textId="7638D5A0" w:rsidR="00CF730C" w:rsidRPr="00051744" w:rsidRDefault="00CF730C" w:rsidP="00CF730C">
      <w:pPr>
        <w:jc w:val="both"/>
        <w:rPr>
          <w:sz w:val="20"/>
        </w:rPr>
      </w:pPr>
      <w:r w:rsidRPr="00051744">
        <w:rPr>
          <w:sz w:val="20"/>
        </w:rPr>
        <w:t>Nota: AU: Autocrítica (CSI); AS: Apoyo Social (CSI); CSI: Inventario de Estrategias de Afrontamiento; E: Escala de Evitación (EIE-R); EE: Expresión Emocional (CSI); EIE-R: Escala Revisada de Impacto del Estresor; EP: Evitación de Problemas (CSI); H: Escala de Hiperactivación (EIE-R); I: Escala de Intrusión (EIE-R); PD: Pensamiento Desiderativo (CSI); RC: Reestructuración Cognitiva (CSI); RP: Resolución de Problemas (CSI); RS: Retirada Social (CSI); RS-14: Escala de Resiliencia; SF-12: Cuestionario de Salud.</w:t>
      </w:r>
    </w:p>
    <w:p w14:paraId="5C7CE8AF" w14:textId="24615C27" w:rsidR="00CF730C" w:rsidRPr="00051744" w:rsidRDefault="00EF2D36" w:rsidP="00CF730C">
      <w:pPr>
        <w:jc w:val="both"/>
        <w:rPr>
          <w:sz w:val="20"/>
        </w:rPr>
      </w:pPr>
      <w:r w:rsidRPr="00051744">
        <w:rPr>
          <w:sz w:val="20"/>
        </w:rPr>
        <w:t>*</w:t>
      </w:r>
      <w:r w:rsidR="003A6634">
        <w:rPr>
          <w:sz w:val="20"/>
        </w:rPr>
        <w:t xml:space="preserve">La diferencia es significativa a nivel </w:t>
      </w:r>
      <w:r w:rsidR="00CF730C" w:rsidRPr="00051744">
        <w:rPr>
          <w:i/>
          <w:sz w:val="20"/>
        </w:rPr>
        <w:t>p</w:t>
      </w:r>
      <w:r w:rsidR="00CF730C" w:rsidRPr="00051744">
        <w:rPr>
          <w:sz w:val="20"/>
        </w:rPr>
        <w:t>&lt;.05 (bilateral), **</w:t>
      </w:r>
      <w:r w:rsidR="003A6634" w:rsidRPr="003A6634">
        <w:rPr>
          <w:sz w:val="20"/>
        </w:rPr>
        <w:t xml:space="preserve"> </w:t>
      </w:r>
      <w:r w:rsidR="003A6634">
        <w:rPr>
          <w:sz w:val="20"/>
        </w:rPr>
        <w:t xml:space="preserve">La diferencia es significativa a nivel </w:t>
      </w:r>
      <w:r w:rsidR="00CF730C" w:rsidRPr="00051744">
        <w:rPr>
          <w:i/>
          <w:sz w:val="20"/>
        </w:rPr>
        <w:t>p</w:t>
      </w:r>
      <w:r w:rsidR="00CF730C" w:rsidRPr="00051744">
        <w:rPr>
          <w:sz w:val="20"/>
        </w:rPr>
        <w:t>&lt;.005 (bilateral).</w:t>
      </w:r>
    </w:p>
    <w:p w14:paraId="617F354E" w14:textId="4172D6DA" w:rsidR="00CF730C" w:rsidRDefault="00CF730C" w:rsidP="00375833">
      <w:pPr>
        <w:spacing w:line="360" w:lineRule="auto"/>
        <w:jc w:val="both"/>
        <w:rPr>
          <w:b/>
          <w:i/>
        </w:rPr>
      </w:pPr>
    </w:p>
    <w:p w14:paraId="5A7C3B4C" w14:textId="02F45E08" w:rsidR="003A6634" w:rsidRDefault="003A6634" w:rsidP="00375833">
      <w:pPr>
        <w:spacing w:line="360" w:lineRule="auto"/>
        <w:jc w:val="both"/>
      </w:pPr>
      <w:r>
        <w:lastRenderedPageBreak/>
        <w:t>Para el global de la muestra, el impacto emocional experimentado no estaba significativamente asociado a haber padecido la pérdida de un ser querido, padecer patología crónica o tener personas vulnerables a cargo. Tampoco los valores globales de resiliencia. Sin embargo, el hecho de haber padecido la pérdida de un ser querido se relacionó con reportar peor calidad de vida (</w:t>
      </w:r>
      <w:proofErr w:type="gramStart"/>
      <w:r>
        <w:t>F</w:t>
      </w:r>
      <w:r>
        <w:rPr>
          <w:vertAlign w:val="subscript"/>
        </w:rPr>
        <w:t>(</w:t>
      </w:r>
      <w:proofErr w:type="gramEnd"/>
      <w:r>
        <w:rPr>
          <w:vertAlign w:val="subscript"/>
        </w:rPr>
        <w:t>1,229)</w:t>
      </w:r>
      <w:r>
        <w:t xml:space="preserve">=8.984, p=.003), y hacer un mayor uso de la estrategia de afrontamiento de apoyo social </w:t>
      </w:r>
      <w:r>
        <w:t>vida (F</w:t>
      </w:r>
      <w:r>
        <w:rPr>
          <w:vertAlign w:val="subscript"/>
        </w:rPr>
        <w:t>(1,229)</w:t>
      </w:r>
      <w:r>
        <w:t>=</w:t>
      </w:r>
      <w:r>
        <w:t>6.676</w:t>
      </w:r>
      <w:r>
        <w:t>, p=.0</w:t>
      </w:r>
      <w:r>
        <w:t>10</w:t>
      </w:r>
      <w:r>
        <w:t>)</w:t>
      </w:r>
      <w:r>
        <w:t>.</w:t>
      </w:r>
    </w:p>
    <w:p w14:paraId="1BE4EA4A" w14:textId="77777777" w:rsidR="003A6634" w:rsidRDefault="003A6634" w:rsidP="00375833">
      <w:pPr>
        <w:spacing w:line="360" w:lineRule="auto"/>
        <w:jc w:val="both"/>
      </w:pPr>
    </w:p>
    <w:p w14:paraId="1AFFD98E" w14:textId="6AFBA9C0" w:rsidR="00C40BE8" w:rsidRPr="006D253B" w:rsidRDefault="00C40BE8" w:rsidP="00375833">
      <w:pPr>
        <w:spacing w:line="360" w:lineRule="auto"/>
        <w:jc w:val="both"/>
        <w:rPr>
          <w:b/>
          <w:i/>
        </w:rPr>
      </w:pPr>
      <w:r w:rsidRPr="006D253B">
        <w:rPr>
          <w:b/>
          <w:i/>
        </w:rPr>
        <w:t>Perfil de riesgo</w:t>
      </w:r>
    </w:p>
    <w:p w14:paraId="6449EBEF" w14:textId="46191C22" w:rsidR="00C40BE8" w:rsidRDefault="00C40BE8" w:rsidP="00375833">
      <w:pPr>
        <w:spacing w:line="360" w:lineRule="auto"/>
        <w:ind w:firstLine="720"/>
        <w:jc w:val="both"/>
      </w:pPr>
      <w:r w:rsidRPr="00C40BE8">
        <w:t>La Tabla 3 muestra los modelos de regresión obtenidos para los perfiles de individuos con mayor impacto emocional a causa de la COVID-19.</w:t>
      </w:r>
    </w:p>
    <w:p w14:paraId="17FAAA6A" w14:textId="77777777" w:rsidR="00531B12" w:rsidRPr="00C40BE8" w:rsidRDefault="00531B12" w:rsidP="00375833">
      <w:pPr>
        <w:spacing w:line="360" w:lineRule="auto"/>
        <w:ind w:firstLine="720"/>
        <w:jc w:val="both"/>
      </w:pPr>
    </w:p>
    <w:p w14:paraId="02ED1761" w14:textId="77777777" w:rsidR="00C40BE8" w:rsidRDefault="00C40BE8" w:rsidP="003A6634">
      <w:pPr>
        <w:spacing w:line="360" w:lineRule="auto"/>
        <w:rPr>
          <w:i/>
        </w:rPr>
      </w:pPr>
      <w:r w:rsidRPr="00C40BE8">
        <w:rPr>
          <w:i/>
        </w:rPr>
        <w:t>[Insertar Tabla 3]</w:t>
      </w:r>
    </w:p>
    <w:p w14:paraId="066871D6" w14:textId="77777777" w:rsidR="00531B12" w:rsidRPr="00C40BE8" w:rsidRDefault="00531B12" w:rsidP="0006616B">
      <w:pPr>
        <w:spacing w:line="360" w:lineRule="auto"/>
        <w:jc w:val="center"/>
        <w:rPr>
          <w:i/>
        </w:rPr>
      </w:pPr>
    </w:p>
    <w:p w14:paraId="34FDD0D9" w14:textId="77777777" w:rsidR="00C40BE8" w:rsidRDefault="00C40BE8" w:rsidP="00BE1C24">
      <w:pPr>
        <w:spacing w:line="360" w:lineRule="auto"/>
        <w:rPr>
          <w:b/>
        </w:rPr>
      </w:pPr>
      <w:r w:rsidRPr="00C40BE8">
        <w:rPr>
          <w:b/>
        </w:rPr>
        <w:t xml:space="preserve">Tabla 3. </w:t>
      </w:r>
    </w:p>
    <w:p w14:paraId="5CA698C3" w14:textId="0A05AC33" w:rsidR="00C40BE8" w:rsidRPr="00531B12" w:rsidRDefault="00C40BE8" w:rsidP="00375833">
      <w:pPr>
        <w:spacing w:line="360" w:lineRule="auto"/>
        <w:jc w:val="both"/>
        <w:rPr>
          <w:i/>
        </w:rPr>
      </w:pPr>
      <w:r w:rsidRPr="00531B12">
        <w:rPr>
          <w:i/>
        </w:rPr>
        <w:t xml:space="preserve">Modelos de regresión para </w:t>
      </w:r>
      <w:proofErr w:type="gramStart"/>
      <w:r w:rsidRPr="00531B12">
        <w:rPr>
          <w:i/>
        </w:rPr>
        <w:t>la</w:t>
      </w:r>
      <w:proofErr w:type="gramEnd"/>
      <w:r w:rsidRPr="00531B12">
        <w:rPr>
          <w:i/>
        </w:rPr>
        <w:t xml:space="preserve"> variable </w:t>
      </w:r>
      <w:r w:rsidR="003A6634">
        <w:rPr>
          <w:i/>
        </w:rPr>
        <w:t xml:space="preserve">principal impacto del estresor </w:t>
      </w:r>
      <w:r w:rsidRPr="00531B12">
        <w:rPr>
          <w:i/>
        </w:rPr>
        <w:t>y subdimensiones de intrusi</w:t>
      </w:r>
      <w:r w:rsidR="003A6634">
        <w:rPr>
          <w:i/>
        </w:rPr>
        <w:t>ón, hiperactivación y evitación.</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252"/>
        <w:gridCol w:w="2011"/>
        <w:gridCol w:w="1156"/>
        <w:gridCol w:w="2201"/>
      </w:tblGrid>
      <w:tr w:rsidR="00C40BE8" w:rsidRPr="00C40BE8" w14:paraId="570B7824" w14:textId="77777777" w:rsidTr="004D1077">
        <w:trPr>
          <w:trHeight w:val="245"/>
        </w:trPr>
        <w:tc>
          <w:tcPr>
            <w:tcW w:w="2210" w:type="pct"/>
            <w:tcBorders>
              <w:bottom w:val="single" w:sz="4" w:space="0" w:color="auto"/>
            </w:tcBorders>
          </w:tcPr>
          <w:p w14:paraId="7E3F5757" w14:textId="77777777" w:rsidR="00C40BE8" w:rsidRPr="00C40BE8" w:rsidRDefault="00C40BE8" w:rsidP="003E7F07">
            <w:pPr>
              <w:widowControl w:val="0"/>
              <w:pBdr>
                <w:top w:val="nil"/>
                <w:left w:val="nil"/>
                <w:bottom w:val="nil"/>
                <w:right w:val="nil"/>
                <w:between w:val="nil"/>
              </w:pBdr>
              <w:rPr>
                <w:b/>
                <w:sz w:val="20"/>
                <w:szCs w:val="20"/>
              </w:rPr>
            </w:pPr>
            <w:r w:rsidRPr="00C40BE8">
              <w:rPr>
                <w:b/>
                <w:sz w:val="20"/>
                <w:szCs w:val="20"/>
              </w:rPr>
              <w:t>Impacto del estresor (EIE-R)</w:t>
            </w:r>
          </w:p>
        </w:tc>
        <w:tc>
          <w:tcPr>
            <w:tcW w:w="1045" w:type="pct"/>
            <w:tcBorders>
              <w:bottom w:val="single" w:sz="4" w:space="0" w:color="auto"/>
            </w:tcBorders>
          </w:tcPr>
          <w:p w14:paraId="5F06A807" w14:textId="77777777" w:rsidR="00C40BE8" w:rsidRPr="00C40BE8" w:rsidRDefault="00C40BE8" w:rsidP="003E7F07">
            <w:pPr>
              <w:widowControl w:val="0"/>
              <w:pBdr>
                <w:top w:val="nil"/>
                <w:left w:val="nil"/>
                <w:bottom w:val="nil"/>
                <w:right w:val="nil"/>
                <w:between w:val="nil"/>
              </w:pBdr>
              <w:jc w:val="center"/>
              <w:rPr>
                <w:b/>
                <w:sz w:val="20"/>
                <w:szCs w:val="20"/>
              </w:rPr>
            </w:pPr>
            <w:r w:rsidRPr="00C40BE8">
              <w:rPr>
                <w:b/>
                <w:sz w:val="20"/>
                <w:szCs w:val="20"/>
              </w:rPr>
              <w:t>Coeficiente B</w:t>
            </w:r>
          </w:p>
        </w:tc>
        <w:tc>
          <w:tcPr>
            <w:tcW w:w="601" w:type="pct"/>
            <w:tcBorders>
              <w:bottom w:val="single" w:sz="4" w:space="0" w:color="auto"/>
            </w:tcBorders>
          </w:tcPr>
          <w:p w14:paraId="1D690576" w14:textId="77777777" w:rsidR="00C40BE8" w:rsidRPr="004D1077" w:rsidRDefault="00C40BE8" w:rsidP="003E7F07">
            <w:pPr>
              <w:widowControl w:val="0"/>
              <w:pBdr>
                <w:top w:val="nil"/>
                <w:left w:val="nil"/>
                <w:bottom w:val="nil"/>
                <w:right w:val="nil"/>
                <w:between w:val="nil"/>
              </w:pBdr>
              <w:jc w:val="center"/>
              <w:rPr>
                <w:b/>
                <w:i/>
                <w:sz w:val="20"/>
                <w:szCs w:val="20"/>
              </w:rPr>
            </w:pPr>
            <w:r w:rsidRPr="004D1077">
              <w:rPr>
                <w:b/>
                <w:i/>
                <w:sz w:val="20"/>
                <w:szCs w:val="20"/>
              </w:rPr>
              <w:t>p</w:t>
            </w:r>
          </w:p>
        </w:tc>
        <w:tc>
          <w:tcPr>
            <w:tcW w:w="1144" w:type="pct"/>
            <w:tcBorders>
              <w:bottom w:val="single" w:sz="4" w:space="0" w:color="auto"/>
            </w:tcBorders>
          </w:tcPr>
          <w:p w14:paraId="61034F70" w14:textId="77777777" w:rsidR="00C40BE8" w:rsidRPr="00C40BE8" w:rsidRDefault="00C40BE8" w:rsidP="003E7F07">
            <w:pPr>
              <w:widowControl w:val="0"/>
              <w:pBdr>
                <w:top w:val="nil"/>
                <w:left w:val="nil"/>
                <w:bottom w:val="nil"/>
                <w:right w:val="nil"/>
                <w:between w:val="nil"/>
              </w:pBdr>
              <w:jc w:val="center"/>
              <w:rPr>
                <w:b/>
                <w:sz w:val="20"/>
                <w:szCs w:val="20"/>
              </w:rPr>
            </w:pPr>
            <w:r w:rsidRPr="00C40BE8">
              <w:rPr>
                <w:b/>
                <w:sz w:val="20"/>
                <w:szCs w:val="20"/>
              </w:rPr>
              <w:t>IC 95%</w:t>
            </w:r>
          </w:p>
        </w:tc>
      </w:tr>
      <w:tr w:rsidR="00C40BE8" w:rsidRPr="00C40BE8" w14:paraId="453E86A8" w14:textId="77777777" w:rsidTr="004D1077">
        <w:trPr>
          <w:trHeight w:val="72"/>
        </w:trPr>
        <w:tc>
          <w:tcPr>
            <w:tcW w:w="2210" w:type="pct"/>
            <w:tcBorders>
              <w:top w:val="single" w:sz="4" w:space="0" w:color="auto"/>
            </w:tcBorders>
          </w:tcPr>
          <w:p w14:paraId="6E0CF1F7"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AS</w:t>
            </w:r>
          </w:p>
        </w:tc>
        <w:tc>
          <w:tcPr>
            <w:tcW w:w="1045" w:type="pct"/>
            <w:tcBorders>
              <w:top w:val="single" w:sz="4" w:space="0" w:color="auto"/>
            </w:tcBorders>
          </w:tcPr>
          <w:p w14:paraId="01AB785C"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0.306</w:t>
            </w:r>
          </w:p>
        </w:tc>
        <w:tc>
          <w:tcPr>
            <w:tcW w:w="601" w:type="pct"/>
            <w:tcBorders>
              <w:top w:val="single" w:sz="4" w:space="0" w:color="auto"/>
            </w:tcBorders>
          </w:tcPr>
          <w:p w14:paraId="2A351CFE" w14:textId="6332857A" w:rsidR="00C40BE8" w:rsidRPr="00C40BE8" w:rsidRDefault="00531B12" w:rsidP="003E7F07">
            <w:pPr>
              <w:widowControl w:val="0"/>
              <w:pBdr>
                <w:top w:val="nil"/>
                <w:left w:val="nil"/>
                <w:bottom w:val="nil"/>
                <w:right w:val="nil"/>
                <w:between w:val="nil"/>
              </w:pBdr>
              <w:jc w:val="center"/>
              <w:rPr>
                <w:sz w:val="20"/>
                <w:szCs w:val="20"/>
              </w:rPr>
            </w:pPr>
            <w:r>
              <w:rPr>
                <w:sz w:val="20"/>
                <w:szCs w:val="20"/>
              </w:rPr>
              <w:t>&lt;</w:t>
            </w:r>
            <w:r w:rsidR="00C40BE8" w:rsidRPr="00C40BE8">
              <w:rPr>
                <w:sz w:val="20"/>
                <w:szCs w:val="20"/>
              </w:rPr>
              <w:t>.001</w:t>
            </w:r>
          </w:p>
        </w:tc>
        <w:tc>
          <w:tcPr>
            <w:tcW w:w="1144" w:type="pct"/>
            <w:tcBorders>
              <w:top w:val="single" w:sz="4" w:space="0" w:color="auto"/>
            </w:tcBorders>
          </w:tcPr>
          <w:p w14:paraId="52A5FF43"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[0.574, 1.396]</w:t>
            </w:r>
          </w:p>
        </w:tc>
      </w:tr>
      <w:tr w:rsidR="00C40BE8" w:rsidRPr="00C40BE8" w14:paraId="77FD0E3E" w14:textId="77777777" w:rsidTr="004D1077">
        <w:trPr>
          <w:trHeight w:val="73"/>
        </w:trPr>
        <w:tc>
          <w:tcPr>
            <w:tcW w:w="2210" w:type="pct"/>
          </w:tcPr>
          <w:p w14:paraId="0AC0A24B"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RP</w:t>
            </w:r>
          </w:p>
        </w:tc>
        <w:tc>
          <w:tcPr>
            <w:tcW w:w="1045" w:type="pct"/>
          </w:tcPr>
          <w:p w14:paraId="1B1EC0C2"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0.272</w:t>
            </w:r>
          </w:p>
        </w:tc>
        <w:tc>
          <w:tcPr>
            <w:tcW w:w="601" w:type="pct"/>
          </w:tcPr>
          <w:p w14:paraId="05D59E15" w14:textId="7EFBF58B" w:rsidR="00C40BE8" w:rsidRPr="00C40BE8" w:rsidRDefault="00531B12" w:rsidP="003E7F07">
            <w:pPr>
              <w:widowControl w:val="0"/>
              <w:pBdr>
                <w:top w:val="nil"/>
                <w:left w:val="nil"/>
                <w:bottom w:val="nil"/>
                <w:right w:val="nil"/>
                <w:between w:val="nil"/>
              </w:pBdr>
              <w:jc w:val="center"/>
              <w:rPr>
                <w:sz w:val="20"/>
                <w:szCs w:val="20"/>
              </w:rPr>
            </w:pPr>
            <w:r>
              <w:rPr>
                <w:sz w:val="20"/>
                <w:szCs w:val="20"/>
              </w:rPr>
              <w:t>&lt;</w:t>
            </w:r>
            <w:r w:rsidR="00C40BE8" w:rsidRPr="00C40BE8">
              <w:rPr>
                <w:sz w:val="20"/>
                <w:szCs w:val="20"/>
              </w:rPr>
              <w:t>.001</w:t>
            </w:r>
          </w:p>
        </w:tc>
        <w:tc>
          <w:tcPr>
            <w:tcW w:w="1144" w:type="pct"/>
          </w:tcPr>
          <w:p w14:paraId="6F1E49AB"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[0.695, 1.839]</w:t>
            </w:r>
          </w:p>
        </w:tc>
      </w:tr>
      <w:tr w:rsidR="00C40BE8" w:rsidRPr="00C40BE8" w14:paraId="3A6F1F3C" w14:textId="77777777" w:rsidTr="004D1077">
        <w:trPr>
          <w:trHeight w:val="43"/>
        </w:trPr>
        <w:tc>
          <w:tcPr>
            <w:tcW w:w="2210" w:type="pct"/>
          </w:tcPr>
          <w:p w14:paraId="42185ABB"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Género (Femenino)</w:t>
            </w:r>
          </w:p>
        </w:tc>
        <w:tc>
          <w:tcPr>
            <w:tcW w:w="1045" w:type="pct"/>
          </w:tcPr>
          <w:p w14:paraId="3B5D9BAA"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0.157</w:t>
            </w:r>
          </w:p>
        </w:tc>
        <w:tc>
          <w:tcPr>
            <w:tcW w:w="601" w:type="pct"/>
          </w:tcPr>
          <w:p w14:paraId="11299989" w14:textId="2307E24A"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.009</w:t>
            </w:r>
          </w:p>
        </w:tc>
        <w:tc>
          <w:tcPr>
            <w:tcW w:w="1144" w:type="pct"/>
          </w:tcPr>
          <w:p w14:paraId="03F3C8E8"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[10.970, 1.612]</w:t>
            </w:r>
          </w:p>
        </w:tc>
      </w:tr>
      <w:tr w:rsidR="00C40BE8" w:rsidRPr="00C40BE8" w14:paraId="6E9EFF42" w14:textId="77777777" w:rsidTr="004D1077">
        <w:trPr>
          <w:trHeight w:val="95"/>
        </w:trPr>
        <w:tc>
          <w:tcPr>
            <w:tcW w:w="2210" w:type="pct"/>
          </w:tcPr>
          <w:p w14:paraId="540E080E"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Fallecimiento seres cercanos (Sí)</w:t>
            </w:r>
          </w:p>
        </w:tc>
        <w:tc>
          <w:tcPr>
            <w:tcW w:w="1045" w:type="pct"/>
          </w:tcPr>
          <w:p w14:paraId="3957D0F6"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0.133</w:t>
            </w:r>
          </w:p>
        </w:tc>
        <w:tc>
          <w:tcPr>
            <w:tcW w:w="601" w:type="pct"/>
          </w:tcPr>
          <w:p w14:paraId="78F838F7" w14:textId="0080F00D"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.022</w:t>
            </w:r>
          </w:p>
        </w:tc>
        <w:tc>
          <w:tcPr>
            <w:tcW w:w="1144" w:type="pct"/>
          </w:tcPr>
          <w:p w14:paraId="65AE667F"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[10.343, 0.828]</w:t>
            </w:r>
          </w:p>
        </w:tc>
      </w:tr>
      <w:tr w:rsidR="00C40BE8" w:rsidRPr="00C40BE8" w14:paraId="4CBDA8C5" w14:textId="77777777" w:rsidTr="004D1077">
        <w:trPr>
          <w:trHeight w:val="200"/>
        </w:trPr>
        <w:tc>
          <w:tcPr>
            <w:tcW w:w="2210" w:type="pct"/>
            <w:tcBorders>
              <w:bottom w:val="single" w:sz="4" w:space="0" w:color="auto"/>
            </w:tcBorders>
          </w:tcPr>
          <w:p w14:paraId="64B3811C" w14:textId="77777777" w:rsidR="00C40BE8" w:rsidRPr="00C40BE8" w:rsidRDefault="00C40BE8" w:rsidP="003E7F07">
            <w:pPr>
              <w:widowControl w:val="0"/>
              <w:pBdr>
                <w:top w:val="nil"/>
                <w:left w:val="nil"/>
                <w:bottom w:val="nil"/>
                <w:right w:val="nil"/>
                <w:between w:val="nil"/>
              </w:pBdr>
              <w:rPr>
                <w:b/>
                <w:sz w:val="20"/>
                <w:szCs w:val="20"/>
              </w:rPr>
            </w:pPr>
            <w:r w:rsidRPr="00C40BE8">
              <w:rPr>
                <w:b/>
                <w:sz w:val="20"/>
                <w:szCs w:val="20"/>
              </w:rPr>
              <w:t>Intrusión (EIE-R)</w:t>
            </w:r>
          </w:p>
        </w:tc>
        <w:tc>
          <w:tcPr>
            <w:tcW w:w="1045" w:type="pct"/>
            <w:tcBorders>
              <w:bottom w:val="single" w:sz="4" w:space="0" w:color="auto"/>
            </w:tcBorders>
          </w:tcPr>
          <w:p w14:paraId="556CEC02" w14:textId="77777777" w:rsidR="00C40BE8" w:rsidRPr="00C40BE8" w:rsidRDefault="00C40BE8" w:rsidP="003E7F07">
            <w:pPr>
              <w:widowControl w:val="0"/>
              <w:pBdr>
                <w:top w:val="nil"/>
                <w:left w:val="nil"/>
                <w:bottom w:val="nil"/>
                <w:right w:val="nil"/>
                <w:between w:val="nil"/>
              </w:pBdr>
              <w:jc w:val="center"/>
              <w:rPr>
                <w:b/>
                <w:sz w:val="20"/>
                <w:szCs w:val="20"/>
              </w:rPr>
            </w:pPr>
            <w:r w:rsidRPr="00C40BE8">
              <w:rPr>
                <w:b/>
                <w:sz w:val="20"/>
                <w:szCs w:val="20"/>
              </w:rPr>
              <w:t>Coeficiente B</w:t>
            </w:r>
          </w:p>
        </w:tc>
        <w:tc>
          <w:tcPr>
            <w:tcW w:w="601" w:type="pct"/>
            <w:tcBorders>
              <w:bottom w:val="single" w:sz="4" w:space="0" w:color="auto"/>
            </w:tcBorders>
          </w:tcPr>
          <w:p w14:paraId="4EA6E497" w14:textId="77777777" w:rsidR="00C40BE8" w:rsidRPr="004D1077" w:rsidRDefault="00C40BE8" w:rsidP="003E7F07">
            <w:pPr>
              <w:widowControl w:val="0"/>
              <w:pBdr>
                <w:top w:val="nil"/>
                <w:left w:val="nil"/>
                <w:bottom w:val="nil"/>
                <w:right w:val="nil"/>
                <w:between w:val="nil"/>
              </w:pBdr>
              <w:jc w:val="center"/>
              <w:rPr>
                <w:b/>
                <w:i/>
                <w:sz w:val="20"/>
                <w:szCs w:val="20"/>
              </w:rPr>
            </w:pPr>
            <w:r w:rsidRPr="004D1077">
              <w:rPr>
                <w:b/>
                <w:i/>
                <w:sz w:val="20"/>
                <w:szCs w:val="20"/>
              </w:rPr>
              <w:t>p</w:t>
            </w:r>
          </w:p>
        </w:tc>
        <w:tc>
          <w:tcPr>
            <w:tcW w:w="1144" w:type="pct"/>
            <w:tcBorders>
              <w:bottom w:val="single" w:sz="4" w:space="0" w:color="auto"/>
            </w:tcBorders>
          </w:tcPr>
          <w:p w14:paraId="739C42DA" w14:textId="77777777" w:rsidR="00C40BE8" w:rsidRPr="00C40BE8" w:rsidRDefault="00C40BE8" w:rsidP="003E7F07">
            <w:pPr>
              <w:widowControl w:val="0"/>
              <w:pBdr>
                <w:top w:val="nil"/>
                <w:left w:val="nil"/>
                <w:bottom w:val="nil"/>
                <w:right w:val="nil"/>
                <w:between w:val="nil"/>
              </w:pBdr>
              <w:jc w:val="center"/>
              <w:rPr>
                <w:b/>
                <w:sz w:val="20"/>
                <w:szCs w:val="20"/>
              </w:rPr>
            </w:pPr>
            <w:r w:rsidRPr="00C40BE8">
              <w:rPr>
                <w:b/>
                <w:sz w:val="20"/>
                <w:szCs w:val="20"/>
              </w:rPr>
              <w:t>IC 95%</w:t>
            </w:r>
          </w:p>
        </w:tc>
      </w:tr>
      <w:tr w:rsidR="00C40BE8" w:rsidRPr="00C40BE8" w14:paraId="39B2BF3A" w14:textId="77777777" w:rsidTr="004D1077">
        <w:trPr>
          <w:trHeight w:val="59"/>
        </w:trPr>
        <w:tc>
          <w:tcPr>
            <w:tcW w:w="2210" w:type="pct"/>
          </w:tcPr>
          <w:p w14:paraId="230065E9"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AS</w:t>
            </w:r>
          </w:p>
        </w:tc>
        <w:tc>
          <w:tcPr>
            <w:tcW w:w="1045" w:type="pct"/>
          </w:tcPr>
          <w:p w14:paraId="6152550A"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0.307</w:t>
            </w:r>
          </w:p>
        </w:tc>
        <w:tc>
          <w:tcPr>
            <w:tcW w:w="601" w:type="pct"/>
          </w:tcPr>
          <w:p w14:paraId="2E953FB8" w14:textId="149F6204" w:rsidR="00C40BE8" w:rsidRPr="00C40BE8" w:rsidRDefault="00531B12" w:rsidP="003E7F07">
            <w:pPr>
              <w:widowControl w:val="0"/>
              <w:pBdr>
                <w:top w:val="nil"/>
                <w:left w:val="nil"/>
                <w:bottom w:val="nil"/>
                <w:right w:val="nil"/>
                <w:between w:val="nil"/>
              </w:pBdr>
              <w:jc w:val="center"/>
              <w:rPr>
                <w:sz w:val="20"/>
                <w:szCs w:val="20"/>
              </w:rPr>
            </w:pPr>
            <w:r>
              <w:rPr>
                <w:sz w:val="20"/>
                <w:szCs w:val="20"/>
              </w:rPr>
              <w:t>&lt;</w:t>
            </w:r>
            <w:r w:rsidR="00C40BE8" w:rsidRPr="00C40BE8">
              <w:rPr>
                <w:sz w:val="20"/>
                <w:szCs w:val="20"/>
              </w:rPr>
              <w:t>.001</w:t>
            </w:r>
          </w:p>
        </w:tc>
        <w:tc>
          <w:tcPr>
            <w:tcW w:w="1144" w:type="pct"/>
          </w:tcPr>
          <w:p w14:paraId="2EBA3C94"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[0.217, 0.550]</w:t>
            </w:r>
          </w:p>
        </w:tc>
      </w:tr>
      <w:tr w:rsidR="00C40BE8" w:rsidRPr="00C40BE8" w14:paraId="5D0298F3" w14:textId="77777777" w:rsidTr="004D1077">
        <w:trPr>
          <w:trHeight w:val="249"/>
        </w:trPr>
        <w:tc>
          <w:tcPr>
            <w:tcW w:w="2210" w:type="pct"/>
          </w:tcPr>
          <w:p w14:paraId="195ED629"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RP</w:t>
            </w:r>
          </w:p>
        </w:tc>
        <w:tc>
          <w:tcPr>
            <w:tcW w:w="1045" w:type="pct"/>
          </w:tcPr>
          <w:p w14:paraId="664A9E50"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0.201</w:t>
            </w:r>
          </w:p>
        </w:tc>
        <w:tc>
          <w:tcPr>
            <w:tcW w:w="601" w:type="pct"/>
          </w:tcPr>
          <w:p w14:paraId="57A83E79" w14:textId="6D85DAEB"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.004</w:t>
            </w:r>
          </w:p>
        </w:tc>
        <w:tc>
          <w:tcPr>
            <w:tcW w:w="1144" w:type="pct"/>
          </w:tcPr>
          <w:p w14:paraId="6C7198DF"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[0.121, 0.607]</w:t>
            </w:r>
          </w:p>
        </w:tc>
      </w:tr>
      <w:tr w:rsidR="00C40BE8" w:rsidRPr="00C40BE8" w14:paraId="1D93537B" w14:textId="77777777" w:rsidTr="004D1077">
        <w:trPr>
          <w:trHeight w:val="25"/>
        </w:trPr>
        <w:tc>
          <w:tcPr>
            <w:tcW w:w="2210" w:type="pct"/>
          </w:tcPr>
          <w:p w14:paraId="47B27885"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RS</w:t>
            </w:r>
          </w:p>
        </w:tc>
        <w:tc>
          <w:tcPr>
            <w:tcW w:w="1045" w:type="pct"/>
          </w:tcPr>
          <w:p w14:paraId="24C662C8"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-0.162</w:t>
            </w:r>
          </w:p>
        </w:tc>
        <w:tc>
          <w:tcPr>
            <w:tcW w:w="601" w:type="pct"/>
          </w:tcPr>
          <w:p w14:paraId="69C84BAD" w14:textId="432C4C0E"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.013</w:t>
            </w:r>
          </w:p>
        </w:tc>
        <w:tc>
          <w:tcPr>
            <w:tcW w:w="1144" w:type="pct"/>
          </w:tcPr>
          <w:p w14:paraId="440C0E74"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[-0.536, -0.063]</w:t>
            </w:r>
          </w:p>
        </w:tc>
      </w:tr>
      <w:tr w:rsidR="00C40BE8" w:rsidRPr="00C40BE8" w14:paraId="0A8A7402" w14:textId="77777777" w:rsidTr="004D1077">
        <w:trPr>
          <w:trHeight w:val="211"/>
        </w:trPr>
        <w:tc>
          <w:tcPr>
            <w:tcW w:w="2210" w:type="pct"/>
          </w:tcPr>
          <w:p w14:paraId="37F65945"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PD</w:t>
            </w:r>
          </w:p>
        </w:tc>
        <w:tc>
          <w:tcPr>
            <w:tcW w:w="1045" w:type="pct"/>
          </w:tcPr>
          <w:p w14:paraId="00CB7FC4"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0.131</w:t>
            </w:r>
          </w:p>
        </w:tc>
        <w:tc>
          <w:tcPr>
            <w:tcW w:w="601" w:type="pct"/>
          </w:tcPr>
          <w:p w14:paraId="19F1318F" w14:textId="156E7CA5"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.038</w:t>
            </w:r>
          </w:p>
        </w:tc>
        <w:tc>
          <w:tcPr>
            <w:tcW w:w="1144" w:type="pct"/>
          </w:tcPr>
          <w:p w14:paraId="55070CFF"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[0.010, 0.346]</w:t>
            </w:r>
          </w:p>
        </w:tc>
      </w:tr>
      <w:tr w:rsidR="00C40BE8" w:rsidRPr="00C40BE8" w14:paraId="53333C41" w14:textId="77777777" w:rsidTr="004D1077">
        <w:trPr>
          <w:trHeight w:val="30"/>
        </w:trPr>
        <w:tc>
          <w:tcPr>
            <w:tcW w:w="2210" w:type="pct"/>
            <w:tcBorders>
              <w:bottom w:val="single" w:sz="4" w:space="0" w:color="auto"/>
            </w:tcBorders>
          </w:tcPr>
          <w:p w14:paraId="7C9138F4" w14:textId="77777777" w:rsidR="00C40BE8" w:rsidRPr="00C40BE8" w:rsidRDefault="00C40BE8" w:rsidP="003E7F07">
            <w:pPr>
              <w:widowControl w:val="0"/>
              <w:pBdr>
                <w:top w:val="nil"/>
                <w:left w:val="nil"/>
                <w:bottom w:val="nil"/>
                <w:right w:val="nil"/>
                <w:between w:val="nil"/>
              </w:pBdr>
              <w:rPr>
                <w:b/>
                <w:sz w:val="20"/>
                <w:szCs w:val="20"/>
              </w:rPr>
            </w:pPr>
            <w:r w:rsidRPr="00C40BE8">
              <w:rPr>
                <w:b/>
                <w:sz w:val="20"/>
                <w:szCs w:val="20"/>
              </w:rPr>
              <w:t>Hiperactivación (EIE-R)</w:t>
            </w:r>
          </w:p>
        </w:tc>
        <w:tc>
          <w:tcPr>
            <w:tcW w:w="1045" w:type="pct"/>
            <w:tcBorders>
              <w:bottom w:val="single" w:sz="4" w:space="0" w:color="auto"/>
            </w:tcBorders>
          </w:tcPr>
          <w:p w14:paraId="6A42ECBD" w14:textId="77777777" w:rsidR="00C40BE8" w:rsidRPr="00C40BE8" w:rsidRDefault="00C40BE8" w:rsidP="003E7F07">
            <w:pPr>
              <w:widowControl w:val="0"/>
              <w:pBdr>
                <w:top w:val="nil"/>
                <w:left w:val="nil"/>
                <w:bottom w:val="nil"/>
                <w:right w:val="nil"/>
                <w:between w:val="nil"/>
              </w:pBdr>
              <w:jc w:val="center"/>
              <w:rPr>
                <w:b/>
                <w:sz w:val="20"/>
                <w:szCs w:val="20"/>
              </w:rPr>
            </w:pPr>
            <w:r w:rsidRPr="00C40BE8">
              <w:rPr>
                <w:b/>
                <w:sz w:val="20"/>
                <w:szCs w:val="20"/>
              </w:rPr>
              <w:t>Coeficiente B</w:t>
            </w:r>
          </w:p>
        </w:tc>
        <w:tc>
          <w:tcPr>
            <w:tcW w:w="601" w:type="pct"/>
            <w:tcBorders>
              <w:bottom w:val="single" w:sz="4" w:space="0" w:color="auto"/>
            </w:tcBorders>
          </w:tcPr>
          <w:p w14:paraId="2480F17E" w14:textId="77777777" w:rsidR="00C40BE8" w:rsidRPr="004D1077" w:rsidRDefault="00C40BE8" w:rsidP="003E7F07">
            <w:pPr>
              <w:widowControl w:val="0"/>
              <w:pBdr>
                <w:top w:val="nil"/>
                <w:left w:val="nil"/>
                <w:bottom w:val="nil"/>
                <w:right w:val="nil"/>
                <w:between w:val="nil"/>
              </w:pBdr>
              <w:jc w:val="center"/>
              <w:rPr>
                <w:b/>
                <w:i/>
                <w:sz w:val="20"/>
                <w:szCs w:val="20"/>
              </w:rPr>
            </w:pPr>
            <w:r w:rsidRPr="004D1077">
              <w:rPr>
                <w:b/>
                <w:i/>
                <w:sz w:val="20"/>
                <w:szCs w:val="20"/>
              </w:rPr>
              <w:t>p</w:t>
            </w:r>
          </w:p>
        </w:tc>
        <w:tc>
          <w:tcPr>
            <w:tcW w:w="1144" w:type="pct"/>
            <w:tcBorders>
              <w:bottom w:val="single" w:sz="4" w:space="0" w:color="auto"/>
            </w:tcBorders>
          </w:tcPr>
          <w:p w14:paraId="01BD38A8" w14:textId="77777777" w:rsidR="00C40BE8" w:rsidRPr="00C40BE8" w:rsidRDefault="00C40BE8" w:rsidP="003E7F07">
            <w:pPr>
              <w:widowControl w:val="0"/>
              <w:pBdr>
                <w:top w:val="nil"/>
                <w:left w:val="nil"/>
                <w:bottom w:val="nil"/>
                <w:right w:val="nil"/>
                <w:between w:val="nil"/>
              </w:pBdr>
              <w:jc w:val="center"/>
              <w:rPr>
                <w:b/>
                <w:sz w:val="20"/>
                <w:szCs w:val="20"/>
              </w:rPr>
            </w:pPr>
            <w:r w:rsidRPr="00C40BE8">
              <w:rPr>
                <w:b/>
                <w:sz w:val="20"/>
                <w:szCs w:val="20"/>
              </w:rPr>
              <w:t>IC 95%</w:t>
            </w:r>
          </w:p>
        </w:tc>
      </w:tr>
      <w:tr w:rsidR="00C40BE8" w:rsidRPr="00C40BE8" w14:paraId="60ACD0B5" w14:textId="77777777" w:rsidTr="004D1077">
        <w:trPr>
          <w:trHeight w:val="207"/>
        </w:trPr>
        <w:tc>
          <w:tcPr>
            <w:tcW w:w="2210" w:type="pct"/>
            <w:tcBorders>
              <w:top w:val="single" w:sz="4" w:space="0" w:color="auto"/>
            </w:tcBorders>
          </w:tcPr>
          <w:p w14:paraId="6F9B5E6F"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AS</w:t>
            </w:r>
          </w:p>
        </w:tc>
        <w:tc>
          <w:tcPr>
            <w:tcW w:w="1045" w:type="pct"/>
            <w:tcBorders>
              <w:top w:val="single" w:sz="4" w:space="0" w:color="auto"/>
            </w:tcBorders>
          </w:tcPr>
          <w:p w14:paraId="3682AA7B"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0.260</w:t>
            </w:r>
          </w:p>
        </w:tc>
        <w:tc>
          <w:tcPr>
            <w:tcW w:w="601" w:type="pct"/>
            <w:tcBorders>
              <w:top w:val="single" w:sz="4" w:space="0" w:color="auto"/>
            </w:tcBorders>
          </w:tcPr>
          <w:p w14:paraId="4DD308B9" w14:textId="71DDD0A2" w:rsidR="00C40BE8" w:rsidRPr="00C40BE8" w:rsidRDefault="00531B12" w:rsidP="003E7F07">
            <w:pPr>
              <w:widowControl w:val="0"/>
              <w:pBdr>
                <w:top w:val="nil"/>
                <w:left w:val="nil"/>
                <w:bottom w:val="nil"/>
                <w:right w:val="nil"/>
                <w:between w:val="nil"/>
              </w:pBdr>
              <w:jc w:val="center"/>
              <w:rPr>
                <w:sz w:val="20"/>
                <w:szCs w:val="20"/>
              </w:rPr>
            </w:pPr>
            <w:r>
              <w:rPr>
                <w:sz w:val="20"/>
                <w:szCs w:val="20"/>
              </w:rPr>
              <w:t>&lt;</w:t>
            </w:r>
            <w:r w:rsidR="00C40BE8" w:rsidRPr="00C40BE8">
              <w:rPr>
                <w:sz w:val="20"/>
                <w:szCs w:val="20"/>
              </w:rPr>
              <w:t>.001</w:t>
            </w:r>
          </w:p>
        </w:tc>
        <w:tc>
          <w:tcPr>
            <w:tcW w:w="1144" w:type="pct"/>
            <w:tcBorders>
              <w:top w:val="single" w:sz="4" w:space="0" w:color="auto"/>
            </w:tcBorders>
          </w:tcPr>
          <w:p w14:paraId="34028B75"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[0.133, 0.418]</w:t>
            </w:r>
          </w:p>
        </w:tc>
      </w:tr>
      <w:tr w:rsidR="00C40BE8" w:rsidRPr="00C40BE8" w14:paraId="0C072E3F" w14:textId="77777777" w:rsidTr="004D1077">
        <w:trPr>
          <w:trHeight w:val="131"/>
        </w:trPr>
        <w:tc>
          <w:tcPr>
            <w:tcW w:w="2210" w:type="pct"/>
          </w:tcPr>
          <w:p w14:paraId="60CF9B59"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RP</w:t>
            </w:r>
          </w:p>
        </w:tc>
        <w:tc>
          <w:tcPr>
            <w:tcW w:w="1045" w:type="pct"/>
          </w:tcPr>
          <w:p w14:paraId="17879F3E"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0.264</w:t>
            </w:r>
          </w:p>
        </w:tc>
        <w:tc>
          <w:tcPr>
            <w:tcW w:w="601" w:type="pct"/>
          </w:tcPr>
          <w:p w14:paraId="48F4D54E" w14:textId="55EB1326" w:rsidR="00C40BE8" w:rsidRPr="00C40BE8" w:rsidRDefault="00531B12" w:rsidP="003E7F07">
            <w:pPr>
              <w:widowControl w:val="0"/>
              <w:pBdr>
                <w:top w:val="nil"/>
                <w:left w:val="nil"/>
                <w:bottom w:val="nil"/>
                <w:right w:val="nil"/>
                <w:between w:val="nil"/>
              </w:pBdr>
              <w:jc w:val="center"/>
              <w:rPr>
                <w:sz w:val="20"/>
                <w:szCs w:val="20"/>
              </w:rPr>
            </w:pPr>
            <w:r>
              <w:rPr>
                <w:sz w:val="20"/>
                <w:szCs w:val="20"/>
              </w:rPr>
              <w:t>&lt;</w:t>
            </w:r>
            <w:r w:rsidR="00C40BE8" w:rsidRPr="00C40BE8">
              <w:rPr>
                <w:sz w:val="20"/>
                <w:szCs w:val="20"/>
              </w:rPr>
              <w:t>.001</w:t>
            </w:r>
          </w:p>
        </w:tc>
        <w:tc>
          <w:tcPr>
            <w:tcW w:w="1144" w:type="pct"/>
          </w:tcPr>
          <w:p w14:paraId="73A7EB9F"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[0.217, 0.594]</w:t>
            </w:r>
          </w:p>
        </w:tc>
      </w:tr>
      <w:tr w:rsidR="00C40BE8" w:rsidRPr="00C40BE8" w14:paraId="532B1091" w14:textId="77777777" w:rsidTr="004D1077">
        <w:trPr>
          <w:trHeight w:val="183"/>
        </w:trPr>
        <w:tc>
          <w:tcPr>
            <w:tcW w:w="2210" w:type="pct"/>
          </w:tcPr>
          <w:p w14:paraId="0A85E78E"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Fallecimiento seres cercanos (Sí)</w:t>
            </w:r>
          </w:p>
        </w:tc>
        <w:tc>
          <w:tcPr>
            <w:tcW w:w="1045" w:type="pct"/>
          </w:tcPr>
          <w:p w14:paraId="4E10DCB2"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0.195</w:t>
            </w:r>
          </w:p>
        </w:tc>
        <w:tc>
          <w:tcPr>
            <w:tcW w:w="601" w:type="pct"/>
          </w:tcPr>
          <w:p w14:paraId="77EF75A6" w14:textId="364A8D3F"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.001</w:t>
            </w:r>
          </w:p>
        </w:tc>
        <w:tc>
          <w:tcPr>
            <w:tcW w:w="1144" w:type="pct"/>
          </w:tcPr>
          <w:p w14:paraId="38814B1B"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[4.283, 1.119]</w:t>
            </w:r>
          </w:p>
        </w:tc>
      </w:tr>
      <w:tr w:rsidR="00C40BE8" w:rsidRPr="00C40BE8" w14:paraId="4EFCBFC2" w14:textId="77777777" w:rsidTr="004D1077">
        <w:trPr>
          <w:trHeight w:val="207"/>
        </w:trPr>
        <w:tc>
          <w:tcPr>
            <w:tcW w:w="2210" w:type="pct"/>
          </w:tcPr>
          <w:p w14:paraId="362768A3"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Género (Femenino)</w:t>
            </w:r>
          </w:p>
        </w:tc>
        <w:tc>
          <w:tcPr>
            <w:tcW w:w="1045" w:type="pct"/>
          </w:tcPr>
          <w:p w14:paraId="20E60684"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0.140</w:t>
            </w:r>
          </w:p>
        </w:tc>
        <w:tc>
          <w:tcPr>
            <w:tcW w:w="601" w:type="pct"/>
          </w:tcPr>
          <w:p w14:paraId="3394AC81" w14:textId="651967B3"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.019</w:t>
            </w:r>
          </w:p>
        </w:tc>
        <w:tc>
          <w:tcPr>
            <w:tcW w:w="1144" w:type="pct"/>
          </w:tcPr>
          <w:p w14:paraId="69AA8D54"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[3.392, 0.312]</w:t>
            </w:r>
          </w:p>
        </w:tc>
      </w:tr>
      <w:tr w:rsidR="00C40BE8" w:rsidRPr="00C40BE8" w14:paraId="4FEDB76D" w14:textId="77777777" w:rsidTr="004D1077">
        <w:trPr>
          <w:trHeight w:val="259"/>
        </w:trPr>
        <w:tc>
          <w:tcPr>
            <w:tcW w:w="2210" w:type="pct"/>
          </w:tcPr>
          <w:p w14:paraId="51555310"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SF12</w:t>
            </w:r>
          </w:p>
        </w:tc>
        <w:tc>
          <w:tcPr>
            <w:tcW w:w="1045" w:type="pct"/>
          </w:tcPr>
          <w:p w14:paraId="516061A1"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0.132</w:t>
            </w:r>
          </w:p>
        </w:tc>
        <w:tc>
          <w:tcPr>
            <w:tcW w:w="601" w:type="pct"/>
          </w:tcPr>
          <w:p w14:paraId="798E4F00" w14:textId="1AAC389D"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.024</w:t>
            </w:r>
          </w:p>
        </w:tc>
        <w:tc>
          <w:tcPr>
            <w:tcW w:w="1144" w:type="pct"/>
          </w:tcPr>
          <w:p w14:paraId="6379BA52"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[0.126, 1.803]</w:t>
            </w:r>
          </w:p>
        </w:tc>
      </w:tr>
      <w:tr w:rsidR="00C40BE8" w:rsidRPr="00C40BE8" w14:paraId="7A1A06B3" w14:textId="77777777" w:rsidTr="004D1077">
        <w:trPr>
          <w:trHeight w:val="36"/>
        </w:trPr>
        <w:tc>
          <w:tcPr>
            <w:tcW w:w="2210" w:type="pct"/>
          </w:tcPr>
          <w:p w14:paraId="6DA2B00E"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RC</w:t>
            </w:r>
          </w:p>
        </w:tc>
        <w:tc>
          <w:tcPr>
            <w:tcW w:w="1045" w:type="pct"/>
          </w:tcPr>
          <w:p w14:paraId="1548F2AA"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0.125</w:t>
            </w:r>
          </w:p>
        </w:tc>
        <w:tc>
          <w:tcPr>
            <w:tcW w:w="601" w:type="pct"/>
          </w:tcPr>
          <w:p w14:paraId="2A9214B0" w14:textId="5C0498CE"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.045</w:t>
            </w:r>
          </w:p>
        </w:tc>
        <w:tc>
          <w:tcPr>
            <w:tcW w:w="1144" w:type="pct"/>
          </w:tcPr>
          <w:p w14:paraId="41306EDE"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[0.003, 0.263]</w:t>
            </w:r>
          </w:p>
        </w:tc>
      </w:tr>
      <w:tr w:rsidR="00C40BE8" w:rsidRPr="00C40BE8" w14:paraId="35A1022A" w14:textId="77777777" w:rsidTr="004D1077">
        <w:trPr>
          <w:trHeight w:val="234"/>
        </w:trPr>
        <w:tc>
          <w:tcPr>
            <w:tcW w:w="2210" w:type="pct"/>
            <w:tcBorders>
              <w:bottom w:val="single" w:sz="4" w:space="0" w:color="auto"/>
            </w:tcBorders>
          </w:tcPr>
          <w:p w14:paraId="537FE8E1" w14:textId="77777777" w:rsidR="00C40BE8" w:rsidRPr="00C40BE8" w:rsidRDefault="00C40BE8" w:rsidP="003E7F07">
            <w:pPr>
              <w:widowControl w:val="0"/>
              <w:rPr>
                <w:b/>
                <w:sz w:val="20"/>
                <w:szCs w:val="20"/>
              </w:rPr>
            </w:pPr>
            <w:r w:rsidRPr="00C40BE8">
              <w:rPr>
                <w:b/>
                <w:sz w:val="20"/>
                <w:szCs w:val="20"/>
              </w:rPr>
              <w:t>Evitación (EIE-R)</w:t>
            </w:r>
          </w:p>
        </w:tc>
        <w:tc>
          <w:tcPr>
            <w:tcW w:w="1045" w:type="pct"/>
            <w:tcBorders>
              <w:bottom w:val="single" w:sz="4" w:space="0" w:color="auto"/>
            </w:tcBorders>
          </w:tcPr>
          <w:p w14:paraId="6D15D049" w14:textId="77777777" w:rsidR="00C40BE8" w:rsidRPr="00C40BE8" w:rsidRDefault="00C40BE8" w:rsidP="003E7F07">
            <w:pPr>
              <w:widowControl w:val="0"/>
              <w:pBdr>
                <w:top w:val="nil"/>
                <w:left w:val="nil"/>
                <w:bottom w:val="nil"/>
                <w:right w:val="nil"/>
                <w:between w:val="nil"/>
              </w:pBdr>
              <w:jc w:val="center"/>
              <w:rPr>
                <w:b/>
                <w:sz w:val="20"/>
                <w:szCs w:val="20"/>
              </w:rPr>
            </w:pPr>
            <w:r w:rsidRPr="00C40BE8">
              <w:rPr>
                <w:b/>
                <w:sz w:val="20"/>
                <w:szCs w:val="20"/>
              </w:rPr>
              <w:t>Coeficiente B</w:t>
            </w:r>
          </w:p>
        </w:tc>
        <w:tc>
          <w:tcPr>
            <w:tcW w:w="601" w:type="pct"/>
            <w:tcBorders>
              <w:bottom w:val="single" w:sz="4" w:space="0" w:color="auto"/>
            </w:tcBorders>
          </w:tcPr>
          <w:p w14:paraId="78E46479" w14:textId="77777777" w:rsidR="00C40BE8" w:rsidRPr="004D1077" w:rsidRDefault="00C40BE8" w:rsidP="003E7F07">
            <w:pPr>
              <w:widowControl w:val="0"/>
              <w:pBdr>
                <w:top w:val="nil"/>
                <w:left w:val="nil"/>
                <w:bottom w:val="nil"/>
                <w:right w:val="nil"/>
                <w:between w:val="nil"/>
              </w:pBdr>
              <w:jc w:val="center"/>
              <w:rPr>
                <w:b/>
                <w:i/>
                <w:sz w:val="20"/>
                <w:szCs w:val="20"/>
              </w:rPr>
            </w:pPr>
            <w:r w:rsidRPr="004D1077">
              <w:rPr>
                <w:b/>
                <w:i/>
                <w:sz w:val="20"/>
                <w:szCs w:val="20"/>
              </w:rPr>
              <w:t>p</w:t>
            </w:r>
          </w:p>
        </w:tc>
        <w:tc>
          <w:tcPr>
            <w:tcW w:w="1144" w:type="pct"/>
            <w:tcBorders>
              <w:bottom w:val="single" w:sz="4" w:space="0" w:color="auto"/>
            </w:tcBorders>
          </w:tcPr>
          <w:p w14:paraId="6CEF5BC8" w14:textId="77777777" w:rsidR="00C40BE8" w:rsidRPr="00C40BE8" w:rsidRDefault="00C40BE8" w:rsidP="003E7F07">
            <w:pPr>
              <w:widowControl w:val="0"/>
              <w:pBdr>
                <w:top w:val="nil"/>
                <w:left w:val="nil"/>
                <w:bottom w:val="nil"/>
                <w:right w:val="nil"/>
                <w:between w:val="nil"/>
              </w:pBdr>
              <w:jc w:val="center"/>
              <w:rPr>
                <w:b/>
                <w:sz w:val="20"/>
                <w:szCs w:val="20"/>
              </w:rPr>
            </w:pPr>
            <w:r w:rsidRPr="00C40BE8">
              <w:rPr>
                <w:b/>
                <w:sz w:val="20"/>
                <w:szCs w:val="20"/>
              </w:rPr>
              <w:t>IC 95%</w:t>
            </w:r>
          </w:p>
        </w:tc>
      </w:tr>
      <w:tr w:rsidR="00C40BE8" w:rsidRPr="00C40BE8" w14:paraId="5D8F9A16" w14:textId="77777777" w:rsidTr="004D1077">
        <w:trPr>
          <w:trHeight w:val="59"/>
        </w:trPr>
        <w:tc>
          <w:tcPr>
            <w:tcW w:w="2210" w:type="pct"/>
            <w:tcBorders>
              <w:top w:val="single" w:sz="4" w:space="0" w:color="auto"/>
            </w:tcBorders>
          </w:tcPr>
          <w:p w14:paraId="7CDCDE7E"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RP</w:t>
            </w:r>
          </w:p>
        </w:tc>
        <w:tc>
          <w:tcPr>
            <w:tcW w:w="1045" w:type="pct"/>
            <w:tcBorders>
              <w:top w:val="single" w:sz="4" w:space="0" w:color="auto"/>
            </w:tcBorders>
          </w:tcPr>
          <w:p w14:paraId="405094CA"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0.277</w:t>
            </w:r>
          </w:p>
        </w:tc>
        <w:tc>
          <w:tcPr>
            <w:tcW w:w="601" w:type="pct"/>
            <w:tcBorders>
              <w:top w:val="single" w:sz="4" w:space="0" w:color="auto"/>
            </w:tcBorders>
          </w:tcPr>
          <w:p w14:paraId="6E68DD86" w14:textId="5F98CE81" w:rsidR="00C40BE8" w:rsidRPr="00C40BE8" w:rsidRDefault="003A6634" w:rsidP="003E7F07">
            <w:pPr>
              <w:widowControl w:val="0"/>
              <w:pBdr>
                <w:top w:val="nil"/>
                <w:left w:val="nil"/>
                <w:bottom w:val="nil"/>
                <w:right w:val="nil"/>
                <w:between w:val="nil"/>
              </w:pBdr>
              <w:jc w:val="center"/>
              <w:rPr>
                <w:sz w:val="20"/>
                <w:szCs w:val="20"/>
              </w:rPr>
            </w:pPr>
            <w:r>
              <w:rPr>
                <w:sz w:val="20"/>
                <w:szCs w:val="20"/>
              </w:rPr>
              <w:t>&lt;</w:t>
            </w:r>
            <w:r w:rsidR="00C40BE8" w:rsidRPr="00C40BE8">
              <w:rPr>
                <w:sz w:val="20"/>
                <w:szCs w:val="20"/>
              </w:rPr>
              <w:t>.001</w:t>
            </w:r>
          </w:p>
        </w:tc>
        <w:tc>
          <w:tcPr>
            <w:tcW w:w="1144" w:type="pct"/>
            <w:tcBorders>
              <w:top w:val="single" w:sz="4" w:space="0" w:color="auto"/>
            </w:tcBorders>
          </w:tcPr>
          <w:p w14:paraId="48075D35"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[0.261, 0.733]</w:t>
            </w:r>
          </w:p>
        </w:tc>
      </w:tr>
      <w:tr w:rsidR="00C40BE8" w:rsidRPr="00C40BE8" w14:paraId="4C4E97BD" w14:textId="77777777" w:rsidTr="004D1077">
        <w:trPr>
          <w:trHeight w:val="253"/>
        </w:trPr>
        <w:tc>
          <w:tcPr>
            <w:tcW w:w="2210" w:type="pct"/>
          </w:tcPr>
          <w:p w14:paraId="6917240B"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AS</w:t>
            </w:r>
          </w:p>
        </w:tc>
        <w:tc>
          <w:tcPr>
            <w:tcW w:w="1045" w:type="pct"/>
          </w:tcPr>
          <w:p w14:paraId="37CEA2F9"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0.192</w:t>
            </w:r>
          </w:p>
        </w:tc>
        <w:tc>
          <w:tcPr>
            <w:tcW w:w="601" w:type="pct"/>
          </w:tcPr>
          <w:p w14:paraId="0D4EF04B" w14:textId="4E8F8598"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.004</w:t>
            </w:r>
          </w:p>
        </w:tc>
        <w:tc>
          <w:tcPr>
            <w:tcW w:w="1144" w:type="pct"/>
          </w:tcPr>
          <w:p w14:paraId="28652BD0"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[0.076, 0.400]</w:t>
            </w:r>
          </w:p>
        </w:tc>
      </w:tr>
      <w:tr w:rsidR="00C40BE8" w:rsidRPr="00C40BE8" w14:paraId="5C65A152" w14:textId="77777777" w:rsidTr="003A6634">
        <w:trPr>
          <w:trHeight w:val="229"/>
        </w:trPr>
        <w:tc>
          <w:tcPr>
            <w:tcW w:w="2210" w:type="pct"/>
          </w:tcPr>
          <w:p w14:paraId="7E200AF1"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Género (Femenino)</w:t>
            </w:r>
          </w:p>
        </w:tc>
        <w:tc>
          <w:tcPr>
            <w:tcW w:w="1045" w:type="pct"/>
          </w:tcPr>
          <w:p w14:paraId="2E50C539"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0.139</w:t>
            </w:r>
          </w:p>
        </w:tc>
        <w:tc>
          <w:tcPr>
            <w:tcW w:w="601" w:type="pct"/>
          </w:tcPr>
          <w:p w14:paraId="6BAAF758" w14:textId="04370A3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.023</w:t>
            </w:r>
          </w:p>
        </w:tc>
        <w:tc>
          <w:tcPr>
            <w:tcW w:w="1144" w:type="pct"/>
          </w:tcPr>
          <w:p w14:paraId="18DFCA6E"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[4.010, 0.300]</w:t>
            </w:r>
          </w:p>
        </w:tc>
      </w:tr>
      <w:tr w:rsidR="00C40BE8" w:rsidRPr="00C40BE8" w14:paraId="3D0141DC" w14:textId="77777777" w:rsidTr="004D1077">
        <w:trPr>
          <w:trHeight w:val="215"/>
        </w:trPr>
        <w:tc>
          <w:tcPr>
            <w:tcW w:w="2210" w:type="pct"/>
            <w:tcBorders>
              <w:bottom w:val="single" w:sz="4" w:space="0" w:color="auto"/>
            </w:tcBorders>
          </w:tcPr>
          <w:p w14:paraId="41EAABF1" w14:textId="77777777" w:rsidR="00C40BE8" w:rsidRPr="00C40BE8" w:rsidRDefault="00C40BE8" w:rsidP="003E7F07">
            <w:pPr>
              <w:widowControl w:val="0"/>
              <w:pBdr>
                <w:top w:val="nil"/>
                <w:left w:val="nil"/>
                <w:bottom w:val="nil"/>
                <w:right w:val="nil"/>
                <w:between w:val="nil"/>
              </w:pBdr>
              <w:rPr>
                <w:sz w:val="20"/>
                <w:szCs w:val="20"/>
              </w:rPr>
            </w:pPr>
            <w:r w:rsidRPr="00C40BE8">
              <w:rPr>
                <w:sz w:val="20"/>
                <w:szCs w:val="20"/>
              </w:rPr>
              <w:t>RS</w:t>
            </w:r>
          </w:p>
        </w:tc>
        <w:tc>
          <w:tcPr>
            <w:tcW w:w="1045" w:type="pct"/>
            <w:tcBorders>
              <w:bottom w:val="single" w:sz="4" w:space="0" w:color="auto"/>
            </w:tcBorders>
          </w:tcPr>
          <w:p w14:paraId="62D31EA1"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0.130</w:t>
            </w:r>
          </w:p>
        </w:tc>
        <w:tc>
          <w:tcPr>
            <w:tcW w:w="601" w:type="pct"/>
            <w:tcBorders>
              <w:bottom w:val="single" w:sz="4" w:space="0" w:color="auto"/>
            </w:tcBorders>
          </w:tcPr>
          <w:p w14:paraId="584AFDC6" w14:textId="7304F919"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.042</w:t>
            </w:r>
          </w:p>
        </w:tc>
        <w:tc>
          <w:tcPr>
            <w:tcW w:w="1144" w:type="pct"/>
            <w:tcBorders>
              <w:bottom w:val="single" w:sz="4" w:space="0" w:color="auto"/>
            </w:tcBorders>
          </w:tcPr>
          <w:p w14:paraId="4FF6755D" w14:textId="77777777" w:rsidR="00C40BE8" w:rsidRPr="00C40BE8" w:rsidRDefault="00C40BE8" w:rsidP="003E7F07">
            <w:pPr>
              <w:widowControl w:val="0"/>
              <w:pBdr>
                <w:top w:val="nil"/>
                <w:left w:val="nil"/>
                <w:bottom w:val="nil"/>
                <w:right w:val="nil"/>
                <w:between w:val="nil"/>
              </w:pBdr>
              <w:jc w:val="center"/>
              <w:rPr>
                <w:sz w:val="20"/>
                <w:szCs w:val="20"/>
              </w:rPr>
            </w:pPr>
            <w:r w:rsidRPr="00C40BE8">
              <w:rPr>
                <w:sz w:val="20"/>
                <w:szCs w:val="20"/>
              </w:rPr>
              <w:t>[0.009, 0.467]</w:t>
            </w:r>
          </w:p>
        </w:tc>
      </w:tr>
    </w:tbl>
    <w:p w14:paraId="1721DF4B" w14:textId="00C7E2BE" w:rsidR="00C40BE8" w:rsidRDefault="00CF730C" w:rsidP="00CF730C">
      <w:pPr>
        <w:jc w:val="both"/>
        <w:rPr>
          <w:b/>
          <w:sz w:val="20"/>
          <w:szCs w:val="20"/>
        </w:rPr>
      </w:pPr>
      <w:r>
        <w:rPr>
          <w:sz w:val="20"/>
          <w:szCs w:val="20"/>
        </w:rPr>
        <w:t>Nota: AS: Apoyo Social (CSI); EIE-R: Escala Revisada de Impacto del Estresor; PD: Pensamiento Desiderativo (CSI); RC: Reestructuración Cognitiva (CSI); RP: Resolución de Problemas (CSI)</w:t>
      </w:r>
      <w:r w:rsidR="003A6634">
        <w:rPr>
          <w:sz w:val="20"/>
          <w:szCs w:val="20"/>
        </w:rPr>
        <w:t>; RS: Retirada Social (CSI); SF</w:t>
      </w:r>
      <w:r>
        <w:rPr>
          <w:sz w:val="20"/>
          <w:szCs w:val="20"/>
        </w:rPr>
        <w:t>12: Cuestionario de Salud</w:t>
      </w:r>
    </w:p>
    <w:p w14:paraId="0E436BA1" w14:textId="199FB475" w:rsidR="00575541" w:rsidRPr="00C80AE0" w:rsidRDefault="00C40BE8" w:rsidP="00375833">
      <w:pPr>
        <w:spacing w:before="240" w:line="360" w:lineRule="auto"/>
        <w:ind w:firstLine="720"/>
        <w:jc w:val="both"/>
      </w:pPr>
      <w:r w:rsidRPr="00C40BE8">
        <w:lastRenderedPageBreak/>
        <w:t>En su conjunto, los diferentes modelos de regresión comprenden un porcentaje de varianza explicada (asumiendo el valor de R</w:t>
      </w:r>
      <w:r w:rsidRPr="00C40BE8">
        <w:rPr>
          <w:vertAlign w:val="superscript"/>
        </w:rPr>
        <w:t>2</w:t>
      </w:r>
      <w:r w:rsidRPr="00C40BE8">
        <w:t xml:space="preserve"> corregida) de entre el 20% al 28%. De mayor a menor varianza explicada encontramos: hiperactivación (F</w:t>
      </w:r>
      <w:r w:rsidRPr="00C40BE8">
        <w:rPr>
          <w:vertAlign w:val="subscript"/>
        </w:rPr>
        <w:t>(6, 224)</w:t>
      </w:r>
      <w:r w:rsidR="00531B12">
        <w:t xml:space="preserve">=15.758; </w:t>
      </w:r>
      <w:r w:rsidR="00531B12" w:rsidRPr="004D1077">
        <w:rPr>
          <w:i/>
        </w:rPr>
        <w:t>p</w:t>
      </w:r>
      <w:r w:rsidR="00531B12">
        <w:t>&lt;</w:t>
      </w:r>
      <w:r w:rsidRPr="00C40BE8">
        <w:t>.001, R</w:t>
      </w:r>
      <w:r w:rsidRPr="00C40BE8">
        <w:rPr>
          <w:vertAlign w:val="superscript"/>
        </w:rPr>
        <w:t>2</w:t>
      </w:r>
      <w:r w:rsidR="003A6634">
        <w:t>=</w:t>
      </w:r>
      <w:r w:rsidRPr="00C40BE8">
        <w:t>.30, R</w:t>
      </w:r>
      <w:r w:rsidRPr="00C40BE8">
        <w:rPr>
          <w:vertAlign w:val="superscript"/>
        </w:rPr>
        <w:t>2aj</w:t>
      </w:r>
      <w:r w:rsidR="003A6634">
        <w:t>=</w:t>
      </w:r>
      <w:r w:rsidRPr="00C40BE8">
        <w:t>.28), impacto emocional total</w:t>
      </w:r>
      <w:r w:rsidRPr="00C40BE8">
        <w:rPr>
          <w:b/>
        </w:rPr>
        <w:t xml:space="preserve"> </w:t>
      </w:r>
      <w:r w:rsidRPr="00C40BE8">
        <w:t>(F</w:t>
      </w:r>
      <w:r w:rsidRPr="00C40BE8">
        <w:rPr>
          <w:vertAlign w:val="subscript"/>
        </w:rPr>
        <w:t>(6, 224)</w:t>
      </w:r>
      <w:r w:rsidR="00531B12">
        <w:t xml:space="preserve">=21.718; </w:t>
      </w:r>
      <w:r w:rsidR="00531B12" w:rsidRPr="004D1077">
        <w:rPr>
          <w:i/>
        </w:rPr>
        <w:t>p</w:t>
      </w:r>
      <w:r w:rsidR="00531B12">
        <w:t>&lt;</w:t>
      </w:r>
      <w:r w:rsidRPr="00C40BE8">
        <w:t>.001, R</w:t>
      </w:r>
      <w:r w:rsidRPr="00C40BE8">
        <w:rPr>
          <w:vertAlign w:val="superscript"/>
        </w:rPr>
        <w:t>2</w:t>
      </w:r>
      <w:r w:rsidR="003A6634">
        <w:t>=</w:t>
      </w:r>
      <w:r w:rsidRPr="00C40BE8">
        <w:t>.28, R</w:t>
      </w:r>
      <w:r w:rsidRPr="00C40BE8">
        <w:rPr>
          <w:vertAlign w:val="superscript"/>
        </w:rPr>
        <w:t>2aj</w:t>
      </w:r>
      <w:r w:rsidR="003A6634">
        <w:t>=</w:t>
      </w:r>
      <w:r w:rsidRPr="00C40BE8">
        <w:t>.26),</w:t>
      </w:r>
      <w:r w:rsidRPr="00C40BE8">
        <w:rPr>
          <w:b/>
        </w:rPr>
        <w:t xml:space="preserve"> </w:t>
      </w:r>
      <w:r w:rsidRPr="00C40BE8">
        <w:t>evitación (F</w:t>
      </w:r>
      <w:r w:rsidRPr="00C40BE8">
        <w:rPr>
          <w:vertAlign w:val="subscript"/>
        </w:rPr>
        <w:t>(6, 224)</w:t>
      </w:r>
      <w:r w:rsidR="00531B12">
        <w:t xml:space="preserve">=18.262, </w:t>
      </w:r>
      <w:r w:rsidR="00531B12" w:rsidRPr="004D1077">
        <w:rPr>
          <w:i/>
        </w:rPr>
        <w:t>p</w:t>
      </w:r>
      <w:r w:rsidR="00531B12">
        <w:t>&lt;</w:t>
      </w:r>
      <w:r w:rsidRPr="00C40BE8">
        <w:t>.001, R</w:t>
      </w:r>
      <w:r w:rsidRPr="00C40BE8">
        <w:rPr>
          <w:vertAlign w:val="superscript"/>
        </w:rPr>
        <w:t>2</w:t>
      </w:r>
      <w:r w:rsidR="003A6634">
        <w:t>=</w:t>
      </w:r>
      <w:r w:rsidRPr="00C40BE8">
        <w:t>.24, R</w:t>
      </w:r>
      <w:r w:rsidRPr="00C40BE8">
        <w:rPr>
          <w:vertAlign w:val="superscript"/>
        </w:rPr>
        <w:t>2aj</w:t>
      </w:r>
      <w:r w:rsidR="003A6634">
        <w:t>=</w:t>
      </w:r>
      <w:r w:rsidRPr="00C40BE8">
        <w:t>.23),</w:t>
      </w:r>
      <w:r w:rsidRPr="00C40BE8">
        <w:rPr>
          <w:b/>
        </w:rPr>
        <w:t xml:space="preserve"> </w:t>
      </w:r>
      <w:r w:rsidRPr="00C40BE8">
        <w:t>e intrusión (F</w:t>
      </w:r>
      <w:r w:rsidRPr="00C40BE8">
        <w:rPr>
          <w:vertAlign w:val="subscript"/>
        </w:rPr>
        <w:t>(6, 224)</w:t>
      </w:r>
      <w:r w:rsidR="00531B12">
        <w:t xml:space="preserve">=14.536, </w:t>
      </w:r>
      <w:r w:rsidR="00531B12" w:rsidRPr="004D1077">
        <w:rPr>
          <w:i/>
        </w:rPr>
        <w:t>p</w:t>
      </w:r>
      <w:r w:rsidR="00531B12">
        <w:t>&lt;</w:t>
      </w:r>
      <w:r w:rsidRPr="00C40BE8">
        <w:t>.001, R</w:t>
      </w:r>
      <w:r w:rsidRPr="00C40BE8">
        <w:rPr>
          <w:vertAlign w:val="superscript"/>
        </w:rPr>
        <w:t>2</w:t>
      </w:r>
      <w:r w:rsidR="003A6634">
        <w:t>=</w:t>
      </w:r>
      <w:r w:rsidRPr="00C40BE8">
        <w:t>.20, R</w:t>
      </w:r>
      <w:r w:rsidRPr="00C40BE8">
        <w:rPr>
          <w:vertAlign w:val="superscript"/>
        </w:rPr>
        <w:t>2aj</w:t>
      </w:r>
      <w:r w:rsidR="003A6634">
        <w:t>=</w:t>
      </w:r>
      <w:r w:rsidRPr="00C40BE8">
        <w:t>.19).</w:t>
      </w:r>
    </w:p>
    <w:p w14:paraId="220C813D" w14:textId="48918F8B" w:rsidR="00CE7D65" w:rsidRPr="00D70B4B" w:rsidRDefault="00CE7D65" w:rsidP="00375833">
      <w:pPr>
        <w:pStyle w:val="Ttulosinternos"/>
        <w:rPr>
          <w:lang w:val="es-ES"/>
        </w:rPr>
      </w:pPr>
      <w:r w:rsidRPr="00D70B4B">
        <w:rPr>
          <w:lang w:val="es-ES"/>
        </w:rPr>
        <w:t>Discus</w:t>
      </w:r>
      <w:r w:rsidR="00C80AE0" w:rsidRPr="00D70B4B">
        <w:rPr>
          <w:lang w:val="es-ES"/>
        </w:rPr>
        <w:t>ión</w:t>
      </w:r>
    </w:p>
    <w:p w14:paraId="1D9FBD92" w14:textId="58D2FA1D" w:rsidR="00C80AE0" w:rsidRPr="00C80AE0" w:rsidRDefault="00C80AE0" w:rsidP="00375833">
      <w:pPr>
        <w:spacing w:after="200" w:line="360" w:lineRule="auto"/>
        <w:ind w:firstLine="720"/>
        <w:jc w:val="both"/>
      </w:pPr>
      <w:r w:rsidRPr="00C80AE0">
        <w:t xml:space="preserve">Esta investigación tenía por objetivo analizar el impacto psicológico causado por la COVID-19 en periodo de confinamiento en población general y profesionales sanitarios/as, </w:t>
      </w:r>
      <w:r w:rsidR="003D7C95">
        <w:t>así como</w:t>
      </w:r>
      <w:r w:rsidRPr="00C80AE0">
        <w:t xml:space="preserve"> explorar diferencias en lo que respecta a afrontamiento, resiliencia y salud auto-percibida, tratando de identificar el perfil de mayor riesgo.</w:t>
      </w:r>
    </w:p>
    <w:p w14:paraId="14385605" w14:textId="14748C44" w:rsidR="00C80AE0" w:rsidRPr="00C80AE0" w:rsidRDefault="00C80AE0" w:rsidP="00375833">
      <w:pPr>
        <w:spacing w:after="200" w:line="360" w:lineRule="auto"/>
        <w:ind w:firstLine="720"/>
        <w:jc w:val="both"/>
        <w:rPr>
          <w:highlight w:val="yellow"/>
        </w:rPr>
      </w:pPr>
      <w:r w:rsidRPr="00C80AE0">
        <w:t xml:space="preserve">Comparando ambas poblaciones observamos que apenas existen discrepancias en lo que a impacto, salud auto-percibida, estilos de afrontamiento y perfil de resiliencia se refiere. </w:t>
      </w:r>
      <w:r w:rsidR="00DC70F7">
        <w:t>Es</w:t>
      </w:r>
      <w:r w:rsidRPr="00C80AE0">
        <w:t xml:space="preserve"> cierto que la población general parece que usó más estrategias que le permitieron comunicar de forma más adaptativa las emociones que pudieron surgir a raíz de la pandemia, así como de aproximación o evitación del contacto social según le conviniese y en función de los medios y recursos</w:t>
      </w:r>
      <w:r w:rsidR="003E7F07">
        <w:t xml:space="preserve"> disponibles</w:t>
      </w:r>
      <w:r w:rsidRPr="00C80AE0">
        <w:t>, pues el contacto social se mantuvo eminentemente de forma virtual durante el confinamiento general de la población y la retirada social era propia de esta situación</w:t>
      </w:r>
      <w:r w:rsidR="003A6634">
        <w:t>,</w:t>
      </w:r>
      <w:r w:rsidRPr="00C80AE0">
        <w:t xml:space="preserve"> o forzada en casos de confinamiento preventivo a modo de cuarentena. A pesar de que se evidencia mayor movilización de recursos de afrontamiento en la población general y de que eso suele representar un patrón más adaptativo en una situación demandante dada</w:t>
      </w:r>
      <w:r w:rsidR="00696E1C">
        <w:t xml:space="preserve"> </w:t>
      </w:r>
      <w:r w:rsidR="00F60CE8">
        <w:t>(Cano-</w:t>
      </w:r>
      <w:r w:rsidR="00F60CE8" w:rsidRPr="00F60CE8">
        <w:t xml:space="preserve">García, </w:t>
      </w:r>
      <w:r w:rsidR="00F60CE8">
        <w:t xml:space="preserve">Rodríguez-Franco &amp; García-Martínez, </w:t>
      </w:r>
      <w:r w:rsidR="00F60CE8" w:rsidRPr="00F60CE8">
        <w:t>2007</w:t>
      </w:r>
      <w:r w:rsidR="00F60CE8">
        <w:t>)</w:t>
      </w:r>
      <w:r w:rsidRPr="00C80AE0">
        <w:t>, el nivel de resiliencia es ligeramente superior en la población sanitaria</w:t>
      </w:r>
      <w:r w:rsidR="00DC70F7">
        <w:t xml:space="preserve">, </w:t>
      </w:r>
      <w:r w:rsidRPr="00C80AE0">
        <w:t xml:space="preserve">aunque sin llegar a mostrar diferencias significativas </w:t>
      </w:r>
      <w:r w:rsidR="003E7F07">
        <w:t>entre colectivos</w:t>
      </w:r>
      <w:r w:rsidR="003A6634">
        <w:t>,</w:t>
      </w:r>
      <w:r w:rsidR="003E7F07">
        <w:t xml:space="preserve"> </w:t>
      </w:r>
      <w:r w:rsidRPr="00C80AE0">
        <w:t xml:space="preserve">y siempre </w:t>
      </w:r>
      <w:r w:rsidR="003E7F07">
        <w:t xml:space="preserve">manteniéndose </w:t>
      </w:r>
      <w:r w:rsidRPr="00C80AE0">
        <w:t xml:space="preserve">dentro del rango medio-alto para ambas muestras. Esto puede tener diversas explicaciones, como que esa represión o latencia en la movilización de recursos de afrontamiento </w:t>
      </w:r>
      <w:r w:rsidR="003A6634">
        <w:t xml:space="preserve">por parte del colectivo de sanitarios/as </w:t>
      </w:r>
      <w:r w:rsidRPr="00C80AE0">
        <w:t xml:space="preserve">se deba a la necesidad de dar respuesta a la crisis sanitaria en primera instancia, postergando por tanto la expresión y gestión de sus emociones </w:t>
      </w:r>
      <w:r w:rsidR="003A6634">
        <w:t xml:space="preserve">a </w:t>
      </w:r>
      <w:r w:rsidRPr="00C80AE0">
        <w:t xml:space="preserve">un momento </w:t>
      </w:r>
      <w:r w:rsidR="003A6634">
        <w:t xml:space="preserve">de </w:t>
      </w:r>
      <w:r w:rsidRPr="00C80AE0">
        <w:t>mayor calma</w:t>
      </w:r>
      <w:r w:rsidR="00F60CE8">
        <w:t xml:space="preserve"> (Seçer, Ulaş</w:t>
      </w:r>
      <w:r w:rsidR="00F60CE8" w:rsidRPr="00F60CE8">
        <w:t>, Karaman-Özlü</w:t>
      </w:r>
      <w:r w:rsidR="00F60CE8">
        <w:t>, 2020)</w:t>
      </w:r>
      <w:r w:rsidRPr="00C80AE0">
        <w:t>. Tam</w:t>
      </w:r>
      <w:r w:rsidR="003A6634">
        <w:t>bién es posible que su profesión</w:t>
      </w:r>
      <w:r w:rsidRPr="00C80AE0">
        <w:t xml:space="preserve"> les haga más hábiles y resilientes</w:t>
      </w:r>
      <w:r w:rsidR="003A6634">
        <w:t xml:space="preserve"> -tanto por su formación específica </w:t>
      </w:r>
      <w:r w:rsidR="003A6634">
        <w:lastRenderedPageBreak/>
        <w:t xml:space="preserve">como por la propia experiencia-, </w:t>
      </w:r>
      <w:r w:rsidRPr="00C80AE0">
        <w:t>para afrontar situaciones excepcionales y de emergencia y, por tanto, las perciban como menos amenazantes que la población general</w:t>
      </w:r>
      <w:r w:rsidR="00F60CE8">
        <w:t xml:space="preserve"> (Bozdag &amp; Ergün, 2020)</w:t>
      </w:r>
      <w:r w:rsidRPr="00C80AE0">
        <w:t>.</w:t>
      </w:r>
    </w:p>
    <w:p w14:paraId="5048B856" w14:textId="57F548A1" w:rsidR="00C80AE0" w:rsidRPr="00C80AE0" w:rsidRDefault="00C80AE0" w:rsidP="00375833">
      <w:pPr>
        <w:spacing w:before="200" w:line="360" w:lineRule="auto"/>
        <w:ind w:firstLine="720"/>
        <w:jc w:val="both"/>
      </w:pPr>
      <w:r w:rsidRPr="00C80AE0">
        <w:t>Para el total de la muestra, se ha evidenciado que tal y como señalan otros trabajos</w:t>
      </w:r>
      <w:r w:rsidR="003A6634">
        <w:t xml:space="preserve"> previos</w:t>
      </w:r>
      <w:r w:rsidR="00F60CE8">
        <w:t xml:space="preserve"> (García-Iglesias et al., 2020; González-Sanguino et al., 2020; Jianbo et al., 2020; Ozamiz-Etxebarria et al., 2020)</w:t>
      </w:r>
      <w:r w:rsidR="003A6634">
        <w:t>,</w:t>
      </w:r>
      <w:r w:rsidR="00F60CE8">
        <w:t xml:space="preserve"> </w:t>
      </w:r>
      <w:r w:rsidRPr="00C80AE0">
        <w:t>las mujeres son las más impactadas y, en concreto, las que mayor hiperactivación y evitación muestran frente a las demandas y diferentes estresores de la pandemia</w:t>
      </w:r>
      <w:r w:rsidR="003E7F07">
        <w:t xml:space="preserve"> (Castellano-Tejedor, Torres-Serrano &amp; Cencerrado, 2021)</w:t>
      </w:r>
      <w:r w:rsidRPr="00C80AE0">
        <w:t xml:space="preserve">. </w:t>
      </w:r>
      <w:r w:rsidR="003A6634">
        <w:t xml:space="preserve">Este efecto era independiente de la profesión de este colectivo. Este resultado </w:t>
      </w:r>
      <w:r w:rsidRPr="00C80AE0">
        <w:t xml:space="preserve">puede deberse a que </w:t>
      </w:r>
      <w:r w:rsidR="003A6634">
        <w:t xml:space="preserve">las mujeres </w:t>
      </w:r>
      <w:r w:rsidRPr="00C80AE0">
        <w:t xml:space="preserve">tienden a verbalizar más fácilmente pensamientos y sentimientos </w:t>
      </w:r>
      <w:r w:rsidR="003A6634">
        <w:t>de</w:t>
      </w:r>
      <w:r w:rsidRPr="00C80AE0">
        <w:t xml:space="preserve"> malestar subjetivo</w:t>
      </w:r>
      <w:r w:rsidR="003A6634">
        <w:t>, en comparación con los hombres</w:t>
      </w:r>
      <w:r w:rsidR="00F60CE8">
        <w:t xml:space="preserve"> (Kring &amp; Gordon, 1998; Parrado-González</w:t>
      </w:r>
      <w:r w:rsidR="00F60CE8" w:rsidRPr="00F60CE8">
        <w:t xml:space="preserve"> &amp; León-Jariego,</w:t>
      </w:r>
      <w:r w:rsidR="00F60CE8">
        <w:t xml:space="preserve"> 2020). </w:t>
      </w:r>
      <w:r w:rsidRPr="00C80AE0">
        <w:t xml:space="preserve">También las personas que han padecido la pérdida de un ser querido son las que mayor impacto emocional </w:t>
      </w:r>
      <w:r w:rsidR="00307FDD" w:rsidRPr="00C80AE0">
        <w:t>presentan,</w:t>
      </w:r>
      <w:r w:rsidRPr="00C80AE0">
        <w:t xml:space="preserve"> así como mayor hiperactivación. Hay que recordar que durante los meses de confinamiento más estricto (marzo-abril), las personas que perdían a un ser querido no pudieron salir a velarlo y despedirlo, según los rituales típicos de su cultura</w:t>
      </w:r>
      <w:r w:rsidR="00495C80">
        <w:t>, lo cual</w:t>
      </w:r>
      <w:r w:rsidRPr="00C80AE0">
        <w:t xml:space="preserve"> es susceptible de dificultar el proceso de duelo y la adaptación no sólo a esa situación sino a la impuesta por la COVID-19</w:t>
      </w:r>
      <w:r w:rsidR="00585C5A">
        <w:t xml:space="preserve"> (Brooks et al., 2020)</w:t>
      </w:r>
      <w:r w:rsidRPr="00C80AE0">
        <w:t>.</w:t>
      </w:r>
    </w:p>
    <w:p w14:paraId="4F099E16" w14:textId="48CEB983" w:rsidR="00585C5A" w:rsidRDefault="00585C5A" w:rsidP="00375833">
      <w:pPr>
        <w:spacing w:before="240" w:line="360" w:lineRule="auto"/>
        <w:ind w:firstLine="720"/>
        <w:jc w:val="both"/>
      </w:pPr>
      <w:r>
        <w:t xml:space="preserve">También se </w:t>
      </w:r>
      <w:r w:rsidR="00C80AE0" w:rsidRPr="00C80AE0">
        <w:t>ha observado una mayor movilización de recursos de afrontamiento entre aquellas personas más impactadas, en concreto, utilizando más estrategias de apoyo y retirada social, resolución de problemas, reestructuración cognitiva y pensamiento desiderativo. Todo ello sugiere un perfil mixto de afrontamiento en el que encontramos estrategias tanto de vinculación como de desvinculación con el problema. Es decir, se movilizan tanto recursos provenientes del contacto con el otr</w:t>
      </w:r>
      <w:r w:rsidR="00D61EC7">
        <w:t>o</w:t>
      </w:r>
      <w:r w:rsidR="003A6634">
        <w:t>,</w:t>
      </w:r>
      <w:r w:rsidR="00C80AE0" w:rsidRPr="00C80AE0">
        <w:t xml:space="preserve"> como recursos de tipo más individual y de corte cognitivo que reflejan el deseo de reinterpretar o resignificar la realidad para que esta sea menos estresante</w:t>
      </w:r>
      <w:r>
        <w:t xml:space="preserve"> (Cano-García, Rodríguez-Franco, García-Martínez, 2007; Tamres, </w:t>
      </w:r>
      <w:r w:rsidRPr="00585C5A">
        <w:t xml:space="preserve">Janicki, &amp; Helgeson, </w:t>
      </w:r>
      <w:r>
        <w:t>2002)</w:t>
      </w:r>
      <w:r w:rsidR="00C80AE0" w:rsidRPr="00C80AE0">
        <w:t>. Así, a raíz del impacto psicológico causado por una situación estresante dada, es frecuente observar fluctuaciones entre malestar y desajuste</w:t>
      </w:r>
      <w:r w:rsidR="003A6634">
        <w:t>,</w:t>
      </w:r>
      <w:r w:rsidR="00C80AE0" w:rsidRPr="00C80AE0">
        <w:t xml:space="preserve"> y diferentes respuestas </w:t>
      </w:r>
      <w:r w:rsidR="003A6634">
        <w:t xml:space="preserve">cognitivo-conductuales </w:t>
      </w:r>
      <w:r w:rsidR="00C80AE0" w:rsidRPr="00C80AE0">
        <w:t xml:space="preserve">que podrían considerarse más </w:t>
      </w:r>
      <w:r w:rsidR="003A6634">
        <w:t xml:space="preserve">o menos </w:t>
      </w:r>
      <w:r w:rsidR="00C80AE0" w:rsidRPr="00C80AE0">
        <w:t xml:space="preserve">adaptativas para hacer frente a la situación amenazante. </w:t>
      </w:r>
    </w:p>
    <w:p w14:paraId="10D48FC4" w14:textId="08EB6C6B" w:rsidR="00C80AE0" w:rsidRPr="00C80AE0" w:rsidRDefault="00C80AE0" w:rsidP="00375833">
      <w:pPr>
        <w:spacing w:before="240" w:line="360" w:lineRule="auto"/>
        <w:ind w:firstLine="720"/>
        <w:jc w:val="both"/>
      </w:pPr>
      <w:r w:rsidRPr="00C80AE0">
        <w:t xml:space="preserve">Por último, es interesante recalcar que, para el global de la muestra, no se observó ninguna relación significativa entre el impacto generado por la pandemia y el hecho de padecer una enfermedad crónica o tener a personas vulnerables a cargo. Esto contradice </w:t>
      </w:r>
      <w:r w:rsidR="009A0AB6">
        <w:t xml:space="preserve">la </w:t>
      </w:r>
      <w:r w:rsidRPr="00C80AE0">
        <w:t xml:space="preserve">literatura </w:t>
      </w:r>
      <w:r w:rsidRPr="00C80AE0">
        <w:lastRenderedPageBreak/>
        <w:t>previa</w:t>
      </w:r>
      <w:r w:rsidR="003A6634">
        <w:t xml:space="preserve">. No obstante, </w:t>
      </w:r>
      <w:r w:rsidRPr="00C80AE0">
        <w:t>es posible que la baja prevalencia de ambos factores en nuestra muestra pueda explicar estos resultados contradictorios</w:t>
      </w:r>
      <w:r w:rsidR="00585C5A">
        <w:t xml:space="preserve"> (Ho et al., 2009; Sandin et al., 2020)</w:t>
      </w:r>
      <w:r w:rsidRPr="00C80AE0">
        <w:t xml:space="preserve">. </w:t>
      </w:r>
    </w:p>
    <w:p w14:paraId="39B0819F" w14:textId="73C80B08" w:rsidR="003A6634" w:rsidRDefault="00C80AE0" w:rsidP="003A6634">
      <w:pPr>
        <w:spacing w:before="200" w:line="360" w:lineRule="auto"/>
        <w:ind w:firstLine="720"/>
        <w:jc w:val="both"/>
      </w:pPr>
      <w:r w:rsidRPr="00C80AE0">
        <w:t>También se ha podido observar que aquellas personas que han reportado algún fallecimiento</w:t>
      </w:r>
      <w:r w:rsidRPr="00C80AE0">
        <w:rPr>
          <w:b/>
        </w:rPr>
        <w:t xml:space="preserve"> </w:t>
      </w:r>
      <w:r w:rsidRPr="00C80AE0">
        <w:t>durante el periodo de confinamiento refieren peor salud autopercibida. Los recursos de afrontamiento que se pusieron en marcha frente a esta situación fueron diferentes entre colectivos. Así, lo/as sanitarios/as hacen mayor uso del apoyo social, de resolución de problemas y de expresión emocional, lo que indica que han puesto en marcha estrategias que van dirigidas a buscar el apoyo emocional e instrumental frente a una situación tan dura como es un proceso de duelo en la pandemia (Cano et al., 2007</w:t>
      </w:r>
      <w:r w:rsidR="00F23DDE">
        <w:t>; Lai et al., 2020</w:t>
      </w:r>
      <w:r w:rsidRPr="00C80AE0">
        <w:t xml:space="preserve">). En la población general, el principal recurso de afrontamiento entre los/as dolientes fue el pensamiento desiderativo, en un esfuerzo por imaginar que la situación no ha pasado y, por tanto, hacerla menos estresante. Además, eran precisamente este grupo de personas las </w:t>
      </w:r>
      <w:r w:rsidR="003A6634">
        <w:t>que mayor hiperactivación mostraron</w:t>
      </w:r>
      <w:r w:rsidRPr="00C80AE0">
        <w:t>. Estas diferencias podrían explicarse porque la población general que perdió a un ser querido durante la pandemia, no pudo salir a velarlo y a despedirlo, según los rituales típicos de su cultura, en los meses de confinamiento más severos (marzo-abril). Ello es susceptible de dificultar el proceso de duelo y la adaptación no sólo a esa situación sino a la impuesta por la COVID-19</w:t>
      </w:r>
      <w:r w:rsidR="00F23DDE">
        <w:t xml:space="preserve"> (Brook et al., 2020; Sandín et al., 2020)</w:t>
      </w:r>
      <w:r w:rsidRPr="00C80AE0">
        <w:t>.</w:t>
      </w:r>
    </w:p>
    <w:p w14:paraId="5C5C1F9A" w14:textId="77777777" w:rsidR="003A6634" w:rsidRPr="00C80AE0" w:rsidRDefault="003A6634" w:rsidP="003A6634">
      <w:pPr>
        <w:spacing w:before="200" w:line="360" w:lineRule="auto"/>
        <w:ind w:firstLine="720"/>
        <w:jc w:val="both"/>
      </w:pPr>
      <w:bookmarkStart w:id="0" w:name="_GoBack"/>
      <w:bookmarkEnd w:id="0"/>
    </w:p>
    <w:p w14:paraId="30F14E9D" w14:textId="77777777" w:rsidR="00C80AE0" w:rsidRPr="00C80AE0" w:rsidRDefault="00C80AE0" w:rsidP="00375833">
      <w:pPr>
        <w:spacing w:after="200" w:line="360" w:lineRule="auto"/>
        <w:ind w:firstLine="720"/>
        <w:jc w:val="both"/>
      </w:pPr>
      <w:r w:rsidRPr="00C80AE0">
        <w:t>Este estudio presenta algunas limitaciones. La captación de la muestra se ha llevado a cabo mediante un muestreo bola de nieve, por lo que no se puede asegurar la representatividad de los/las respondientes, y es posible que algunas variables susceptibles de afectar las variables resultado no hayan sido recogidas. También sería adecuado que las submuestras fueran mayores y estuvieran más equilibradas, tanto en género como en número. Por último, el cuestionario de esta investigación está orientado en su totalidad a responder en base a un suceso ocurrido en un pasado reciente, tratándose por tanto de una recogida de datos retrospectiva sujeta a posibles sesgos temporales. A pesar de todo ello, este estudio es uno de los pocos trabajos que evidencia el impacto diferencial que ha supuesto la pandemia en la salud psico-física de la población general y sanitaria, evaluando a la vez factores protectores como son las estrategias de afrontamiento y la resiliencia de las personas, frente a los diferentes estresores y preocupaciones que ha impuesto la COVID-19.</w:t>
      </w:r>
    </w:p>
    <w:p w14:paraId="4AA25331" w14:textId="007E760E" w:rsidR="005D1A26" w:rsidRDefault="00C80AE0" w:rsidP="00375833">
      <w:pPr>
        <w:spacing w:after="200" w:line="360" w:lineRule="auto"/>
        <w:ind w:firstLine="720"/>
        <w:jc w:val="both"/>
      </w:pPr>
      <w:r w:rsidRPr="00C80AE0">
        <w:lastRenderedPageBreak/>
        <w:t>A raíz de los resultados obtenidos, pensamos que es posible derivar líneas futuras de investigación dirigidas a diseñar intervenciones psicosociales que favorezcan el preservar y/o fortalecer la salud de las personas que experimenten una situación potencialmente desestabilizadora como la descrita, en la que, desde el primer momento, se pongan a disposición planes de concienciación sobre salud mental, sensibilización social y correcta adopción de medidas preventivas psicoeducativas, que faciliten la puesta en marcha de estrategias de afrontamiento adaptativas como la expresión emocional, reestructuración cognitiva, resolución de problemas o la búsqueda de apoyo social, que favorezcan una mejor tolerancia a la incertidumbre. Del mismo modo, las intervenciones deben prestar mayor atención al colectivo femenino y a aquellas personas, sanitarias o no, que hayan padecido la pérdida de un ser querido durante el confinamiento por COVID-19</w:t>
      </w:r>
      <w:r w:rsidR="00F23DDE">
        <w:t xml:space="preserve"> (Brooks et al., 2020)</w:t>
      </w:r>
      <w:r w:rsidRPr="00C80AE0">
        <w:t>.</w:t>
      </w:r>
    </w:p>
    <w:p w14:paraId="3F0C9338" w14:textId="77777777" w:rsidR="0006616B" w:rsidRDefault="0006616B" w:rsidP="00375833">
      <w:pPr>
        <w:spacing w:line="360" w:lineRule="auto"/>
        <w:jc w:val="both"/>
        <w:rPr>
          <w:b/>
          <w:lang w:val="es-ES" w:eastAsia="en-US"/>
        </w:rPr>
      </w:pPr>
      <w:r>
        <w:rPr>
          <w:lang w:val="es-ES"/>
        </w:rPr>
        <w:br w:type="page"/>
      </w:r>
    </w:p>
    <w:p w14:paraId="6CD8B4A8" w14:textId="0C8AAC9C" w:rsidR="006F7E7E" w:rsidRPr="00D70B4B" w:rsidRDefault="00CE7D65" w:rsidP="00375833">
      <w:pPr>
        <w:pStyle w:val="Ttulosinternos"/>
        <w:rPr>
          <w:lang w:val="es-ES"/>
        </w:rPr>
      </w:pPr>
      <w:r w:rsidRPr="00D70B4B">
        <w:rPr>
          <w:lang w:val="es-ES"/>
        </w:rPr>
        <w:lastRenderedPageBreak/>
        <w:t>Referenc</w:t>
      </w:r>
      <w:r w:rsidR="005D1A26" w:rsidRPr="00D70B4B">
        <w:rPr>
          <w:lang w:val="es-ES"/>
        </w:rPr>
        <w:t>ias</w:t>
      </w:r>
    </w:p>
    <w:p w14:paraId="465B911E" w14:textId="2958C08D" w:rsidR="005D1A26" w:rsidRPr="0022308E" w:rsidRDefault="005D1A26" w:rsidP="00BE1C24">
      <w:pPr>
        <w:spacing w:line="360" w:lineRule="auto"/>
        <w:ind w:left="720" w:hanging="720"/>
        <w:rPr>
          <w:lang w:val="es-ES"/>
        </w:rPr>
      </w:pPr>
      <w:r w:rsidRPr="0022308E">
        <w:rPr>
          <w:lang w:val="es-ES"/>
        </w:rPr>
        <w:t>Báguena, M.J., Villarroya, E., B</w:t>
      </w:r>
      <w:r w:rsidR="00125940" w:rsidRPr="0022308E">
        <w:rPr>
          <w:lang w:val="es-ES"/>
        </w:rPr>
        <w:t>eleña, A., Díaz, A., Roldán, C.</w:t>
      </w:r>
      <w:r w:rsidRPr="0022308E">
        <w:rPr>
          <w:lang w:val="es-ES"/>
        </w:rPr>
        <w:t xml:space="preserve"> &amp; Reig, R. (2001). Propiedades psicométricas de la versión española de la Escala Revisada del Impacto del Estresor (EIE-R). </w:t>
      </w:r>
      <w:r w:rsidRPr="0022308E">
        <w:rPr>
          <w:i/>
          <w:lang w:val="es-ES"/>
        </w:rPr>
        <w:t>Análisis y modificación de la conducta, 27</w:t>
      </w:r>
      <w:r w:rsidRPr="0022308E">
        <w:rPr>
          <w:lang w:val="es-ES"/>
        </w:rPr>
        <w:t>(114),</w:t>
      </w:r>
      <w:r w:rsidR="00294F2F" w:rsidRPr="0022308E">
        <w:rPr>
          <w:lang w:val="es-ES"/>
        </w:rPr>
        <w:t xml:space="preserve"> </w:t>
      </w:r>
      <w:r w:rsidRPr="0022308E">
        <w:rPr>
          <w:lang w:val="es-ES"/>
        </w:rPr>
        <w:t>581-604.</w:t>
      </w:r>
    </w:p>
    <w:p w14:paraId="28299514" w14:textId="49EA2BA0" w:rsidR="00F60CE8" w:rsidRPr="0022308E" w:rsidRDefault="00FE2A27" w:rsidP="00BE1C24">
      <w:pPr>
        <w:spacing w:line="360" w:lineRule="auto"/>
        <w:ind w:left="720" w:hanging="720"/>
        <w:rPr>
          <w:lang w:val="en-US"/>
        </w:rPr>
      </w:pPr>
      <w:r w:rsidRPr="0022308E">
        <w:rPr>
          <w:lang w:val="es-ES"/>
        </w:rPr>
        <w:t xml:space="preserve">Barzilay, R., Moore, T. M., Greenberg, D. M., DiDomenico, G. E., Brown, L. A., </w:t>
      </w:r>
      <w:r w:rsidR="005C2588" w:rsidRPr="0022308E">
        <w:rPr>
          <w:lang w:val="es-ES"/>
        </w:rPr>
        <w:t xml:space="preserve">White, L. K., </w:t>
      </w:r>
      <w:r w:rsidR="005C2588" w:rsidRPr="00D70B4B">
        <w:rPr>
          <w:lang w:val="es-ES"/>
        </w:rPr>
        <w:t xml:space="preserve">Gur, R. E. </w:t>
      </w:r>
      <w:r w:rsidRPr="00D70B4B">
        <w:rPr>
          <w:lang w:val="es-ES"/>
        </w:rPr>
        <w:t xml:space="preserve">&amp; Gur, R. E. (2020). </w:t>
      </w:r>
      <w:r w:rsidRPr="0022308E">
        <w:rPr>
          <w:lang w:val="en-US"/>
        </w:rPr>
        <w:t xml:space="preserve">Resilience, COVID-19-related stress, anxiety and depression during the pandemic in a large population enriched for healthcare providers. </w:t>
      </w:r>
      <w:proofErr w:type="gramStart"/>
      <w:r w:rsidRPr="0022308E">
        <w:rPr>
          <w:i/>
          <w:lang w:val="en-US"/>
        </w:rPr>
        <w:t>Translational psychiatry, 10</w:t>
      </w:r>
      <w:r w:rsidR="005C2588" w:rsidRPr="0022308E">
        <w:rPr>
          <w:lang w:val="en-US"/>
        </w:rPr>
        <w:t>(291</w:t>
      </w:r>
      <w:r w:rsidRPr="0022308E">
        <w:rPr>
          <w:lang w:val="en-US"/>
        </w:rPr>
        <w:t>), 1-8.</w:t>
      </w:r>
      <w:proofErr w:type="gramEnd"/>
      <w:r w:rsidR="005C2588" w:rsidRPr="00D70B4B">
        <w:rPr>
          <w:lang w:val="en-US"/>
        </w:rPr>
        <w:t xml:space="preserve"> </w:t>
      </w:r>
      <w:hyperlink r:id="rId9" w:history="1">
        <w:r w:rsidR="005C2588" w:rsidRPr="00D70B4B">
          <w:rPr>
            <w:rStyle w:val="Hipervnculo"/>
            <w:color w:val="auto"/>
            <w:lang w:val="en-US"/>
          </w:rPr>
          <w:t>https://doi.org/10.1038/s41398-020-00982-4</w:t>
        </w:r>
      </w:hyperlink>
    </w:p>
    <w:p w14:paraId="2DE6CF8E" w14:textId="2245711D" w:rsidR="00F60CE8" w:rsidRPr="0022308E" w:rsidRDefault="00153A7F" w:rsidP="00BE1C24">
      <w:pPr>
        <w:spacing w:line="360" w:lineRule="auto"/>
        <w:ind w:left="720" w:hanging="720"/>
        <w:rPr>
          <w:lang w:val="en-US"/>
        </w:rPr>
      </w:pPr>
      <w:proofErr w:type="gramStart"/>
      <w:r w:rsidRPr="0022308E">
        <w:rPr>
          <w:lang w:val="en-US"/>
        </w:rPr>
        <w:t>Bozdağ, F.</w:t>
      </w:r>
      <w:r w:rsidR="00F60CE8" w:rsidRPr="0022308E">
        <w:rPr>
          <w:lang w:val="en-US"/>
        </w:rPr>
        <w:t xml:space="preserve"> &amp; Ergün, N. (2020).</w:t>
      </w:r>
      <w:proofErr w:type="gramEnd"/>
      <w:r w:rsidR="00F60CE8" w:rsidRPr="0022308E">
        <w:rPr>
          <w:lang w:val="en-US"/>
        </w:rPr>
        <w:t xml:space="preserve"> Psychological Resilience of Healthcare Professionals </w:t>
      </w:r>
      <w:proofErr w:type="gramStart"/>
      <w:r w:rsidR="00F60CE8" w:rsidRPr="0022308E">
        <w:rPr>
          <w:lang w:val="en-US"/>
        </w:rPr>
        <w:t>During</w:t>
      </w:r>
      <w:proofErr w:type="gramEnd"/>
      <w:r w:rsidR="00F60CE8" w:rsidRPr="0022308E">
        <w:rPr>
          <w:lang w:val="en-US"/>
        </w:rPr>
        <w:t xml:space="preserve"> COVID-19 Pandemic. </w:t>
      </w:r>
      <w:proofErr w:type="gramStart"/>
      <w:r w:rsidR="00F60CE8" w:rsidRPr="0022308E">
        <w:rPr>
          <w:i/>
          <w:lang w:val="en-US"/>
        </w:rPr>
        <w:t xml:space="preserve">Psychological reports, </w:t>
      </w:r>
      <w:r w:rsidR="00B406DB" w:rsidRPr="0022308E">
        <w:rPr>
          <w:i/>
          <w:lang w:val="en-US"/>
        </w:rPr>
        <w:t>0</w:t>
      </w:r>
      <w:r w:rsidR="00B406DB" w:rsidRPr="0022308E">
        <w:rPr>
          <w:lang w:val="en-US"/>
        </w:rPr>
        <w:t>(0), 1-20.</w:t>
      </w:r>
      <w:proofErr w:type="gramEnd"/>
      <w:r w:rsidR="00B406DB" w:rsidRPr="0022308E">
        <w:rPr>
          <w:lang w:val="en-US"/>
        </w:rPr>
        <w:t xml:space="preserve"> </w:t>
      </w:r>
      <w:hyperlink r:id="rId10" w:history="1">
        <w:r w:rsidR="00F60CE8" w:rsidRPr="0022308E">
          <w:rPr>
            <w:rStyle w:val="Hipervnculo"/>
            <w:color w:val="auto"/>
            <w:lang w:val="en-US"/>
          </w:rPr>
          <w:t>https://doi.org/10.1177/0033294120965477</w:t>
        </w:r>
      </w:hyperlink>
    </w:p>
    <w:p w14:paraId="41DAFCD2" w14:textId="4D6D3504" w:rsidR="005D1A26" w:rsidRPr="0022308E" w:rsidRDefault="005D1A26" w:rsidP="00BE1C24">
      <w:pPr>
        <w:spacing w:line="360" w:lineRule="auto"/>
        <w:ind w:left="720" w:hanging="720"/>
        <w:rPr>
          <w:lang w:val="es-ES"/>
        </w:rPr>
      </w:pPr>
      <w:proofErr w:type="gramStart"/>
      <w:r w:rsidRPr="0022308E">
        <w:rPr>
          <w:lang w:val="en-US"/>
        </w:rPr>
        <w:t>Brooks, S. K., Webster, R. K., Smith, L. E., Woodland,</w:t>
      </w:r>
      <w:r w:rsidR="00294F2F" w:rsidRPr="0022308E">
        <w:rPr>
          <w:lang w:val="en-US"/>
        </w:rPr>
        <w:t xml:space="preserve"> L., Wessely, S., Greenberg, N.</w:t>
      </w:r>
      <w:r w:rsidRPr="0022308E">
        <w:rPr>
          <w:lang w:val="en-US"/>
        </w:rPr>
        <w:t xml:space="preserve"> &amp; Rubin, G. J. (2020).</w:t>
      </w:r>
      <w:proofErr w:type="gramEnd"/>
      <w:r w:rsidRPr="0022308E">
        <w:rPr>
          <w:lang w:val="en-US"/>
        </w:rPr>
        <w:t xml:space="preserve"> The psychological impact of quarantine and how to reduce it: rapid review of the evidence</w:t>
      </w:r>
      <w:r w:rsidRPr="0022308E">
        <w:rPr>
          <w:i/>
          <w:lang w:val="en-US"/>
        </w:rPr>
        <w:t xml:space="preserve">. </w:t>
      </w:r>
      <w:r w:rsidRPr="0022308E">
        <w:rPr>
          <w:i/>
          <w:lang w:val="es-ES"/>
        </w:rPr>
        <w:t>Lancet (London, England), 395</w:t>
      </w:r>
      <w:r w:rsidRPr="0022308E">
        <w:rPr>
          <w:lang w:val="es-ES"/>
        </w:rPr>
        <w:t>(10227),</w:t>
      </w:r>
      <w:r w:rsidR="00294F2F" w:rsidRPr="0022308E">
        <w:rPr>
          <w:lang w:val="es-ES"/>
        </w:rPr>
        <w:t xml:space="preserve"> </w:t>
      </w:r>
      <w:r w:rsidRPr="0022308E">
        <w:rPr>
          <w:lang w:val="es-ES"/>
        </w:rPr>
        <w:t>912–920. https://doi.org/10.1016/S0140-6736(20)30460-8</w:t>
      </w:r>
    </w:p>
    <w:p w14:paraId="352AD576" w14:textId="50990EFE" w:rsidR="00FE2A27" w:rsidRPr="0022308E" w:rsidRDefault="00FE2A27" w:rsidP="00BE1C24">
      <w:pPr>
        <w:spacing w:line="360" w:lineRule="auto"/>
        <w:ind w:left="720" w:hanging="720"/>
        <w:rPr>
          <w:lang w:val="es-ES"/>
        </w:rPr>
      </w:pPr>
      <w:r w:rsidRPr="0022308E">
        <w:rPr>
          <w:lang w:val="es-ES"/>
        </w:rPr>
        <w:t xml:space="preserve">Cabrera, A., &amp; García, F.J. (2020, 30 de septiembre). </w:t>
      </w:r>
      <w:r w:rsidRPr="0022308E">
        <w:rPr>
          <w:i/>
          <w:lang w:val="es-ES"/>
        </w:rPr>
        <w:t>Encuesta a sanitarios de Ceuta: Afectación psicológica durante el estado de alarma por coronavirus</w:t>
      </w:r>
      <w:r w:rsidRPr="0022308E">
        <w:rPr>
          <w:lang w:val="es-ES"/>
        </w:rPr>
        <w:t xml:space="preserve">. </w:t>
      </w:r>
      <w:r w:rsidR="0027197E" w:rsidRPr="0022308E">
        <w:rPr>
          <w:lang w:val="es-ES"/>
        </w:rPr>
        <w:t xml:space="preserve">Infocop. </w:t>
      </w:r>
      <w:r w:rsidRPr="0022308E">
        <w:rPr>
          <w:lang w:val="es-ES"/>
        </w:rPr>
        <w:t xml:space="preserve">Recuperado de: </w:t>
      </w:r>
      <w:hyperlink r:id="rId11" w:history="1">
        <w:r w:rsidRPr="0022308E">
          <w:rPr>
            <w:rStyle w:val="Hipervnculo"/>
            <w:color w:val="auto"/>
            <w:lang w:val="es-ES"/>
          </w:rPr>
          <w:t>http://www.infocop.es/view_article.asp?id=15013&amp;cat=8</w:t>
        </w:r>
      </w:hyperlink>
    </w:p>
    <w:p w14:paraId="0921E4BA" w14:textId="4D1F27E6" w:rsidR="005D1A26" w:rsidRPr="0022308E" w:rsidRDefault="005D1A26" w:rsidP="00BE1C24">
      <w:pPr>
        <w:spacing w:line="360" w:lineRule="auto"/>
        <w:ind w:left="720" w:hanging="720"/>
        <w:rPr>
          <w:lang w:val="es-ES"/>
        </w:rPr>
      </w:pPr>
      <w:r w:rsidRPr="0022308E">
        <w:rPr>
          <w:lang w:val="es-ES"/>
        </w:rPr>
        <w:t>Cano</w:t>
      </w:r>
      <w:r w:rsidR="00294F2F" w:rsidRPr="0022308E">
        <w:rPr>
          <w:lang w:val="es-ES"/>
        </w:rPr>
        <w:t>, F. J., Rodríguez, L.</w:t>
      </w:r>
      <w:r w:rsidRPr="0022308E">
        <w:rPr>
          <w:lang w:val="es-ES"/>
        </w:rPr>
        <w:t xml:space="preserve"> &amp; García, J. (2007). </w:t>
      </w:r>
      <w:proofErr w:type="gramStart"/>
      <w:r w:rsidRPr="00D70B4B">
        <w:rPr>
          <w:lang w:val="en-US"/>
        </w:rPr>
        <w:t>Spanish version of the Coping Strategies Inventory.</w:t>
      </w:r>
      <w:proofErr w:type="gramEnd"/>
      <w:r w:rsidRPr="00D70B4B">
        <w:rPr>
          <w:lang w:val="en-US"/>
        </w:rPr>
        <w:t xml:space="preserve"> </w:t>
      </w:r>
      <w:r w:rsidR="0022308E" w:rsidRPr="0022308E">
        <w:rPr>
          <w:i/>
          <w:lang w:val="es-ES"/>
        </w:rPr>
        <w:t>Actas E</w:t>
      </w:r>
      <w:r w:rsidR="00294F2F" w:rsidRPr="0022308E">
        <w:rPr>
          <w:i/>
          <w:lang w:val="es-ES"/>
        </w:rPr>
        <w:t>spañ</w:t>
      </w:r>
      <w:r w:rsidRPr="0022308E">
        <w:rPr>
          <w:i/>
          <w:lang w:val="es-ES"/>
        </w:rPr>
        <w:t xml:space="preserve">olas de </w:t>
      </w:r>
      <w:r w:rsidR="0022308E" w:rsidRPr="0022308E">
        <w:rPr>
          <w:i/>
          <w:lang w:val="es-ES"/>
        </w:rPr>
        <w:t>P</w:t>
      </w:r>
      <w:r w:rsidR="00294F2F" w:rsidRPr="0022308E">
        <w:rPr>
          <w:i/>
          <w:lang w:val="es-ES"/>
        </w:rPr>
        <w:t>siquiatría</w:t>
      </w:r>
      <w:r w:rsidRPr="0022308E">
        <w:rPr>
          <w:i/>
          <w:lang w:val="es-ES"/>
        </w:rPr>
        <w:t>, 35</w:t>
      </w:r>
      <w:r w:rsidRPr="0022308E">
        <w:rPr>
          <w:lang w:val="es-ES"/>
        </w:rPr>
        <w:t>(1), 29–39.</w:t>
      </w:r>
    </w:p>
    <w:p w14:paraId="5E727DA1" w14:textId="37BC507C" w:rsidR="00585C5A" w:rsidRPr="0022308E" w:rsidRDefault="00585C5A" w:rsidP="00BE1C24">
      <w:pPr>
        <w:spacing w:line="360" w:lineRule="auto"/>
        <w:ind w:left="720" w:hanging="720"/>
        <w:rPr>
          <w:lang w:val="en-US"/>
        </w:rPr>
      </w:pPr>
      <w:r w:rsidRPr="0022308E">
        <w:rPr>
          <w:lang w:val="es-ES"/>
        </w:rPr>
        <w:t xml:space="preserve">Castellano-Tejedor, C., Torres-Serrano, M., &amp; Cencerrado-Barraqué, A. (2021). </w:t>
      </w:r>
      <w:r w:rsidRPr="0022308E">
        <w:rPr>
          <w:lang w:val="en-US"/>
        </w:rPr>
        <w:t xml:space="preserve">Psychological impact in the time of COVID-19: A cross-sectional population survey study during confinement. </w:t>
      </w:r>
      <w:proofErr w:type="gramStart"/>
      <w:r w:rsidRPr="0022308E">
        <w:rPr>
          <w:i/>
          <w:lang w:val="en-US"/>
        </w:rPr>
        <w:t>Journal of Health Psychology</w:t>
      </w:r>
      <w:r w:rsidRPr="0022308E">
        <w:rPr>
          <w:lang w:val="en-US"/>
        </w:rPr>
        <w:t>.</w:t>
      </w:r>
      <w:proofErr w:type="gramEnd"/>
      <w:r w:rsidRPr="0022308E">
        <w:rPr>
          <w:lang w:val="en-US"/>
        </w:rPr>
        <w:t xml:space="preserve"> https://doi.org/10.1177/1359105320985580</w:t>
      </w:r>
    </w:p>
    <w:p w14:paraId="160F456B" w14:textId="797EAE2F" w:rsidR="00FE2A27" w:rsidRPr="0022308E" w:rsidRDefault="00FE2A27" w:rsidP="00BE1C24">
      <w:pPr>
        <w:spacing w:line="360" w:lineRule="auto"/>
        <w:ind w:left="720" w:hanging="720"/>
        <w:rPr>
          <w:lang w:val="es-ES"/>
        </w:rPr>
      </w:pPr>
      <w:proofErr w:type="gramStart"/>
      <w:r w:rsidRPr="00D70B4B">
        <w:rPr>
          <w:lang w:val="en-US"/>
        </w:rPr>
        <w:t>Cedeño, N. J</w:t>
      </w:r>
      <w:r w:rsidR="00294F2F" w:rsidRPr="00D70B4B">
        <w:rPr>
          <w:lang w:val="en-US"/>
        </w:rPr>
        <w:t>., Cuenca, M. F., Mojica, Á. A.</w:t>
      </w:r>
      <w:r w:rsidRPr="00D70B4B">
        <w:rPr>
          <w:lang w:val="en-US"/>
        </w:rPr>
        <w:t xml:space="preserve"> &amp; Portillo, M. T. (2020).</w:t>
      </w:r>
      <w:proofErr w:type="gramEnd"/>
      <w:r w:rsidRPr="00D70B4B">
        <w:rPr>
          <w:lang w:val="en-US"/>
        </w:rPr>
        <w:t xml:space="preserve"> </w:t>
      </w:r>
      <w:r w:rsidRPr="0022308E">
        <w:rPr>
          <w:lang w:val="es-ES"/>
        </w:rPr>
        <w:t xml:space="preserve">Afrontamiento del COVID-19: estrés, miedo, ansiedad y depresión. </w:t>
      </w:r>
      <w:r w:rsidRPr="0022308E">
        <w:rPr>
          <w:i/>
          <w:lang w:val="es-ES"/>
        </w:rPr>
        <w:t>Enfermería Investiga, 5</w:t>
      </w:r>
      <w:r w:rsidRPr="0022308E">
        <w:rPr>
          <w:lang w:val="es-ES"/>
        </w:rPr>
        <w:t>(3), 63-70.</w:t>
      </w:r>
    </w:p>
    <w:p w14:paraId="7A1621C4" w14:textId="0039291C" w:rsidR="003E7F07" w:rsidRPr="00D70B4B" w:rsidRDefault="003E7F07" w:rsidP="00BE1C24">
      <w:pPr>
        <w:spacing w:line="360" w:lineRule="auto"/>
        <w:ind w:left="720" w:hanging="720"/>
        <w:rPr>
          <w:rStyle w:val="Hipervnculo"/>
          <w:color w:val="auto"/>
          <w:lang w:val="es-ES"/>
        </w:rPr>
      </w:pPr>
      <w:r w:rsidRPr="0022308E">
        <w:t xml:space="preserve">CIOMS, OMS &amp; OPS (2016). </w:t>
      </w:r>
      <w:r w:rsidRPr="0022308E">
        <w:rPr>
          <w:i/>
        </w:rPr>
        <w:t>Pautas éticas internacionales para la investigación relacionada con la salud con seres humanos</w:t>
      </w:r>
      <w:r w:rsidR="00EE7AB1" w:rsidRPr="0022308E">
        <w:rPr>
          <w:i/>
        </w:rPr>
        <w:t xml:space="preserve"> </w:t>
      </w:r>
      <w:r w:rsidR="00EE7AB1" w:rsidRPr="0022308E">
        <w:t>[Archivo PDF]</w:t>
      </w:r>
      <w:r w:rsidRPr="0022308E">
        <w:rPr>
          <w:i/>
        </w:rPr>
        <w:t>.</w:t>
      </w:r>
      <w:r w:rsidRPr="0022308E">
        <w:t xml:space="preserve"> </w:t>
      </w:r>
      <w:r w:rsidR="00EE7AB1" w:rsidRPr="0022308E">
        <w:t xml:space="preserve">CIOMS. </w:t>
      </w:r>
      <w:r w:rsidR="00294F2F" w:rsidRPr="0022308E">
        <w:rPr>
          <w:lang w:val="es-ES"/>
        </w:rPr>
        <w:t>Recuperado de</w:t>
      </w:r>
      <w:r w:rsidRPr="0022308E">
        <w:rPr>
          <w:lang w:val="es-ES"/>
        </w:rPr>
        <w:t xml:space="preserve"> </w:t>
      </w:r>
      <w:hyperlink r:id="rId12" w:history="1">
        <w:r w:rsidRPr="0022308E">
          <w:rPr>
            <w:rStyle w:val="Hipervnculo"/>
            <w:color w:val="auto"/>
            <w:lang w:val="es-ES"/>
          </w:rPr>
          <w:t>https://cioms.ch/wp-content/uploads/2017/12/CIOMS-EthicalGuideline_SP_INTERIOR-FINAL.pdf</w:t>
        </w:r>
      </w:hyperlink>
    </w:p>
    <w:p w14:paraId="4A25865C" w14:textId="0666582C" w:rsidR="0022308E" w:rsidRPr="0022308E" w:rsidRDefault="00FE2A27" w:rsidP="0022308E">
      <w:pPr>
        <w:spacing w:line="360" w:lineRule="auto"/>
        <w:ind w:left="720" w:hanging="720"/>
        <w:rPr>
          <w:lang w:val="es-ES"/>
        </w:rPr>
      </w:pPr>
      <w:r w:rsidRPr="0022308E">
        <w:rPr>
          <w:lang w:val="es-ES"/>
        </w:rPr>
        <w:t>García-Iglesias, J.J., Gómez-Salgado, J., Martín-Pereira, J., Fagundo-Rivera, J., Ayuso-Murillo, D., Martínez-Riera, J.R. &amp; Ruiz-Frutos, C. (2020). Impacto del SARS-COV-2 (COVID-</w:t>
      </w:r>
      <w:r w:rsidRPr="0022308E">
        <w:rPr>
          <w:lang w:val="es-ES"/>
        </w:rPr>
        <w:lastRenderedPageBreak/>
        <w:t xml:space="preserve">19) en la salud mental de los profesionales sanitarios: una revisión sistemática. </w:t>
      </w:r>
      <w:r w:rsidRPr="0022308E">
        <w:rPr>
          <w:i/>
          <w:lang w:val="es-ES"/>
        </w:rPr>
        <w:t>Rev</w:t>
      </w:r>
      <w:r w:rsidR="002C2C7C">
        <w:rPr>
          <w:i/>
          <w:lang w:val="es-ES"/>
        </w:rPr>
        <w:t>ista</w:t>
      </w:r>
      <w:r w:rsidRPr="0022308E">
        <w:rPr>
          <w:i/>
          <w:lang w:val="es-ES"/>
        </w:rPr>
        <w:t xml:space="preserve"> Esp</w:t>
      </w:r>
      <w:r w:rsidR="002C2C7C">
        <w:rPr>
          <w:i/>
          <w:lang w:val="es-ES"/>
        </w:rPr>
        <w:t>añola de</w:t>
      </w:r>
      <w:r w:rsidRPr="0022308E">
        <w:rPr>
          <w:i/>
          <w:lang w:val="es-ES"/>
        </w:rPr>
        <w:t xml:space="preserve"> Salud Pública, 94</w:t>
      </w:r>
      <w:r w:rsidR="00294F2F" w:rsidRPr="0022308E">
        <w:rPr>
          <w:lang w:val="es-ES"/>
        </w:rPr>
        <w:t>(1), 1-20</w:t>
      </w:r>
      <w:r w:rsidRPr="0022308E">
        <w:rPr>
          <w:lang w:val="es-ES"/>
        </w:rPr>
        <w:t>.</w:t>
      </w:r>
    </w:p>
    <w:p w14:paraId="74505E47" w14:textId="220574FD" w:rsidR="005D1A26" w:rsidRPr="0022308E" w:rsidRDefault="00FE2A27" w:rsidP="0022308E">
      <w:pPr>
        <w:spacing w:line="360" w:lineRule="auto"/>
        <w:ind w:left="720" w:hanging="720"/>
        <w:rPr>
          <w:lang w:val="es-ES"/>
        </w:rPr>
      </w:pPr>
      <w:r w:rsidRPr="0022308E">
        <w:rPr>
          <w:lang w:val="es-ES"/>
        </w:rPr>
        <w:t xml:space="preserve">González-Sanguino, C., Ausín, B., Castellanos, M.A., Saiz, </w:t>
      </w:r>
      <w:r w:rsidR="00294F2F" w:rsidRPr="0022308E">
        <w:rPr>
          <w:lang w:val="es-ES"/>
        </w:rPr>
        <w:t>J., López-Gómez, A., Ugidos, C.</w:t>
      </w:r>
      <w:r w:rsidRPr="0022308E">
        <w:rPr>
          <w:lang w:val="es-ES"/>
        </w:rPr>
        <w:t xml:space="preserve"> &amp; Muñoz, M. (2020). </w:t>
      </w:r>
      <w:proofErr w:type="gramStart"/>
      <w:r w:rsidRPr="0022308E">
        <w:rPr>
          <w:lang w:val="en-US"/>
        </w:rPr>
        <w:t>Mental health consequences during the initial stage of the 2020 Coronavirus pandemic (COVID-19) in Spain.</w:t>
      </w:r>
      <w:proofErr w:type="gramEnd"/>
      <w:r w:rsidRPr="0022308E">
        <w:rPr>
          <w:lang w:val="en-US"/>
        </w:rPr>
        <w:t xml:space="preserve"> </w:t>
      </w:r>
      <w:r w:rsidRPr="0022308E">
        <w:rPr>
          <w:lang w:val="es-ES"/>
        </w:rPr>
        <w:t>Brain, Behavior, and Immunity.</w:t>
      </w:r>
      <w:r w:rsidR="005D1A26" w:rsidRPr="0022308E">
        <w:rPr>
          <w:lang w:val="es-ES"/>
        </w:rPr>
        <w:t xml:space="preserve">Iglesias, E.B. (2006). Resiliencia: definición, características y utilidad del concepto. </w:t>
      </w:r>
      <w:r w:rsidR="005D1A26" w:rsidRPr="0022308E">
        <w:rPr>
          <w:i/>
          <w:lang w:val="es-ES"/>
        </w:rPr>
        <w:t>Revista de psicopatología y psicología clínica, 11</w:t>
      </w:r>
      <w:r w:rsidR="005D1A26" w:rsidRPr="0022308E">
        <w:rPr>
          <w:lang w:val="es-ES"/>
        </w:rPr>
        <w:t>(3),</w:t>
      </w:r>
      <w:r w:rsidR="00294F2F" w:rsidRPr="0022308E">
        <w:rPr>
          <w:lang w:val="es-ES"/>
        </w:rPr>
        <w:t xml:space="preserve"> </w:t>
      </w:r>
      <w:r w:rsidR="005D1A26" w:rsidRPr="0022308E">
        <w:rPr>
          <w:lang w:val="es-ES"/>
        </w:rPr>
        <w:t>125-146.</w:t>
      </w:r>
      <w:r w:rsidR="0022308E" w:rsidRPr="0022308E">
        <w:rPr>
          <w:lang w:val="es-ES"/>
        </w:rPr>
        <w:t xml:space="preserve"> </w:t>
      </w:r>
      <w:r w:rsidR="0022308E" w:rsidRPr="0022308E">
        <w:rPr>
          <w:u w:val="single"/>
          <w:lang w:val="es-ES"/>
        </w:rPr>
        <w:t>https://doi.org/</w:t>
      </w:r>
      <w:hyperlink r:id="rId13" w:tgtFrame="_blank" w:history="1">
        <w:r w:rsidR="0022308E" w:rsidRPr="0022308E">
          <w:rPr>
            <w:rStyle w:val="Hipervnculo"/>
            <w:color w:val="auto"/>
            <w:lang w:val="es-ES"/>
          </w:rPr>
          <w:t>10.1016/j.bbi.2020.05.040</w:t>
        </w:r>
      </w:hyperlink>
    </w:p>
    <w:p w14:paraId="0844A102" w14:textId="7A5FECFE" w:rsidR="00585C5A" w:rsidRPr="0022308E" w:rsidRDefault="00585C5A" w:rsidP="00BE1C24">
      <w:pPr>
        <w:spacing w:line="360" w:lineRule="auto"/>
        <w:ind w:left="720" w:hanging="720"/>
        <w:rPr>
          <w:lang w:val="en-US"/>
        </w:rPr>
      </w:pPr>
      <w:r w:rsidRPr="0022308E">
        <w:rPr>
          <w:lang w:val="en-US"/>
        </w:rPr>
        <w:t>Ho, S.C</w:t>
      </w:r>
      <w:r w:rsidR="00294F2F" w:rsidRPr="0022308E">
        <w:rPr>
          <w:lang w:val="en-US"/>
        </w:rPr>
        <w:t>., Chan, A., Woo, J., Chong, P.</w:t>
      </w:r>
      <w:r w:rsidRPr="0022308E">
        <w:rPr>
          <w:lang w:val="en-US"/>
        </w:rPr>
        <w:t xml:space="preserve"> </w:t>
      </w:r>
      <w:r w:rsidR="00294F2F" w:rsidRPr="0022308E">
        <w:rPr>
          <w:lang w:val="en-US"/>
        </w:rPr>
        <w:t xml:space="preserve">&amp; </w:t>
      </w:r>
      <w:r w:rsidRPr="0022308E">
        <w:rPr>
          <w:lang w:val="en-US"/>
        </w:rPr>
        <w:t xml:space="preserve">Sham A. (2009). Impact of caregiving on health and quality of life: a comparative population-based study of caregivers for elderly persons and noncaregivers. </w:t>
      </w:r>
      <w:r w:rsidR="002C2C7C" w:rsidRPr="00D70B4B">
        <w:rPr>
          <w:i/>
          <w:iCs/>
          <w:lang w:val="en-US"/>
        </w:rPr>
        <w:t>The Journals of Gerontology: Series A</w:t>
      </w:r>
      <w:r w:rsidR="00294F2F" w:rsidRPr="0022308E">
        <w:rPr>
          <w:i/>
          <w:lang w:val="en-US"/>
        </w:rPr>
        <w:t xml:space="preserve">, </w:t>
      </w:r>
      <w:proofErr w:type="gramStart"/>
      <w:r w:rsidR="00294F2F" w:rsidRPr="0022308E">
        <w:rPr>
          <w:i/>
          <w:lang w:val="en-US"/>
        </w:rPr>
        <w:t>64</w:t>
      </w:r>
      <w:r w:rsidR="002C2C7C">
        <w:rPr>
          <w:i/>
          <w:lang w:val="en-US"/>
        </w:rPr>
        <w:t>A</w:t>
      </w:r>
      <w:r w:rsidR="00294F2F" w:rsidRPr="0022308E">
        <w:rPr>
          <w:lang w:val="en-US"/>
        </w:rPr>
        <w:t>(</w:t>
      </w:r>
      <w:proofErr w:type="gramEnd"/>
      <w:r w:rsidR="00294F2F" w:rsidRPr="0022308E">
        <w:rPr>
          <w:lang w:val="en-US"/>
        </w:rPr>
        <w:t>8),</w:t>
      </w:r>
      <w:r w:rsidRPr="0022308E">
        <w:rPr>
          <w:lang w:val="en-US"/>
        </w:rPr>
        <w:t xml:space="preserve"> 873-9. </w:t>
      </w:r>
      <w:hyperlink r:id="rId14" w:history="1">
        <w:r w:rsidRPr="0022308E">
          <w:rPr>
            <w:rStyle w:val="Hipervnculo"/>
            <w:color w:val="auto"/>
            <w:lang w:val="en-US"/>
          </w:rPr>
          <w:t>https://doi.org/10.1093/gerona/glp034</w:t>
        </w:r>
      </w:hyperlink>
    </w:p>
    <w:p w14:paraId="472F885C" w14:textId="063DB728" w:rsidR="003E7F07" w:rsidRPr="0022308E" w:rsidRDefault="003E7F07" w:rsidP="00BE1C24">
      <w:pPr>
        <w:spacing w:line="360" w:lineRule="auto"/>
        <w:ind w:left="720" w:hanging="720"/>
        <w:rPr>
          <w:lang w:val="en-US"/>
        </w:rPr>
      </w:pPr>
      <w:proofErr w:type="gramStart"/>
      <w:r w:rsidRPr="0022308E">
        <w:rPr>
          <w:lang w:val="en-US"/>
        </w:rPr>
        <w:t>IAAP &amp; IUPsyS (2008).</w:t>
      </w:r>
      <w:proofErr w:type="gramEnd"/>
      <w:r w:rsidRPr="0022308E">
        <w:rPr>
          <w:lang w:val="en-US"/>
        </w:rPr>
        <w:t xml:space="preserve"> </w:t>
      </w:r>
      <w:proofErr w:type="gramStart"/>
      <w:r w:rsidRPr="0022308E">
        <w:rPr>
          <w:i/>
          <w:lang w:val="en-US"/>
        </w:rPr>
        <w:t>Universal Declaration of Ethica</w:t>
      </w:r>
      <w:r w:rsidR="0027197E" w:rsidRPr="0022308E">
        <w:rPr>
          <w:i/>
          <w:lang w:val="en-US"/>
        </w:rPr>
        <w:t>l Principles for Psychologists.</w:t>
      </w:r>
      <w:proofErr w:type="gramEnd"/>
      <w:r w:rsidR="0027197E" w:rsidRPr="0022308E">
        <w:rPr>
          <w:i/>
          <w:lang w:val="en-US"/>
        </w:rPr>
        <w:t xml:space="preserve"> </w:t>
      </w:r>
      <w:proofErr w:type="gramStart"/>
      <w:r w:rsidRPr="0022308E">
        <w:rPr>
          <w:i/>
          <w:lang w:val="en-US"/>
        </w:rPr>
        <w:t>International Union o</w:t>
      </w:r>
      <w:r w:rsidR="0027197E" w:rsidRPr="0022308E">
        <w:rPr>
          <w:i/>
          <w:lang w:val="en-US"/>
        </w:rPr>
        <w:t>f Psychological Science Web</w:t>
      </w:r>
      <w:r w:rsidR="0027197E" w:rsidRPr="0022308E">
        <w:rPr>
          <w:lang w:val="en-US"/>
        </w:rPr>
        <w:t>.</w:t>
      </w:r>
      <w:proofErr w:type="gramEnd"/>
      <w:r w:rsidR="0027197E" w:rsidRPr="0022308E">
        <w:rPr>
          <w:lang w:val="en-US"/>
        </w:rPr>
        <w:t xml:space="preserve"> Recuperado de</w:t>
      </w:r>
      <w:r w:rsidRPr="0022308E">
        <w:rPr>
          <w:lang w:val="en-US"/>
        </w:rPr>
        <w:t xml:space="preserve">: </w:t>
      </w:r>
      <w:hyperlink r:id="rId15" w:history="1">
        <w:r w:rsidRPr="0022308E">
          <w:rPr>
            <w:rStyle w:val="Hipervnculo"/>
            <w:color w:val="auto"/>
            <w:lang w:val="en-US"/>
          </w:rPr>
          <w:t>https://www.iupsys.net/about/governance/universal-declaration-of-ethical-principles-for-psychologists.html</w:t>
        </w:r>
      </w:hyperlink>
      <w:r w:rsidRPr="0022308E">
        <w:rPr>
          <w:lang w:val="en-US"/>
        </w:rPr>
        <w:t xml:space="preserve"> </w:t>
      </w:r>
    </w:p>
    <w:p w14:paraId="707F08FC" w14:textId="7AE5D852" w:rsidR="00FE2A27" w:rsidRPr="0022308E" w:rsidRDefault="00FE2A27" w:rsidP="00BE1C24">
      <w:pPr>
        <w:spacing w:line="360" w:lineRule="auto"/>
        <w:ind w:left="720" w:hanging="720"/>
        <w:rPr>
          <w:lang w:val="ca"/>
        </w:rPr>
      </w:pPr>
      <w:r w:rsidRPr="0022308E">
        <w:rPr>
          <w:lang w:val="ca"/>
        </w:rPr>
        <w:t xml:space="preserve">Iglesias, E.B. (2006). Resiliencia: definición, características y utilidad del concepto. </w:t>
      </w:r>
      <w:r w:rsidRPr="0022308E">
        <w:rPr>
          <w:i/>
          <w:lang w:val="ca"/>
        </w:rPr>
        <w:t>Revista de psicopatología y psicología clínica, 11</w:t>
      </w:r>
      <w:r w:rsidRPr="0022308E">
        <w:rPr>
          <w:lang w:val="ca"/>
        </w:rPr>
        <w:t>(3),</w:t>
      </w:r>
      <w:r w:rsidR="00294F2F" w:rsidRPr="0022308E">
        <w:rPr>
          <w:lang w:val="ca"/>
        </w:rPr>
        <w:t xml:space="preserve"> </w:t>
      </w:r>
      <w:r w:rsidRPr="0022308E">
        <w:rPr>
          <w:lang w:val="ca"/>
        </w:rPr>
        <w:t>125-146.</w:t>
      </w:r>
      <w:r w:rsidR="0022308E">
        <w:rPr>
          <w:lang w:val="ca"/>
        </w:rPr>
        <w:t xml:space="preserve"> </w:t>
      </w:r>
      <w:r w:rsidR="00653A5F">
        <w:fldChar w:fldCharType="begin"/>
      </w:r>
      <w:r w:rsidR="00653A5F">
        <w:instrText xml:space="preserve"> HYPERLINK "https://doi.org/10.5944/rppc.vol.11.num.3.2006.4024" </w:instrText>
      </w:r>
      <w:r w:rsidR="00653A5F">
        <w:fldChar w:fldCharType="separate"/>
      </w:r>
      <w:r w:rsidR="0022308E" w:rsidRPr="0022308E">
        <w:rPr>
          <w:rStyle w:val="Hipervnculo"/>
          <w:color w:val="auto"/>
        </w:rPr>
        <w:t>https://doi.org/10.5944/rppc.vol.11.num.3.2006.4024</w:t>
      </w:r>
      <w:r w:rsidR="00653A5F">
        <w:rPr>
          <w:rStyle w:val="Hipervnculo"/>
          <w:color w:val="auto"/>
        </w:rPr>
        <w:fldChar w:fldCharType="end"/>
      </w:r>
    </w:p>
    <w:p w14:paraId="79431992" w14:textId="77777777" w:rsidR="003E7F07" w:rsidRPr="0022308E" w:rsidRDefault="003E7F07" w:rsidP="00BE1C24">
      <w:pPr>
        <w:spacing w:line="360" w:lineRule="auto"/>
        <w:ind w:left="720" w:hanging="720"/>
      </w:pPr>
      <w:r w:rsidRPr="0022308E">
        <w:t xml:space="preserve">ISP (1978). Resolución sobre la práctica psicológica y los derechos humanos. </w:t>
      </w:r>
      <w:r w:rsidRPr="0022308E">
        <w:rPr>
          <w:i/>
        </w:rPr>
        <w:t>Revista Latinoamericana de Psicología, 10</w:t>
      </w:r>
      <w:r w:rsidRPr="0022308E">
        <w:t xml:space="preserve">(2), 298-299. </w:t>
      </w:r>
      <w:hyperlink r:id="rId16" w:history="1">
        <w:r w:rsidRPr="0022308E">
          <w:rPr>
            <w:rStyle w:val="Hipervnculo"/>
            <w:color w:val="auto"/>
          </w:rPr>
          <w:t>http://doi.org/10.333.23rlp10i2.298-299</w:t>
        </w:r>
      </w:hyperlink>
      <w:r w:rsidRPr="0022308E">
        <w:t xml:space="preserve"> </w:t>
      </w:r>
    </w:p>
    <w:p w14:paraId="1E38DC2B" w14:textId="7D3744DD" w:rsidR="003E7F07" w:rsidRPr="0022308E" w:rsidRDefault="003E7F07" w:rsidP="00BE1C24">
      <w:pPr>
        <w:spacing w:line="360" w:lineRule="auto"/>
        <w:ind w:left="720" w:hanging="720"/>
        <w:rPr>
          <w:lang w:val="es-ES"/>
        </w:rPr>
      </w:pPr>
      <w:r w:rsidRPr="0022308E">
        <w:t xml:space="preserve">ISP (2008a). </w:t>
      </w:r>
      <w:r w:rsidRPr="0022308E">
        <w:rPr>
          <w:i/>
        </w:rPr>
        <w:t xml:space="preserve">Declaración de la Mesa Directiva de la SIP sobre </w:t>
      </w:r>
      <w:r w:rsidR="00585C5A" w:rsidRPr="0022308E">
        <w:rPr>
          <w:i/>
        </w:rPr>
        <w:t>Terapias</w:t>
      </w:r>
      <w:r w:rsidRPr="0022308E">
        <w:rPr>
          <w:i/>
        </w:rPr>
        <w:t xml:space="preserve"> de Conversión.</w:t>
      </w:r>
      <w:r w:rsidRPr="0022308E">
        <w:t xml:space="preserve"> </w:t>
      </w:r>
      <w:r w:rsidR="0027197E" w:rsidRPr="0022308E">
        <w:t xml:space="preserve">Internet Archive. </w:t>
      </w:r>
      <w:r w:rsidR="00585C5A" w:rsidRPr="0022308E">
        <w:rPr>
          <w:lang w:val="es-ES"/>
        </w:rPr>
        <w:t>Recuperado de</w:t>
      </w:r>
      <w:r w:rsidRPr="0022308E">
        <w:rPr>
          <w:lang w:val="es-ES"/>
        </w:rPr>
        <w:t xml:space="preserve"> </w:t>
      </w:r>
      <w:hyperlink r:id="rId17" w:history="1">
        <w:r w:rsidRPr="0022308E">
          <w:rPr>
            <w:rStyle w:val="Hipervnculo"/>
            <w:color w:val="auto"/>
            <w:lang w:val="es-ES"/>
          </w:rPr>
          <w:t>https://archive.org/details/sip-2008a-declaracion-sobre-terapias-de-conversion</w:t>
        </w:r>
      </w:hyperlink>
      <w:r w:rsidRPr="0022308E">
        <w:rPr>
          <w:lang w:val="es-ES"/>
        </w:rPr>
        <w:t xml:space="preserve"> </w:t>
      </w:r>
    </w:p>
    <w:p w14:paraId="06632748" w14:textId="65E5EECD" w:rsidR="003E7F07" w:rsidRPr="0022308E" w:rsidRDefault="003E7F07" w:rsidP="00BE1C24">
      <w:pPr>
        <w:spacing w:line="360" w:lineRule="auto"/>
        <w:ind w:left="720" w:hanging="720"/>
        <w:rPr>
          <w:lang w:val="es-ES"/>
        </w:rPr>
      </w:pPr>
      <w:r w:rsidRPr="0022308E">
        <w:t xml:space="preserve">ISP (2008b). </w:t>
      </w:r>
      <w:r w:rsidRPr="0022308E">
        <w:rPr>
          <w:i/>
        </w:rPr>
        <w:t>Consideraciones Éticas de la SIP</w:t>
      </w:r>
      <w:r w:rsidRPr="0022308E">
        <w:t xml:space="preserve">. </w:t>
      </w:r>
      <w:r w:rsidR="0027197E" w:rsidRPr="0022308E">
        <w:t xml:space="preserve">Internet Archive. </w:t>
      </w:r>
      <w:r w:rsidR="00585C5A" w:rsidRPr="0022308E">
        <w:rPr>
          <w:lang w:val="es-ES"/>
        </w:rPr>
        <w:t xml:space="preserve">Recuperado de </w:t>
      </w:r>
      <w:hyperlink r:id="rId18" w:history="1">
        <w:r w:rsidRPr="0022308E">
          <w:rPr>
            <w:rStyle w:val="Hipervnculo"/>
            <w:color w:val="auto"/>
            <w:lang w:val="es-ES"/>
          </w:rPr>
          <w:t>https://archive.org/details/sip-2008b-declaracion-sobre-principios-eticos</w:t>
        </w:r>
      </w:hyperlink>
      <w:r w:rsidRPr="0022308E">
        <w:rPr>
          <w:lang w:val="es-ES"/>
        </w:rPr>
        <w:t xml:space="preserve"> </w:t>
      </w:r>
    </w:p>
    <w:p w14:paraId="44897583" w14:textId="77777777" w:rsidR="003A6634" w:rsidRDefault="003E7F07" w:rsidP="003A6634">
      <w:pPr>
        <w:spacing w:line="360" w:lineRule="auto"/>
        <w:ind w:left="720" w:hanging="720"/>
        <w:rPr>
          <w:lang w:val="es-ES"/>
        </w:rPr>
      </w:pPr>
      <w:r w:rsidRPr="0022308E">
        <w:t xml:space="preserve">ISP (2014). </w:t>
      </w:r>
      <w:r w:rsidRPr="0022308E">
        <w:rPr>
          <w:i/>
        </w:rPr>
        <w:t>Declaración de la SIP sobre Refugiados menores de edad en tránsito a los Estados Unidos.</w:t>
      </w:r>
      <w:r w:rsidRPr="0022308E">
        <w:t xml:space="preserve"> </w:t>
      </w:r>
      <w:r w:rsidR="0027197E" w:rsidRPr="0022308E">
        <w:t xml:space="preserve">Internet Archive. </w:t>
      </w:r>
      <w:r w:rsidR="00585C5A" w:rsidRPr="0022308E">
        <w:rPr>
          <w:lang w:val="es-ES"/>
        </w:rPr>
        <w:t xml:space="preserve">Recuperado de </w:t>
      </w:r>
      <w:hyperlink r:id="rId19" w:history="1">
        <w:r w:rsidRPr="0022308E">
          <w:rPr>
            <w:rStyle w:val="Hipervnculo"/>
            <w:color w:val="auto"/>
            <w:lang w:val="es-ES"/>
          </w:rPr>
          <w:t>https://archive.org/details/sip-2014-declaracion-sobre-ninos-migrantes-en-centro-america</w:t>
        </w:r>
      </w:hyperlink>
      <w:r w:rsidRPr="0022308E">
        <w:rPr>
          <w:lang w:val="es-ES"/>
        </w:rPr>
        <w:t xml:space="preserve"> </w:t>
      </w:r>
    </w:p>
    <w:p w14:paraId="3D4DDE24" w14:textId="686DFA7B" w:rsidR="003E7F07" w:rsidRPr="0022308E" w:rsidRDefault="003E7F07" w:rsidP="003A6634">
      <w:pPr>
        <w:spacing w:line="360" w:lineRule="auto"/>
        <w:ind w:left="720" w:hanging="720"/>
        <w:rPr>
          <w:lang w:val="es-ES"/>
        </w:rPr>
      </w:pPr>
      <w:r w:rsidRPr="0022308E">
        <w:lastRenderedPageBreak/>
        <w:t xml:space="preserve">ISP (2016). </w:t>
      </w:r>
      <w:r w:rsidRPr="0022308E">
        <w:rPr>
          <w:i/>
        </w:rPr>
        <w:t xml:space="preserve">Declaración de la SIP de apoyo a psicólogas y psicólogos colombianos que promueven los acuerdos de paz. </w:t>
      </w:r>
      <w:r w:rsidR="0027197E" w:rsidRPr="0022308E">
        <w:t xml:space="preserve">Internet Archive. </w:t>
      </w:r>
      <w:r w:rsidR="00585C5A" w:rsidRPr="0022308E">
        <w:rPr>
          <w:lang w:val="es-ES"/>
        </w:rPr>
        <w:t xml:space="preserve">Recuperado de </w:t>
      </w:r>
      <w:hyperlink r:id="rId20" w:history="1">
        <w:r w:rsidRPr="0022308E">
          <w:rPr>
            <w:rStyle w:val="Hipervnculo"/>
            <w:color w:val="auto"/>
            <w:lang w:val="es-ES"/>
          </w:rPr>
          <w:t>https://archive.org/details/sip-2016-declaracion-apoyo-a-acuerdos-de-paz-en-colombia</w:t>
        </w:r>
      </w:hyperlink>
      <w:r w:rsidRPr="0022308E">
        <w:rPr>
          <w:lang w:val="es-ES"/>
        </w:rPr>
        <w:t xml:space="preserve"> </w:t>
      </w:r>
    </w:p>
    <w:p w14:paraId="6F4FD51B" w14:textId="7D27CF12" w:rsidR="003E7F07" w:rsidRPr="0022308E" w:rsidRDefault="003E7F07" w:rsidP="00294F2F">
      <w:pPr>
        <w:spacing w:line="360" w:lineRule="auto"/>
        <w:ind w:left="720" w:hanging="720"/>
        <w:rPr>
          <w:lang w:val="es-ES"/>
        </w:rPr>
      </w:pPr>
      <w:proofErr w:type="gramStart"/>
      <w:r w:rsidRPr="0022308E">
        <w:rPr>
          <w:lang w:val="en-US"/>
        </w:rPr>
        <w:t>ISP (2018).</w:t>
      </w:r>
      <w:proofErr w:type="gramEnd"/>
      <w:r w:rsidRPr="0022308E">
        <w:rPr>
          <w:lang w:val="en-US"/>
        </w:rPr>
        <w:t xml:space="preserve"> </w:t>
      </w:r>
      <w:proofErr w:type="gramStart"/>
      <w:r w:rsidRPr="0022308E">
        <w:rPr>
          <w:i/>
          <w:lang w:val="en-US"/>
        </w:rPr>
        <w:t>Position Statement of the Inter-American Psychological Society (SIP).</w:t>
      </w:r>
      <w:proofErr w:type="gramEnd"/>
      <w:r w:rsidRPr="0022308E">
        <w:rPr>
          <w:lang w:val="en-US"/>
        </w:rPr>
        <w:t xml:space="preserve"> </w:t>
      </w:r>
      <w:r w:rsidR="0027197E" w:rsidRPr="00D70B4B">
        <w:rPr>
          <w:lang w:val="es-ES"/>
        </w:rPr>
        <w:t xml:space="preserve">Internet Archive. </w:t>
      </w:r>
      <w:r w:rsidR="00585C5A" w:rsidRPr="0022308E">
        <w:rPr>
          <w:lang w:val="es-ES"/>
        </w:rPr>
        <w:t>Recuperado de</w:t>
      </w:r>
      <w:r w:rsidRPr="0022308E">
        <w:rPr>
          <w:lang w:val="es-ES"/>
        </w:rPr>
        <w:t xml:space="preserve"> </w:t>
      </w:r>
      <w:hyperlink r:id="rId21" w:history="1">
        <w:r w:rsidRPr="0022308E">
          <w:rPr>
            <w:rStyle w:val="Hipervnculo"/>
            <w:color w:val="auto"/>
            <w:lang w:val="es-ES"/>
          </w:rPr>
          <w:t>https://archive.org/details/sip-2018-position-statement-on-immigration</w:t>
        </w:r>
      </w:hyperlink>
      <w:r w:rsidRPr="0022308E">
        <w:rPr>
          <w:lang w:val="es-ES"/>
        </w:rPr>
        <w:t xml:space="preserve"> </w:t>
      </w:r>
    </w:p>
    <w:p w14:paraId="64AF5854" w14:textId="6EB34CA3" w:rsidR="003E7F07" w:rsidRPr="0022308E" w:rsidRDefault="003E7F07" w:rsidP="00294F2F">
      <w:pPr>
        <w:spacing w:line="360" w:lineRule="auto"/>
        <w:ind w:left="720" w:hanging="720"/>
        <w:rPr>
          <w:lang w:val="es-ES"/>
        </w:rPr>
      </w:pPr>
      <w:r w:rsidRPr="0022308E">
        <w:t xml:space="preserve">ISP (2019). </w:t>
      </w:r>
      <w:r w:rsidRPr="0022308E">
        <w:rPr>
          <w:i/>
        </w:rPr>
        <w:t>Declaración de la SIP sobre experticia de psicólogas y psicólogos en el campo de la salud mental y las ciencias del comportamiento.</w:t>
      </w:r>
      <w:r w:rsidRPr="0022308E">
        <w:t xml:space="preserve"> </w:t>
      </w:r>
      <w:r w:rsidR="00EE7AB1" w:rsidRPr="0022308E">
        <w:t xml:space="preserve">Internet Archive. </w:t>
      </w:r>
      <w:r w:rsidR="00585C5A" w:rsidRPr="0022308E">
        <w:rPr>
          <w:lang w:val="es-ES"/>
        </w:rPr>
        <w:t xml:space="preserve">Recuperado de </w:t>
      </w:r>
      <w:hyperlink r:id="rId22" w:history="1">
        <w:r w:rsidRPr="0022308E">
          <w:rPr>
            <w:rStyle w:val="Hipervnculo"/>
            <w:color w:val="auto"/>
            <w:lang w:val="es-ES"/>
          </w:rPr>
          <w:t>https://archive.org/details/sip-2019-declaracion-experticia-en-salud-mental</w:t>
        </w:r>
      </w:hyperlink>
      <w:r w:rsidRPr="0022308E">
        <w:rPr>
          <w:lang w:val="es-ES"/>
        </w:rPr>
        <w:t xml:space="preserve"> </w:t>
      </w:r>
    </w:p>
    <w:p w14:paraId="78DA947B" w14:textId="423AC4F7" w:rsidR="005D1A26" w:rsidRPr="0022308E" w:rsidRDefault="005D1A26" w:rsidP="00294F2F">
      <w:pPr>
        <w:spacing w:line="360" w:lineRule="auto"/>
        <w:ind w:left="720" w:hanging="720"/>
        <w:rPr>
          <w:lang w:val="ca"/>
        </w:rPr>
      </w:pPr>
      <w:r w:rsidRPr="0022308E">
        <w:rPr>
          <w:lang w:val="ca"/>
        </w:rPr>
        <w:t>Jianbo, L., Simeng, M., Ying, W., Zhongxiang, C., Jianbo, H., Ning, W., Jiang, W., Hui, D., Tingting, C., Ruiting, L., Huawei, T., Lijun, K., Lihua, Y., Manli, H., Huafen</w:t>
      </w:r>
      <w:r w:rsidR="00153A7F" w:rsidRPr="0022308E">
        <w:rPr>
          <w:lang w:val="ca"/>
        </w:rPr>
        <w:t>, W., Gaohua, W., Zhongchun, L.</w:t>
      </w:r>
      <w:r w:rsidRPr="0022308E">
        <w:rPr>
          <w:lang w:val="ca"/>
        </w:rPr>
        <w:t xml:space="preserve"> &amp; Shaohua, H. (2020). </w:t>
      </w:r>
      <w:r w:rsidRPr="0022308E">
        <w:rPr>
          <w:lang w:val="en-US"/>
        </w:rPr>
        <w:t xml:space="preserve">Factors Associated With Mental Health Outcomes Among Health Care Workers Exposed to Coronavirus Disease 2019. </w:t>
      </w:r>
      <w:r w:rsidRPr="0022308E">
        <w:rPr>
          <w:i/>
          <w:lang w:val="en-US"/>
        </w:rPr>
        <w:t>JAMA network open, 3</w:t>
      </w:r>
      <w:r w:rsidRPr="0022308E">
        <w:rPr>
          <w:lang w:val="en-US"/>
        </w:rPr>
        <w:t>(3),</w:t>
      </w:r>
      <w:r w:rsidR="00153A7F" w:rsidRPr="0022308E">
        <w:rPr>
          <w:lang w:val="en-US"/>
        </w:rPr>
        <w:t xml:space="preserve"> </w:t>
      </w:r>
      <w:r w:rsidRPr="0022308E">
        <w:rPr>
          <w:lang w:val="en-US"/>
        </w:rPr>
        <w:t xml:space="preserve">e203976. </w:t>
      </w:r>
      <w:hyperlink r:id="rId23" w:history="1">
        <w:r w:rsidRPr="0022308E">
          <w:rPr>
            <w:rStyle w:val="Hipervnculo"/>
            <w:color w:val="auto"/>
            <w:lang w:val="en-US"/>
          </w:rPr>
          <w:t>https://doi.org/10.1001/jamanetworkopen.2020.3976</w:t>
        </w:r>
      </w:hyperlink>
    </w:p>
    <w:p w14:paraId="62A85EC3" w14:textId="1FD90FC5" w:rsidR="00FE2A27" w:rsidRPr="0022308E" w:rsidRDefault="00FE2A27" w:rsidP="00BE1C24">
      <w:pPr>
        <w:spacing w:line="360" w:lineRule="auto"/>
        <w:ind w:left="720" w:hanging="720"/>
        <w:rPr>
          <w:lang w:val="en-US"/>
        </w:rPr>
      </w:pPr>
      <w:proofErr w:type="gramStart"/>
      <w:r w:rsidRPr="0022308E">
        <w:rPr>
          <w:lang w:val="en-US"/>
        </w:rPr>
        <w:t>Killgore, W.</w:t>
      </w:r>
      <w:r w:rsidR="00153A7F" w:rsidRPr="0022308E">
        <w:rPr>
          <w:lang w:val="en-US"/>
        </w:rPr>
        <w:t>, Taylor, E. C., Cloonan, S. A.</w:t>
      </w:r>
      <w:r w:rsidRPr="0022308E">
        <w:rPr>
          <w:lang w:val="en-US"/>
        </w:rPr>
        <w:t xml:space="preserve"> &amp; Dailey, N. S. (2020).</w:t>
      </w:r>
      <w:proofErr w:type="gramEnd"/>
      <w:r w:rsidRPr="0022308E">
        <w:rPr>
          <w:lang w:val="en-US"/>
        </w:rPr>
        <w:t xml:space="preserve"> </w:t>
      </w:r>
      <w:proofErr w:type="gramStart"/>
      <w:r w:rsidRPr="0022308E">
        <w:rPr>
          <w:lang w:val="en-US"/>
        </w:rPr>
        <w:t>Psychological resilience during the COVID-19 lockdown.</w:t>
      </w:r>
      <w:proofErr w:type="gramEnd"/>
      <w:r w:rsidRPr="0022308E">
        <w:rPr>
          <w:lang w:val="en-US"/>
        </w:rPr>
        <w:t xml:space="preserve"> </w:t>
      </w:r>
      <w:proofErr w:type="gramStart"/>
      <w:r w:rsidRPr="0022308E">
        <w:rPr>
          <w:i/>
          <w:lang w:val="en-US"/>
        </w:rPr>
        <w:t>Psychiatry research, 291</w:t>
      </w:r>
      <w:r w:rsidRPr="0022308E">
        <w:rPr>
          <w:lang w:val="en-US"/>
        </w:rPr>
        <w:t>, 113216.</w:t>
      </w:r>
      <w:proofErr w:type="gramEnd"/>
      <w:r w:rsidRPr="0022308E">
        <w:rPr>
          <w:lang w:val="en-US"/>
        </w:rPr>
        <w:t xml:space="preserve"> </w:t>
      </w:r>
      <w:hyperlink r:id="rId24" w:history="1">
        <w:r w:rsidRPr="0022308E">
          <w:rPr>
            <w:rStyle w:val="Hipervnculo"/>
            <w:color w:val="auto"/>
            <w:lang w:val="en-US"/>
          </w:rPr>
          <w:t>https://doi.org/10.1016/j.psychres.2020.113216</w:t>
        </w:r>
      </w:hyperlink>
    </w:p>
    <w:p w14:paraId="3CCEEC2A" w14:textId="0814A800" w:rsidR="005D1A26" w:rsidRPr="0022308E" w:rsidRDefault="00153A7F" w:rsidP="00BE1C24">
      <w:pPr>
        <w:spacing w:line="360" w:lineRule="auto"/>
        <w:ind w:left="720" w:hanging="720"/>
        <w:rPr>
          <w:lang w:val="en-US"/>
        </w:rPr>
      </w:pPr>
      <w:proofErr w:type="gramStart"/>
      <w:r w:rsidRPr="0022308E">
        <w:rPr>
          <w:lang w:val="en-US"/>
        </w:rPr>
        <w:t>Kring, A. M.</w:t>
      </w:r>
      <w:r w:rsidR="005D1A26" w:rsidRPr="0022308E">
        <w:rPr>
          <w:lang w:val="en-US"/>
        </w:rPr>
        <w:t xml:space="preserve"> &amp; Gordon, A. H. (1998).</w:t>
      </w:r>
      <w:proofErr w:type="gramEnd"/>
      <w:r w:rsidR="005D1A26" w:rsidRPr="0022308E">
        <w:rPr>
          <w:lang w:val="en-US"/>
        </w:rPr>
        <w:t xml:space="preserve"> Sex differences in emotion: expression, experience, and physiology. </w:t>
      </w:r>
      <w:proofErr w:type="gramStart"/>
      <w:r w:rsidR="005D1A26" w:rsidRPr="0022308E">
        <w:rPr>
          <w:i/>
          <w:lang w:val="en-US"/>
        </w:rPr>
        <w:t>Journal of personality and social psychology, 74</w:t>
      </w:r>
      <w:r w:rsidR="005D1A26" w:rsidRPr="0022308E">
        <w:rPr>
          <w:lang w:val="en-US"/>
        </w:rPr>
        <w:t>(3), 686–703.</w:t>
      </w:r>
      <w:proofErr w:type="gramEnd"/>
      <w:r w:rsidR="005D1A26" w:rsidRPr="0022308E">
        <w:rPr>
          <w:lang w:val="en-US"/>
        </w:rPr>
        <w:t xml:space="preserve"> </w:t>
      </w:r>
      <w:hyperlink r:id="rId25" w:history="1">
        <w:r w:rsidR="00F60CE8" w:rsidRPr="0022308E">
          <w:rPr>
            <w:rStyle w:val="Hipervnculo"/>
            <w:color w:val="auto"/>
            <w:lang w:val="en-US"/>
          </w:rPr>
          <w:t>https://doi.org/10.1037//0022-3514.74.3.686</w:t>
        </w:r>
      </w:hyperlink>
    </w:p>
    <w:p w14:paraId="6946D6FB" w14:textId="64F88D81" w:rsidR="005D1A26" w:rsidRPr="0022308E" w:rsidRDefault="005D1A26" w:rsidP="00BE1C24">
      <w:pPr>
        <w:spacing w:line="360" w:lineRule="auto"/>
        <w:ind w:left="720" w:hanging="720"/>
        <w:rPr>
          <w:u w:val="single"/>
          <w:lang w:val="es-ES"/>
        </w:rPr>
      </w:pPr>
      <w:r w:rsidRPr="0022308E">
        <w:rPr>
          <w:lang w:val="en-US"/>
        </w:rPr>
        <w:t xml:space="preserve">Lai, J., Ma, S., Wang, Y., </w:t>
      </w:r>
      <w:proofErr w:type="gramStart"/>
      <w:r w:rsidRPr="0022308E">
        <w:rPr>
          <w:lang w:val="en-US"/>
        </w:rPr>
        <w:t>Cai</w:t>
      </w:r>
      <w:proofErr w:type="gramEnd"/>
      <w:r w:rsidRPr="0022308E">
        <w:rPr>
          <w:lang w:val="en-US"/>
        </w:rPr>
        <w:t xml:space="preserve">, Z., Hu, J., Wei, N., Wu, J., Du, H., Chen, T., Li, R., Tan, H., Kang, L., Yao, L., Huang, </w:t>
      </w:r>
      <w:r w:rsidR="00153A7F" w:rsidRPr="0022308E">
        <w:rPr>
          <w:lang w:val="en-US"/>
        </w:rPr>
        <w:t>M., Wang, H., Wang, G., Liu, Z.</w:t>
      </w:r>
      <w:r w:rsidRPr="0022308E">
        <w:rPr>
          <w:lang w:val="en-US"/>
        </w:rPr>
        <w:t xml:space="preserve"> &amp; Hu, S. (2020). Factors Associated With Mental Health Outcomes Among Health Care Workers Exposed to Coronavirus Disease 2019. </w:t>
      </w:r>
      <w:r w:rsidRPr="0022308E">
        <w:rPr>
          <w:i/>
          <w:lang w:val="es-ES"/>
        </w:rPr>
        <w:t>JAMA network open, 3</w:t>
      </w:r>
      <w:r w:rsidRPr="0022308E">
        <w:rPr>
          <w:lang w:val="es-ES"/>
        </w:rPr>
        <w:t>(3),</w:t>
      </w:r>
      <w:r w:rsidR="00153A7F" w:rsidRPr="0022308E">
        <w:rPr>
          <w:lang w:val="es-ES"/>
        </w:rPr>
        <w:t xml:space="preserve"> </w:t>
      </w:r>
      <w:r w:rsidRPr="0022308E">
        <w:rPr>
          <w:lang w:val="es-ES"/>
        </w:rPr>
        <w:t xml:space="preserve">e203976. </w:t>
      </w:r>
      <w:r w:rsidRPr="0022308E">
        <w:rPr>
          <w:u w:val="single"/>
          <w:lang w:val="es-ES"/>
        </w:rPr>
        <w:t>https://doi.org/10.1001/jamanetworkopen.2020.3976</w:t>
      </w:r>
    </w:p>
    <w:p w14:paraId="3F42F92C" w14:textId="2D9AFAFE" w:rsidR="005D1A26" w:rsidRPr="0022308E" w:rsidRDefault="005D1A26" w:rsidP="00BE1C24">
      <w:pPr>
        <w:spacing w:line="360" w:lineRule="auto"/>
        <w:ind w:left="720" w:hanging="720"/>
        <w:rPr>
          <w:lang w:val="es-ES"/>
        </w:rPr>
      </w:pPr>
      <w:r w:rsidRPr="0022308E">
        <w:rPr>
          <w:lang w:val="es-ES"/>
        </w:rPr>
        <w:t xml:space="preserve">Ministerio de Sanidad, Consumo y Bienestar Social de España. </w:t>
      </w:r>
      <w:r w:rsidRPr="0022308E">
        <w:rPr>
          <w:i/>
          <w:lang w:val="es-ES"/>
        </w:rPr>
        <w:t>Actualización no 176. Enfermedad por el coronavirus (COVID-19); 2020</w:t>
      </w:r>
      <w:r w:rsidRPr="0022308E">
        <w:rPr>
          <w:lang w:val="es-ES"/>
        </w:rPr>
        <w:t xml:space="preserve"> </w:t>
      </w:r>
      <w:r w:rsidR="00EE7AB1" w:rsidRPr="0022308E">
        <w:rPr>
          <w:lang w:val="es-ES"/>
        </w:rPr>
        <w:t xml:space="preserve">[Archivo PDF]. Ministerio de Sanidad, Consumo y Bienestar Social de España. </w:t>
      </w:r>
      <w:r w:rsidRPr="0022308E">
        <w:rPr>
          <w:lang w:val="es-ES"/>
        </w:rPr>
        <w:t xml:space="preserve">Recuperado de: </w:t>
      </w:r>
      <w:hyperlink r:id="rId26" w:history="1">
        <w:r w:rsidRPr="0022308E">
          <w:rPr>
            <w:rStyle w:val="Hipervnculo"/>
            <w:color w:val="auto"/>
            <w:lang w:val="es-ES"/>
          </w:rPr>
          <w:t>https://www.mscbs.gob.es/profesionales/saludPublica/ccayes/alertasActual/nCov-China/documentos/Actualizacion_176_COVID-19.pdf</w:t>
        </w:r>
      </w:hyperlink>
    </w:p>
    <w:p w14:paraId="67F45EE3" w14:textId="3C01E9EF" w:rsidR="005D1A26" w:rsidRPr="0022308E" w:rsidRDefault="005D1A26" w:rsidP="00BE1C24">
      <w:pPr>
        <w:spacing w:line="360" w:lineRule="auto"/>
        <w:ind w:left="720" w:hanging="720"/>
        <w:rPr>
          <w:lang w:val="es-ES"/>
        </w:rPr>
      </w:pPr>
      <w:r w:rsidRPr="0022308E">
        <w:rPr>
          <w:lang w:val="es-ES"/>
        </w:rPr>
        <w:lastRenderedPageBreak/>
        <w:t xml:space="preserve">Ozamiz-Etxebarria, N., Dosil-Santamaria, M., Picaza-Gorrochategui, M., &amp; Idoiaga-Mondragon, N. (2020). </w:t>
      </w:r>
      <w:r w:rsidRPr="0022308E">
        <w:rPr>
          <w:lang w:val="en-US"/>
        </w:rPr>
        <w:t xml:space="preserve">Stress, anxiety, and depression levels in the initial stage of the COVID-19 outbreak in a population sample in the northern Spain. </w:t>
      </w:r>
      <w:r w:rsidRPr="0022308E">
        <w:rPr>
          <w:lang w:val="es-ES"/>
        </w:rPr>
        <w:t xml:space="preserve">Niveles de estrés, ansiedad y depresión en la primera fase del brote del COVID-19 en una muestra recogida en el norte de España. </w:t>
      </w:r>
      <w:r w:rsidRPr="0022308E">
        <w:rPr>
          <w:i/>
          <w:lang w:val="es-ES"/>
        </w:rPr>
        <w:t>Cadernos de saude publica, 36</w:t>
      </w:r>
      <w:r w:rsidRPr="0022308E">
        <w:rPr>
          <w:lang w:val="es-ES"/>
        </w:rPr>
        <w:t>(4),</w:t>
      </w:r>
      <w:r w:rsidR="00153A7F" w:rsidRPr="0022308E">
        <w:rPr>
          <w:lang w:val="es-ES"/>
        </w:rPr>
        <w:t xml:space="preserve"> </w:t>
      </w:r>
      <w:r w:rsidRPr="0022308E">
        <w:rPr>
          <w:lang w:val="es-ES"/>
        </w:rPr>
        <w:t xml:space="preserve">e00054020. </w:t>
      </w:r>
      <w:hyperlink r:id="rId27" w:history="1">
        <w:r w:rsidRPr="0022308E">
          <w:rPr>
            <w:rStyle w:val="Hipervnculo"/>
            <w:color w:val="auto"/>
            <w:lang w:val="es-ES"/>
          </w:rPr>
          <w:t>https://doi.org/10.1590/0102-311X00054020</w:t>
        </w:r>
      </w:hyperlink>
    </w:p>
    <w:p w14:paraId="2091904C" w14:textId="47615123" w:rsidR="005D1A26" w:rsidRPr="0022308E" w:rsidRDefault="00153A7F" w:rsidP="00BE1C24">
      <w:pPr>
        <w:spacing w:line="360" w:lineRule="auto"/>
        <w:ind w:left="720" w:hanging="720"/>
        <w:rPr>
          <w:lang w:val="es-ES"/>
        </w:rPr>
      </w:pPr>
      <w:r w:rsidRPr="0022308E">
        <w:rPr>
          <w:lang w:val="es-ES"/>
        </w:rPr>
        <w:t>Parrado-González, A.</w:t>
      </w:r>
      <w:r w:rsidR="005D1A26" w:rsidRPr="0022308E">
        <w:rPr>
          <w:lang w:val="es-ES"/>
        </w:rPr>
        <w:t xml:space="preserve"> &amp; León-Jariego, J. C. (2020). COVID-19: Factores asociados al malestar emocional y morbilidad psíquica en población española [Covid-19: factors associated with emotional distress and psychological morbidity in spanish population.]. </w:t>
      </w:r>
      <w:r w:rsidR="005D1A26" w:rsidRPr="0022308E">
        <w:rPr>
          <w:i/>
          <w:lang w:val="es-ES"/>
        </w:rPr>
        <w:t xml:space="preserve">Revista </w:t>
      </w:r>
      <w:r w:rsidRPr="0022308E">
        <w:rPr>
          <w:i/>
          <w:lang w:val="es-ES"/>
        </w:rPr>
        <w:t>española</w:t>
      </w:r>
      <w:r w:rsidR="005D1A26" w:rsidRPr="0022308E">
        <w:rPr>
          <w:i/>
          <w:lang w:val="es-ES"/>
        </w:rPr>
        <w:t xml:space="preserve"> de salud </w:t>
      </w:r>
      <w:r w:rsidRPr="0022308E">
        <w:rPr>
          <w:i/>
          <w:lang w:val="es-ES"/>
        </w:rPr>
        <w:t>pública</w:t>
      </w:r>
      <w:r w:rsidR="005D1A26" w:rsidRPr="0022308E">
        <w:rPr>
          <w:i/>
          <w:lang w:val="es-ES"/>
        </w:rPr>
        <w:t>, 94</w:t>
      </w:r>
      <w:r w:rsidRPr="0022308E">
        <w:rPr>
          <w:lang w:val="es-ES"/>
        </w:rPr>
        <w:t>, 1-16</w:t>
      </w:r>
      <w:r w:rsidR="005D1A26" w:rsidRPr="0022308E">
        <w:rPr>
          <w:lang w:val="es-ES"/>
        </w:rPr>
        <w:t>.</w:t>
      </w:r>
    </w:p>
    <w:p w14:paraId="59D2ABEC" w14:textId="4AD82E34" w:rsidR="00FE2A27" w:rsidRPr="0022308E" w:rsidRDefault="00FE2A27" w:rsidP="00BE1C24">
      <w:pPr>
        <w:spacing w:line="360" w:lineRule="auto"/>
        <w:ind w:left="720" w:hanging="720"/>
        <w:rPr>
          <w:lang w:val="en-US"/>
        </w:rPr>
      </w:pPr>
      <w:r w:rsidRPr="00D70B4B">
        <w:rPr>
          <w:lang w:val="es-ES"/>
        </w:rPr>
        <w:t>Sameer,</w:t>
      </w:r>
      <w:r w:rsidR="00153A7F" w:rsidRPr="00D70B4B">
        <w:rPr>
          <w:lang w:val="es-ES"/>
        </w:rPr>
        <w:t xml:space="preserve"> A. S., Khan, M. A., Nissar, S.</w:t>
      </w:r>
      <w:r w:rsidRPr="00D70B4B">
        <w:rPr>
          <w:lang w:val="es-ES"/>
        </w:rPr>
        <w:t xml:space="preserve"> &amp; Banday, M. Z. (2020). </w:t>
      </w:r>
      <w:r w:rsidRPr="0022308E">
        <w:rPr>
          <w:lang w:val="en-US"/>
        </w:rPr>
        <w:t xml:space="preserve">Assessment of Mental Health and Various Coping Strategies among general population living Under Imposed COVID-Lockdown Across world: A Cross-Sectional Study. </w:t>
      </w:r>
      <w:proofErr w:type="gramStart"/>
      <w:r w:rsidRPr="0022308E">
        <w:rPr>
          <w:i/>
          <w:lang w:val="en-US"/>
        </w:rPr>
        <w:t>Ethics, medicine, and public health, 15</w:t>
      </w:r>
      <w:r w:rsidRPr="0022308E">
        <w:rPr>
          <w:lang w:val="en-US"/>
        </w:rPr>
        <w:t>, 100571.</w:t>
      </w:r>
      <w:proofErr w:type="gramEnd"/>
      <w:r w:rsidRPr="0022308E">
        <w:rPr>
          <w:lang w:val="en-US"/>
        </w:rPr>
        <w:t xml:space="preserve"> </w:t>
      </w:r>
      <w:hyperlink r:id="rId28" w:history="1">
        <w:r w:rsidRPr="0022308E">
          <w:rPr>
            <w:rStyle w:val="Hipervnculo"/>
            <w:color w:val="auto"/>
            <w:lang w:val="en-US"/>
          </w:rPr>
          <w:t>https://doi.org/10.1016/j.jemep.2020.100571</w:t>
        </w:r>
      </w:hyperlink>
    </w:p>
    <w:p w14:paraId="0B596CC9" w14:textId="48B69B8D" w:rsidR="005D1A26" w:rsidRPr="0022308E" w:rsidRDefault="00153A7F" w:rsidP="00BE1C24">
      <w:pPr>
        <w:spacing w:line="360" w:lineRule="auto"/>
        <w:ind w:left="720" w:hanging="720"/>
        <w:rPr>
          <w:lang w:val="es-ES"/>
        </w:rPr>
      </w:pPr>
      <w:r w:rsidRPr="0022308E">
        <w:rPr>
          <w:lang w:val="es-ES"/>
        </w:rPr>
        <w:t>Sánchez-Teruel, D.</w:t>
      </w:r>
      <w:r w:rsidR="005D1A26" w:rsidRPr="0022308E">
        <w:rPr>
          <w:lang w:val="es-ES"/>
        </w:rPr>
        <w:t xml:space="preserve"> &amp; Robles-Bello, M.A. (2015). Escala de Resiliencia 14 ítems (RS-14): Propiedades Psicométricas de la Versión en Español. </w:t>
      </w:r>
      <w:r w:rsidR="005D1A26" w:rsidRPr="0022308E">
        <w:rPr>
          <w:i/>
          <w:lang w:val="es-ES"/>
        </w:rPr>
        <w:t>Revista Iberoamericana de Diagnóstico y Evaluación (RIDEP), 40</w:t>
      </w:r>
      <w:r w:rsidR="005D1A26" w:rsidRPr="0022308E">
        <w:rPr>
          <w:lang w:val="es-ES"/>
        </w:rPr>
        <w:t>(2),</w:t>
      </w:r>
      <w:r w:rsidRPr="0022308E">
        <w:rPr>
          <w:lang w:val="es-ES"/>
        </w:rPr>
        <w:t xml:space="preserve"> </w:t>
      </w:r>
      <w:r w:rsidR="005D1A26" w:rsidRPr="0022308E">
        <w:rPr>
          <w:lang w:val="es-ES"/>
        </w:rPr>
        <w:t>103-113.</w:t>
      </w:r>
    </w:p>
    <w:p w14:paraId="6F447EAA" w14:textId="1ADF136A" w:rsidR="00F60CE8" w:rsidRPr="0022308E" w:rsidRDefault="005D1A26" w:rsidP="00BE1C24">
      <w:pPr>
        <w:spacing w:line="360" w:lineRule="auto"/>
        <w:ind w:left="720" w:hanging="720"/>
        <w:rPr>
          <w:lang w:val="es-ES"/>
        </w:rPr>
      </w:pPr>
      <w:r w:rsidRPr="0022308E">
        <w:rPr>
          <w:lang w:val="es-ES"/>
        </w:rPr>
        <w:t>Sandín, B., Vali</w:t>
      </w:r>
      <w:r w:rsidR="00153A7F" w:rsidRPr="0022308E">
        <w:rPr>
          <w:lang w:val="es-ES"/>
        </w:rPr>
        <w:t>ente, R.M., García-Escalera, J.</w:t>
      </w:r>
      <w:r w:rsidRPr="0022308E">
        <w:rPr>
          <w:lang w:val="es-ES"/>
        </w:rPr>
        <w:t xml:space="preserve"> &amp; Chorot, P. (2020). Impacto psicológico de la pandemia de COVID-19: Efectos negativos y positivos en población española asociados al periodo de confinamiento nacional. </w:t>
      </w:r>
      <w:r w:rsidRPr="0022308E">
        <w:rPr>
          <w:i/>
          <w:lang w:val="es-ES"/>
        </w:rPr>
        <w:t>Revista de Psicopatología y Psicología Clínica, 25(1</w:t>
      </w:r>
      <w:r w:rsidRPr="0022308E">
        <w:rPr>
          <w:lang w:val="es-ES"/>
        </w:rPr>
        <w:t>),</w:t>
      </w:r>
      <w:r w:rsidR="00153A7F" w:rsidRPr="0022308E">
        <w:rPr>
          <w:lang w:val="es-ES"/>
        </w:rPr>
        <w:t xml:space="preserve"> </w:t>
      </w:r>
      <w:r w:rsidRPr="0022308E">
        <w:rPr>
          <w:lang w:val="es-ES"/>
        </w:rPr>
        <w:t xml:space="preserve">1-22. </w:t>
      </w:r>
      <w:hyperlink r:id="rId29" w:history="1">
        <w:r w:rsidR="00F60CE8" w:rsidRPr="0022308E">
          <w:rPr>
            <w:rStyle w:val="Hipervnculo"/>
            <w:color w:val="auto"/>
            <w:lang w:val="es-ES"/>
          </w:rPr>
          <w:t>https://doi.org/10.5944/rppc.27569</w:t>
        </w:r>
      </w:hyperlink>
    </w:p>
    <w:p w14:paraId="08DC91B2" w14:textId="33A9FF72" w:rsidR="003E7F07" w:rsidRPr="00D70B4B" w:rsidRDefault="003E7F07" w:rsidP="00BE1C24">
      <w:pPr>
        <w:spacing w:line="360" w:lineRule="auto"/>
        <w:ind w:left="720" w:hanging="720"/>
        <w:rPr>
          <w:u w:val="single"/>
          <w:lang w:val="es-ES"/>
        </w:rPr>
      </w:pPr>
      <w:proofErr w:type="gramStart"/>
      <w:r w:rsidRPr="0022308E">
        <w:rPr>
          <w:lang w:val="en-US"/>
        </w:rPr>
        <w:t>Schmidt, S., Vilagut, G., Garin, O., Cunillera, O., Tresserras, R., Brugulat, P., Momp</w:t>
      </w:r>
      <w:r w:rsidR="006C747D" w:rsidRPr="0022308E">
        <w:rPr>
          <w:lang w:val="en-US"/>
        </w:rPr>
        <w:t>art, A., Medina, A., Ferrer, M.</w:t>
      </w:r>
      <w:r w:rsidRPr="0022308E">
        <w:rPr>
          <w:lang w:val="en-US"/>
        </w:rPr>
        <w:t xml:space="preserve"> &amp; Alonso, J. (2012).</w:t>
      </w:r>
      <w:proofErr w:type="gramEnd"/>
      <w:r w:rsidRPr="0022308E">
        <w:rPr>
          <w:lang w:val="en-US"/>
        </w:rPr>
        <w:t xml:space="preserve"> </w:t>
      </w:r>
      <w:r w:rsidRPr="0022308E">
        <w:rPr>
          <w:lang w:val="es-ES"/>
        </w:rPr>
        <w:t xml:space="preserve">Normas de referencia para el Cuestionario de Salud SF-12 versión 2 basadas en población general de Cataluña [Reference guidelines for the 12-Item Short-Form Health Survey version 2 based on the Catalan general population]. </w:t>
      </w:r>
      <w:r w:rsidRPr="00D70B4B">
        <w:rPr>
          <w:i/>
          <w:lang w:val="es-ES"/>
        </w:rPr>
        <w:t>Medi</w:t>
      </w:r>
      <w:r w:rsidR="00294F2F" w:rsidRPr="00D70B4B">
        <w:rPr>
          <w:i/>
          <w:lang w:val="es-ES"/>
        </w:rPr>
        <w:t>cina clinica, 139</w:t>
      </w:r>
      <w:r w:rsidR="00294F2F" w:rsidRPr="00D70B4B">
        <w:rPr>
          <w:lang w:val="es-ES"/>
        </w:rPr>
        <w:t xml:space="preserve">(14), 613–625. </w:t>
      </w:r>
      <w:r w:rsidRPr="00D70B4B">
        <w:rPr>
          <w:u w:val="single"/>
          <w:lang w:val="es-ES"/>
        </w:rPr>
        <w:t>https://doi.org/10.1016/j.medcli.2011.10.024</w:t>
      </w:r>
    </w:p>
    <w:p w14:paraId="48EE5F29" w14:textId="649BCF35" w:rsidR="00F60CE8" w:rsidRPr="0022308E" w:rsidRDefault="00294F2F" w:rsidP="00BE1C24">
      <w:pPr>
        <w:spacing w:line="360" w:lineRule="auto"/>
        <w:ind w:left="720" w:hanging="720"/>
        <w:rPr>
          <w:lang w:val="en-US"/>
        </w:rPr>
      </w:pPr>
      <w:r w:rsidRPr="0022308E">
        <w:rPr>
          <w:lang w:val="es-ES"/>
        </w:rPr>
        <w:t xml:space="preserve">Seçer İ., Ulaş S. &amp; </w:t>
      </w:r>
      <w:r w:rsidR="00F60CE8" w:rsidRPr="0022308E">
        <w:rPr>
          <w:lang w:val="es-ES"/>
        </w:rPr>
        <w:t xml:space="preserve">Karaman-Özlü Z. (2020). </w:t>
      </w:r>
      <w:r w:rsidR="00F60CE8" w:rsidRPr="0022308E">
        <w:rPr>
          <w:lang w:val="en-US"/>
        </w:rPr>
        <w:t xml:space="preserve">The Effect of the Fear of COVID-19 on Healthcare Professionals' Psychological Adjustment Skills: Mediating Role of Experiential Avoidance and Psychological Resilience. </w:t>
      </w:r>
      <w:r w:rsidR="00F60CE8" w:rsidRPr="0022308E">
        <w:rPr>
          <w:i/>
          <w:lang w:val="en-US"/>
        </w:rPr>
        <w:t>Front Psychol, 11</w:t>
      </w:r>
      <w:r w:rsidR="00F60CE8" w:rsidRPr="0022308E">
        <w:rPr>
          <w:lang w:val="en-US"/>
        </w:rPr>
        <w:t xml:space="preserve">, 561536. </w:t>
      </w:r>
      <w:hyperlink r:id="rId30" w:history="1">
        <w:r w:rsidR="00F60CE8" w:rsidRPr="0022308E">
          <w:rPr>
            <w:rStyle w:val="Hipervnculo"/>
            <w:color w:val="auto"/>
            <w:lang w:val="en-US"/>
          </w:rPr>
          <w:t>https://doi.org/10.3389/fpsyg.2020.561536</w:t>
        </w:r>
      </w:hyperlink>
      <w:r w:rsidR="00F60CE8" w:rsidRPr="0022308E">
        <w:rPr>
          <w:lang w:val="en-US"/>
        </w:rPr>
        <w:t xml:space="preserve">. </w:t>
      </w:r>
    </w:p>
    <w:p w14:paraId="613F3E71" w14:textId="082BB5D9" w:rsidR="005D1A26" w:rsidRPr="0022308E" w:rsidRDefault="00294F2F" w:rsidP="00BE1C24">
      <w:pPr>
        <w:spacing w:line="360" w:lineRule="auto"/>
        <w:ind w:left="720" w:hanging="720"/>
        <w:rPr>
          <w:lang w:val="en-US"/>
        </w:rPr>
      </w:pPr>
      <w:proofErr w:type="gramStart"/>
      <w:r w:rsidRPr="0022308E">
        <w:rPr>
          <w:lang w:val="en-US"/>
        </w:rPr>
        <w:lastRenderedPageBreak/>
        <w:t>Tamres, L.K., Janicki, D.</w:t>
      </w:r>
      <w:r w:rsidR="005D1A26" w:rsidRPr="0022308E">
        <w:rPr>
          <w:lang w:val="en-US"/>
        </w:rPr>
        <w:t xml:space="preserve"> &amp; Helgeson, V.S. (2002).</w:t>
      </w:r>
      <w:proofErr w:type="gramEnd"/>
      <w:r w:rsidR="005D1A26" w:rsidRPr="0022308E">
        <w:rPr>
          <w:lang w:val="en-US"/>
        </w:rPr>
        <w:t xml:space="preserve"> Sex differences in coping behavior: A meta-analytic review and an examination of relative coping. </w:t>
      </w:r>
      <w:r w:rsidR="005D1A26" w:rsidRPr="0022308E">
        <w:rPr>
          <w:i/>
          <w:lang w:val="en-US"/>
        </w:rPr>
        <w:t>Personality and Social</w:t>
      </w:r>
      <w:r w:rsidRPr="0022308E">
        <w:rPr>
          <w:i/>
          <w:lang w:val="en-US"/>
        </w:rPr>
        <w:t xml:space="preserve"> Psychology Review, 6</w:t>
      </w:r>
      <w:r w:rsidRPr="0022308E">
        <w:rPr>
          <w:lang w:val="en-US"/>
        </w:rPr>
        <w:t xml:space="preserve">(1), </w:t>
      </w:r>
      <w:r w:rsidR="005D1A26" w:rsidRPr="0022308E">
        <w:rPr>
          <w:lang w:val="en-US"/>
        </w:rPr>
        <w:t>2-30. https://doi.org/10.1207/S15327957PSPR0601_1</w:t>
      </w:r>
    </w:p>
    <w:p w14:paraId="5CA55FC8" w14:textId="53764F8E" w:rsidR="00CE7D65" w:rsidRPr="0022308E" w:rsidRDefault="005D1A26" w:rsidP="00BE1C24">
      <w:pPr>
        <w:spacing w:line="360" w:lineRule="auto"/>
        <w:ind w:left="720" w:hanging="720"/>
        <w:rPr>
          <w:lang w:val="en-US"/>
        </w:rPr>
      </w:pPr>
      <w:r w:rsidRPr="0022308E">
        <w:rPr>
          <w:lang w:val="en-US"/>
        </w:rPr>
        <w:t>Wang, H., Xia, Q., Xiong, Z., Li, Z</w:t>
      </w:r>
      <w:r w:rsidR="00294F2F" w:rsidRPr="0022308E">
        <w:rPr>
          <w:lang w:val="en-US"/>
        </w:rPr>
        <w:t>., Xiang, W., Yuan, Y., Liu, Y.</w:t>
      </w:r>
      <w:r w:rsidRPr="0022308E">
        <w:rPr>
          <w:lang w:val="en-US"/>
        </w:rPr>
        <w:t xml:space="preserve"> &amp; Li, Z. (2020). The psychological distress and coping styles in the early stages of the 2019 coronavirus disease (COVID-19) epidemic in the general mainland Chinese population: A web-based survey. </w:t>
      </w:r>
      <w:proofErr w:type="gramStart"/>
      <w:r w:rsidRPr="0022308E">
        <w:rPr>
          <w:i/>
          <w:lang w:val="en-US"/>
        </w:rPr>
        <w:t>PloS one, 15</w:t>
      </w:r>
      <w:r w:rsidRPr="0022308E">
        <w:rPr>
          <w:lang w:val="en-US"/>
        </w:rPr>
        <w:t xml:space="preserve">(5), </w:t>
      </w:r>
      <w:r w:rsidR="00294F2F" w:rsidRPr="0022308E">
        <w:rPr>
          <w:lang w:val="en-US"/>
        </w:rPr>
        <w:t>1-10</w:t>
      </w:r>
      <w:r w:rsidRPr="0022308E">
        <w:rPr>
          <w:lang w:val="en-US"/>
        </w:rPr>
        <w:t>.</w:t>
      </w:r>
      <w:proofErr w:type="gramEnd"/>
      <w:r w:rsidRPr="0022308E">
        <w:rPr>
          <w:lang w:val="en-US"/>
        </w:rPr>
        <w:t xml:space="preserve"> </w:t>
      </w:r>
      <w:hyperlink r:id="rId31" w:history="1">
        <w:r w:rsidR="0037429C" w:rsidRPr="0022308E">
          <w:rPr>
            <w:rStyle w:val="Hipervnculo"/>
            <w:color w:val="auto"/>
            <w:lang w:val="en-US"/>
          </w:rPr>
          <w:t>https://doi.org/10.1371/journal.pone.0233410</w:t>
        </w:r>
      </w:hyperlink>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2E2DA350" w14:textId="5F12ACD0" w:rsidR="002B644E" w:rsidRPr="00916D95" w:rsidRDefault="00594317" w:rsidP="00916D95">
      <w:pPr>
        <w:shd w:val="clear" w:color="auto" w:fill="FFFFFF"/>
        <w:jc w:val="right"/>
        <w:rPr>
          <w:i/>
          <w:sz w:val="28"/>
          <w:szCs w:val="28"/>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sectPr w:rsidR="002B644E" w:rsidRPr="00916D95" w:rsidSect="00BE1C24">
      <w:headerReference w:type="even" r:id="rId32"/>
      <w:headerReference w:type="default" r:id="rId33"/>
      <w:footerReference w:type="even" r:id="rId34"/>
      <w:footerReference w:type="default" r:id="rId35"/>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BF2EC" w14:textId="77777777" w:rsidR="00653A5F" w:rsidRDefault="00653A5F" w:rsidP="00C413D4">
      <w:r>
        <w:separator/>
      </w:r>
    </w:p>
  </w:endnote>
  <w:endnote w:type="continuationSeparator" w:id="0">
    <w:p w14:paraId="5BCFF52B" w14:textId="77777777" w:rsidR="00653A5F" w:rsidRDefault="00653A5F"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panose1 w:val="00000000000000000000"/>
    <w:charset w:val="0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5582DA93" w:rsidR="00191AB2" w:rsidRDefault="00191AB2"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3A6634">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7A222F7A" w14:textId="77777777" w:rsidR="00191AB2" w:rsidRDefault="00191A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2B3FB5DD" w:rsidR="00191AB2" w:rsidRDefault="00191AB2"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3A6634">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E421D5C" w14:textId="77777777" w:rsidR="00191AB2" w:rsidRDefault="00191A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A9579" w14:textId="77777777" w:rsidR="00653A5F" w:rsidRDefault="00653A5F" w:rsidP="00C413D4">
      <w:r>
        <w:separator/>
      </w:r>
    </w:p>
  </w:footnote>
  <w:footnote w:type="continuationSeparator" w:id="0">
    <w:p w14:paraId="7C2FDF8E" w14:textId="77777777" w:rsidR="00653A5F" w:rsidRDefault="00653A5F" w:rsidP="00C4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20193" w14:textId="23941C5B" w:rsidR="00191AB2" w:rsidRPr="00B02133" w:rsidRDefault="00191AB2" w:rsidP="0059034C">
    <w:pPr>
      <w:pStyle w:val="Encabezado"/>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90CEF" w14:textId="72EAA935" w:rsidR="00191AB2" w:rsidRPr="0037429C" w:rsidRDefault="00191AB2"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 xml:space="preserve">Revista Interamericana de Psicología / </w:t>
    </w:r>
    <w:r w:rsidRPr="0037429C">
      <w:rPr>
        <w:rFonts w:ascii="Times" w:hAnsi="Times"/>
        <w:b/>
        <w:i/>
        <w:sz w:val="18"/>
        <w:szCs w:val="18"/>
        <w:lang w:val="es-ES"/>
      </w:rPr>
      <w:t>Interamerican Journal of Psychology</w:t>
    </w:r>
  </w:p>
  <w:p w14:paraId="4669E1FB" w14:textId="63BBF008" w:rsidR="00191AB2" w:rsidRPr="0037429C" w:rsidRDefault="00191AB2" w:rsidP="00977250">
    <w:pPr>
      <w:pStyle w:val="Encabezado"/>
      <w:jc w:val="right"/>
    </w:pPr>
    <w:r w:rsidRPr="0037429C">
      <w:rPr>
        <w:rFonts w:ascii="Times" w:hAnsi="Times"/>
        <w:i/>
        <w:sz w:val="18"/>
        <w:szCs w:val="18"/>
      </w:rPr>
      <w:t>Manuscript submission model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36786E"/>
    <w:lvl w:ilvl="0">
      <w:start w:val="1"/>
      <w:numFmt w:val="decimal"/>
      <w:lvlText w:val="%1."/>
      <w:lvlJc w:val="left"/>
      <w:pPr>
        <w:tabs>
          <w:tab w:val="num" w:pos="1492"/>
        </w:tabs>
        <w:ind w:left="1492" w:hanging="360"/>
      </w:pPr>
    </w:lvl>
  </w:abstractNum>
  <w:abstractNum w:abstractNumId="1">
    <w:nsid w:val="FFFFFF7D"/>
    <w:multiLevelType w:val="singleLevel"/>
    <w:tmpl w:val="885EFE12"/>
    <w:lvl w:ilvl="0">
      <w:start w:val="1"/>
      <w:numFmt w:val="decimal"/>
      <w:lvlText w:val="%1."/>
      <w:lvlJc w:val="left"/>
      <w:pPr>
        <w:tabs>
          <w:tab w:val="num" w:pos="1209"/>
        </w:tabs>
        <w:ind w:left="1209" w:hanging="360"/>
      </w:pPr>
    </w:lvl>
  </w:abstractNum>
  <w:abstractNum w:abstractNumId="2">
    <w:nsid w:val="FFFFFF7E"/>
    <w:multiLevelType w:val="singleLevel"/>
    <w:tmpl w:val="E0969C12"/>
    <w:lvl w:ilvl="0">
      <w:start w:val="1"/>
      <w:numFmt w:val="decimal"/>
      <w:lvlText w:val="%1."/>
      <w:lvlJc w:val="left"/>
      <w:pPr>
        <w:tabs>
          <w:tab w:val="num" w:pos="926"/>
        </w:tabs>
        <w:ind w:left="926" w:hanging="360"/>
      </w:pPr>
    </w:lvl>
  </w:abstractNum>
  <w:abstractNum w:abstractNumId="3">
    <w:nsid w:val="FFFFFF7F"/>
    <w:multiLevelType w:val="singleLevel"/>
    <w:tmpl w:val="08807A5A"/>
    <w:lvl w:ilvl="0">
      <w:start w:val="1"/>
      <w:numFmt w:val="decimal"/>
      <w:lvlText w:val="%1."/>
      <w:lvlJc w:val="left"/>
      <w:pPr>
        <w:tabs>
          <w:tab w:val="num" w:pos="643"/>
        </w:tabs>
        <w:ind w:left="643" w:hanging="360"/>
      </w:pPr>
    </w:lvl>
  </w:abstractNum>
  <w:abstractNum w:abstractNumId="4">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F2DA5C"/>
    <w:lvl w:ilvl="0">
      <w:start w:val="1"/>
      <w:numFmt w:val="decimal"/>
      <w:lvlText w:val="%1."/>
      <w:lvlJc w:val="left"/>
      <w:pPr>
        <w:tabs>
          <w:tab w:val="num" w:pos="360"/>
        </w:tabs>
        <w:ind w:left="360" w:hanging="360"/>
      </w:pPr>
    </w:lvl>
  </w:abstractNum>
  <w:abstractNum w:abstractNumId="9">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nsid w:val="28E477A8"/>
    <w:multiLevelType w:val="multilevel"/>
    <w:tmpl w:val="6D70C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6CBB2252"/>
    <w:multiLevelType w:val="multilevel"/>
    <w:tmpl w:val="B732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4">
    <w:nsid w:val="7A184412"/>
    <w:multiLevelType w:val="hybridMultilevel"/>
    <w:tmpl w:val="F8823270"/>
    <w:lvl w:ilvl="0" w:tplc="EBDCF836">
      <w:start w:val="1"/>
      <w:numFmt w:val="decimal"/>
      <w:lvlText w:val="%1."/>
      <w:lvlJc w:val="left"/>
      <w:pPr>
        <w:ind w:left="720" w:hanging="360"/>
      </w:pPr>
      <w:rPr>
        <w:rFonts w:ascii="Times New Roman" w:eastAsia="Times New Roman" w:hAnsi="Times New Roman" w:cs="Times New Roman" w:hint="default"/>
        <w:color w:val="18181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1"/>
  </w:num>
  <w:num w:numId="12">
    <w:abstractNumId w:val="13"/>
  </w:num>
  <w:num w:numId="13">
    <w:abstractNumId w:val="1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CwNDIxsjS3MDSyMLRU0lEKTi0uzszPAykwrAUAUiC8ZiwAAAA="/>
  </w:docVars>
  <w:rsids>
    <w:rsidRoot w:val="00246D04"/>
    <w:rsid w:val="00001B4E"/>
    <w:rsid w:val="00002634"/>
    <w:rsid w:val="000365CA"/>
    <w:rsid w:val="00051744"/>
    <w:rsid w:val="0006616B"/>
    <w:rsid w:val="00076F0A"/>
    <w:rsid w:val="001253E7"/>
    <w:rsid w:val="00125940"/>
    <w:rsid w:val="00127870"/>
    <w:rsid w:val="0013722E"/>
    <w:rsid w:val="001516ED"/>
    <w:rsid w:val="00153A7F"/>
    <w:rsid w:val="00153DC5"/>
    <w:rsid w:val="0015480A"/>
    <w:rsid w:val="0015691C"/>
    <w:rsid w:val="001824FA"/>
    <w:rsid w:val="00191AB2"/>
    <w:rsid w:val="001B39A7"/>
    <w:rsid w:val="001F7509"/>
    <w:rsid w:val="0022308E"/>
    <w:rsid w:val="00234E5C"/>
    <w:rsid w:val="00246D04"/>
    <w:rsid w:val="002624E0"/>
    <w:rsid w:val="002657FE"/>
    <w:rsid w:val="00271502"/>
    <w:rsid w:val="0027197E"/>
    <w:rsid w:val="002933AF"/>
    <w:rsid w:val="00294547"/>
    <w:rsid w:val="00294F2F"/>
    <w:rsid w:val="00297AFB"/>
    <w:rsid w:val="002A7FAB"/>
    <w:rsid w:val="002B2297"/>
    <w:rsid w:val="002B644E"/>
    <w:rsid w:val="002C009C"/>
    <w:rsid w:val="002C1509"/>
    <w:rsid w:val="002C1EB1"/>
    <w:rsid w:val="002C2C7C"/>
    <w:rsid w:val="002C3A8D"/>
    <w:rsid w:val="002C7C6D"/>
    <w:rsid w:val="002C7DF0"/>
    <w:rsid w:val="002D1053"/>
    <w:rsid w:val="002E0320"/>
    <w:rsid w:val="002F070D"/>
    <w:rsid w:val="002F257B"/>
    <w:rsid w:val="002F38C8"/>
    <w:rsid w:val="00302C5C"/>
    <w:rsid w:val="00307FDD"/>
    <w:rsid w:val="00330A2B"/>
    <w:rsid w:val="00356F5E"/>
    <w:rsid w:val="0037157D"/>
    <w:rsid w:val="0037429C"/>
    <w:rsid w:val="00375833"/>
    <w:rsid w:val="003909A7"/>
    <w:rsid w:val="003A333D"/>
    <w:rsid w:val="003A6634"/>
    <w:rsid w:val="003C4AA4"/>
    <w:rsid w:val="003D7C95"/>
    <w:rsid w:val="003E4B06"/>
    <w:rsid w:val="003E7F07"/>
    <w:rsid w:val="0042142D"/>
    <w:rsid w:val="00430C97"/>
    <w:rsid w:val="00442B07"/>
    <w:rsid w:val="00447E89"/>
    <w:rsid w:val="00475FC0"/>
    <w:rsid w:val="00483D6B"/>
    <w:rsid w:val="0048651A"/>
    <w:rsid w:val="00491E9A"/>
    <w:rsid w:val="00495C80"/>
    <w:rsid w:val="004C0823"/>
    <w:rsid w:val="004C1FD8"/>
    <w:rsid w:val="004C2A6E"/>
    <w:rsid w:val="004D1077"/>
    <w:rsid w:val="004D5719"/>
    <w:rsid w:val="00507B29"/>
    <w:rsid w:val="00531B12"/>
    <w:rsid w:val="00541F1F"/>
    <w:rsid w:val="00542090"/>
    <w:rsid w:val="00575541"/>
    <w:rsid w:val="00576894"/>
    <w:rsid w:val="005813E0"/>
    <w:rsid w:val="00585C5A"/>
    <w:rsid w:val="0059034C"/>
    <w:rsid w:val="00594317"/>
    <w:rsid w:val="005B5614"/>
    <w:rsid w:val="005C2588"/>
    <w:rsid w:val="005D1A26"/>
    <w:rsid w:val="005E5148"/>
    <w:rsid w:val="0061199D"/>
    <w:rsid w:val="00653A5F"/>
    <w:rsid w:val="00687825"/>
    <w:rsid w:val="006937D3"/>
    <w:rsid w:val="00696E1C"/>
    <w:rsid w:val="006A1BA2"/>
    <w:rsid w:val="006B0812"/>
    <w:rsid w:val="006B088F"/>
    <w:rsid w:val="006C21BC"/>
    <w:rsid w:val="006C747D"/>
    <w:rsid w:val="006D253B"/>
    <w:rsid w:val="006F1124"/>
    <w:rsid w:val="006F180B"/>
    <w:rsid w:val="006F6924"/>
    <w:rsid w:val="006F7E7E"/>
    <w:rsid w:val="00700F77"/>
    <w:rsid w:val="00704ECD"/>
    <w:rsid w:val="00724F5C"/>
    <w:rsid w:val="0073179D"/>
    <w:rsid w:val="0074214E"/>
    <w:rsid w:val="00742E4A"/>
    <w:rsid w:val="00770AE4"/>
    <w:rsid w:val="0078702D"/>
    <w:rsid w:val="00795D57"/>
    <w:rsid w:val="007A7C7C"/>
    <w:rsid w:val="007A7CDC"/>
    <w:rsid w:val="007B2EDF"/>
    <w:rsid w:val="007C3C14"/>
    <w:rsid w:val="007E34D6"/>
    <w:rsid w:val="007E3B8D"/>
    <w:rsid w:val="008114AC"/>
    <w:rsid w:val="008151AB"/>
    <w:rsid w:val="00816268"/>
    <w:rsid w:val="00824D3A"/>
    <w:rsid w:val="008557CC"/>
    <w:rsid w:val="00863414"/>
    <w:rsid w:val="00872EFD"/>
    <w:rsid w:val="00880120"/>
    <w:rsid w:val="008B0F10"/>
    <w:rsid w:val="008C409A"/>
    <w:rsid w:val="008C775E"/>
    <w:rsid w:val="008D509E"/>
    <w:rsid w:val="008F4C61"/>
    <w:rsid w:val="00900414"/>
    <w:rsid w:val="009032D5"/>
    <w:rsid w:val="00903DEB"/>
    <w:rsid w:val="00916D95"/>
    <w:rsid w:val="00977250"/>
    <w:rsid w:val="009850BE"/>
    <w:rsid w:val="00993241"/>
    <w:rsid w:val="009A0AB6"/>
    <w:rsid w:val="009A583F"/>
    <w:rsid w:val="009B3EF3"/>
    <w:rsid w:val="009D2551"/>
    <w:rsid w:val="009E37BF"/>
    <w:rsid w:val="00A30790"/>
    <w:rsid w:val="00A457D0"/>
    <w:rsid w:val="00A516C7"/>
    <w:rsid w:val="00A62218"/>
    <w:rsid w:val="00A741BB"/>
    <w:rsid w:val="00A741DF"/>
    <w:rsid w:val="00A871FB"/>
    <w:rsid w:val="00A93146"/>
    <w:rsid w:val="00A96141"/>
    <w:rsid w:val="00AD3238"/>
    <w:rsid w:val="00AE48D4"/>
    <w:rsid w:val="00B02133"/>
    <w:rsid w:val="00B06283"/>
    <w:rsid w:val="00B35B61"/>
    <w:rsid w:val="00B406DB"/>
    <w:rsid w:val="00B511FB"/>
    <w:rsid w:val="00B60E75"/>
    <w:rsid w:val="00B6522A"/>
    <w:rsid w:val="00B74D71"/>
    <w:rsid w:val="00B83A6E"/>
    <w:rsid w:val="00B845A1"/>
    <w:rsid w:val="00B9678D"/>
    <w:rsid w:val="00B97642"/>
    <w:rsid w:val="00BC2AFB"/>
    <w:rsid w:val="00BC6555"/>
    <w:rsid w:val="00BD26F5"/>
    <w:rsid w:val="00BE0129"/>
    <w:rsid w:val="00BE1C24"/>
    <w:rsid w:val="00BF59E7"/>
    <w:rsid w:val="00BF7679"/>
    <w:rsid w:val="00C40BE8"/>
    <w:rsid w:val="00C413D4"/>
    <w:rsid w:val="00C43335"/>
    <w:rsid w:val="00C443AB"/>
    <w:rsid w:val="00C50115"/>
    <w:rsid w:val="00C56ED7"/>
    <w:rsid w:val="00C64ECF"/>
    <w:rsid w:val="00C80AE0"/>
    <w:rsid w:val="00C84812"/>
    <w:rsid w:val="00CA3BFF"/>
    <w:rsid w:val="00CA3C92"/>
    <w:rsid w:val="00CB631E"/>
    <w:rsid w:val="00CC4D9A"/>
    <w:rsid w:val="00CE7D65"/>
    <w:rsid w:val="00CF4E1F"/>
    <w:rsid w:val="00CF5D21"/>
    <w:rsid w:val="00CF730C"/>
    <w:rsid w:val="00D609BB"/>
    <w:rsid w:val="00D61EC7"/>
    <w:rsid w:val="00D70B4B"/>
    <w:rsid w:val="00D94A3F"/>
    <w:rsid w:val="00DB4A71"/>
    <w:rsid w:val="00DB6400"/>
    <w:rsid w:val="00DC70F7"/>
    <w:rsid w:val="00DD0DDA"/>
    <w:rsid w:val="00DE1119"/>
    <w:rsid w:val="00DF733E"/>
    <w:rsid w:val="00E045A3"/>
    <w:rsid w:val="00E21F58"/>
    <w:rsid w:val="00E25900"/>
    <w:rsid w:val="00E26883"/>
    <w:rsid w:val="00E3671F"/>
    <w:rsid w:val="00E416F6"/>
    <w:rsid w:val="00E449A9"/>
    <w:rsid w:val="00E55124"/>
    <w:rsid w:val="00E97D42"/>
    <w:rsid w:val="00EA6646"/>
    <w:rsid w:val="00EB213C"/>
    <w:rsid w:val="00EB680C"/>
    <w:rsid w:val="00ED2663"/>
    <w:rsid w:val="00EE7AB1"/>
    <w:rsid w:val="00EF2D36"/>
    <w:rsid w:val="00F0738D"/>
    <w:rsid w:val="00F21272"/>
    <w:rsid w:val="00F23DDE"/>
    <w:rsid w:val="00F60CE8"/>
    <w:rsid w:val="00FB0419"/>
    <w:rsid w:val="00FC5C57"/>
    <w:rsid w:val="00FD2D27"/>
    <w:rsid w:val="00FE2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375833"/>
    <w:pPr>
      <w:spacing w:before="100" w:beforeAutospacing="1" w:after="100" w:afterAutospacing="1" w:line="360" w:lineRule="auto"/>
      <w:jc w:val="center"/>
      <w:outlineLvl w:val="0"/>
    </w:pPr>
    <w:rPr>
      <w:b/>
      <w:lang w:val="en-US" w:eastAsia="en-US"/>
    </w:rPr>
  </w:style>
  <w:style w:type="paragraph" w:customStyle="1" w:styleId="SubtituloInterno">
    <w:name w:val="Subtitulo Interno"/>
    <w:basedOn w:val="Normal"/>
    <w:autoRedefine/>
    <w:qFormat/>
    <w:rsid w:val="00696E1C"/>
    <w:pPr>
      <w:spacing w:before="100" w:beforeAutospacing="1" w:after="100" w:afterAutospacing="1" w:line="360" w:lineRule="auto"/>
      <w:ind w:firstLine="720"/>
      <w:contextualSpacing/>
      <w:jc w:val="both"/>
      <w:outlineLvl w:val="1"/>
    </w:pPr>
    <w:rPr>
      <w:b/>
      <w:lang w:val="es-ES" w:eastAsia="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375833"/>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37429C"/>
    <w:pPr>
      <w:spacing w:line="360" w:lineRule="auto"/>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37429C"/>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table" w:styleId="Sombreadoclaro">
    <w:name w:val="Light Shading"/>
    <w:basedOn w:val="Tablanormal"/>
    <w:uiPriority w:val="60"/>
    <w:rsid w:val="00C80AE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basedOn w:val="Normal"/>
    <w:uiPriority w:val="34"/>
    <w:qFormat/>
    <w:rsid w:val="0037429C"/>
    <w:pPr>
      <w:spacing w:line="276" w:lineRule="auto"/>
      <w:ind w:left="720"/>
      <w:contextualSpacing/>
    </w:pPr>
    <w:rPr>
      <w:rFonts w:ascii="Arial" w:eastAsia="Arial" w:hAnsi="Arial" w:cs="Arial"/>
      <w:sz w:val="22"/>
      <w:szCs w:val="22"/>
      <w:lang w:val="ca" w:eastAsia="es-ES"/>
    </w:rPr>
  </w:style>
  <w:style w:type="character" w:styleId="Hipervnculovisitado">
    <w:name w:val="FollowedHyperlink"/>
    <w:basedOn w:val="Fuentedeprrafopredeter"/>
    <w:uiPriority w:val="99"/>
    <w:semiHidden/>
    <w:unhideWhenUsed/>
    <w:rsid w:val="00294F2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375833"/>
    <w:pPr>
      <w:spacing w:before="100" w:beforeAutospacing="1" w:after="100" w:afterAutospacing="1" w:line="360" w:lineRule="auto"/>
      <w:jc w:val="center"/>
      <w:outlineLvl w:val="0"/>
    </w:pPr>
    <w:rPr>
      <w:b/>
      <w:lang w:val="en-US" w:eastAsia="en-US"/>
    </w:rPr>
  </w:style>
  <w:style w:type="paragraph" w:customStyle="1" w:styleId="SubtituloInterno">
    <w:name w:val="Subtitulo Interno"/>
    <w:basedOn w:val="Normal"/>
    <w:autoRedefine/>
    <w:qFormat/>
    <w:rsid w:val="00696E1C"/>
    <w:pPr>
      <w:spacing w:before="100" w:beforeAutospacing="1" w:after="100" w:afterAutospacing="1" w:line="360" w:lineRule="auto"/>
      <w:ind w:firstLine="720"/>
      <w:contextualSpacing/>
      <w:jc w:val="both"/>
      <w:outlineLvl w:val="1"/>
    </w:pPr>
    <w:rPr>
      <w:b/>
      <w:lang w:val="es-ES" w:eastAsia="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375833"/>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37429C"/>
    <w:pPr>
      <w:spacing w:line="360" w:lineRule="auto"/>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37429C"/>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table" w:styleId="Sombreadoclaro">
    <w:name w:val="Light Shading"/>
    <w:basedOn w:val="Tablanormal"/>
    <w:uiPriority w:val="60"/>
    <w:rsid w:val="00C80AE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basedOn w:val="Normal"/>
    <w:uiPriority w:val="34"/>
    <w:qFormat/>
    <w:rsid w:val="0037429C"/>
    <w:pPr>
      <w:spacing w:line="276" w:lineRule="auto"/>
      <w:ind w:left="720"/>
      <w:contextualSpacing/>
    </w:pPr>
    <w:rPr>
      <w:rFonts w:ascii="Arial" w:eastAsia="Arial" w:hAnsi="Arial" w:cs="Arial"/>
      <w:sz w:val="22"/>
      <w:szCs w:val="22"/>
      <w:lang w:val="ca" w:eastAsia="es-ES"/>
    </w:rPr>
  </w:style>
  <w:style w:type="character" w:styleId="Hipervnculovisitado">
    <w:name w:val="FollowedHyperlink"/>
    <w:basedOn w:val="Fuentedeprrafopredeter"/>
    <w:uiPriority w:val="99"/>
    <w:semiHidden/>
    <w:unhideWhenUsed/>
    <w:rsid w:val="00294F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27889599">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07236881">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bbi.2020.05.040" TargetMode="External"/><Relationship Id="rId18" Type="http://schemas.openxmlformats.org/officeDocument/2006/relationships/hyperlink" Target="https://archive.org/details/sip-2008b-declaracion-sobre-principios-eticos" TargetMode="External"/><Relationship Id="rId26" Type="http://schemas.openxmlformats.org/officeDocument/2006/relationships/hyperlink" Target="https://www.mscbs.gob.es/profesionales/saludPublica/ccayes/alertasActual/nCov-China/documentos/Actualizacion_176_COVID-19.pdf" TargetMode="External"/><Relationship Id="rId21" Type="http://schemas.openxmlformats.org/officeDocument/2006/relationships/hyperlink" Target="https://archive.org/details/sip-2018-position-statement-on-immigration"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cioms.ch/wp-content/uploads/2017/12/CIOMS-EthicalGuideline_SP_INTERIOR-FINAL.pdf" TargetMode="External"/><Relationship Id="rId17" Type="http://schemas.openxmlformats.org/officeDocument/2006/relationships/hyperlink" Target="https://archive.org/details/sip-2008a-declaracion-sobre-terapias-de-conversion" TargetMode="External"/><Relationship Id="rId25" Type="http://schemas.openxmlformats.org/officeDocument/2006/relationships/hyperlink" Target="https://doi.org/10.1037//0022-3514.74.3.686"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oi.org/10.333.23rlp10i2.298-299" TargetMode="External"/><Relationship Id="rId20" Type="http://schemas.openxmlformats.org/officeDocument/2006/relationships/hyperlink" Target="https://archive.org/details/sip-2016-declaracion-apoyo-a-acuerdos-de-paz-en-colombia" TargetMode="External"/><Relationship Id="rId29" Type="http://schemas.openxmlformats.org/officeDocument/2006/relationships/hyperlink" Target="https://doi.org/10.5944/rppc.275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cop.es/view_article.asp?id=15013&amp;cat=8" TargetMode="External"/><Relationship Id="rId24" Type="http://schemas.openxmlformats.org/officeDocument/2006/relationships/hyperlink" Target="https://doi.org/10.1016/j.psychres.2020.113216"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upsys.net/about/governance/universal-declaration-of-ethical-principles-for-psychologists.html" TargetMode="External"/><Relationship Id="rId23" Type="http://schemas.openxmlformats.org/officeDocument/2006/relationships/hyperlink" Target="https://doi.org/10.1001/jamanetworkopen.2020.3976" TargetMode="External"/><Relationship Id="rId28" Type="http://schemas.openxmlformats.org/officeDocument/2006/relationships/hyperlink" Target="https://doi.org/10.1016/j.jemep.2020.100571" TargetMode="External"/><Relationship Id="rId36" Type="http://schemas.openxmlformats.org/officeDocument/2006/relationships/fontTable" Target="fontTable.xml"/><Relationship Id="rId10" Type="http://schemas.openxmlformats.org/officeDocument/2006/relationships/hyperlink" Target="https://doi.org/10.1177/0033294120965477" TargetMode="External"/><Relationship Id="rId19" Type="http://schemas.openxmlformats.org/officeDocument/2006/relationships/hyperlink" Target="https://archive.org/details/sip-2014-declaracion-sobre-ninos-migrantes-en-centro-america" TargetMode="External"/><Relationship Id="rId31" Type="http://schemas.openxmlformats.org/officeDocument/2006/relationships/hyperlink" Target="https://doi.org/10.1371/journal.pone.0233410" TargetMode="External"/><Relationship Id="rId4" Type="http://schemas.microsoft.com/office/2007/relationships/stylesWithEffects" Target="stylesWithEffects.xml"/><Relationship Id="rId9" Type="http://schemas.openxmlformats.org/officeDocument/2006/relationships/hyperlink" Target="https://dx.doi.org/10.1038%2Fs41398-020-00982-4" TargetMode="External"/><Relationship Id="rId14" Type="http://schemas.openxmlformats.org/officeDocument/2006/relationships/hyperlink" Target="https://doi.org/10.1093/gerona/glp034" TargetMode="External"/><Relationship Id="rId22" Type="http://schemas.openxmlformats.org/officeDocument/2006/relationships/hyperlink" Target="https://archive.org/details/sip-2019-declaracion-experticia-en-salud-mental" TargetMode="External"/><Relationship Id="rId27" Type="http://schemas.openxmlformats.org/officeDocument/2006/relationships/hyperlink" Target="https://doi.org/10.1590/0102-311X00054020" TargetMode="External"/><Relationship Id="rId30" Type="http://schemas.openxmlformats.org/officeDocument/2006/relationships/hyperlink" Target="https://doi.org/10.3389/fpsyg.2020.561536"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CE8FE-9716-4C2C-AF69-460B4CB3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7130</Words>
  <Characters>39218</Characters>
  <Application>Microsoft Office Word</Application>
  <DocSecurity>0</DocSecurity>
  <Lines>326</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Carmina Castellano Tejedor</cp:lastModifiedBy>
  <cp:revision>2</cp:revision>
  <cp:lastPrinted>2020-04-16T16:22:00Z</cp:lastPrinted>
  <dcterms:created xsi:type="dcterms:W3CDTF">2021-03-22T14:38:00Z</dcterms:created>
  <dcterms:modified xsi:type="dcterms:W3CDTF">2021-03-22T14:38:00Z</dcterms:modified>
</cp:coreProperties>
</file>